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DE" w:rsidRPr="00C1479C" w:rsidRDefault="007974DE" w:rsidP="00E66709">
      <w:pPr>
        <w:pStyle w:val="Heading1"/>
        <w:spacing w:before="240"/>
        <w:rPr>
          <w:color w:val="FFFFFF" w:themeColor="background1"/>
          <w:sz w:val="16"/>
          <w:szCs w:val="16"/>
        </w:rPr>
      </w:pPr>
      <w:bookmarkStart w:id="0" w:name="_Toc511736185"/>
      <w:bookmarkStart w:id="1" w:name="_Toc511745354"/>
      <w:bookmarkStart w:id="2" w:name="ChapterNumber"/>
      <w:r w:rsidRPr="00C1479C">
        <w:rPr>
          <w:color w:val="FFFFFF" w:themeColor="background1"/>
          <w:sz w:val="16"/>
          <w:szCs w:val="16"/>
        </w:rPr>
        <w:t>Trade and Assistance Review 2016-17</w:t>
      </w:r>
      <w:bookmarkEnd w:id="0"/>
      <w:bookmarkEnd w:id="1"/>
    </w:p>
    <w:p w:rsidR="007974DE" w:rsidRPr="00C1479C" w:rsidRDefault="007974DE" w:rsidP="007974DE">
      <w:pPr>
        <w:pStyle w:val="BodyText"/>
        <w:rPr>
          <w:b/>
          <w:color w:val="FFFFFF" w:themeColor="background1"/>
          <w:sz w:val="16"/>
          <w:szCs w:val="16"/>
        </w:rPr>
      </w:pPr>
      <w:r w:rsidRPr="00C1479C">
        <w:rPr>
          <w:color w:val="FFFFFF" w:themeColor="background1"/>
          <w:sz w:val="16"/>
          <w:szCs w:val="16"/>
        </w:rPr>
        <w:t>Productivity Commission Annual Report Series</w:t>
      </w:r>
      <w:r>
        <w:rPr>
          <w:noProof/>
          <w:color w:val="FFFFFF" w:themeColor="background1"/>
          <w:sz w:val="16"/>
          <w:szCs w:val="16"/>
        </w:rPr>
        <w:drawing>
          <wp:anchor distT="0" distB="0" distL="114300" distR="114300" simplePos="0" relativeHeight="251659264" behindDoc="0" locked="0" layoutInCell="1" allowOverlap="1" wp14:anchorId="49EA8242" wp14:editId="4493F33F">
            <wp:simplePos x="1152525" y="2362200"/>
            <wp:positionH relativeFrom="page">
              <wp:align>center</wp:align>
            </wp:positionH>
            <wp:positionV relativeFrom="page">
              <wp:align>center</wp:align>
            </wp:positionV>
            <wp:extent cx="7592400" cy="10738800"/>
            <wp:effectExtent l="0" t="0" r="8890" b="5715"/>
            <wp:wrapNone/>
            <wp:docPr id="15" name="Picture 15" descr="Cover for Trade and Assistance Review 2016-17,Productivity Commission Annual Report Series, Canberra, Apri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2016-17-cover-web.png"/>
                    <pic:cNvPicPr/>
                  </pic:nvPicPr>
                  <pic:blipFill>
                    <a:blip r:embed="rId8">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Pr="00C1479C">
        <w:rPr>
          <w:color w:val="FFFFFF" w:themeColor="background1"/>
          <w:sz w:val="16"/>
          <w:szCs w:val="16"/>
        </w:rPr>
        <w:br w:type="page"/>
      </w:r>
    </w:p>
    <w:p w:rsidR="007974DE" w:rsidRDefault="007974DE" w:rsidP="007974D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rsidR="007974DE" w:rsidRPr="007974DE" w:rsidRDefault="007974DE" w:rsidP="007974DE">
      <w:pPr>
        <w:pStyle w:val="BodyText"/>
        <w:tabs>
          <w:tab w:val="left" w:pos="851"/>
        </w:tabs>
        <w:spacing w:before="200" w:after="120"/>
        <w:jc w:val="left"/>
        <w:rPr>
          <w:b/>
          <w:szCs w:val="24"/>
        </w:rPr>
      </w:pPr>
      <w:bookmarkStart w:id="3" w:name="ISSN"/>
      <w:bookmarkEnd w:id="3"/>
      <w:r w:rsidRPr="007974DE">
        <w:rPr>
          <w:b/>
          <w:szCs w:val="24"/>
        </w:rPr>
        <w:t>ISBN</w:t>
      </w:r>
      <w:r w:rsidRPr="007974DE">
        <w:rPr>
          <w:b/>
          <w:szCs w:val="24"/>
        </w:rPr>
        <w:tab/>
        <w:t>978-1-74037-656-3</w:t>
      </w:r>
    </w:p>
    <w:p w:rsidR="007974DE" w:rsidRDefault="007974DE" w:rsidP="007974DE">
      <w:pPr>
        <w:pStyle w:val="BodyText"/>
        <w:spacing w:after="120"/>
      </w:pPr>
      <w:r w:rsidRPr="00862D8F">
        <w:rPr>
          <w:noProof/>
          <w:sz w:val="22"/>
          <w:szCs w:val="22"/>
        </w:rPr>
        <w:drawing>
          <wp:inline distT="0" distB="0" distL="0" distR="0" wp14:anchorId="7AE7867C" wp14:editId="1F1F31A5">
            <wp:extent cx="843280" cy="295043"/>
            <wp:effectExtent l="0" t="0" r="0" b="0"/>
            <wp:docPr id="16" name="Picture 1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7974DE" w:rsidRPr="007974DE" w:rsidRDefault="007974DE" w:rsidP="007974DE">
      <w:pPr>
        <w:pStyle w:val="Copyrightbodytext"/>
        <w:rPr>
          <w:sz w:val="20"/>
        </w:rPr>
      </w:pPr>
      <w:r w:rsidRPr="007974DE">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7974DE">
            <w:rPr>
              <w:sz w:val="20"/>
            </w:rPr>
            <w:t>http://creativecommons.org/licenses/by/3.0/au</w:t>
          </w:r>
        </w:hyperlink>
      </w:hyperlink>
      <w:r w:rsidRPr="007974DE">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7974DE" w:rsidRPr="008A3857" w:rsidRDefault="007974DE" w:rsidP="007974DE">
      <w:pPr>
        <w:pStyle w:val="Copyrightsubtitle"/>
      </w:pPr>
      <w:r w:rsidRPr="008A3857">
        <w:t>Use of the Commonwealth Coat of Arms</w:t>
      </w:r>
    </w:p>
    <w:p w:rsidR="007974DE" w:rsidRPr="007974DE" w:rsidRDefault="007974DE" w:rsidP="007974DE">
      <w:pPr>
        <w:pStyle w:val="Copyrightbodytext"/>
        <w:rPr>
          <w:sz w:val="20"/>
        </w:rPr>
      </w:pPr>
      <w:r w:rsidRPr="007974DE">
        <w:rPr>
          <w:sz w:val="20"/>
        </w:rPr>
        <w:t>Terms of use for the Coat of Arms are available from the Department of the Prime Minister and Cabinet’s website:</w:t>
      </w:r>
      <w:r w:rsidRPr="007974DE">
        <w:rPr>
          <w:spacing w:val="-6"/>
          <w:sz w:val="20"/>
        </w:rPr>
        <w:t xml:space="preserve"> </w:t>
      </w:r>
      <w:hyperlink r:id="rId12" w:history="1">
        <w:r w:rsidRPr="007974DE">
          <w:rPr>
            <w:rStyle w:val="Hyperlink"/>
            <w:sz w:val="20"/>
          </w:rPr>
          <w:t>https://www.pmc.gov.au/government/commonwealth-coat-arms</w:t>
        </w:r>
      </w:hyperlink>
    </w:p>
    <w:p w:rsidR="007974DE" w:rsidRPr="008A3857" w:rsidRDefault="007974DE" w:rsidP="007974DE">
      <w:pPr>
        <w:pStyle w:val="Copyrightsubtitle"/>
      </w:pPr>
      <w:r w:rsidRPr="008A3857">
        <w:t>Third party copyright</w:t>
      </w:r>
    </w:p>
    <w:p w:rsidR="007974DE" w:rsidRPr="007974DE" w:rsidRDefault="007974DE" w:rsidP="007974DE">
      <w:pPr>
        <w:pStyle w:val="Copyrightbodytext"/>
        <w:rPr>
          <w:sz w:val="20"/>
        </w:rPr>
      </w:pPr>
      <w:r w:rsidRPr="007974DE">
        <w:rPr>
          <w:sz w:val="20"/>
        </w:rPr>
        <w:t>Wherever a third party holds copyright in this material, the copyright remains with that party. Their permission may be required to use the material, please contact them directly.</w:t>
      </w:r>
    </w:p>
    <w:p w:rsidR="007974DE" w:rsidRPr="008A3857" w:rsidRDefault="007974DE" w:rsidP="007974DE">
      <w:pPr>
        <w:pStyle w:val="Copyrightsubtitle"/>
      </w:pPr>
      <w:r w:rsidRPr="008A3857">
        <w:t>Attribution</w:t>
      </w:r>
    </w:p>
    <w:p w:rsidR="007974DE" w:rsidRPr="007974DE" w:rsidRDefault="007974DE" w:rsidP="007974DE">
      <w:pPr>
        <w:pStyle w:val="Copyrightbodytext"/>
        <w:rPr>
          <w:sz w:val="20"/>
        </w:rPr>
      </w:pPr>
      <w:r w:rsidRPr="007974DE">
        <w:rPr>
          <w:sz w:val="20"/>
        </w:rPr>
        <w:t xml:space="preserve">This work should be attributed as follows, </w:t>
      </w:r>
      <w:r w:rsidRPr="007974DE">
        <w:rPr>
          <w:i/>
          <w:sz w:val="20"/>
        </w:rPr>
        <w:t>Source: Productivity Commission, Trade and Assistance Review 2016-17</w:t>
      </w:r>
      <w:r w:rsidRPr="007974DE">
        <w:rPr>
          <w:sz w:val="20"/>
        </w:rPr>
        <w:t>.</w:t>
      </w:r>
    </w:p>
    <w:p w:rsidR="007974DE" w:rsidRPr="007974DE" w:rsidRDefault="007974DE" w:rsidP="007974DE">
      <w:pPr>
        <w:pStyle w:val="Copyrightbodytext"/>
        <w:spacing w:before="120"/>
        <w:rPr>
          <w:sz w:val="20"/>
        </w:rPr>
      </w:pPr>
      <w:r w:rsidRPr="007974DE">
        <w:rPr>
          <w:sz w:val="20"/>
        </w:rPr>
        <w:t xml:space="preserve">If you have adapted, modified or transformed this work in anyway, please use the following, </w:t>
      </w:r>
      <w:r w:rsidRPr="007974DE">
        <w:rPr>
          <w:i/>
          <w:sz w:val="20"/>
        </w:rPr>
        <w:t>Source: based on Productivity Commission data, Trade and Assistance Review 2016-17</w:t>
      </w:r>
      <w:r w:rsidRPr="007974DE">
        <w:rPr>
          <w:sz w:val="20"/>
        </w:rPr>
        <w:t>.</w:t>
      </w:r>
    </w:p>
    <w:p w:rsidR="007974DE" w:rsidRPr="008A3857" w:rsidRDefault="007974DE" w:rsidP="007974DE">
      <w:pPr>
        <w:pStyle w:val="Copyrightsubtitle"/>
      </w:pPr>
      <w:r w:rsidRPr="008A3857">
        <w:t xml:space="preserve">An appropriate </w:t>
      </w:r>
      <w:r>
        <w:t>reference</w:t>
      </w:r>
      <w:r w:rsidRPr="008A3857">
        <w:t xml:space="preserve"> for this publication is:</w:t>
      </w:r>
    </w:p>
    <w:p w:rsidR="007974DE" w:rsidRPr="007974DE" w:rsidRDefault="007974DE" w:rsidP="007974DE">
      <w:pPr>
        <w:pStyle w:val="Copyrightbodytext"/>
        <w:rPr>
          <w:i/>
          <w:sz w:val="20"/>
        </w:rPr>
      </w:pPr>
      <w:r w:rsidRPr="007974DE">
        <w:rPr>
          <w:sz w:val="20"/>
        </w:rPr>
        <w:t xml:space="preserve">Productivity Commission 2018, </w:t>
      </w:r>
      <w:r w:rsidRPr="007974DE">
        <w:rPr>
          <w:i/>
          <w:sz w:val="20"/>
        </w:rPr>
        <w:t>Trade and Assistance Review 2016-17</w:t>
      </w:r>
      <w:r w:rsidRPr="007974DE">
        <w:rPr>
          <w:sz w:val="20"/>
        </w:rPr>
        <w:t>, Annual Report Series, Canberra</w:t>
      </w:r>
      <w:r w:rsidRPr="007974DE">
        <w:rPr>
          <w:i/>
          <w:sz w:val="20"/>
        </w:rPr>
        <w:t>.</w:t>
      </w:r>
    </w:p>
    <w:p w:rsidR="007974DE" w:rsidRPr="008A3857" w:rsidRDefault="007974DE" w:rsidP="007974DE">
      <w:pPr>
        <w:pStyle w:val="Copyrightsubtitle"/>
      </w:pPr>
      <w:bookmarkStart w:id="4" w:name="JEL"/>
      <w:bookmarkEnd w:id="4"/>
      <w:r w:rsidRPr="008A3857">
        <w:t>Publications enquiries</w:t>
      </w:r>
    </w:p>
    <w:p w:rsidR="007974DE" w:rsidRPr="007974DE" w:rsidRDefault="007974DE" w:rsidP="007974DE">
      <w:pPr>
        <w:pStyle w:val="Copyrightbodytext"/>
        <w:rPr>
          <w:sz w:val="20"/>
        </w:rPr>
      </w:pPr>
      <w:r w:rsidRPr="007974DE">
        <w:rPr>
          <w:sz w:val="20"/>
        </w:rPr>
        <w:t>Media, Publications and Web, phone: (03) 9653 2244 or email: mpw@pc.gov.au</w:t>
      </w:r>
    </w:p>
    <w:p w:rsidR="007974DE" w:rsidRDefault="007974DE" w:rsidP="007974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974DE" w:rsidTr="009D1112">
        <w:trPr>
          <w:tblHeader/>
        </w:trPr>
        <w:tc>
          <w:tcPr>
            <w:tcW w:w="5000" w:type="pct"/>
            <w:tcBorders>
              <w:top w:val="single" w:sz="6" w:space="0" w:color="78A22F"/>
              <w:left w:val="nil"/>
              <w:bottom w:val="nil"/>
              <w:right w:val="nil"/>
            </w:tcBorders>
            <w:shd w:val="clear" w:color="auto" w:fill="F2F2F2" w:themeFill="background1" w:themeFillShade="F2"/>
          </w:tcPr>
          <w:p w:rsidR="007974DE" w:rsidRPr="008A3857" w:rsidRDefault="007974DE" w:rsidP="009D1112">
            <w:pPr>
              <w:pStyle w:val="BoxTitle"/>
              <w:rPr>
                <w:sz w:val="22"/>
                <w:szCs w:val="22"/>
              </w:rPr>
            </w:pPr>
            <w:r w:rsidRPr="008A3857">
              <w:rPr>
                <w:sz w:val="22"/>
                <w:szCs w:val="22"/>
              </w:rPr>
              <w:t>The Productivity Commission</w:t>
            </w:r>
          </w:p>
        </w:tc>
      </w:tr>
      <w:tr w:rsidR="007974DE" w:rsidTr="009D1112">
        <w:tc>
          <w:tcPr>
            <w:tcW w:w="5000" w:type="pct"/>
            <w:tcBorders>
              <w:top w:val="nil"/>
              <w:left w:val="nil"/>
              <w:bottom w:val="nil"/>
              <w:right w:val="nil"/>
            </w:tcBorders>
            <w:shd w:val="clear" w:color="auto" w:fill="F2F2F2" w:themeFill="background1" w:themeFillShade="F2"/>
          </w:tcPr>
          <w:p w:rsidR="007974DE" w:rsidRDefault="007974DE" w:rsidP="009D111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7974DE" w:rsidRDefault="007974DE" w:rsidP="009D1112">
            <w:pPr>
              <w:pStyle w:val="Box"/>
            </w:pPr>
            <w:r w:rsidRPr="00BB5DCF">
              <w:t>The Commission’s independence is underpinned by an Act of Parliament. Its processes and outputs are open to public scrutiny and are driven by concern for the wellbeing of the community as a whole.</w:t>
            </w:r>
          </w:p>
          <w:p w:rsidR="007974DE" w:rsidRDefault="007974DE" w:rsidP="009D1112">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7974DE" w:rsidTr="009D1112">
        <w:tc>
          <w:tcPr>
            <w:tcW w:w="5000" w:type="pct"/>
            <w:tcBorders>
              <w:top w:val="nil"/>
              <w:left w:val="nil"/>
              <w:bottom w:val="single" w:sz="6" w:space="0" w:color="78A22F"/>
              <w:right w:val="nil"/>
            </w:tcBorders>
            <w:shd w:val="clear" w:color="auto" w:fill="F2F2F2" w:themeFill="background1" w:themeFillShade="F2"/>
          </w:tcPr>
          <w:p w:rsidR="007974DE" w:rsidRDefault="007974DE" w:rsidP="009D1112">
            <w:pPr>
              <w:pStyle w:val="Box"/>
              <w:spacing w:before="0" w:line="120" w:lineRule="exact"/>
            </w:pPr>
          </w:p>
        </w:tc>
      </w:tr>
    </w:tbl>
    <w:p w:rsidR="007974DE" w:rsidRDefault="007974DE" w:rsidP="007974DE">
      <w:pPr>
        <w:pStyle w:val="BodyText"/>
        <w:sectPr w:rsidR="007974DE" w:rsidSect="007974DE">
          <w:pgSz w:w="11907" w:h="16840" w:code="9"/>
          <w:pgMar w:top="1304" w:right="1304" w:bottom="567" w:left="1814" w:header="1701" w:footer="397" w:gutter="0"/>
          <w:pgNumType w:fmt="lowerRoman" w:start="1"/>
          <w:cols w:space="720"/>
          <w:titlePg/>
        </w:sectPr>
      </w:pPr>
      <w:bookmarkStart w:id="5" w:name="cov"/>
      <w:bookmarkEnd w:id="5"/>
    </w:p>
    <w:p w:rsidR="007974DE" w:rsidRDefault="007974DE" w:rsidP="007974DE">
      <w:pPr>
        <w:pStyle w:val="Heading1"/>
      </w:pPr>
      <w:bookmarkStart w:id="6" w:name="_Toc510017428"/>
      <w:bookmarkStart w:id="7" w:name="_Toc511736186"/>
      <w:bookmarkStart w:id="8" w:name="_Toc511745355"/>
      <w:r>
        <w:lastRenderedPageBreak/>
        <w:t>Foreword</w:t>
      </w:r>
      <w:bookmarkEnd w:id="6"/>
      <w:bookmarkEnd w:id="7"/>
      <w:bookmarkEnd w:id="8"/>
    </w:p>
    <w:p w:rsidR="007974DE" w:rsidRDefault="007974DE" w:rsidP="007974DE">
      <w:pPr>
        <w:pStyle w:val="BodyText"/>
        <w:rPr>
          <w:lang w:eastAsia="en-US"/>
        </w:rPr>
      </w:pPr>
      <w:r>
        <w:rPr>
          <w:lang w:eastAsia="en-US"/>
        </w:rPr>
        <w:t xml:space="preserve">The Productivity Commission is required under its Act to report annually on industry assistance and its effects on the economy. The </w:t>
      </w:r>
      <w:r w:rsidRPr="00AF4E3E">
        <w:rPr>
          <w:i/>
          <w:lang w:eastAsia="en-US"/>
        </w:rPr>
        <w:t>Trade &amp; Assistance Review 2016-17</w:t>
      </w:r>
      <w:r>
        <w:rPr>
          <w:lang w:eastAsia="en-US"/>
        </w:rPr>
        <w:t xml:space="preserve"> contains the Commission’s latest quantitative estimates of Australian Government assistance to industry.</w:t>
      </w:r>
    </w:p>
    <w:p w:rsidR="007974DE" w:rsidRDefault="007974DE" w:rsidP="007974DE">
      <w:pPr>
        <w:pStyle w:val="BodyText"/>
        <w:rPr>
          <w:lang w:eastAsia="en-US"/>
        </w:rPr>
      </w:pPr>
      <w:r>
        <w:rPr>
          <w:lang w:eastAsia="en-US"/>
        </w:rPr>
        <w:t xml:space="preserve">The report comes at a challenging time for trade policy. While the USA has long been a reliable advocate for trade liberalisation, it has now turned more towards using its leverage to protect domestic industries. </w:t>
      </w:r>
    </w:p>
    <w:p w:rsidR="007974DE" w:rsidRDefault="007974DE" w:rsidP="007974DE">
      <w:pPr>
        <w:pStyle w:val="BodyText"/>
        <w:rPr>
          <w:lang w:eastAsia="en-US"/>
        </w:rPr>
      </w:pPr>
      <w:r>
        <w:rPr>
          <w:lang w:eastAsia="en-US"/>
        </w:rPr>
        <w:t xml:space="preserve">This year’s </w:t>
      </w:r>
      <w:r w:rsidRPr="00AF4E3E">
        <w:rPr>
          <w:i/>
          <w:lang w:eastAsia="en-US"/>
        </w:rPr>
        <w:t>Review</w:t>
      </w:r>
      <w:r>
        <w:rPr>
          <w:lang w:eastAsia="en-US"/>
        </w:rPr>
        <w:t xml:space="preserve"> explores how Australia should best respond. Protectionist populism can be fed here as readily as in the US, but with much greater capacity for self-harm. We do not have the leverage of the US and we are more internationally trade-exposed than it is. </w:t>
      </w:r>
    </w:p>
    <w:p w:rsidR="007974DE" w:rsidRDefault="007974DE" w:rsidP="007974DE">
      <w:pPr>
        <w:pStyle w:val="BodyText"/>
        <w:rPr>
          <w:lang w:eastAsia="en-US"/>
        </w:rPr>
      </w:pPr>
      <w:r>
        <w:rPr>
          <w:lang w:eastAsia="en-US"/>
        </w:rPr>
        <w:t xml:space="preserve">The annual </w:t>
      </w:r>
      <w:r w:rsidRPr="00AF4E3E">
        <w:rPr>
          <w:i/>
          <w:lang w:eastAsia="en-US"/>
        </w:rPr>
        <w:t>Review</w:t>
      </w:r>
      <w:r>
        <w:rPr>
          <w:lang w:eastAsia="en-US"/>
        </w:rPr>
        <w:t xml:space="preserve"> provides information on government arrangements that may be construed as assistance, including their target, size, and nature. Views inevitably differ on what constitutes industry assistance and whether it is warranted. This report is valuable because it offers full transparency of all support measures and provides a basis for considered assessment of the benefits and costs of the arrangements.</w:t>
      </w:r>
    </w:p>
    <w:p w:rsidR="007974DE" w:rsidRDefault="007974DE" w:rsidP="007974DE">
      <w:pPr>
        <w:pStyle w:val="BodyText"/>
        <w:rPr>
          <w:lang w:eastAsia="en-US"/>
        </w:rPr>
      </w:pPr>
      <w:r>
        <w:rPr>
          <w:lang w:eastAsia="en-US"/>
        </w:rPr>
        <w:t xml:space="preserve">One of the biggest changes in this year’s </w:t>
      </w:r>
      <w:r w:rsidRPr="00AF4E3E">
        <w:rPr>
          <w:i/>
          <w:lang w:eastAsia="en-US"/>
        </w:rPr>
        <w:t>Review</w:t>
      </w:r>
      <w:r>
        <w:rPr>
          <w:lang w:eastAsia="en-US"/>
        </w:rPr>
        <w:t xml:space="preserve"> is the inclusion of the small business tax cuts as sectoral assistance. While some may debate that it is assistance, it advantages one form of business over another. And if it persists over time it will skew growth and investment artificially.</w:t>
      </w:r>
    </w:p>
    <w:p w:rsidR="007974DE" w:rsidRDefault="007974DE" w:rsidP="007974DE">
      <w:pPr>
        <w:pStyle w:val="BodyText"/>
        <w:rPr>
          <w:lang w:eastAsia="en-US"/>
        </w:rPr>
      </w:pPr>
      <w:r>
        <w:rPr>
          <w:lang w:eastAsia="en-US"/>
        </w:rPr>
        <w:t>In preparing this report, the Commission has received helpful advice and feedback from officials in Australian Government agencies. The Commission is very grateful for their assistance.</w:t>
      </w:r>
    </w:p>
    <w:p w:rsidR="007974DE" w:rsidRDefault="007974DE" w:rsidP="007974DE">
      <w:pPr>
        <w:pStyle w:val="BodyText"/>
        <w:spacing w:before="600"/>
        <w:jc w:val="left"/>
        <w:rPr>
          <w:lang w:eastAsia="en-US"/>
        </w:rPr>
      </w:pPr>
      <w:r>
        <w:rPr>
          <w:lang w:eastAsia="en-US"/>
        </w:rPr>
        <w:t>Peter Harris</w:t>
      </w:r>
      <w:r>
        <w:rPr>
          <w:lang w:eastAsia="en-US"/>
        </w:rPr>
        <w:br/>
        <w:t>Chair</w:t>
      </w:r>
    </w:p>
    <w:p w:rsidR="007974DE" w:rsidRPr="00634771" w:rsidRDefault="007974DE" w:rsidP="007974DE">
      <w:pPr>
        <w:pStyle w:val="BodyText"/>
        <w:rPr>
          <w:lang w:eastAsia="en-US"/>
        </w:rPr>
      </w:pPr>
      <w:r>
        <w:rPr>
          <w:lang w:eastAsia="en-US"/>
        </w:rPr>
        <w:t>April 2018</w:t>
      </w:r>
    </w:p>
    <w:p w:rsidR="007974DE" w:rsidRDefault="007974DE" w:rsidP="007974DE">
      <w:pPr>
        <w:pStyle w:val="BodyText"/>
        <w:sectPr w:rsidR="007974DE" w:rsidSect="009D1112">
          <w:headerReference w:type="even" r:id="rId14"/>
          <w:headerReference w:type="default" r:id="rId15"/>
          <w:footerReference w:type="even" r:id="rId16"/>
          <w:footerReference w:type="default" r:id="rId17"/>
          <w:pgSz w:w="11906" w:h="16838" w:code="9"/>
          <w:pgMar w:top="1985" w:right="1304" w:bottom="1247" w:left="1814" w:header="1701" w:footer="397" w:gutter="0"/>
          <w:pgNumType w:fmt="lowerRoman"/>
          <w:cols w:space="708"/>
          <w:docGrid w:linePitch="360"/>
        </w:sectPr>
      </w:pPr>
    </w:p>
    <w:p w:rsidR="007974DE" w:rsidRDefault="007974DE" w:rsidP="007974DE">
      <w:pPr>
        <w:pStyle w:val="Heading1NotTOC"/>
      </w:pPr>
      <w:bookmarkStart w:id="9" w:name="Contents"/>
      <w:bookmarkEnd w:id="9"/>
      <w:r w:rsidRPr="00B153C3">
        <w:t>Contents</w:t>
      </w:r>
      <w:bookmarkStart w:id="10" w:name="InsertContents"/>
      <w:bookmarkEnd w:id="10"/>
    </w:p>
    <w:p w:rsidR="009C28CC" w:rsidRPr="009C28CC" w:rsidRDefault="009C28CC" w:rsidP="009C28CC">
      <w:pPr>
        <w:pStyle w:val="TOC1"/>
        <w:rPr>
          <w:rFonts w:asciiTheme="minorHAnsi" w:eastAsiaTheme="minorEastAsia" w:hAnsiTheme="minorHAnsi" w:cstheme="minorBidi"/>
          <w:b w:val="0"/>
          <w:noProof/>
          <w:sz w:val="22"/>
          <w:szCs w:val="22"/>
          <w:lang w:eastAsia="en-AU"/>
        </w:rPr>
      </w:pPr>
      <w:r w:rsidRPr="009C28CC">
        <w:rPr>
          <w:b w:val="0"/>
          <w:noProof/>
        </w:rPr>
        <w:t>Foreword</w:t>
      </w:r>
      <w:r w:rsidRPr="009C28CC">
        <w:rPr>
          <w:b w:val="0"/>
          <w:noProof/>
        </w:rPr>
        <w:tab/>
        <w:t>iii</w:t>
      </w:r>
    </w:p>
    <w:p w:rsidR="009C28CC" w:rsidRPr="009C28CC" w:rsidRDefault="009C28CC" w:rsidP="009C28CC">
      <w:pPr>
        <w:pStyle w:val="TOC1"/>
        <w:rPr>
          <w:rFonts w:asciiTheme="minorHAnsi" w:eastAsiaTheme="minorEastAsia" w:hAnsiTheme="minorHAnsi" w:cstheme="minorBidi"/>
          <w:b w:val="0"/>
          <w:noProof/>
          <w:sz w:val="22"/>
          <w:szCs w:val="22"/>
          <w:lang w:eastAsia="en-AU"/>
        </w:rPr>
      </w:pPr>
      <w:r w:rsidRPr="009C28CC">
        <w:rPr>
          <w:b w:val="0"/>
          <w:noProof/>
        </w:rPr>
        <w:t>Abbreviations and explanations</w:t>
      </w:r>
      <w:r w:rsidRPr="009C28CC">
        <w:rPr>
          <w:b w:val="0"/>
          <w:noProof/>
        </w:rPr>
        <w:tab/>
        <w:t>vii</w:t>
      </w:r>
    </w:p>
    <w:p w:rsidR="009C28CC" w:rsidRDefault="009C28CC" w:rsidP="009C28CC">
      <w:pPr>
        <w:pStyle w:val="TOC1"/>
        <w:spacing w:before="360"/>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Key results and policy developments</w:t>
      </w:r>
      <w:r>
        <w:rPr>
          <w:noProof/>
        </w:rPr>
        <w:tab/>
        <w:t>1</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Industry assistance estimates</w:t>
      </w:r>
      <w:r>
        <w:rPr>
          <w:noProof/>
        </w:rPr>
        <w:tab/>
        <w:t>2</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Concessional project financing is playing an increasing role as assistance</w:t>
      </w:r>
      <w:r>
        <w:rPr>
          <w:noProof/>
        </w:rPr>
        <w:tab/>
        <w:t>7</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Rising protectionism: how should Australia respond?</w:t>
      </w:r>
      <w:r>
        <w:rPr>
          <w:noProof/>
        </w:rPr>
        <w:tab/>
        <w:t>8</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sidR="00FB1638" w:rsidRPr="00FC1CDB">
        <w:rPr>
          <w:rFonts w:asciiTheme="minorHAnsi" w:eastAsiaTheme="minorEastAsia" w:hAnsiTheme="minorHAnsi" w:cstheme="minorBidi"/>
          <w:noProof/>
          <w:lang w:eastAsia="en-AU"/>
        </w:rPr>
        <w:t>Some trade and assistance implications of n</w:t>
      </w:r>
      <w:r w:rsidRPr="00FB1638">
        <w:rPr>
          <w:noProof/>
        </w:rPr>
        <w:t>ational security</w:t>
      </w:r>
      <w:r w:rsidR="00FB1638" w:rsidRPr="00FB1638">
        <w:rPr>
          <w:noProof/>
        </w:rPr>
        <w:t xml:space="preserve"> </w:t>
      </w:r>
      <w:r w:rsidR="00FB1638">
        <w:rPr>
          <w:noProof/>
        </w:rPr>
        <w:t>measures</w:t>
      </w:r>
      <w:r>
        <w:rPr>
          <w:noProof/>
        </w:rPr>
        <w:tab/>
        <w:t>16</w:t>
      </w:r>
    </w:p>
    <w:p w:rsidR="009C28CC" w:rsidRDefault="009C28CC" w:rsidP="009C28CC">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Assistance estimates</w:t>
      </w:r>
      <w:r>
        <w:rPr>
          <w:noProof/>
        </w:rPr>
        <w:tab/>
        <w:t>17</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Tariff assistance</w:t>
      </w:r>
      <w:r>
        <w:rPr>
          <w:noProof/>
        </w:rPr>
        <w:tab/>
        <w:t>20</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Australian Government budgetary assistance</w:t>
      </w:r>
      <w:r>
        <w:rPr>
          <w:noProof/>
        </w:rPr>
        <w:tab/>
        <w:t>25</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Combined assistance and effective rates of assistance</w:t>
      </w:r>
      <w:r>
        <w:rPr>
          <w:noProof/>
        </w:rPr>
        <w:tab/>
        <w:t>34</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Effective rates of assistance since 1970</w:t>
      </w:r>
      <w:r>
        <w:rPr>
          <w:noProof/>
        </w:rPr>
        <w:tab/>
        <w:t>39</w:t>
      </w:r>
    </w:p>
    <w:p w:rsidR="009C28CC" w:rsidRDefault="009C28CC" w:rsidP="009C28CC">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National security measures: some trade and assistance implications</w:t>
      </w:r>
      <w:r>
        <w:rPr>
          <w:noProof/>
        </w:rPr>
        <w:tab/>
        <w:t>43</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Industry assistance for mandatory data retention</w:t>
      </w:r>
      <w:r>
        <w:rPr>
          <w:noProof/>
        </w:rPr>
        <w:tab/>
        <w:t>46</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Restrictions on cross</w:t>
      </w:r>
      <w:r>
        <w:rPr>
          <w:noProof/>
        </w:rPr>
        <w:noBreakHyphen/>
        <w:t>border flow of data</w:t>
      </w:r>
      <w:r>
        <w:rPr>
          <w:noProof/>
        </w:rPr>
        <w:tab/>
        <w:t>49</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Aviation security costs</w:t>
      </w:r>
      <w:r>
        <w:rPr>
          <w:noProof/>
        </w:rPr>
        <w:tab/>
        <w:t>53</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Cost recovery of screening for low</w:t>
      </w:r>
      <w:r>
        <w:rPr>
          <w:noProof/>
        </w:rPr>
        <w:noBreakHyphen/>
        <w:t>value consignments</w:t>
      </w:r>
      <w:r>
        <w:rPr>
          <w:noProof/>
        </w:rPr>
        <w:tab/>
        <w:t>59</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Towards better national security policy</w:t>
      </w:r>
      <w:r>
        <w:rPr>
          <w:noProof/>
        </w:rPr>
        <w:tab/>
        <w:t>60</w:t>
      </w:r>
    </w:p>
    <w:p w:rsidR="009C28CC" w:rsidRDefault="009C28CC" w:rsidP="009C28CC">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Recent developments in industry assistance</w:t>
      </w:r>
      <w:r>
        <w:rPr>
          <w:noProof/>
        </w:rPr>
        <w:tab/>
        <w:t>63</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The Northern Australia Infrastructure Facility</w:t>
      </w:r>
      <w:r>
        <w:rPr>
          <w:noProof/>
        </w:rPr>
        <w:tab/>
        <w:t>64</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The Defence Export Strategy</w:t>
      </w:r>
      <w:r>
        <w:rPr>
          <w:noProof/>
        </w:rPr>
        <w:tab/>
        <w:t>65</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A new farm concessional loan scheme and water infrastructure facility</w:t>
      </w:r>
      <w:r>
        <w:rPr>
          <w:noProof/>
        </w:rPr>
        <w:tab/>
        <w:t>67</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Domestic gas security and assistance</w:t>
      </w:r>
      <w:r>
        <w:rPr>
          <w:noProof/>
        </w:rPr>
        <w:tab/>
        <w:t>69</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Lower taxes for small business</w:t>
      </w:r>
      <w:r>
        <w:rPr>
          <w:noProof/>
        </w:rPr>
        <w:tab/>
        <w:t>70</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Film and television industry assistance</w:t>
      </w:r>
      <w:r>
        <w:rPr>
          <w:noProof/>
        </w:rPr>
        <w:tab/>
        <w:t>71</w:t>
      </w:r>
    </w:p>
    <w:p w:rsidR="009C28CC" w:rsidRDefault="009C28CC" w:rsidP="009C28CC">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Trade policy developments</w:t>
      </w:r>
      <w:r>
        <w:rPr>
          <w:noProof/>
        </w:rPr>
        <w:tab/>
        <w:t>73</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Multilateral and plurilateral</w:t>
      </w:r>
      <w:r>
        <w:rPr>
          <w:noProof/>
        </w:rPr>
        <w:noBreakHyphen/>
        <w:t>agreements</w:t>
      </w:r>
      <w:r>
        <w:rPr>
          <w:noProof/>
        </w:rPr>
        <w:tab/>
        <w:t>74</w:t>
      </w:r>
    </w:p>
    <w:p w:rsidR="009C28CC" w:rsidRDefault="009C28CC" w:rsidP="009C28CC">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Bilateral and regional agreements</w:t>
      </w:r>
      <w:r>
        <w:rPr>
          <w:noProof/>
        </w:rPr>
        <w:tab/>
        <w:t>78</w:t>
      </w:r>
    </w:p>
    <w:p w:rsidR="009C28CC" w:rsidRDefault="009C28CC" w:rsidP="009C28CC">
      <w:pPr>
        <w:pStyle w:val="TOC1"/>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Detailed estimates of Australian Government assistance to industry</w:t>
      </w:r>
      <w:r>
        <w:rPr>
          <w:noProof/>
        </w:rPr>
        <w:tab/>
        <w:t>81</w:t>
      </w:r>
    </w:p>
    <w:p w:rsidR="009C28CC" w:rsidRPr="009C28CC" w:rsidRDefault="009C28CC" w:rsidP="009C28CC">
      <w:pPr>
        <w:pStyle w:val="TOC1"/>
        <w:rPr>
          <w:noProof/>
        </w:rPr>
      </w:pPr>
      <w:r>
        <w:rPr>
          <w:noProof/>
        </w:rPr>
        <w:t>References</w:t>
      </w:r>
      <w:r>
        <w:rPr>
          <w:noProof/>
        </w:rPr>
        <w:tab/>
        <w:t>135</w:t>
      </w:r>
    </w:p>
    <w:p w:rsidR="007974DE" w:rsidRPr="009C28CC" w:rsidRDefault="007974DE" w:rsidP="009C28CC">
      <w:pPr>
        <w:pStyle w:val="TOC1"/>
        <w:rPr>
          <w:rFonts w:asciiTheme="minorHAnsi" w:eastAsiaTheme="minorEastAsia" w:hAnsiTheme="minorHAnsi" w:cstheme="minorBidi"/>
          <w:b w:val="0"/>
          <w:noProof/>
          <w:sz w:val="22"/>
          <w:szCs w:val="22"/>
          <w:lang w:eastAsia="en-AU"/>
        </w:rPr>
      </w:pPr>
    </w:p>
    <w:p w:rsidR="007974DE" w:rsidRDefault="007974DE" w:rsidP="007974DE">
      <w:pPr>
        <w:pStyle w:val="BodyText"/>
        <w:sectPr w:rsidR="007974DE" w:rsidSect="009D1112">
          <w:headerReference w:type="even" r:id="rId18"/>
          <w:headerReference w:type="default" r:id="rId19"/>
          <w:footerReference w:type="even" r:id="rId20"/>
          <w:footerReference w:type="default" r:id="rId21"/>
          <w:type w:val="oddPage"/>
          <w:pgSz w:w="11907" w:h="16840" w:code="9"/>
          <w:pgMar w:top="1985" w:right="1304" w:bottom="1247" w:left="1814" w:header="1701" w:footer="397" w:gutter="0"/>
          <w:pgNumType w:fmt="lowerRoman"/>
          <w:cols w:space="720"/>
        </w:sectPr>
      </w:pPr>
    </w:p>
    <w:p w:rsidR="007974DE" w:rsidRDefault="007974DE" w:rsidP="007974DE">
      <w:pPr>
        <w:pStyle w:val="Heading1"/>
      </w:pPr>
      <w:bookmarkStart w:id="11" w:name="Abbreviations"/>
      <w:bookmarkStart w:id="12" w:name="EndContents"/>
      <w:bookmarkStart w:id="13" w:name="RDnote"/>
      <w:bookmarkStart w:id="14" w:name="_Toc510017429"/>
      <w:bookmarkStart w:id="15" w:name="_Toc511736187"/>
      <w:bookmarkStart w:id="16" w:name="_Toc511745356"/>
      <w:bookmarkEnd w:id="11"/>
      <w:bookmarkEnd w:id="12"/>
      <w:bookmarkEnd w:id="13"/>
      <w:r>
        <w:t>Abbreviations and explanations</w:t>
      </w:r>
      <w:bookmarkEnd w:id="14"/>
      <w:bookmarkEnd w:id="15"/>
      <w:bookmarkEnd w:id="16"/>
    </w:p>
    <w:p w:rsidR="007974DE" w:rsidRDefault="007974DE" w:rsidP="007974DE">
      <w:pPr>
        <w:pStyle w:val="Heading2NotTOC"/>
      </w:pPr>
      <w:bookmarkStart w:id="17" w:name="Glossary"/>
      <w:bookmarkEnd w:id="17"/>
      <w:r>
        <w:t>Abbrevia</w:t>
      </w:r>
      <w:r w:rsidRPr="00F85393">
        <w:t>t</w:t>
      </w:r>
      <w:r>
        <w:t>ions</w:t>
      </w:r>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7974DE" w:rsidTr="00C719FB">
        <w:trPr>
          <w:tblHeader/>
        </w:trPr>
        <w:tc>
          <w:tcPr>
            <w:tcW w:w="2410" w:type="dxa"/>
          </w:tcPr>
          <w:p w:rsidR="007974DE" w:rsidRDefault="007974DE" w:rsidP="009D1112">
            <w:pPr>
              <w:pStyle w:val="BodyText"/>
              <w:spacing w:before="120"/>
              <w:ind w:right="6"/>
            </w:pPr>
            <w:r>
              <w:t>ERA</w:t>
            </w:r>
          </w:p>
        </w:tc>
        <w:tc>
          <w:tcPr>
            <w:tcW w:w="6379" w:type="dxa"/>
          </w:tcPr>
          <w:p w:rsidR="007974DE" w:rsidRDefault="007974DE" w:rsidP="009D1112">
            <w:pPr>
              <w:pStyle w:val="BodyText"/>
              <w:spacing w:before="120"/>
              <w:ind w:left="227" w:right="6"/>
            </w:pPr>
            <w:r>
              <w:t>Effective rate of assistance</w:t>
            </w:r>
          </w:p>
        </w:tc>
      </w:tr>
      <w:tr w:rsidR="007974DE" w:rsidTr="009D1112">
        <w:tc>
          <w:tcPr>
            <w:tcW w:w="2410" w:type="dxa"/>
          </w:tcPr>
          <w:p w:rsidR="007974DE" w:rsidRDefault="007974DE" w:rsidP="009D1112">
            <w:pPr>
              <w:pStyle w:val="BodyText"/>
              <w:spacing w:before="120"/>
              <w:ind w:right="6"/>
            </w:pPr>
            <w:r>
              <w:t>GPA</w:t>
            </w:r>
          </w:p>
        </w:tc>
        <w:tc>
          <w:tcPr>
            <w:tcW w:w="6379" w:type="dxa"/>
          </w:tcPr>
          <w:p w:rsidR="007974DE" w:rsidRDefault="007974DE" w:rsidP="009D1112">
            <w:pPr>
              <w:pStyle w:val="BodyText"/>
              <w:spacing w:before="120"/>
              <w:ind w:left="227" w:right="6"/>
            </w:pPr>
            <w:r>
              <w:t>WTO Government Procurement Agreement</w:t>
            </w:r>
          </w:p>
        </w:tc>
      </w:tr>
      <w:tr w:rsidR="007974DE" w:rsidTr="009D1112">
        <w:tc>
          <w:tcPr>
            <w:tcW w:w="2410" w:type="dxa"/>
          </w:tcPr>
          <w:p w:rsidR="007974DE" w:rsidRDefault="007974DE" w:rsidP="009D1112">
            <w:pPr>
              <w:pStyle w:val="BodyText"/>
              <w:spacing w:before="120"/>
              <w:ind w:right="6"/>
            </w:pPr>
            <w:r>
              <w:t>PC</w:t>
            </w:r>
          </w:p>
        </w:tc>
        <w:tc>
          <w:tcPr>
            <w:tcW w:w="6379" w:type="dxa"/>
          </w:tcPr>
          <w:p w:rsidR="007974DE" w:rsidRDefault="007974DE" w:rsidP="009D1112">
            <w:pPr>
              <w:pStyle w:val="BodyText"/>
              <w:spacing w:before="120"/>
              <w:ind w:left="227" w:right="6"/>
            </w:pPr>
            <w:r>
              <w:t>Productivity Commission</w:t>
            </w:r>
          </w:p>
        </w:tc>
      </w:tr>
      <w:tr w:rsidR="007974DE" w:rsidTr="009D1112">
        <w:tc>
          <w:tcPr>
            <w:tcW w:w="2410" w:type="dxa"/>
          </w:tcPr>
          <w:p w:rsidR="007974DE" w:rsidRDefault="007974DE" w:rsidP="009D1112">
            <w:pPr>
              <w:pStyle w:val="BodyText"/>
              <w:spacing w:before="120"/>
              <w:ind w:right="6"/>
            </w:pPr>
            <w:r>
              <w:t>R&amp;D</w:t>
            </w:r>
          </w:p>
        </w:tc>
        <w:tc>
          <w:tcPr>
            <w:tcW w:w="6379" w:type="dxa"/>
          </w:tcPr>
          <w:p w:rsidR="007974DE" w:rsidRDefault="007974DE" w:rsidP="009D1112">
            <w:pPr>
              <w:pStyle w:val="BodyText"/>
              <w:spacing w:before="120"/>
              <w:ind w:left="227" w:right="6"/>
            </w:pPr>
            <w:r>
              <w:t>Research and Development</w:t>
            </w:r>
          </w:p>
        </w:tc>
      </w:tr>
      <w:tr w:rsidR="007974DE" w:rsidTr="009D1112">
        <w:tc>
          <w:tcPr>
            <w:tcW w:w="2410" w:type="dxa"/>
          </w:tcPr>
          <w:p w:rsidR="007974DE" w:rsidRDefault="007974DE" w:rsidP="009D1112">
            <w:pPr>
              <w:pStyle w:val="BodyText"/>
              <w:spacing w:before="120"/>
              <w:ind w:right="6"/>
            </w:pPr>
            <w:r>
              <w:t>TPP</w:t>
            </w:r>
          </w:p>
        </w:tc>
        <w:tc>
          <w:tcPr>
            <w:tcW w:w="6379" w:type="dxa"/>
          </w:tcPr>
          <w:p w:rsidR="007974DE" w:rsidRDefault="007974DE" w:rsidP="009D1112">
            <w:pPr>
              <w:pStyle w:val="BodyText"/>
              <w:spacing w:before="120"/>
              <w:ind w:left="227" w:right="6"/>
            </w:pPr>
            <w:r>
              <w:t>Trans Pacific Partnership</w:t>
            </w:r>
          </w:p>
        </w:tc>
      </w:tr>
      <w:tr w:rsidR="007974DE" w:rsidTr="009D1112">
        <w:tc>
          <w:tcPr>
            <w:tcW w:w="2410" w:type="dxa"/>
          </w:tcPr>
          <w:p w:rsidR="007974DE" w:rsidRDefault="007974DE" w:rsidP="009D1112">
            <w:pPr>
              <w:pStyle w:val="BodyText"/>
              <w:spacing w:before="120"/>
              <w:ind w:right="6"/>
            </w:pPr>
            <w:r>
              <w:t>WTO</w:t>
            </w:r>
          </w:p>
        </w:tc>
        <w:tc>
          <w:tcPr>
            <w:tcW w:w="6379" w:type="dxa"/>
          </w:tcPr>
          <w:p w:rsidR="007974DE" w:rsidRDefault="007974DE" w:rsidP="009D1112">
            <w:pPr>
              <w:pStyle w:val="BodyText"/>
              <w:spacing w:before="120"/>
              <w:ind w:left="227" w:right="6"/>
            </w:pPr>
            <w:r>
              <w:t>World Trade Organization</w:t>
            </w:r>
          </w:p>
        </w:tc>
      </w:tr>
    </w:tbl>
    <w:p w:rsidR="007974DE" w:rsidRDefault="007974DE" w:rsidP="007974DE">
      <w:pPr>
        <w:pStyle w:val="Heading2NotTOC"/>
      </w:pPr>
      <w:r>
        <w:t>Explanations</w:t>
      </w:r>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7974DE" w:rsidTr="00C719FB">
        <w:trPr>
          <w:tblHeader/>
        </w:trPr>
        <w:tc>
          <w:tcPr>
            <w:tcW w:w="2410" w:type="dxa"/>
          </w:tcPr>
          <w:p w:rsidR="007974DE" w:rsidRDefault="007974DE" w:rsidP="009D1112">
            <w:pPr>
              <w:pStyle w:val="BodyText"/>
              <w:spacing w:before="120"/>
              <w:ind w:right="6"/>
            </w:pPr>
            <w:r>
              <w:t>Billion</w:t>
            </w:r>
          </w:p>
        </w:tc>
        <w:tc>
          <w:tcPr>
            <w:tcW w:w="6379" w:type="dxa"/>
          </w:tcPr>
          <w:p w:rsidR="007974DE" w:rsidRDefault="007974DE" w:rsidP="009D1112">
            <w:pPr>
              <w:pStyle w:val="BodyText"/>
              <w:spacing w:before="120"/>
              <w:ind w:left="227" w:right="6"/>
            </w:pPr>
            <w:r>
              <w:t>The convention used for a billion is a thousand million (10</w:t>
            </w:r>
            <w:r>
              <w:rPr>
                <w:position w:val="6"/>
                <w:sz w:val="22"/>
              </w:rPr>
              <w:t>9</w:t>
            </w:r>
            <w:r>
              <w:t>).</w:t>
            </w:r>
          </w:p>
        </w:tc>
      </w:tr>
    </w:tbl>
    <w:p w:rsidR="007974DE" w:rsidRDefault="007974DE" w:rsidP="007974DE">
      <w:pPr>
        <w:pStyle w:val="BodyText"/>
        <w:sectPr w:rsidR="007974DE" w:rsidSect="009D1112">
          <w:headerReference w:type="even" r:id="rId22"/>
          <w:headerReference w:type="default" r:id="rId23"/>
          <w:footerReference w:type="even" r:id="rId24"/>
          <w:footerReference w:type="default" r:id="rId25"/>
          <w:pgSz w:w="11907" w:h="16840" w:code="9"/>
          <w:pgMar w:top="1332" w:right="1304" w:bottom="1247" w:left="1814" w:header="1701" w:footer="397" w:gutter="0"/>
          <w:pgNumType w:fmt="lowerRoman"/>
          <w:cols w:space="720"/>
        </w:sectPr>
      </w:pPr>
    </w:p>
    <w:p w:rsidR="00745FEA" w:rsidRDefault="00745FEA" w:rsidP="00C719FB">
      <w:pPr>
        <w:pStyle w:val="Heading1"/>
      </w:pPr>
      <w:bookmarkStart w:id="18" w:name="_Toc511745357"/>
      <w:r>
        <w:t>1</w:t>
      </w:r>
      <w:bookmarkEnd w:id="2"/>
      <w:r>
        <w:tab/>
      </w:r>
      <w:bookmarkStart w:id="19" w:name="ChapterTitle"/>
      <w:r>
        <w:t>Key results and policy developments</w:t>
      </w:r>
      <w:bookmarkEnd w:id="18"/>
      <w:bookmarkEnd w:id="19"/>
    </w:p>
    <w:p w:rsidR="00745FEA" w:rsidRDefault="00745FEA">
      <w:pPr>
        <w:pStyle w:val="BoxSpaceAbove"/>
      </w:pPr>
      <w:bookmarkStart w:id="20" w:name="begin"/>
      <w:bookmarkEnd w:id="2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Pr="00B5329A" w:rsidRDefault="00745FEA" w:rsidP="00745FEA">
            <w:pPr>
              <w:pStyle w:val="BoxTitle"/>
            </w:pPr>
            <w:r w:rsidRPr="00B5329A">
              <w:t>Key points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ListBullet"/>
            </w:pPr>
            <w:r>
              <w:t>Global trade policy appears to be at dangerous cross</w:t>
            </w:r>
            <w:r>
              <w:noBreakHyphen/>
              <w:t xml:space="preserve">roads. </w:t>
            </w:r>
          </w:p>
          <w:p w:rsidR="00745FEA" w:rsidRDefault="00745FEA" w:rsidP="00745FEA">
            <w:pPr>
              <w:pStyle w:val="BoxListBullet"/>
            </w:pPr>
            <w:r>
              <w:t xml:space="preserve">The US, having long led the drive to liberal world trade with positive effects on growth for almost all nations, is now moving to exploit its leverage to favour domestic industries. </w:t>
            </w:r>
          </w:p>
          <w:p w:rsidR="00745FEA" w:rsidRDefault="00745FEA" w:rsidP="00745FEA">
            <w:pPr>
              <w:pStyle w:val="BoxListBullet"/>
            </w:pPr>
            <w:r>
              <w:t>New tariffs have been introduced and trade agreements are being renegotiated on less liberal terms. What was for two generations a question only of whether international trade grew slower or faster now must include the prospect that regulation may force it backwards.</w:t>
            </w:r>
          </w:p>
          <w:p w:rsidR="00745FEA" w:rsidRDefault="00745FEA" w:rsidP="00745FEA">
            <w:pPr>
              <w:pStyle w:val="BoxListBullet"/>
            </w:pPr>
            <w:r>
              <w:t>Trade wars may be easy to initiate but winning is improbable, unless the benchmark is solely crude politics. Employment and living standards should form part of the calculation.</w:t>
            </w:r>
          </w:p>
          <w:p w:rsidR="00745FEA" w:rsidRDefault="00745FEA" w:rsidP="00745FEA">
            <w:pPr>
              <w:pStyle w:val="BoxListBullet"/>
            </w:pPr>
            <w:r>
              <w:t xml:space="preserve">The Productivity Commission published estimates in 2017 of the damage that such initiatives impose on both the initiator and the rest of the world. These costs are serious. </w:t>
            </w:r>
          </w:p>
          <w:p w:rsidR="00745FEA" w:rsidRDefault="00745FEA" w:rsidP="00745FEA">
            <w:pPr>
              <w:pStyle w:val="BoxListBullet"/>
            </w:pPr>
            <w:r>
              <w:t>The ability to resist this trend lies with major trading nations. Australia can still be an effective partner for growth and living standard improvement locally and globally by:</w:t>
            </w:r>
          </w:p>
          <w:p w:rsidR="00745FEA" w:rsidRDefault="00745FEA" w:rsidP="00745FEA">
            <w:pPr>
              <w:pStyle w:val="BoxListBullet2"/>
            </w:pPr>
            <w:r>
              <w:t xml:space="preserve">negotiation of genuinely multilateral and plurilateral trade agreements </w:t>
            </w:r>
          </w:p>
          <w:p w:rsidR="00745FEA" w:rsidRDefault="00745FEA" w:rsidP="00745FEA">
            <w:pPr>
              <w:pStyle w:val="BoxListBullet2"/>
            </w:pPr>
            <w:r>
              <w:t>reducing further our tariff and non</w:t>
            </w:r>
            <w:r>
              <w:noBreakHyphen/>
              <w:t xml:space="preserve">tariff barriers unilaterally </w:t>
            </w:r>
          </w:p>
          <w:p w:rsidR="00745FEA" w:rsidRDefault="00745FEA" w:rsidP="00745FEA">
            <w:pPr>
              <w:pStyle w:val="BoxListBullet2"/>
            </w:pPr>
            <w:r>
              <w:t>not adding further to the ‘noodle bowl’ of rules</w:t>
            </w:r>
            <w:r>
              <w:noBreakHyphen/>
              <w:t>of</w:t>
            </w:r>
            <w:r>
              <w:noBreakHyphen/>
              <w:t xml:space="preserve">origin impediments to trade </w:t>
            </w:r>
          </w:p>
          <w:p w:rsidR="00745FEA" w:rsidRDefault="00745FEA" w:rsidP="00745FEA">
            <w:pPr>
              <w:pStyle w:val="BoxListBullet2"/>
            </w:pPr>
            <w:r>
              <w:t>ceasing to view the anti</w:t>
            </w:r>
            <w:r>
              <w:noBreakHyphen/>
              <w:t>dumping regime as a cheap card to play every time an industry claims to be threatened by imports</w:t>
            </w:r>
          </w:p>
          <w:p w:rsidR="00745FEA" w:rsidRDefault="00745FEA" w:rsidP="00745FEA">
            <w:pPr>
              <w:pStyle w:val="BoxListBullet2"/>
            </w:pPr>
            <w:r>
              <w:t>removing parallel import restrictions.</w:t>
            </w:r>
          </w:p>
          <w:p w:rsidR="00745FEA" w:rsidRDefault="00745FEA" w:rsidP="00745FEA">
            <w:pPr>
              <w:pStyle w:val="BoxListBullet"/>
            </w:pPr>
            <w:r>
              <w:t xml:space="preserve">An open trade policy has contributed clearly to making our economy resilient to shocks over more than 25 years of uninterrupted growth. </w:t>
            </w:r>
          </w:p>
          <w:p w:rsidR="00745FEA" w:rsidRDefault="00745FEA" w:rsidP="00745FEA">
            <w:pPr>
              <w:pStyle w:val="BoxListBullet"/>
            </w:pPr>
            <w:r>
              <w:t>Australia’s recent policy steps have been inconsistent and in many cases heading in the wrong direction.</w:t>
            </w:r>
          </w:p>
          <w:p w:rsidR="00745FEA" w:rsidRDefault="00745FEA" w:rsidP="00745FEA">
            <w:pPr>
              <w:pStyle w:val="BoxListBullet"/>
            </w:pPr>
            <w:r>
              <w:t xml:space="preserve">New project finance vehicles have been established that have the potential to skew industry assistance to particular firms and projects with minimal public scrutiny until deals are done. Major shifts in tax </w:t>
            </w:r>
            <w:r w:rsidR="00E42614">
              <w:t xml:space="preserve">have </w:t>
            </w:r>
            <w:r>
              <w:t>favour</w:t>
            </w:r>
            <w:r w:rsidR="00E42614">
              <w:t>ed</w:t>
            </w:r>
            <w:r>
              <w:t xml:space="preserve"> a particular cohort of businesses. Bilateral trade agreements continue to be negotiated without publishing sound prior analysis to show where net benefit to Australia is being sought</w:t>
            </w:r>
            <w:r w:rsidR="00E42614">
              <w:t xml:space="preserve"> </w:t>
            </w:r>
            <w:r w:rsidR="002D62C5">
              <w:t>or</w:t>
            </w:r>
            <w:r w:rsidR="00BD4915">
              <w:t xml:space="preserve"> </w:t>
            </w:r>
            <w:r w:rsidR="002D62C5">
              <w:t>to</w:t>
            </w:r>
            <w:r>
              <w:t xml:space="preserve"> allow the Parliament to see if these objectives have been met. Opaque processes rarely make good policy.</w:t>
            </w:r>
          </w:p>
          <w:p w:rsidR="00745FEA" w:rsidRDefault="00822F3A" w:rsidP="00822F3A">
            <w:pPr>
              <w:pStyle w:val="BoxListBullet"/>
            </w:pPr>
            <w:r w:rsidRPr="00822F3A">
              <w:t>The Commission estimates that gross assistance to industry provided by the Australian Government was $19.3 billion and that net assistance (after deducting the cost penalty of tariffs) was $13.4 billion in 2016 17.</w:t>
            </w:r>
            <w:r w:rsidR="002D62C5">
              <w:t xml:space="preserve"> This was</w:t>
            </w:r>
            <w:r w:rsidR="00745FEA">
              <w:t xml:space="preserve"> a substantial increase on last year’s estimate of $9.7</w:t>
            </w:r>
            <w:r w:rsidR="00FC1CDB">
              <w:t> </w:t>
            </w:r>
            <w:r w:rsidR="00745FEA">
              <w:t>billio</w:t>
            </w:r>
            <w:r w:rsidR="0066331F">
              <w:t>n in net assistance</w:t>
            </w:r>
            <w:r w:rsidR="00745FEA">
              <w:t xml:space="preserve">. These estimates are conservative as they exclude </w:t>
            </w:r>
            <w:r w:rsidR="00E42614">
              <w:t xml:space="preserve">harder-to-quantify </w:t>
            </w:r>
            <w:r w:rsidR="00745FEA">
              <w:t xml:space="preserve">assistance: favourable finance (loans, debt, equity, guarantees); local purchasing preferences, such as for defence equipment; and regulatory restrictions on competition. </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2"/>
      </w:pPr>
      <w:bookmarkStart w:id="21" w:name="_Toc511745358"/>
      <w:r>
        <w:t>1.</w:t>
      </w:r>
      <w:r>
        <w:rPr>
          <w:noProof/>
        </w:rPr>
        <w:t>1</w:t>
      </w:r>
      <w:r>
        <w:tab/>
        <w:t>Industry assistance estimates</w:t>
      </w:r>
      <w:bookmarkEnd w:id="21"/>
    </w:p>
    <w:p w:rsidR="00745FEA" w:rsidRDefault="0066331F" w:rsidP="00745FEA">
      <w:pPr>
        <w:pStyle w:val="BodyText"/>
      </w:pPr>
      <w:r>
        <w:t>The</w:t>
      </w:r>
      <w:r w:rsidR="00745FEA">
        <w:t xml:space="preserve"> Productivity Commission</w:t>
      </w:r>
      <w:r>
        <w:t xml:space="preserve"> </w:t>
      </w:r>
      <w:r w:rsidR="00BD4915">
        <w:t>has a statutory obligation</w:t>
      </w:r>
      <w:r>
        <w:t xml:space="preserve"> to</w:t>
      </w:r>
      <w:r w:rsidR="00745FEA">
        <w:t xml:space="preserve"> re</w:t>
      </w:r>
      <w:r w:rsidR="00E42614">
        <w:t>port on</w:t>
      </w:r>
      <w:r w:rsidR="00745FEA">
        <w:t xml:space="preserve"> industry assistance arrangements </w:t>
      </w:r>
      <w:r>
        <w:t>each year</w:t>
      </w:r>
      <w:r w:rsidR="00745FEA">
        <w:t xml:space="preserve">. The </w:t>
      </w:r>
      <w:r w:rsidR="00745FEA" w:rsidRPr="00F11C2F">
        <w:rPr>
          <w:i/>
        </w:rPr>
        <w:t>Productivity Commission Act 1998</w:t>
      </w:r>
      <w:r w:rsidR="00745FEA">
        <w:t xml:space="preserve"> defines government assistance to industry as: </w:t>
      </w:r>
    </w:p>
    <w:p w:rsidR="00745FEA" w:rsidRDefault="00745FEA" w:rsidP="00745FEA">
      <w:pPr>
        <w:pStyle w:val="Quote"/>
      </w:pPr>
      <w:r>
        <w:t xml:space="preserve">… any act that, directly or indirectly: assists a person to carry on a business or activity; or confers a pecuniary benefit on, or results in a pecuniary benefit to, a person in respect of carrying on a business or activity. </w:t>
      </w:r>
    </w:p>
    <w:p w:rsidR="00745FEA" w:rsidRDefault="00745FEA" w:rsidP="00745FEA">
      <w:pPr>
        <w:pStyle w:val="BodyText"/>
      </w:pPr>
      <w:r>
        <w:t xml:space="preserve">Assistance takes many forms. It extends beyond direct government subsidies to particular firms or industries and includes tariffs, quotas, regulatory restrictions on imported goods and services and tax concessions. Assistance can also arise from the provision of services below cost by government agencies, from government procurement policies and preferential treatment under trade agreements. </w:t>
      </w:r>
    </w:p>
    <w:p w:rsidR="00745FEA" w:rsidRDefault="00745FEA" w:rsidP="00745FEA">
      <w:pPr>
        <w:pStyle w:val="BodyText"/>
      </w:pPr>
      <w:r>
        <w:t xml:space="preserve">Although assistance benefits the firms or industries that receive it, it typically imposes costs on other sectors of the economy. For example, direct business subsidies increase returns to recipient firms and industries. However, to fund the subsidies, governments must increase taxes and charges, cut back on other spending, or borrow additional funds. Funding provided to a single firm also discriminates against its competitors. </w:t>
      </w:r>
    </w:p>
    <w:p w:rsidR="00745FEA" w:rsidRDefault="00745FEA" w:rsidP="00745FEA">
      <w:pPr>
        <w:pStyle w:val="BodyText"/>
      </w:pPr>
      <w:r>
        <w:t xml:space="preserve">Similarly, while tariffs provide some price support to domestic goods producers, they result in higher input costs for other local businesses, reducing their competitiveness. They also effectively tax consumers by imposing higher prices on the goods subject to the tariff, leaving them with less money to spend on other goods and services. </w:t>
      </w:r>
    </w:p>
    <w:p w:rsidR="00745FEA" w:rsidRDefault="00745FEA" w:rsidP="00745FEA">
      <w:pPr>
        <w:pStyle w:val="BodyText"/>
      </w:pPr>
      <w:r>
        <w:t>Governments provide assistance for many different reasons. Some types of assistance — such as for R&amp;D and to meet environmental objectives — can overcome market failure and deliver net community benefits. Similarly, some policies that have industry assistance effects may be justified on other grounds, such as the achievement of social or equity objectives. However, the way in which such assistance is provided requires transparent and rigorous assessment to minimise its unintended impacts on resource allocation.</w:t>
      </w:r>
    </w:p>
    <w:p w:rsidR="00745FEA" w:rsidRPr="008E3197" w:rsidRDefault="00745FEA" w:rsidP="00745FEA">
      <w:pPr>
        <w:spacing w:before="240" w:line="320" w:lineRule="atLeast"/>
        <w:jc w:val="both"/>
      </w:pPr>
      <w:r w:rsidRPr="008E3197">
        <w:t xml:space="preserve">In view of the costs, as well as the potential benefits, that industry assistance can entail, government measures that provide assistance need to be monitored and regularly reviewed. To that end, the annual </w:t>
      </w:r>
      <w:r w:rsidRPr="008E3197">
        <w:rPr>
          <w:i/>
        </w:rPr>
        <w:t>Trade &amp; Assistance Review</w:t>
      </w:r>
      <w:r w:rsidRPr="008E3197">
        <w:t xml:space="preserve"> fulfils a transparency function of identifying existing government assistance and contemporary assistance issues, and allowing closer examination to be made when it is not obvious why such costs are being incurred. </w:t>
      </w:r>
    </w:p>
    <w:p w:rsidR="00745FEA" w:rsidRPr="008E3197" w:rsidRDefault="00745FEA" w:rsidP="00745FEA">
      <w:pPr>
        <w:spacing w:before="240" w:line="320" w:lineRule="atLeast"/>
        <w:jc w:val="both"/>
      </w:pPr>
      <w:r>
        <w:t xml:space="preserve">The </w:t>
      </w:r>
      <w:r w:rsidRPr="008E3197">
        <w:rPr>
          <w:i/>
        </w:rPr>
        <w:t xml:space="preserve">Trade </w:t>
      </w:r>
      <w:r>
        <w:rPr>
          <w:i/>
        </w:rPr>
        <w:t xml:space="preserve">and </w:t>
      </w:r>
      <w:r w:rsidRPr="008E3197">
        <w:rPr>
          <w:i/>
        </w:rPr>
        <w:t>Assistance Review</w:t>
      </w:r>
      <w:r>
        <w:t xml:space="preserve"> quantifies the a</w:t>
      </w:r>
      <w:r w:rsidRPr="008E3197">
        <w:t>ssistance afforded by tariffs</w:t>
      </w:r>
      <w:r>
        <w:t>, direct government payments</w:t>
      </w:r>
      <w:r w:rsidRPr="008E3197">
        <w:t xml:space="preserve"> and taxation concessions with industry policy objectives. </w:t>
      </w:r>
      <w:r>
        <w:t>The Commission and its predecessor organisations have estimated effective rates of industry assistance since 1968</w:t>
      </w:r>
      <w:r>
        <w:noBreakHyphen/>
        <w:t>69. Budgetary assistance was incorporated into the effective rates of assistance estimates from 1996</w:t>
      </w:r>
      <w:r>
        <w:noBreakHyphen/>
        <w:t xml:space="preserve">97. </w:t>
      </w:r>
      <w:r w:rsidRPr="008E3197">
        <w:t xml:space="preserve">While these estimates cover a broad range of measures that afford substantive support to industry and that can be readily quantified on a consistent basis annually, the estimates do not capture all Australian Government support for industry, nor State government assistance. They are therefore an underestimate of the total support to industry provided by government. </w:t>
      </w:r>
    </w:p>
    <w:p w:rsidR="00745FEA" w:rsidRDefault="00745FEA" w:rsidP="00745FEA">
      <w:pPr>
        <w:pStyle w:val="Heading3"/>
      </w:pPr>
      <w:r>
        <w:t>Total assistance was $19.3 billion in 2016</w:t>
      </w:r>
      <w:r>
        <w:noBreakHyphen/>
        <w:t>17, significantly higher than 2015</w:t>
      </w:r>
      <w:r>
        <w:noBreakHyphen/>
        <w:t>16</w:t>
      </w:r>
    </w:p>
    <w:p w:rsidR="00745FEA" w:rsidRDefault="00745FEA" w:rsidP="00745FEA">
      <w:pPr>
        <w:pStyle w:val="BodyText"/>
      </w:pPr>
      <w:r>
        <w:t>Readily distinguishable and quantified tariff and budgetary assistance to industry was around $19.3 billion in gross terms in 2016</w:t>
      </w:r>
      <w:r>
        <w:noBreakHyphen/>
        <w:t xml:space="preserve">17 — comprising $6.8 billion in gross tariff assistance, $5.3 billion of budgetary outlays, and $7.2 billion in tax concessions (figure 1.1, top panel). In these calculations, the tariff assistance estimate is the equivalent budget outlay to the industry that would be expected to have the same effect on Australian producer’s prices and volumes of production, rather than the amount of duty collected. </w:t>
      </w:r>
    </w:p>
    <w:p w:rsidR="00745FEA" w:rsidRDefault="00745FEA" w:rsidP="00745FEA">
      <w:pPr>
        <w:pStyle w:val="BodyText"/>
      </w:pPr>
      <w:r>
        <w:t>Estimated gross assistance increased by around $3.7 billion from 2015</w:t>
      </w:r>
      <w:r>
        <w:noBreakHyphen/>
        <w:t xml:space="preserve">16 or around 24 per cent in nominal terms (around 20 per cent in real terms). The increase primarily reflected taxation and depreciation concessions targeted at small businesses. </w:t>
      </w:r>
    </w:p>
    <w:p w:rsidR="00745FEA" w:rsidRDefault="00745FEA" w:rsidP="00745FEA">
      <w:pPr>
        <w:pStyle w:val="BodyText"/>
      </w:pPr>
      <w:r>
        <w:t>After allowing for the negative effects of tariff assistance on the cost of inputs (the input tariff penalty), total estimated net combined assistance amounted to around $13.4 billion in 2016</w:t>
      </w:r>
      <w:r>
        <w:noBreakHyphen/>
        <w:t>17, an increase of $3.6 billion in nominal terms (37 per cent) from 2015</w:t>
      </w:r>
      <w:r>
        <w:noBreakHyphen/>
        <w:t xml:space="preserve">16 levels (figure 1.1, bottom panel). </w:t>
      </w:r>
    </w:p>
    <w:p w:rsidR="00745FEA" w:rsidRDefault="00745FEA" w:rsidP="00745FEA">
      <w:pPr>
        <w:pStyle w:val="BodyText"/>
      </w:pPr>
      <w:r>
        <w:t xml:space="preserve">Around 35 per cent of the $19.3 billion is tariff assistance, which, as noted above, has negative impacts on consumers and Australian living standards, and does not increase overall employment. </w:t>
      </w:r>
    </w:p>
    <w:p w:rsidR="00745FEA" w:rsidRDefault="00745FEA" w:rsidP="00745FEA">
      <w:pPr>
        <w:pStyle w:val="BodyText"/>
      </w:pPr>
      <w:r>
        <w:t>The remainder of the $19.3 billion is budgetary assistance, which, while costly to the budget, is not inherently distortionary. As noted above, measures targeted at potential market failures (such as in R&amp;D) and that genuinely induces ‘additional’ activity may deliver net benefits, including to industries beyond those directly assisted. However, some budgetary assistance has adverse economic impacts, such as non–competitive grants to a single firm or narrowly defined industry, which competes with firms outside this industry.</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1.</w:t>
            </w:r>
            <w:r>
              <w:rPr>
                <w:b w:val="0"/>
                <w:noProof/>
              </w:rPr>
              <w:t>1</w:t>
            </w:r>
            <w:r>
              <w:tab/>
              <w:t>Aggregate estimates of measureable assistance, 2011</w:t>
            </w:r>
            <w:r>
              <w:noBreakHyphen/>
              <w:t>12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C81809" w:rsidRDefault="00745FEA" w:rsidP="00745FEA">
            <w:pPr>
              <w:pStyle w:val="Figure"/>
              <w:spacing w:before="60" w:after="60"/>
              <w:rPr>
                <w:rFonts w:ascii="Arial" w:hAnsi="Arial" w:cs="Arial"/>
                <w:i/>
                <w:noProof/>
                <w:sz w:val="18"/>
                <w:szCs w:val="18"/>
              </w:rPr>
            </w:pPr>
            <w:r w:rsidRPr="00C81809">
              <w:rPr>
                <w:rFonts w:ascii="Arial" w:hAnsi="Arial" w:cs="Arial"/>
                <w:i/>
                <w:noProof/>
                <w:sz w:val="18"/>
                <w:szCs w:val="18"/>
              </w:rPr>
              <w:t>Gross assistance by component</w:t>
            </w:r>
          </w:p>
        </w:tc>
      </w:tr>
      <w:tr w:rsidR="00745FEA" w:rsidTr="00745FEA">
        <w:tblPrEx>
          <w:tblCellMar>
            <w:left w:w="108" w:type="dxa"/>
            <w:right w:w="108" w:type="dxa"/>
          </w:tblCellMar>
        </w:tblPrEx>
        <w:tc>
          <w:tcPr>
            <w:tcW w:w="5000" w:type="pct"/>
            <w:tcBorders>
              <w:top w:val="nil"/>
              <w:left w:val="nil"/>
              <w:bottom w:val="nil"/>
              <w:right w:val="nil"/>
            </w:tcBorders>
            <w:shd w:val="clear" w:color="auto" w:fill="auto"/>
          </w:tcPr>
          <w:p w:rsidR="00745FEA" w:rsidRPr="00B1465D" w:rsidRDefault="00530FCF" w:rsidP="00745FEA">
            <w:pPr>
              <w:pStyle w:val="Figure"/>
              <w:spacing w:before="0" w:after="0"/>
              <w:rPr>
                <w:rFonts w:ascii="Arial" w:hAnsi="Arial" w:cs="Arial"/>
                <w:sz w:val="18"/>
                <w:szCs w:val="18"/>
              </w:rPr>
            </w:pPr>
            <w:r w:rsidRPr="00530FCF">
              <w:rPr>
                <w:rFonts w:ascii="Arial" w:hAnsi="Arial" w:cs="Arial"/>
                <w:noProof/>
                <w:sz w:val="18"/>
                <w:szCs w:val="18"/>
              </w:rPr>
              <w:drawing>
                <wp:inline distT="0" distB="0" distL="0" distR="0" wp14:anchorId="4E5DF035" wp14:editId="04D50BA8">
                  <wp:extent cx="5400675" cy="3343275"/>
                  <wp:effectExtent l="0" t="0" r="9525" b="9525"/>
                  <wp:docPr id="2" name="Picture 2" descr="This figure has two panels. The top panel shows estimated gross assistance by component. The bottom panel shows the net combined assistance after allowing for the negative effects of the input tariff penalty. The net combined assistance increased by 37 per cent from 2015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675" cy="3343275"/>
                          </a:xfrm>
                          <a:prstGeom prst="rect">
                            <a:avLst/>
                          </a:prstGeom>
                          <a:noFill/>
                          <a:ln>
                            <a:noFill/>
                          </a:ln>
                        </pic:spPr>
                      </pic:pic>
                    </a:graphicData>
                  </a:graphic>
                </wp:inline>
              </w:drawing>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4E19E3" w:rsidRDefault="00745FEA" w:rsidP="00745FEA">
            <w:pPr>
              <w:pStyle w:val="Figure"/>
              <w:spacing w:before="60" w:after="60" w:line="200" w:lineRule="atLeast"/>
              <w:rPr>
                <w:rFonts w:ascii="Arial" w:hAnsi="Arial" w:cs="Arial"/>
                <w:i/>
                <w:sz w:val="18"/>
                <w:szCs w:val="18"/>
              </w:rPr>
            </w:pPr>
            <w:r w:rsidRPr="004E19E3">
              <w:rPr>
                <w:rFonts w:ascii="Arial" w:hAnsi="Arial" w:cs="Arial"/>
                <w:i/>
                <w:sz w:val="18"/>
                <w:szCs w:val="18"/>
              </w:rPr>
              <w:t xml:space="preserve">Net combined assistance </w:t>
            </w:r>
          </w:p>
          <w:p w:rsidR="00745FEA" w:rsidRPr="004E19E3" w:rsidRDefault="00745FEA" w:rsidP="00745FEA">
            <w:pPr>
              <w:pStyle w:val="Figure"/>
              <w:spacing w:before="60" w:after="60" w:line="200" w:lineRule="atLeast"/>
              <w:rPr>
                <w:rFonts w:ascii="Arial" w:hAnsi="Arial" w:cs="Arial"/>
                <w:i/>
                <w:sz w:val="18"/>
                <w:szCs w:val="18"/>
              </w:rPr>
            </w:pPr>
            <w:r w:rsidRPr="004E19E3">
              <w:rPr>
                <w:rFonts w:ascii="Arial" w:hAnsi="Arial" w:cs="Arial"/>
                <w:i/>
                <w:sz w:val="18"/>
                <w:szCs w:val="18"/>
              </w:rPr>
              <w:t>(Gross assistance less tariff penalty on inputs)</w:t>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B1465D" w:rsidRDefault="00403E22" w:rsidP="00745FEA">
            <w:pPr>
              <w:pStyle w:val="Figure"/>
              <w:spacing w:before="0" w:after="0"/>
              <w:rPr>
                <w:rFonts w:ascii="Arial" w:hAnsi="Arial" w:cs="Arial"/>
                <w:sz w:val="18"/>
                <w:szCs w:val="18"/>
              </w:rPr>
            </w:pPr>
            <w:r>
              <w:rPr>
                <w:rFonts w:ascii="Arial" w:hAnsi="Arial" w:cs="Arial"/>
                <w:noProof/>
                <w:sz w:val="18"/>
                <w:szCs w:val="18"/>
              </w:rPr>
              <w:drawing>
                <wp:inline distT="0" distB="0" distL="0" distR="0" wp14:anchorId="7C2CDCCE" wp14:editId="601FD48D">
                  <wp:extent cx="5553710" cy="2606722"/>
                  <wp:effectExtent l="0" t="0" r="8890" b="3175"/>
                  <wp:docPr id="20" name="Picture 20" descr="This figure has two panels. The top panel shows estimated gross assistance by component. The bottom panel shows the net combined assistance after allowing for the negative effects of the input tariff penalty. The net combined assistance increased by 37 per cent from 2015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b="6448"/>
                          <a:stretch/>
                        </pic:blipFill>
                        <pic:spPr bwMode="auto">
                          <a:xfrm>
                            <a:off x="0" y="0"/>
                            <a:ext cx="5553710" cy="26067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3"/>
      </w:pPr>
      <w:r>
        <w:t>Manufacturing receives around 50 per cent of gross and over 60 per cent of net assistance</w:t>
      </w:r>
      <w:r w:rsidRPr="007A3B3E">
        <w:rPr>
          <w:rStyle w:val="FootnoteReference"/>
          <w:rFonts w:ascii="Arial" w:hAnsi="Arial" w:cs="Arial"/>
        </w:rPr>
        <w:footnoteReference w:id="1"/>
      </w:r>
    </w:p>
    <w:p w:rsidR="00745FEA" w:rsidRPr="00072BD4" w:rsidRDefault="00745FEA" w:rsidP="00745FEA">
      <w:pPr>
        <w:pStyle w:val="BodyText"/>
      </w:pPr>
      <w:r w:rsidRPr="00722990">
        <w:t>Manufacturing receives by far the highest net combined assistance by virtue of tariff assistance (figure</w:t>
      </w:r>
      <w:r>
        <w:t> </w:t>
      </w:r>
      <w:r w:rsidRPr="00722990">
        <w:t xml:space="preserve">1.2). The services sector records </w:t>
      </w:r>
      <w:r>
        <w:t xml:space="preserve">much lower </w:t>
      </w:r>
      <w:r w:rsidRPr="00722990">
        <w:t>net assistance, as it incurs about two</w:t>
      </w:r>
      <w:r>
        <w:noBreakHyphen/>
      </w:r>
      <w:r w:rsidRPr="00722990">
        <w:t xml:space="preserve">thirds of the input cost penalty posed </w:t>
      </w:r>
      <w:r w:rsidRPr="000A1FF8">
        <w:rPr>
          <w:color w:val="000000" w:themeColor="text1"/>
        </w:rPr>
        <w:t>by manufacturing tariffs</w:t>
      </w:r>
      <w:r w:rsidRPr="00722990">
        <w:t>.</w:t>
      </w:r>
      <w:r>
        <w:t xml:space="preserv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1.</w:t>
            </w:r>
            <w:r>
              <w:rPr>
                <w:b w:val="0"/>
                <w:noProof/>
              </w:rPr>
              <w:t>2</w:t>
            </w:r>
            <w:r>
              <w:tab/>
              <w:t>The incidence of assistance varies across industries,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7C73AC" w:rsidRDefault="00745FEA" w:rsidP="00745FEA">
            <w:pPr>
              <w:pStyle w:val="Figure"/>
              <w:spacing w:before="60" w:after="60"/>
              <w:rPr>
                <w:rFonts w:ascii="Arial" w:hAnsi="Arial" w:cs="Arial"/>
                <w:noProof/>
                <w:sz w:val="18"/>
                <w:szCs w:val="18"/>
              </w:rPr>
            </w:pPr>
            <w:r w:rsidRPr="003E1FAD">
              <w:rPr>
                <w:rFonts w:ascii="Arial" w:hAnsi="Arial" w:cs="Arial"/>
                <w:i/>
                <w:sz w:val="18"/>
                <w:szCs w:val="18"/>
              </w:rPr>
              <w:t>Components of assistance</w:t>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B1465D" w:rsidRDefault="00403E22" w:rsidP="00745FEA">
            <w:pPr>
              <w:pStyle w:val="Figure"/>
              <w:spacing w:before="0" w:after="0"/>
              <w:rPr>
                <w:rFonts w:ascii="Arial" w:hAnsi="Arial" w:cs="Arial"/>
                <w:sz w:val="18"/>
                <w:szCs w:val="18"/>
              </w:rPr>
            </w:pPr>
            <w:r w:rsidRPr="00403E22">
              <w:rPr>
                <w:rFonts w:ascii="Arial" w:hAnsi="Arial" w:cs="Arial"/>
                <w:noProof/>
                <w:sz w:val="18"/>
                <w:szCs w:val="18"/>
              </w:rPr>
              <w:drawing>
                <wp:inline distT="0" distB="0" distL="0" distR="0" wp14:anchorId="4CFCC8A1" wp14:editId="18A9A780">
                  <wp:extent cx="5213350" cy="2879725"/>
                  <wp:effectExtent l="0" t="0" r="6350" b="0"/>
                  <wp:docPr id="22" name="Picture 22" descr="This figure has two panels. The top panel shows the gross components of assistance, budgetary assistance, output tariff assistance and input tariff penalty, across the primary production, mining, manufacturing and services sectors for 2016 17. The bottom panel shows the net combined assistance across the four sectors for 2016 17. Both panels show that the incidence of assistance varies widely across industries. In 2016 17, manufacturing received the highest net combined assistance, by virtue of tariff assistance. The services sector received the most budgetary assistance but this was partly outweighed by the input tariff pen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3350" cy="2879725"/>
                          </a:xfrm>
                          <a:prstGeom prst="rect">
                            <a:avLst/>
                          </a:prstGeom>
                          <a:noFill/>
                          <a:ln>
                            <a:noFill/>
                          </a:ln>
                        </pic:spPr>
                      </pic:pic>
                    </a:graphicData>
                  </a:graphic>
                </wp:inline>
              </w:drawing>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3E1FAD" w:rsidRDefault="00745FEA" w:rsidP="00745FEA">
            <w:pPr>
              <w:pStyle w:val="Figure"/>
              <w:spacing w:before="60" w:after="60" w:line="200" w:lineRule="atLeast"/>
              <w:rPr>
                <w:rFonts w:ascii="Arial" w:hAnsi="Arial" w:cs="Arial"/>
                <w:i/>
                <w:sz w:val="18"/>
                <w:szCs w:val="18"/>
              </w:rPr>
            </w:pPr>
            <w:r w:rsidRPr="003E1FAD">
              <w:rPr>
                <w:rFonts w:ascii="Arial" w:hAnsi="Arial" w:cs="Arial"/>
                <w:i/>
                <w:sz w:val="18"/>
                <w:szCs w:val="18"/>
              </w:rPr>
              <w:t>Net combined assistance</w:t>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B1465D" w:rsidRDefault="00403E22" w:rsidP="00745FEA">
            <w:pPr>
              <w:pStyle w:val="Figure"/>
              <w:spacing w:before="0" w:after="0"/>
              <w:rPr>
                <w:rFonts w:ascii="Arial" w:hAnsi="Arial" w:cs="Arial"/>
                <w:sz w:val="18"/>
                <w:szCs w:val="18"/>
              </w:rPr>
            </w:pPr>
            <w:r w:rsidRPr="00403E22">
              <w:rPr>
                <w:rFonts w:ascii="Arial" w:hAnsi="Arial" w:cs="Arial"/>
                <w:noProof/>
                <w:sz w:val="18"/>
                <w:szCs w:val="18"/>
              </w:rPr>
              <w:drawing>
                <wp:inline distT="0" distB="0" distL="0" distR="0" wp14:anchorId="56DB854F" wp14:editId="3E95FD1E">
                  <wp:extent cx="5186045" cy="2388235"/>
                  <wp:effectExtent l="0" t="0" r="0" b="0"/>
                  <wp:docPr id="23" name="Picture 23" descr="This figure has two panels. The top panel shows the gross components of assistance, budgetary assistance, output tariff assistance and input tariff penalty, across the primary production, mining, manufacturing and services sectors for 2016 17. The bottom panel shows the net combined assistance across the four sectors for 2016 17. Both panels show that the incidence of assistance varies widely across industries. In 2016 17, manufacturing received the highest net combined assistance, by virtue of tariff assistance. The services sector received the most budgetary assistance but this was partly outweighed by the input tariff pen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6045" cy="2388235"/>
                          </a:xfrm>
                          <a:prstGeom prst="rect">
                            <a:avLst/>
                          </a:prstGeom>
                          <a:noFill/>
                          <a:ln>
                            <a:noFill/>
                          </a:ln>
                        </pic:spPr>
                      </pic:pic>
                    </a:graphicData>
                  </a:graphic>
                </wp:inline>
              </w:drawing>
            </w: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So</w:t>
            </w:r>
            <w:r w:rsidRPr="00784A05">
              <w:rPr>
                <w:i/>
              </w:rPr>
              <w:t>urce</w:t>
            </w:r>
            <w:r w:rsidRPr="00176D3F">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014ABD" w:rsidRDefault="00745FEA" w:rsidP="00745FEA">
      <w:pPr>
        <w:pStyle w:val="Heading3"/>
      </w:pPr>
      <w:r w:rsidRPr="00014ABD">
        <w:t>Support for R&amp;D represents about 3</w:t>
      </w:r>
      <w:r>
        <w:t>6 per cent</w:t>
      </w:r>
      <w:r w:rsidRPr="00014ABD">
        <w:t xml:space="preserve"> of measured budgetary assistance</w:t>
      </w:r>
    </w:p>
    <w:p w:rsidR="00745FEA" w:rsidRDefault="00745FEA" w:rsidP="00120072">
      <w:pPr>
        <w:pStyle w:val="BodyText"/>
      </w:pPr>
      <w:r>
        <w:t>Support for business R&amp;D continues to be one of the largest types of industry assistance delivered through budgetary measures (figure 1.3), representing just under 36 per cent ($4.4 billion) of budgetary assistance. The majority is in the form of the demand</w:t>
      </w:r>
      <w:r>
        <w:noBreakHyphen/>
        <w:t>driven R&amp;D Tax Incentive ($3.3 billion).</w:t>
      </w:r>
      <w:r w:rsidRPr="001907BC">
        <w:rPr>
          <w:rStyle w:val="FootnoteReference"/>
        </w:rPr>
        <w:footnoteReference w:id="2"/>
      </w:r>
      <w:r>
        <w:t xml:space="preserve"> The remainder is mostly outlays for funding of research institutions, including rural research.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1.</w:t>
            </w:r>
            <w:r>
              <w:rPr>
                <w:b w:val="0"/>
                <w:noProof/>
              </w:rPr>
              <w:t>3</w:t>
            </w:r>
            <w:r>
              <w:tab/>
              <w:t>Budgetary assistance by category, 2011</w:t>
            </w:r>
            <w:r>
              <w:noBreakHyphen/>
              <w:t>12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5000" w:type="pct"/>
                  <w:tcBorders>
                    <w:top w:val="nil"/>
                    <w:bottom w:val="nil"/>
                  </w:tcBorders>
                </w:tcPr>
                <w:p w:rsidR="00745FEA" w:rsidRPr="00B1465D" w:rsidRDefault="00403E22" w:rsidP="00745FEA">
                  <w:pPr>
                    <w:pStyle w:val="Figure"/>
                    <w:spacing w:before="0" w:after="0"/>
                    <w:rPr>
                      <w:rFonts w:ascii="Arial" w:hAnsi="Arial" w:cs="Arial"/>
                      <w:sz w:val="18"/>
                      <w:szCs w:val="18"/>
                    </w:rPr>
                  </w:pPr>
                  <w:r w:rsidRPr="00403E22">
                    <w:rPr>
                      <w:rFonts w:ascii="Arial" w:hAnsi="Arial" w:cs="Arial"/>
                      <w:noProof/>
                      <w:sz w:val="18"/>
                      <w:szCs w:val="18"/>
                    </w:rPr>
                    <w:drawing>
                      <wp:inline distT="0" distB="0" distL="0" distR="0" wp14:anchorId="01A06508" wp14:editId="0150936A">
                        <wp:extent cx="5227320" cy="3207385"/>
                        <wp:effectExtent l="0" t="0" r="0" b="0"/>
                        <wp:docPr id="24" name="Picture 24" descr="This figure shows budgetary assistance allocated to targeted activities, expressed in dollar values. Support for small business is the largest type of industry assistance delivered through budgetary measures, representing around 38 per cent of budgetary assistance in 2016 17. Assistance to small businesses is the next most significant category accounting for 36 per cent of budgetary support 2016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27320" cy="3207385"/>
                                </a:xfrm>
                                <a:prstGeom prst="rect">
                                  <a:avLst/>
                                </a:prstGeom>
                                <a:noFill/>
                                <a:ln>
                                  <a:noFill/>
                                </a:ln>
                              </pic:spPr>
                            </pic:pic>
                          </a:graphicData>
                        </a:graphic>
                      </wp:inline>
                    </w:drawing>
                  </w:r>
                </w:p>
              </w:tc>
            </w:tr>
          </w:tbl>
          <w:p w:rsidR="00745FEA" w:rsidRDefault="00745FEA" w:rsidP="00745FEA">
            <w:pPr>
              <w:pStyle w:val="Figure"/>
              <w:spacing w:before="0" w:after="0"/>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Initiatives targeting small business, such as capital gains tax discounts, simplified depreciation rules and lower company tax rates for small businesses, represented around 38 per cent ($4.7 billion) of measured assistance. Industry</w:t>
      </w:r>
      <w:r>
        <w:noBreakHyphen/>
        <w:t>specific assistance, such as a range of selective grants and concessions for the automotive, film, ethanol and finance industries, represents the third largest group of measured assistance.</w:t>
      </w:r>
    </w:p>
    <w:p w:rsidR="00745FEA" w:rsidRDefault="00745FEA" w:rsidP="00745FEA">
      <w:pPr>
        <w:pStyle w:val="BodyText"/>
      </w:pPr>
      <w:r>
        <w:t>Contributing to the $3.6 billion increase in aggregate budgetary assistance from 2015</w:t>
      </w:r>
      <w:r>
        <w:noBreakHyphen/>
        <w:t>16 to 2016</w:t>
      </w:r>
      <w:r>
        <w:noBreakHyphen/>
        <w:t>17 are:</w:t>
      </w:r>
    </w:p>
    <w:p w:rsidR="00745FEA" w:rsidRDefault="00745FEA" w:rsidP="00745FEA">
      <w:pPr>
        <w:pStyle w:val="ListBullet"/>
      </w:pPr>
      <w:r>
        <w:t>an increase of $1.3 billion in assistance afforded by the Small Business Simplified Depreciation Rules – to enable small businesses (with a turnover less than $10 million in 2016</w:t>
      </w:r>
      <w:r>
        <w:noBreakHyphen/>
        <w:t>17; previously $2 million) to access concessional depreciation arrangements for certain business assets</w:t>
      </w:r>
    </w:p>
    <w:p w:rsidR="00745FEA" w:rsidRDefault="00745FEA" w:rsidP="00745FEA">
      <w:pPr>
        <w:pStyle w:val="ListBullet"/>
      </w:pPr>
      <w:r>
        <w:t>an increase of $850 million in assistance afforded by the Lower Company Tax Rate — a rate of 27.5 per cent, accessible for companies with aggregated annual turnover of less than $10 million in 2016</w:t>
      </w:r>
      <w:r>
        <w:noBreakHyphen/>
        <w:t>17 (compared with a rate of 28.5 per cent in 2015</w:t>
      </w:r>
      <w:r>
        <w:noBreakHyphen/>
        <w:t>16 and turnover threshold of $2 million)</w:t>
      </w:r>
    </w:p>
    <w:p w:rsidR="00745FEA" w:rsidRDefault="00745FEA" w:rsidP="00745FEA">
      <w:pPr>
        <w:pStyle w:val="ListBullet"/>
      </w:pPr>
      <w:r>
        <w:t>an increase of $550 million for the Unincorporated Small Business Tax Discount — an 8 per cent discount on tax payable, accessible for unincorporated small businesses with turnover less than $5 million in 2016</w:t>
      </w:r>
      <w:r>
        <w:noBreakHyphen/>
        <w:t>17 (compared with a 5 per cent discount in 2015</w:t>
      </w:r>
      <w:r>
        <w:noBreakHyphen/>
        <w:t>16 and a turnover threshold of $2 million)</w:t>
      </w:r>
    </w:p>
    <w:p w:rsidR="00745FEA" w:rsidRDefault="00745FEA" w:rsidP="00745FEA">
      <w:pPr>
        <w:pStyle w:val="ListBullet"/>
      </w:pPr>
      <w:r>
        <w:t>an increase of $420 million in assistance afforded by the refundable part of the R&amp;D Tax Incentive — which is a tax offset scheme for certain eligible entities whose aggregated annual turnover is less than $20 million</w:t>
      </w:r>
    </w:p>
    <w:p w:rsidR="00745FEA" w:rsidRDefault="00745FEA" w:rsidP="00745FEA">
      <w:pPr>
        <w:pStyle w:val="ListBullet"/>
      </w:pPr>
      <w:r>
        <w:t xml:space="preserve">$120 million in assistance afforded by the newly introduced Data Retention Industry Grants program for </w:t>
      </w:r>
      <w:r w:rsidRPr="00E35766">
        <w:t>eligible telecommunications service providers to meet upfront costs of implementing data retention obligations</w:t>
      </w:r>
      <w:r>
        <w:t xml:space="preserve"> (with the remaining $8 million of outlay occurring in subsequent years)</w:t>
      </w:r>
      <w:r w:rsidRPr="00E35766">
        <w:t>.</w:t>
      </w:r>
      <w:r>
        <w:t xml:space="preserve"> </w:t>
      </w:r>
    </w:p>
    <w:p w:rsidR="00745FEA" w:rsidRDefault="00745FEA" w:rsidP="00745FEA">
      <w:pPr>
        <w:pStyle w:val="BodyText"/>
      </w:pPr>
      <w:r>
        <w:t>Reductions in existing programs and cessations in 2016</w:t>
      </w:r>
      <w:r>
        <w:noBreakHyphen/>
        <w:t>17 totalled $372 million across 47 programs (some demand driven and some by government decision).</w:t>
      </w:r>
    </w:p>
    <w:p w:rsidR="00745FEA" w:rsidRDefault="00745FEA" w:rsidP="00745FEA">
      <w:pPr>
        <w:pStyle w:val="Heading2"/>
      </w:pPr>
      <w:bookmarkStart w:id="22" w:name="_Toc511745359"/>
      <w:r>
        <w:t>1.</w:t>
      </w:r>
      <w:r>
        <w:rPr>
          <w:noProof/>
        </w:rPr>
        <w:t>2</w:t>
      </w:r>
      <w:r>
        <w:tab/>
        <w:t>Concessional project financing is playing an increasing role as assistance</w:t>
      </w:r>
      <w:bookmarkEnd w:id="22"/>
    </w:p>
    <w:p w:rsidR="00745FEA" w:rsidRDefault="00745FEA" w:rsidP="00745FEA">
      <w:pPr>
        <w:pStyle w:val="BodyText"/>
      </w:pPr>
      <w:r>
        <w:t xml:space="preserve">There has been a recent trend towards delivering industry assistance through government finance facilities that extend credit to businesses or provide guarantees for their commercial loans. These include the Northern Australia Infrastructure Facility, the dedicated Defence Export Facility to be delivered through the Export Finance and Insurance Corporation, the </w:t>
      </w:r>
      <w:r w:rsidRPr="00301290">
        <w:t xml:space="preserve">National Water Infrastructure Loan Facility </w:t>
      </w:r>
      <w:r>
        <w:t xml:space="preserve">and a new Farm Business Concessional Loans Scheme (both </w:t>
      </w:r>
      <w:r w:rsidRPr="00301290">
        <w:t>to be delivered through the Regional Investment Corporation</w:t>
      </w:r>
      <w:r>
        <w:t>). Together, these decisions will provide up to $12.8 billion in business finance. The Commission has not analysed their structure and decision</w:t>
      </w:r>
      <w:r>
        <w:noBreakHyphen/>
        <w:t>making processes in detail and has not formed an assessment of each program’s costs and benefits.</w:t>
      </w:r>
    </w:p>
    <w:p w:rsidR="00745FEA" w:rsidRPr="00F67119" w:rsidRDefault="00745FEA" w:rsidP="00745FEA">
      <w:pPr>
        <w:pStyle w:val="BodyText"/>
        <w:rPr>
          <w:spacing w:val="-2"/>
        </w:rPr>
      </w:pPr>
      <w:r w:rsidRPr="00F67119">
        <w:rPr>
          <w:spacing w:val="-2"/>
        </w:rPr>
        <w:t>In general, though, Australia has relatively deep and liquid financial markets. The onus then is on proponents of taxpayer</w:t>
      </w:r>
      <w:r w:rsidRPr="00F67119">
        <w:rPr>
          <w:spacing w:val="-2"/>
        </w:rPr>
        <w:noBreakHyphen/>
        <w:t>funded financing of commercial projects to demonstrate how this would serve the public interest. Even where there is an in</w:t>
      </w:r>
      <w:r w:rsidRPr="00F67119">
        <w:rPr>
          <w:spacing w:val="-2"/>
        </w:rPr>
        <w:noBreakHyphen/>
        <w:t>principle argument for government assistance, proponents should also explain why financing is the best policy option.</w:t>
      </w:r>
      <w:r w:rsidRPr="00F67119" w:rsidDel="003168C4">
        <w:rPr>
          <w:spacing w:val="-2"/>
        </w:rPr>
        <w:t xml:space="preserve"> </w:t>
      </w:r>
    </w:p>
    <w:p w:rsidR="00745FEA" w:rsidRDefault="00745FEA" w:rsidP="00745FEA">
      <w:pPr>
        <w:pStyle w:val="BodyText"/>
      </w:pPr>
      <w:r>
        <w:t>History has not been kind to previous efforts at government financing. For example, the Commission reviewed export credit arrangements in 2012 and found that, at that time, the majority of EFIC’s support was going to a small number of large corporations, for which there was no evidence of systemic failures of commercial loan markets. Similarly, the Commission reviewed drought support in 2008 and found that exceptional circumstance interest</w:t>
      </w:r>
      <w:r>
        <w:noBreakHyphen/>
        <w:t>rate subsidies were ineffective in achieving the stated objective of building farmers’ self</w:t>
      </w:r>
      <w:r>
        <w:noBreakHyphen/>
        <w:t>reliance to manage climate variability and preparedness for droughts, and instead can perversely encourage poor farm management practices. More broadly, the Commission has found that, in many cases where the government becomes a ‘co</w:t>
      </w:r>
      <w:r>
        <w:noBreakHyphen/>
        <w:t>investor,’ the governance and due</w:t>
      </w:r>
      <w:r>
        <w:noBreakHyphen/>
        <w:t xml:space="preserve">diligence fell short of best practice, particularly the merit of government involvement </w:t>
      </w:r>
      <w:r w:rsidRPr="009858A7">
        <w:rPr>
          <w:szCs w:val="24"/>
        </w:rPr>
        <w:t>(PC 2015)</w:t>
      </w:r>
      <w:r>
        <w:t>. The cornerstone of assessing the case for finance support should be a (finance) market failure test underpinned by evidence that financial support would lead to an improvement in community</w:t>
      </w:r>
      <w:r>
        <w:noBreakHyphen/>
        <w:t>wide outcomes (through additionality and viability).</w:t>
      </w:r>
    </w:p>
    <w:p w:rsidR="00745FEA" w:rsidRDefault="00745FEA" w:rsidP="00745FEA">
      <w:pPr>
        <w:pStyle w:val="BodyText"/>
      </w:pPr>
      <w:r>
        <w:t>In the face of past failures in these areas, it will be critical to review the various newly</w:t>
      </w:r>
      <w:r>
        <w:noBreakHyphen/>
        <w:t>introduced financing measures early in their operation to ensure that they genuinely make Australians better off, and that they do not merely benefit project proponents.</w:t>
      </w:r>
    </w:p>
    <w:p w:rsidR="00745FEA" w:rsidRDefault="00745FEA" w:rsidP="00745FEA">
      <w:pPr>
        <w:pStyle w:val="Heading2"/>
      </w:pPr>
      <w:bookmarkStart w:id="23" w:name="_Toc511745360"/>
      <w:r>
        <w:t>1.</w:t>
      </w:r>
      <w:r>
        <w:rPr>
          <w:noProof/>
        </w:rPr>
        <w:t>3</w:t>
      </w:r>
      <w:r>
        <w:tab/>
        <w:t>Rising protectionism: how should Australia respond?</w:t>
      </w:r>
      <w:bookmarkEnd w:id="23"/>
    </w:p>
    <w:p w:rsidR="00745FEA" w:rsidRDefault="00745FEA" w:rsidP="00745FEA">
      <w:pPr>
        <w:pStyle w:val="BodyText"/>
      </w:pPr>
      <w:r>
        <w:t>The foremost current global trade policy issue is the uncertainty created by policy developments in the United States of America (USA). The USA has taken a number of trade policy decisions that are unsupportive of the predictable, liberal and rules</w:t>
      </w:r>
      <w:r>
        <w:noBreakHyphen/>
        <w:t>based world trading system that is in Australia’s interest (section 5.1). These include decisions to:</w:t>
      </w:r>
    </w:p>
    <w:p w:rsidR="00745FEA" w:rsidRDefault="00745FEA" w:rsidP="00745FEA">
      <w:pPr>
        <w:pStyle w:val="ListBullet"/>
      </w:pPr>
      <w:r>
        <w:t>withdraw the USA from the Trans</w:t>
      </w:r>
      <w:r>
        <w:noBreakHyphen/>
        <w:t>Pacific Partnership (TPP)</w:t>
      </w:r>
    </w:p>
    <w:p w:rsidR="00745FEA" w:rsidRDefault="00745FEA" w:rsidP="00745FEA">
      <w:pPr>
        <w:pStyle w:val="ListBullet"/>
      </w:pPr>
      <w:r>
        <w:t>renegotiate the North</w:t>
      </w:r>
      <w:r>
        <w:noBreakHyphen/>
        <w:t>American Free Trade Agreement and the United States</w:t>
      </w:r>
      <w:r>
        <w:noBreakHyphen/>
        <w:t>Korea Free Trade Agreement</w:t>
      </w:r>
    </w:p>
    <w:p w:rsidR="00745FEA" w:rsidRDefault="00745FEA" w:rsidP="00745FEA">
      <w:pPr>
        <w:pStyle w:val="ListBullet"/>
      </w:pPr>
      <w:r>
        <w:t xml:space="preserve">impose tariffs on steel and aluminium imports into the USA from a range of countries, including Russia and China, on the grounds that these imports are considered a threat to US national security </w:t>
      </w:r>
    </w:p>
    <w:p w:rsidR="00745FEA" w:rsidRDefault="00745FEA" w:rsidP="00745FEA">
      <w:pPr>
        <w:pStyle w:val="ListBullet"/>
      </w:pPr>
      <w:r>
        <w:t>impose further tariffs on imports from China citing concerns about intellectual property rights.</w:t>
      </w:r>
    </w:p>
    <w:p w:rsidR="00BD4915" w:rsidRDefault="00BD4915" w:rsidP="00FC1CDB">
      <w:pPr>
        <w:pStyle w:val="BodyText"/>
      </w:pPr>
      <w:r>
        <w:t xml:space="preserve">In this environment, it is hard to predict whether, or not, these steps will lead toward a cycle of tit for tat retaliation that will be detrimental to growth in world trade and international trade liberalisation negotiations. Were this to occur, and to spread further to other countries, it would weaken world economic growth, perhaps severely so. </w:t>
      </w:r>
    </w:p>
    <w:p w:rsidR="00745FEA" w:rsidRPr="00FA3878" w:rsidRDefault="00BD4915" w:rsidP="00FC1CDB">
      <w:pPr>
        <w:pStyle w:val="ListBullet"/>
        <w:numPr>
          <w:ilvl w:val="0"/>
          <w:numId w:val="0"/>
        </w:numPr>
        <w:rPr>
          <w:spacing w:val="-4"/>
        </w:rPr>
      </w:pPr>
      <w:r w:rsidRPr="00FA3878">
        <w:rPr>
          <w:spacing w:val="-4"/>
        </w:rPr>
        <w:t>While these initial US policy changes have already triggered retaliatory action there have also been more positive indications. China has introduced tariffs on US pork, aluminium scrap and a range of agricultural products, but has also indicated a plan to lower investment barriers, reduce tariffs on certain goods (including motor vehicles) and strengthen intellectual property laws. Similarly, some recent US trade policy announcements have suggested opening a dialogue with China</w:t>
      </w:r>
      <w:r w:rsidR="006064A8" w:rsidRPr="006064A8">
        <w:rPr>
          <w:spacing w:val="-4"/>
        </w:rPr>
        <w:t xml:space="preserve">, though its position on the TPP has oscillated. </w:t>
      </w:r>
      <w:r w:rsidRPr="00FA3878">
        <w:rPr>
          <w:spacing w:val="-4"/>
        </w:rPr>
        <w:t xml:space="preserve"> These dramatic changes in direction have occurred in just a few weeks, inviting questions about where policy will ultimately land. Uncertainty can have its own negative impacts on economic growth.</w:t>
      </w:r>
    </w:p>
    <w:p w:rsidR="00745FEA" w:rsidRDefault="00745FEA" w:rsidP="00745FEA">
      <w:pPr>
        <w:pStyle w:val="BodyText"/>
      </w:pPr>
      <w:r>
        <w:t xml:space="preserve">Part of the uncertainty stems from the nature of WTO rules. The WTO members have committed to </w:t>
      </w:r>
      <w:r w:rsidRPr="00BB3663">
        <w:t>operate a non</w:t>
      </w:r>
      <w:r>
        <w:noBreakHyphen/>
      </w:r>
      <w:r w:rsidRPr="00BB3663">
        <w:t xml:space="preserve">discriminatory trading system that </w:t>
      </w:r>
      <w:r>
        <w:t xml:space="preserve">ensures that trade flows between countries </w:t>
      </w:r>
      <w:r w:rsidRPr="00BB3663">
        <w:t>will be treated fairly and consistently</w:t>
      </w:r>
      <w:r>
        <w:t xml:space="preserve">. However, many countries have the capacity to increase tariffs for some products without breaching their WTO commitments. Some currently </w:t>
      </w:r>
      <w:r w:rsidRPr="0090474F">
        <w:rPr>
          <w:i/>
        </w:rPr>
        <w:t>applied</w:t>
      </w:r>
      <w:r>
        <w:t xml:space="preserve"> tariff rates are well below the maximum or </w:t>
      </w:r>
      <w:r w:rsidRPr="0090474F">
        <w:rPr>
          <w:i/>
        </w:rPr>
        <w:t>bound</w:t>
      </w:r>
      <w:r>
        <w:t xml:space="preserve"> tariff rates that they have committed to, and this space (or ‘tariff water’ as it is sometimes called) could facilitate retaliation if nations desire </w:t>
      </w:r>
      <w:r w:rsidRPr="0018555C">
        <w:rPr>
          <w:szCs w:val="24"/>
        </w:rPr>
        <w:t>(Achard, Rupp and Jomini 2008)</w:t>
      </w:r>
      <w:r>
        <w:t>.</w:t>
      </w:r>
    </w:p>
    <w:p w:rsidR="00745FEA" w:rsidRDefault="00745FEA" w:rsidP="00745FEA">
      <w:pPr>
        <w:pStyle w:val="BodyText"/>
      </w:pPr>
      <w:r>
        <w:t xml:space="preserve">How would Australia be affected by any new swing towards protectionism? To answer this question, the Commission undertook modelling looking at the experience of the 1930s when the Great Depression led economies around the world to retreat behind protectionist walls </w:t>
      </w:r>
      <w:r w:rsidRPr="0018555C">
        <w:rPr>
          <w:szCs w:val="24"/>
        </w:rPr>
        <w:t>(PC 2017a)</w:t>
      </w:r>
      <w:r>
        <w:t>. Those policies ultimately contributed to the severity and duration of that era of weak growth and cruelly high unemployment rates. Were a similar policy response to unfold today, Australia would not go unscathed. Over one per cent of GDP would be lost and up to 5 per cent of our capital stock would be mothballed, leading close to 100 000 Australians to lose their jobs. The scenario modelled is the extreme end of probability, but emphasises the importance of Australia continuing to work towards freer markets and to maintain the rules</w:t>
      </w:r>
      <w:r>
        <w:noBreakHyphen/>
        <w:t>based trade system and, through its policy actions, to demonstrate its commitment.</w:t>
      </w:r>
      <w:r w:rsidRPr="00B54568">
        <w:t xml:space="preserve"> </w:t>
      </w:r>
    </w:p>
    <w:p w:rsidR="00745FEA" w:rsidRDefault="00745FEA" w:rsidP="00745FEA">
      <w:pPr>
        <w:pStyle w:val="BodyText"/>
        <w:rPr>
          <w:lang w:val="en-US"/>
        </w:rPr>
      </w:pPr>
      <w:r>
        <w:t xml:space="preserve">In the event of a global rise in protection, Australia is likely to face intense pressure to lift its own barriers to international trade and investment. The Commission’s analysis shows there would be no economic justification to join such a trade war. Rather, </w:t>
      </w:r>
      <w:r w:rsidRPr="00916BD6">
        <w:t xml:space="preserve">Australia </w:t>
      </w:r>
      <w:r>
        <w:t>would still benefit from continuing t</w:t>
      </w:r>
      <w:r w:rsidRPr="00916BD6">
        <w:t>o pursue freer markets and improve the functioning of the rules</w:t>
      </w:r>
      <w:r>
        <w:noBreakHyphen/>
      </w:r>
      <w:r w:rsidRPr="00916BD6">
        <w:t>based international trading system</w:t>
      </w:r>
      <w:r>
        <w:t xml:space="preserve">. This can be pursued through plurilateral negotiations. This is in line with the intent set out in the </w:t>
      </w:r>
      <w:r>
        <w:rPr>
          <w:lang w:val="en-US"/>
        </w:rPr>
        <w:t>Australian Government’s Foreign Policy White Paper to work towards bringing major Indo</w:t>
      </w:r>
      <w:r>
        <w:rPr>
          <w:lang w:val="en-US"/>
        </w:rPr>
        <w:noBreakHyphen/>
        <w:t xml:space="preserve">Pacific economies under a single set of trade and investment rules. </w:t>
      </w:r>
    </w:p>
    <w:p w:rsidR="00745FEA" w:rsidRDefault="00745FEA" w:rsidP="00745FEA">
      <w:pPr>
        <w:pStyle w:val="BodyText"/>
      </w:pPr>
      <w:r>
        <w:t>In international negotiations, Australia will be best served by continuing to work with like</w:t>
      </w:r>
      <w:r>
        <w:noBreakHyphen/>
        <w:t>minded countries to pursue freer markets and improve the functioning of the rules based international trading system by:</w:t>
      </w:r>
    </w:p>
    <w:p w:rsidR="00745FEA" w:rsidRPr="00C668B7" w:rsidRDefault="00745FEA" w:rsidP="00745FEA">
      <w:pPr>
        <w:pStyle w:val="ListBullet"/>
      </w:pPr>
      <w:r w:rsidRPr="00C668B7">
        <w:t>prioritising regional agreements that follow, or work directly towards, WTO ‘most favoured nation’ treatment (under which countries provide equal trade advantages to all their trading partners)</w:t>
      </w:r>
    </w:p>
    <w:p w:rsidR="00745FEA" w:rsidRPr="00C668B7" w:rsidRDefault="00745FEA" w:rsidP="00745FEA">
      <w:pPr>
        <w:pStyle w:val="ListBullet"/>
      </w:pPr>
      <w:r w:rsidRPr="00C668B7">
        <w:t>promoting the greater use of plurilateral sector specific agreements negotiated in the context of the World Trade Organization</w:t>
      </w:r>
    </w:p>
    <w:p w:rsidR="00745FEA" w:rsidRPr="00C668B7" w:rsidRDefault="00745FEA" w:rsidP="00745FEA">
      <w:pPr>
        <w:pStyle w:val="ListBullet"/>
      </w:pPr>
      <w:r w:rsidRPr="00C668B7">
        <w:t xml:space="preserve">pursuing only those </w:t>
      </w:r>
      <w:r>
        <w:t xml:space="preserve">bilateral </w:t>
      </w:r>
      <w:r w:rsidRPr="00C668B7">
        <w:t xml:space="preserve">trade agreements where there is a strong </w:t>
      </w:r>
      <w:r>
        <w:t xml:space="preserve">prior </w:t>
      </w:r>
      <w:r w:rsidRPr="00C668B7">
        <w:t>case that a clear net benefit to Australia will result</w:t>
      </w:r>
    </w:p>
    <w:p w:rsidR="00745FEA" w:rsidRPr="00C668B7" w:rsidRDefault="00745FEA" w:rsidP="00745FEA">
      <w:pPr>
        <w:pStyle w:val="ListBullet"/>
      </w:pPr>
      <w:r w:rsidRPr="00C668B7">
        <w:t>broadening negotiations over agreements to include parties capable of offering critical assessment, not just involving parties seeking an advantage or protecting a constituency</w:t>
      </w:r>
    </w:p>
    <w:p w:rsidR="00745FEA" w:rsidRPr="00FA3878" w:rsidRDefault="00745FEA" w:rsidP="00745FEA">
      <w:pPr>
        <w:pStyle w:val="ListBullet"/>
        <w:rPr>
          <w:spacing w:val="-4"/>
        </w:rPr>
      </w:pPr>
      <w:r w:rsidRPr="00FA3878">
        <w:rPr>
          <w:spacing w:val="-4"/>
        </w:rPr>
        <w:t>adopting better consultation processes in negotiating agreements, including widening the access of stakeholder groups to draft treaty text on a confidential basis during the negotiation</w:t>
      </w:r>
    </w:p>
    <w:p w:rsidR="00745FEA" w:rsidRDefault="00745FEA" w:rsidP="00745FEA">
      <w:pPr>
        <w:pStyle w:val="ListBullet"/>
      </w:pPr>
      <w:r w:rsidRPr="00C668B7">
        <w:t>strengthening Australia’s reputation as an attractive destination for international investors through more consistent, transparent and predictable foreign investment approval processes while preserving our vital national security interests.</w:t>
      </w:r>
    </w:p>
    <w:p w:rsidR="00745FEA" w:rsidRPr="00C668B7" w:rsidRDefault="00745FEA" w:rsidP="00745FE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45FEA" w:rsidTr="00787FAB">
        <w:trPr>
          <w:tblHeader/>
        </w:trPr>
        <w:tc>
          <w:tcPr>
            <w:tcW w:w="8789" w:type="dxa"/>
            <w:tcBorders>
              <w:top w:val="single" w:sz="6" w:space="0" w:color="78A22F"/>
              <w:left w:val="nil"/>
              <w:bottom w:val="nil"/>
              <w:right w:val="nil"/>
            </w:tcBorders>
            <w:shd w:val="clear" w:color="auto" w:fill="F2F2F2"/>
          </w:tcPr>
          <w:p w:rsidR="00745FEA" w:rsidRDefault="00745FEA" w:rsidP="00FA3878">
            <w:pPr>
              <w:pStyle w:val="BoxTitle"/>
              <w:keepNext w:val="0"/>
              <w:keepLines w:val="0"/>
            </w:pPr>
            <w:r>
              <w:rPr>
                <w:b w:val="0"/>
              </w:rPr>
              <w:t>Box 1.</w:t>
            </w:r>
            <w:r>
              <w:rPr>
                <w:b w:val="0"/>
                <w:noProof/>
              </w:rPr>
              <w:t>1</w:t>
            </w:r>
            <w:r>
              <w:tab/>
              <w:t>Raising tariffs would harm Australia; benefits lie in liberalising</w:t>
            </w:r>
          </w:p>
        </w:tc>
      </w:tr>
      <w:tr w:rsidR="00745FEA" w:rsidTr="00745FEA">
        <w:tc>
          <w:tcPr>
            <w:tcW w:w="8789" w:type="dxa"/>
            <w:tcBorders>
              <w:top w:val="nil"/>
              <w:left w:val="nil"/>
              <w:bottom w:val="nil"/>
              <w:right w:val="nil"/>
            </w:tcBorders>
            <w:shd w:val="clear" w:color="auto" w:fill="F2F2F2"/>
          </w:tcPr>
          <w:p w:rsidR="00745FEA" w:rsidRDefault="00745FEA" w:rsidP="00FA3878">
            <w:pPr>
              <w:pStyle w:val="Box"/>
              <w:keepNext w:val="0"/>
              <w:rPr>
                <w:spacing w:val="-2"/>
              </w:rPr>
            </w:pPr>
            <w:r>
              <w:t xml:space="preserve">To illustrate the </w:t>
            </w:r>
            <w:r>
              <w:rPr>
                <w:spacing w:val="-2"/>
              </w:rPr>
              <w:t xml:space="preserve">possible impacts on Australia were there significant international increases in protection, and of different Australian responses, the Commission has modelled a number of stylised scenarios </w:t>
            </w:r>
            <w:r w:rsidR="00440BF6">
              <w:rPr>
                <w:rFonts w:cs="Arial"/>
                <w:szCs w:val="24"/>
              </w:rPr>
              <w:t>(PC 2017b</w:t>
            </w:r>
            <w:bookmarkStart w:id="24" w:name="_GoBack"/>
            <w:bookmarkEnd w:id="24"/>
            <w:r w:rsidRPr="0018555C">
              <w:rPr>
                <w:rFonts w:cs="Arial"/>
                <w:szCs w:val="24"/>
              </w:rPr>
              <w:t>)</w:t>
            </w:r>
            <w:r>
              <w:rPr>
                <w:spacing w:val="-2"/>
              </w:rPr>
              <w:t xml:space="preserve">. </w:t>
            </w:r>
          </w:p>
          <w:p w:rsidR="00745FEA" w:rsidRDefault="00745FEA" w:rsidP="00FA3878">
            <w:pPr>
              <w:pStyle w:val="Box"/>
              <w:keepNext w:val="0"/>
              <w:rPr>
                <w:spacing w:val="-2"/>
              </w:rPr>
            </w:pPr>
            <w:r>
              <w:rPr>
                <w:spacing w:val="-2"/>
              </w:rPr>
              <w:t xml:space="preserve">The results show that, once the dust had settled, Australia would be little affected by substantial increases in US tariffs on imports from China and Mexico, or by US adoption of border adjustments as part of a new corporate tax regime. On the other hand, economic growth and living standards in Australia would decline if there was a global increase in </w:t>
            </w:r>
            <w:r w:rsidRPr="00DB4B4D">
              <w:rPr>
                <w:spacing w:val="-2"/>
              </w:rPr>
              <w:t xml:space="preserve">tariffs. </w:t>
            </w:r>
            <w:r>
              <w:rPr>
                <w:spacing w:val="-2"/>
              </w:rPr>
              <w:t>All countries would be worse off and the purchasing power of almost all Australians would be lower as the availability of cheaper imported goods and services is limited.</w:t>
            </w:r>
          </w:p>
          <w:p w:rsidR="00745FEA" w:rsidRDefault="00745FEA" w:rsidP="00952B05">
            <w:pPr>
              <w:pStyle w:val="BoxHeading1"/>
              <w:spacing w:before="160"/>
            </w:pPr>
            <w:r>
              <w:t>A global increase in protection could cause a global recession</w:t>
            </w:r>
            <w:r w:rsidRPr="00757A95">
              <w:rPr>
                <w:rStyle w:val="NoteLabel"/>
                <w:b/>
              </w:rPr>
              <w:t>a</w:t>
            </w:r>
            <w:r>
              <w:rPr>
                <w:rStyle w:val="NoteLabel"/>
                <w:b/>
              </w:rPr>
              <w:t>,b,c</w:t>
            </w:r>
          </w:p>
          <w:p w:rsidR="00745FEA" w:rsidRDefault="00745FEA" w:rsidP="0096336A">
            <w:pPr>
              <w:pStyle w:val="Box"/>
              <w:keepNext w:val="0"/>
              <w:spacing w:before="0"/>
              <w:rPr>
                <w:spacing w:val="-2"/>
              </w:rPr>
            </w:pPr>
            <w:r w:rsidRPr="00F67119">
              <w:rPr>
                <w:spacing w:val="-2"/>
              </w:rPr>
              <w:t>Percentage changes for select regions</w:t>
            </w:r>
          </w:p>
          <w:p w:rsidR="00745FEA" w:rsidRDefault="00403E22" w:rsidP="0096336A">
            <w:pPr>
              <w:pStyle w:val="Box"/>
              <w:keepNext w:val="0"/>
              <w:spacing w:before="0"/>
              <w:jc w:val="center"/>
              <w:rPr>
                <w:rStyle w:val="NoteLabel"/>
              </w:rPr>
            </w:pPr>
            <w:r w:rsidRPr="00403E22">
              <w:rPr>
                <w:rStyle w:val="NoteLabel"/>
                <w:noProof/>
              </w:rPr>
              <w:drawing>
                <wp:inline distT="0" distB="0" distL="0" distR="0">
                  <wp:extent cx="5172501" cy="2806638"/>
                  <wp:effectExtent l="0" t="0" r="0" b="0"/>
                  <wp:docPr id="25" name="Picture 25" descr="This figure shows that a global increase in protection could cause a global recession. While Australia would be little affected by substantial increases in US tariffs on imports from China and Mexico, or by US adoption of border adjustments as part of a new corporate tax regime, in the event of a global increase in tariffs economic growth and living standards in Australia would dec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2253" b="3146"/>
                          <a:stretch/>
                        </pic:blipFill>
                        <pic:spPr bwMode="auto">
                          <a:xfrm>
                            <a:off x="0" y="0"/>
                            <a:ext cx="5178704" cy="2810004"/>
                          </a:xfrm>
                          <a:prstGeom prst="rect">
                            <a:avLst/>
                          </a:prstGeom>
                          <a:noFill/>
                          <a:ln>
                            <a:noFill/>
                          </a:ln>
                          <a:extLst>
                            <a:ext uri="{53640926-AAD7-44D8-BBD7-CCE9431645EC}">
                              <a14:shadowObscured xmlns:a14="http://schemas.microsoft.com/office/drawing/2010/main"/>
                            </a:ext>
                          </a:extLst>
                        </pic:spPr>
                      </pic:pic>
                    </a:graphicData>
                  </a:graphic>
                </wp:inline>
              </w:drawing>
            </w:r>
          </w:p>
          <w:p w:rsidR="00745FEA" w:rsidRDefault="00745FEA" w:rsidP="00FA3878">
            <w:pPr>
              <w:pStyle w:val="Box"/>
              <w:keepNext w:val="0"/>
              <w:spacing w:before="0"/>
            </w:pPr>
            <w:r>
              <w:rPr>
                <w:rStyle w:val="NoteLabel"/>
              </w:rPr>
              <w:t>a</w:t>
            </w:r>
            <w:r>
              <w:t xml:space="preserve"> All countries are assumed to raise tariffs by 15 percentage points. </w:t>
            </w:r>
            <w:r>
              <w:rPr>
                <w:rStyle w:val="NoteLabel"/>
              </w:rPr>
              <w:t>b</w:t>
            </w:r>
            <w:r>
              <w:t xml:space="preserve"> Real income is measured as real GNP adjusted for changes in the terms of trade. </w:t>
            </w:r>
            <w:r w:rsidRPr="002251FC">
              <w:rPr>
                <w:rStyle w:val="NoteLabel"/>
              </w:rPr>
              <w:t>c</w:t>
            </w:r>
            <w:r>
              <w:t xml:space="preserve"> ASEAN includes Brunei, Cambodia, Indonesia, Laos, Malaysia, Myanmar, Philippines, Singapore, Thailand and Vietnam.</w:t>
            </w:r>
          </w:p>
          <w:p w:rsidR="00745FEA" w:rsidRPr="00F67119" w:rsidRDefault="00745FEA" w:rsidP="00FA3878">
            <w:pPr>
              <w:pStyle w:val="Box"/>
              <w:keepNext w:val="0"/>
              <w:spacing w:before="80"/>
              <w:rPr>
                <w:spacing w:val="-2"/>
              </w:rPr>
            </w:pPr>
            <w:r>
              <w:rPr>
                <w:i/>
              </w:rPr>
              <w:t>S</w:t>
            </w:r>
            <w:r w:rsidRPr="00784A05">
              <w:rPr>
                <w:i/>
              </w:rPr>
              <w:t>ource</w:t>
            </w:r>
            <w:r w:rsidRPr="00176D3F">
              <w:t xml:space="preserve">: </w:t>
            </w:r>
            <w:r>
              <w:t xml:space="preserve">Commission estimates generated using the </w:t>
            </w:r>
            <w:r w:rsidRPr="009B2935">
              <w:t>P</w:t>
            </w:r>
            <w:r>
              <w:t xml:space="preserve">C </w:t>
            </w:r>
            <w:r w:rsidRPr="009B2935">
              <w:t>Global</w:t>
            </w:r>
            <w:r>
              <w:t xml:space="preserve"> model.</w:t>
            </w:r>
          </w:p>
          <w:p w:rsidR="00745FEA" w:rsidRDefault="00745FEA" w:rsidP="00FA3878">
            <w:pPr>
              <w:pStyle w:val="Continued"/>
              <w:spacing w:before="0"/>
            </w:pPr>
            <w:r>
              <w:t>(continued next page)</w:t>
            </w:r>
          </w:p>
        </w:tc>
      </w:tr>
      <w:tr w:rsidR="00745FEA" w:rsidTr="00745FEA">
        <w:tc>
          <w:tcPr>
            <w:tcW w:w="8789" w:type="dxa"/>
            <w:tcBorders>
              <w:top w:val="nil"/>
              <w:left w:val="nil"/>
              <w:bottom w:val="single" w:sz="6" w:space="0" w:color="78A22F"/>
              <w:right w:val="nil"/>
            </w:tcBorders>
            <w:shd w:val="clear" w:color="auto" w:fill="F2F2F2"/>
          </w:tcPr>
          <w:p w:rsidR="00745FEA" w:rsidRDefault="00745FEA" w:rsidP="00FA3878">
            <w:pPr>
              <w:pStyle w:val="Box"/>
              <w:keepNext w:val="0"/>
              <w:spacing w:before="0" w:line="120" w:lineRule="exact"/>
            </w:pPr>
          </w:p>
        </w:tc>
      </w:tr>
    </w:tbl>
    <w:p w:rsidR="009C28CC" w:rsidRDefault="009C28CC" w:rsidP="009C28C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45FEA" w:rsidTr="009C28CC">
        <w:trPr>
          <w:tblHeader/>
        </w:trPr>
        <w:tc>
          <w:tcPr>
            <w:tcW w:w="8789" w:type="dxa"/>
            <w:tcBorders>
              <w:top w:val="single" w:sz="6" w:space="0" w:color="78A22F"/>
              <w:left w:val="nil"/>
              <w:bottom w:val="nil"/>
              <w:right w:val="nil"/>
            </w:tcBorders>
            <w:shd w:val="clear" w:color="auto" w:fill="F2F2F2"/>
          </w:tcPr>
          <w:p w:rsidR="00745FEA" w:rsidRDefault="00745FEA" w:rsidP="00745FEA">
            <w:pPr>
              <w:pStyle w:val="BoxTitle"/>
            </w:pPr>
            <w:r>
              <w:rPr>
                <w:b w:val="0"/>
              </w:rPr>
              <w:t>Box 1.</w:t>
            </w:r>
            <w:r>
              <w:rPr>
                <w:b w:val="0"/>
                <w:noProof/>
              </w:rPr>
              <w:t>1</w:t>
            </w:r>
            <w:r>
              <w:tab/>
            </w:r>
            <w:r w:rsidR="00116EA6" w:rsidRPr="00116EA6">
              <w:rPr>
                <w:b w:val="0"/>
                <w:sz w:val="18"/>
                <w:szCs w:val="20"/>
              </w:rPr>
              <w:t>(continued)</w:t>
            </w:r>
          </w:p>
        </w:tc>
      </w:tr>
      <w:tr w:rsidR="00745FEA" w:rsidTr="00745FEA">
        <w:tc>
          <w:tcPr>
            <w:tcW w:w="8789" w:type="dxa"/>
            <w:tcBorders>
              <w:top w:val="nil"/>
              <w:left w:val="nil"/>
              <w:bottom w:val="nil"/>
              <w:right w:val="nil"/>
            </w:tcBorders>
            <w:shd w:val="clear" w:color="auto" w:fill="F2F2F2"/>
          </w:tcPr>
          <w:p w:rsidR="00745FEA" w:rsidRDefault="00745FEA" w:rsidP="00745FEA">
            <w:pPr>
              <w:pStyle w:val="Box"/>
            </w:pPr>
            <w:r>
              <w:t>The Commission also modelled three scenarios, in which Australia, in the face of 15 percentage point tariff increases elsewhere:</w:t>
            </w:r>
          </w:p>
          <w:p w:rsidR="00745FEA" w:rsidRDefault="00745FEA" w:rsidP="00745FEA">
            <w:pPr>
              <w:pStyle w:val="BoxListBullet"/>
              <w:spacing w:before="80"/>
            </w:pPr>
            <w:r>
              <w:t xml:space="preserve">maintained current levels of protection on its own </w:t>
            </w:r>
          </w:p>
          <w:p w:rsidR="00745FEA" w:rsidRPr="009C65D9" w:rsidRDefault="00745FEA" w:rsidP="00745FEA">
            <w:pPr>
              <w:pStyle w:val="BoxListBullet"/>
              <w:spacing w:before="80"/>
              <w:rPr>
                <w:spacing w:val="-2"/>
              </w:rPr>
            </w:pPr>
            <w:r w:rsidRPr="009C65D9">
              <w:rPr>
                <w:spacing w:val="-2"/>
              </w:rPr>
              <w:t>co</w:t>
            </w:r>
            <w:r>
              <w:rPr>
                <w:spacing w:val="-2"/>
              </w:rPr>
              <w:noBreakHyphen/>
            </w:r>
            <w:r w:rsidRPr="009C65D9">
              <w:rPr>
                <w:spacing w:val="-2"/>
              </w:rPr>
              <w:t>operate</w:t>
            </w:r>
            <w:r>
              <w:rPr>
                <w:spacing w:val="-2"/>
              </w:rPr>
              <w:t>d</w:t>
            </w:r>
            <w:r w:rsidRPr="009C65D9">
              <w:rPr>
                <w:spacing w:val="-2"/>
              </w:rPr>
              <w:t xml:space="preserve"> with </w:t>
            </w:r>
            <w:r>
              <w:rPr>
                <w:spacing w:val="-2"/>
              </w:rPr>
              <w:t xml:space="preserve">the other participants in </w:t>
            </w:r>
            <w:r w:rsidRPr="005D780D">
              <w:rPr>
                <w:spacing w:val="-2"/>
              </w:rPr>
              <w:t>the Regional Comprehensive Economic Partnership (RCEP) —</w:t>
            </w:r>
            <w:r>
              <w:rPr>
                <w:spacing w:val="-2"/>
              </w:rPr>
              <w:t xml:space="preserve"> </w:t>
            </w:r>
            <w:r w:rsidRPr="005D780D">
              <w:rPr>
                <w:spacing w:val="-2"/>
              </w:rPr>
              <w:t>China, Japan, South Korea, India, New Zealand and the ASEAN</w:t>
            </w:r>
            <w:r w:rsidRPr="009C65D9">
              <w:rPr>
                <w:spacing w:val="-2"/>
              </w:rPr>
              <w:t xml:space="preserve"> </w:t>
            </w:r>
            <w:r>
              <w:rPr>
                <w:spacing w:val="-2"/>
              </w:rPr>
              <w:t xml:space="preserve">countries — </w:t>
            </w:r>
            <w:r w:rsidRPr="009C65D9">
              <w:rPr>
                <w:spacing w:val="-2"/>
              </w:rPr>
              <w:t>to maintain policies that support international trade</w:t>
            </w:r>
          </w:p>
          <w:p w:rsidR="00745FEA" w:rsidRPr="00BF64F6" w:rsidRDefault="00745FEA" w:rsidP="00745FEA">
            <w:pPr>
              <w:pStyle w:val="BoxListBullet"/>
              <w:spacing w:before="80"/>
            </w:pPr>
            <w:r>
              <w:t>joined with RCEP in reducing tariffs, non</w:t>
            </w:r>
            <w:r>
              <w:noBreakHyphen/>
              <w:t>tariff barriers and barriers to services trade.</w:t>
            </w:r>
          </w:p>
          <w:p w:rsidR="00745FEA" w:rsidRDefault="00745FEA" w:rsidP="00745FEA">
            <w:pPr>
              <w:pStyle w:val="Box"/>
              <w:rPr>
                <w:spacing w:val="-2"/>
              </w:rPr>
            </w:pPr>
            <w:r>
              <w:t>The results show that e</w:t>
            </w:r>
            <w:r w:rsidRPr="001064B2">
              <w:t xml:space="preserve">ven in a world of much higher protection globally, Australia would be better off </w:t>
            </w:r>
            <w:r>
              <w:t>if it does not follow suit</w:t>
            </w:r>
            <w:r w:rsidRPr="001064B2">
              <w:t>.</w:t>
            </w:r>
            <w:r>
              <w:t xml:space="preserve"> </w:t>
            </w:r>
            <w:r w:rsidRPr="001064B2">
              <w:t>Co</w:t>
            </w:r>
            <w:r>
              <w:noBreakHyphen/>
            </w:r>
            <w:r w:rsidRPr="001064B2">
              <w:t xml:space="preserve">operating with a coalition of countries like </w:t>
            </w:r>
            <w:r>
              <w:t>RCEP in holding the line on freer markets</w:t>
            </w:r>
            <w:r w:rsidRPr="001064B2">
              <w:t xml:space="preserve"> would significantly amplify the positive economic effects for Australia of avoiding increases in protection.</w:t>
            </w:r>
            <w:r>
              <w:t xml:space="preserve"> Further benefits would come with liberalisation of tariffs and other barriers to trade in RCEP countries. Living standards in Australia would be about 2.7 per cent higher than in a scenario in which all countries raised tariffs by 15 percentage points. And </w:t>
            </w:r>
            <w:r>
              <w:rPr>
                <w:spacing w:val="-2"/>
              </w:rPr>
              <w:t>a</w:t>
            </w:r>
            <w:r w:rsidRPr="005C58C4">
              <w:rPr>
                <w:spacing w:val="-2"/>
              </w:rPr>
              <w:t xml:space="preserve"> household with the median weekly gross income of about $1600 a week </w:t>
            </w:r>
            <w:r>
              <w:rPr>
                <w:spacing w:val="-2"/>
              </w:rPr>
              <w:t xml:space="preserve">would </w:t>
            </w:r>
            <w:r w:rsidRPr="005C58C4">
              <w:rPr>
                <w:spacing w:val="-2"/>
              </w:rPr>
              <w:t xml:space="preserve">be better off by </w:t>
            </w:r>
            <w:r>
              <w:rPr>
                <w:spacing w:val="-2"/>
              </w:rPr>
              <w:t xml:space="preserve">about </w:t>
            </w:r>
            <w:r w:rsidRPr="005C58C4">
              <w:rPr>
                <w:spacing w:val="-2"/>
              </w:rPr>
              <w:t>$</w:t>
            </w:r>
            <w:r>
              <w:rPr>
                <w:spacing w:val="-2"/>
              </w:rPr>
              <w:t>44</w:t>
            </w:r>
            <w:r w:rsidRPr="005C58C4">
              <w:rPr>
                <w:spacing w:val="-2"/>
              </w:rPr>
              <w:t xml:space="preserve"> a week.</w:t>
            </w:r>
          </w:p>
          <w:p w:rsidR="00745FEA" w:rsidRDefault="00745FEA" w:rsidP="00952B05">
            <w:pPr>
              <w:pStyle w:val="BoxHeading1"/>
              <w:spacing w:before="160"/>
              <w:rPr>
                <w:rStyle w:val="NoteLabel"/>
                <w:b/>
              </w:rPr>
            </w:pPr>
            <w:r w:rsidRPr="007A3B3E">
              <w:t>Removing tariffs and other barriers to trade would increase living standards in Australia</w:t>
            </w:r>
            <w:r w:rsidRPr="001B77F6">
              <w:rPr>
                <w:rStyle w:val="NoteLabel"/>
                <w:b/>
              </w:rPr>
              <w:t>a,b</w:t>
            </w:r>
          </w:p>
          <w:p w:rsidR="00745FEA" w:rsidRDefault="00745FEA" w:rsidP="00646DCE">
            <w:pPr>
              <w:pStyle w:val="Box"/>
              <w:spacing w:before="0" w:after="80"/>
            </w:pPr>
            <w:r>
              <w:t>Percentage change for Australia in various scenarios</w:t>
            </w:r>
          </w:p>
          <w:p w:rsidR="00745FEA" w:rsidRDefault="00CC4431" w:rsidP="00745FEA">
            <w:pPr>
              <w:pStyle w:val="Box"/>
              <w:spacing w:before="0"/>
              <w:jc w:val="center"/>
            </w:pPr>
            <w:r w:rsidRPr="00CC4431">
              <w:rPr>
                <w:noProof/>
              </w:rPr>
              <w:drawing>
                <wp:inline distT="0" distB="0" distL="0" distR="0">
                  <wp:extent cx="4940489" cy="2822795"/>
                  <wp:effectExtent l="0" t="0" r="0" b="0"/>
                  <wp:docPr id="27" name="Picture 27" descr="The figure shows the impact of gradual trade liberalisation on economic growth and living standards in Australia. The impact will be most positive when all tariff and non tariff barriers are abolished globally. The opposite will happen if there was a global increase in tariffs. If Australia does not take part in this global tariff war, it can save herself but only margin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8073" cy="2832842"/>
                          </a:xfrm>
                          <a:prstGeom prst="rect">
                            <a:avLst/>
                          </a:prstGeom>
                          <a:noFill/>
                          <a:ln>
                            <a:noFill/>
                          </a:ln>
                        </pic:spPr>
                      </pic:pic>
                    </a:graphicData>
                  </a:graphic>
                </wp:inline>
              </w:drawing>
            </w:r>
          </w:p>
          <w:p w:rsidR="00745FEA" w:rsidRDefault="00745FEA" w:rsidP="0096336A">
            <w:pPr>
              <w:pStyle w:val="Box"/>
              <w:spacing w:before="40"/>
            </w:pPr>
            <w:r w:rsidRPr="00966FB3">
              <w:rPr>
                <w:rStyle w:val="NoteLabel"/>
              </w:rPr>
              <w:t>a</w:t>
            </w:r>
            <w:r>
              <w:t xml:space="preserve"> This chart compares five scenarios — from left to right, in the first scenario, Australia, along with the rest of the world, raises tariffs by 15 percentage points. This scenario is discussed in detail in chapter 4. In the second scenario, Australia maintains existing tariff levels, while tariffs rise by 15 percentage points overseas. In the third scenario, RCEP countries are assumed to maintain exiting levels of protectionism, while all other countries raise tariffs by 15 percentage points. In the fourth scenario, RCEP countries are assumed to remove all tariffs applied to all countries. The fifth scenario extends the fourth to include decreases in non</w:t>
            </w:r>
            <w:r>
              <w:noBreakHyphen/>
              <w:t xml:space="preserve">tariff barriers and regulatory barriers to service trade. </w:t>
            </w:r>
            <w:r w:rsidRPr="00966FB3">
              <w:rPr>
                <w:rStyle w:val="NoteLabel"/>
              </w:rPr>
              <w:t>b</w:t>
            </w:r>
            <w:r>
              <w:t xml:space="preserve"> Economic activity is defined as real GDP, real income is defined as real GNP and purchasing power is defined as gross national absorption adjusted for terms of trade effects.</w:t>
            </w:r>
          </w:p>
          <w:p w:rsidR="00745FEA" w:rsidRDefault="00745FEA" w:rsidP="00745FEA">
            <w:pPr>
              <w:pStyle w:val="Box"/>
              <w:spacing w:before="80"/>
            </w:pPr>
            <w:r>
              <w:rPr>
                <w:i/>
              </w:rPr>
              <w:t>S</w:t>
            </w:r>
            <w:r w:rsidRPr="00784A05">
              <w:rPr>
                <w:i/>
              </w:rPr>
              <w:t>ource</w:t>
            </w:r>
            <w:r w:rsidRPr="00176D3F">
              <w:t xml:space="preserve">: </w:t>
            </w:r>
            <w:r>
              <w:t xml:space="preserve">Commission estimates generated using the </w:t>
            </w:r>
            <w:r w:rsidRPr="009B2935">
              <w:t>P</w:t>
            </w:r>
            <w:r>
              <w:t xml:space="preserve">C </w:t>
            </w:r>
            <w:r w:rsidRPr="009B2935">
              <w:t>Global</w:t>
            </w:r>
            <w:r>
              <w:t xml:space="preserve"> model.</w:t>
            </w:r>
          </w:p>
        </w:tc>
      </w:tr>
      <w:tr w:rsidR="00745FEA" w:rsidTr="00745FEA">
        <w:tc>
          <w:tcPr>
            <w:tcW w:w="8789" w:type="dxa"/>
            <w:tcBorders>
              <w:top w:val="nil"/>
              <w:left w:val="nil"/>
              <w:bottom w:val="single" w:sz="6" w:space="0" w:color="78A22F"/>
              <w:right w:val="nil"/>
            </w:tcBorders>
            <w:shd w:val="clear" w:color="auto" w:fill="F2F2F2"/>
          </w:tcPr>
          <w:p w:rsidR="00745FEA" w:rsidRDefault="00745FEA" w:rsidP="00745FEA">
            <w:pPr>
              <w:pStyle w:val="Box"/>
              <w:spacing w:before="0" w:line="120" w:lineRule="exact"/>
            </w:pPr>
          </w:p>
        </w:tc>
      </w:tr>
      <w:tr w:rsidR="00745FEA" w:rsidRPr="00626D32" w:rsidTr="00745FEA">
        <w:tc>
          <w:tcPr>
            <w:tcW w:w="8789" w:type="dxa"/>
            <w:tcBorders>
              <w:top w:val="single" w:sz="6" w:space="0" w:color="78A22F"/>
              <w:left w:val="nil"/>
              <w:bottom w:val="nil"/>
              <w:right w:val="nil"/>
            </w:tcBorders>
          </w:tcPr>
          <w:p w:rsidR="00745FEA" w:rsidRPr="00626D32" w:rsidRDefault="00745FEA" w:rsidP="00745FEA">
            <w:pPr>
              <w:pStyle w:val="BoxSpaceBelow"/>
            </w:pPr>
          </w:p>
        </w:tc>
      </w:tr>
    </w:tbl>
    <w:p w:rsidR="00745FEA" w:rsidRPr="00F67119" w:rsidRDefault="00745FEA" w:rsidP="00745FEA">
      <w:pPr>
        <w:pStyle w:val="BodyText"/>
        <w:rPr>
          <w:spacing w:val="-2"/>
        </w:rPr>
      </w:pPr>
      <w:r w:rsidRPr="00F67119">
        <w:rPr>
          <w:spacing w:val="-2"/>
        </w:rPr>
        <w:t>The rise in protectionist sentiment around the world also emphasises the importance of domestic policies that build economic resilience. Changes in the economy — whether driven by changes in technology, tastes, skills or indeed trade policies — affect individuals differently. Policies that help the Australian economy adapt to changes, whether driven by protectionist policies in other countries or otherwise, will serve to lessen their disruptive impacts. This include education and training policies that aim to build foundational skills that enable participation in further education and training and reskilling of displaced workers, work force policies that influence how readily firms can adjust the size and composition of their workforce to remain viable in the face of change, and macroeconomic stability. By contrast, actions that seek to prevent or delay adaptation should be avoided, such as the increased proclivity to use trade remedies (such as anti</w:t>
      </w:r>
      <w:r w:rsidRPr="00F67119">
        <w:rPr>
          <w:spacing w:val="-2"/>
        </w:rPr>
        <w:noBreakHyphen/>
        <w:t>dumping duties and countervailing measures and safeguards). These impose costs on the community and may trigger reprisals abroad.</w:t>
      </w:r>
    </w:p>
    <w:p w:rsidR="00745FEA" w:rsidRPr="00F67119" w:rsidRDefault="00745FEA" w:rsidP="00745FEA">
      <w:pPr>
        <w:pStyle w:val="BodyText"/>
        <w:rPr>
          <w:spacing w:val="-2"/>
        </w:rPr>
      </w:pPr>
      <w:r w:rsidRPr="00F67119">
        <w:rPr>
          <w:spacing w:val="-2"/>
        </w:rPr>
        <w:t>Australian exporters can also benefit from domestic policy reforms that lift the nation’s productivity and lower the cost of doing business. The Commission set out priorities that, if addressed, would shift the dial on Australian economic performance as part of the first five</w:t>
      </w:r>
      <w:r w:rsidRPr="00F67119">
        <w:rPr>
          <w:spacing w:val="-2"/>
        </w:rPr>
        <w:noBreakHyphen/>
        <w:t xml:space="preserve">yearly productivity review </w:t>
      </w:r>
      <w:r w:rsidRPr="00F67119">
        <w:rPr>
          <w:spacing w:val="-2"/>
          <w:szCs w:val="24"/>
        </w:rPr>
        <w:t>(PC 2017b)</w:t>
      </w:r>
      <w:r w:rsidRPr="00F67119">
        <w:rPr>
          <w:spacing w:val="-2"/>
        </w:rPr>
        <w:t>. These include systemic changes that would raise the health of Australians and the quality of their education, improve the functioning of our cities and fix the problems in energy markets. Collaboration between Commonwealth, state and territory governments would offer the greatest prospect of success.</w:t>
      </w:r>
    </w:p>
    <w:p w:rsidR="00745FEA" w:rsidRPr="00F67119" w:rsidRDefault="00745FEA" w:rsidP="00745FEA">
      <w:pPr>
        <w:pStyle w:val="BodyText"/>
        <w:rPr>
          <w:spacing w:val="-2"/>
        </w:rPr>
      </w:pPr>
      <w:r w:rsidRPr="00F67119">
        <w:rPr>
          <w:spacing w:val="-2"/>
        </w:rPr>
        <w:t>As set out below, the Australian Government could also undertake several positive trade policy changes at any time without requiring international or intergovernmental agreement. (These are areas that have been identified in previous Productivity Commission reviews and other inquiries and for which there is clear evidence of economic benefits.)</w:t>
      </w:r>
    </w:p>
    <w:p w:rsidR="00745FEA" w:rsidRDefault="00745FEA" w:rsidP="00116EA6">
      <w:pPr>
        <w:pStyle w:val="Heading3"/>
        <w:spacing w:before="480"/>
      </w:pPr>
      <w:r>
        <w:t>Unilateral tariff reductions should recommence</w:t>
      </w:r>
    </w:p>
    <w:p w:rsidR="00745FEA" w:rsidRPr="00F67119" w:rsidRDefault="0055201A" w:rsidP="00745FEA">
      <w:pPr>
        <w:pStyle w:val="BodyText"/>
        <w:rPr>
          <w:spacing w:val="-2"/>
        </w:rPr>
      </w:pPr>
      <w:r w:rsidRPr="00F67119">
        <w:rPr>
          <w:spacing w:val="-2"/>
        </w:rPr>
        <w:t>Unilateral tariff reductions to boost economic growth are</w:t>
      </w:r>
      <w:r w:rsidR="00745FEA" w:rsidRPr="00F67119">
        <w:rPr>
          <w:spacing w:val="-2"/>
        </w:rPr>
        <w:t xml:space="preserve"> not a new idea. The history of unilateral tariff reductions in Australia, undertaken progressively between 1973 and 1996, shows that opening Australian markets to trade and exposing Australian industry to competition drives businesses to embrace new technologies and work practices. This supports stronger economic growth, higher wages and the development of new export industries </w:t>
      </w:r>
      <w:r w:rsidR="00745FEA" w:rsidRPr="00F67119">
        <w:rPr>
          <w:spacing w:val="-2"/>
          <w:szCs w:val="24"/>
        </w:rPr>
        <w:t>(PC 1999, pp. 83–112)</w:t>
      </w:r>
      <w:r w:rsidR="00745FEA" w:rsidRPr="00F67119">
        <w:rPr>
          <w:spacing w:val="-2"/>
        </w:rPr>
        <w:t xml:space="preserve">. Indeed, and contrary to mercantilist notions that focus on export promotion and market access and often cloud debates about trade policy, these improvements in domestic efficiency are the larger benefits of trade liberalisation </w:t>
      </w:r>
      <w:r w:rsidR="00745FEA" w:rsidRPr="00F67119">
        <w:rPr>
          <w:spacing w:val="-2"/>
          <w:szCs w:val="24"/>
        </w:rPr>
        <w:t>(PC 2010)</w:t>
      </w:r>
      <w:r w:rsidR="00745FEA" w:rsidRPr="00F67119">
        <w:rPr>
          <w:spacing w:val="-2"/>
        </w:rPr>
        <w:t>.</w:t>
      </w:r>
    </w:p>
    <w:p w:rsidR="00745FEA" w:rsidRPr="00116EA6" w:rsidRDefault="00745FEA" w:rsidP="00745FEA">
      <w:pPr>
        <w:pStyle w:val="BodyText"/>
        <w:rPr>
          <w:spacing w:val="-4"/>
        </w:rPr>
      </w:pPr>
      <w:r w:rsidRPr="00116EA6">
        <w:rPr>
          <w:spacing w:val="-4"/>
        </w:rPr>
        <w:t>The outcome of successive cycles of trade negotiations is that Australia retains a comprehensive and complex tariff regime that collects little revenue. Tariff revenue fell by around two</w:t>
      </w:r>
      <w:r w:rsidRPr="00116EA6">
        <w:rPr>
          <w:spacing w:val="-4"/>
        </w:rPr>
        <w:noBreakHyphen/>
        <w:t>thirds, in real terms, between 2004</w:t>
      </w:r>
      <w:r w:rsidRPr="00116EA6">
        <w:rPr>
          <w:spacing w:val="-4"/>
        </w:rPr>
        <w:noBreakHyphen/>
        <w:t>05 and 2016</w:t>
      </w:r>
      <w:r w:rsidRPr="00116EA6">
        <w:rPr>
          <w:spacing w:val="-4"/>
        </w:rPr>
        <w:noBreakHyphen/>
        <w:t>17 and is forecast to fall further (figure 1.4). Compliance with the system, however, represents an ongoing nuisance for business, arguably getting worse due to the ‘noodle bowl’ of preferential trade agreement requirements. Moreover, aspects of the regime have not kept pace with changes in the Australian economy: tariffs continue to apply to motor vehicle imports (together with a ban on parallel imports of second</w:t>
      </w:r>
      <w:r w:rsidRPr="00116EA6">
        <w:rPr>
          <w:spacing w:val="-4"/>
        </w:rPr>
        <w:noBreakHyphen/>
        <w:t>hand cars discussed below) despite the closure of car assembly plants.</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FigureTitle"/>
            </w:pPr>
            <w:r w:rsidRPr="00784A05">
              <w:rPr>
                <w:b w:val="0"/>
              </w:rPr>
              <w:t xml:space="preserve">Figure </w:t>
            </w:r>
            <w:r>
              <w:rPr>
                <w:b w:val="0"/>
              </w:rPr>
              <w:t>1.</w:t>
            </w:r>
            <w:r>
              <w:rPr>
                <w:b w:val="0"/>
                <w:noProof/>
              </w:rPr>
              <w:t>4</w:t>
            </w:r>
            <w:r>
              <w:tab/>
              <w:t>Gross tariff revenue, 2005</w:t>
            </w:r>
            <w:r>
              <w:noBreakHyphen/>
              <w:t>06 to 2020</w:t>
            </w:r>
            <w:r>
              <w:noBreakHyphen/>
              <w:t>21</w:t>
            </w:r>
            <w:r w:rsidRPr="00227A4F">
              <w:rPr>
                <w:rStyle w:val="NoteLabel"/>
                <w:rFonts w:ascii="Arial Bold" w:hAnsi="Arial Bold"/>
                <w:b/>
                <w:position w:val="10"/>
              </w:rPr>
              <w:t>a</w:t>
            </w:r>
          </w:p>
          <w:p w:rsidR="00745FEA" w:rsidRPr="00176D3F" w:rsidRDefault="00745FEA" w:rsidP="00822F3A">
            <w:pPr>
              <w:pStyle w:val="Subtitle"/>
              <w:spacing w:after="0"/>
            </w:pPr>
            <w:r>
              <w:t>Real 201</w:t>
            </w:r>
            <w:r w:rsidR="00822F3A">
              <w:t>6</w:t>
            </w:r>
            <w:r>
              <w:noBreakHyphen/>
              <w:t>1</w:t>
            </w:r>
            <w:r w:rsidR="00822F3A">
              <w:t>7</w:t>
            </w:r>
            <w:r>
              <w:t xml:space="preserve"> dollars</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8504" w:type="dxa"/>
                  <w:tcBorders>
                    <w:top w:val="nil"/>
                    <w:bottom w:val="nil"/>
                  </w:tcBorders>
                </w:tcPr>
                <w:p w:rsidR="00745FEA" w:rsidRPr="00B1465D" w:rsidRDefault="004270F2" w:rsidP="00745FEA">
                  <w:pPr>
                    <w:pStyle w:val="Figure"/>
                    <w:spacing w:before="60" w:after="60"/>
                    <w:rPr>
                      <w:rFonts w:ascii="Arial" w:hAnsi="Arial" w:cs="Arial"/>
                      <w:sz w:val="18"/>
                      <w:szCs w:val="18"/>
                    </w:rPr>
                  </w:pPr>
                  <w:r w:rsidRPr="004270F2">
                    <w:rPr>
                      <w:rFonts w:ascii="Arial" w:hAnsi="Arial" w:cs="Arial"/>
                      <w:noProof/>
                      <w:sz w:val="18"/>
                      <w:szCs w:val="18"/>
                    </w:rPr>
                    <w:drawing>
                      <wp:inline distT="0" distB="0" distL="0" distR="0" wp14:anchorId="051CBA3F" wp14:editId="3A21B7F0">
                        <wp:extent cx="5186045" cy="2770505"/>
                        <wp:effectExtent l="0" t="0" r="0" b="0"/>
                        <wp:docPr id="28" name="Picture 28" descr="This figure shows the movement in gross tariff revenue by sources since 2005 06. Tariff revenue fell by around two thirds, in real terms, between 2004 05 and 2016 17 and is forecast to fall further. A similar fall is observed in tariff revenue collected from TCF and passenger motor vehicle im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86045" cy="2770505"/>
                                </a:xfrm>
                                <a:prstGeom prst="rect">
                                  <a:avLst/>
                                </a:prstGeom>
                                <a:noFill/>
                                <a:ln>
                                  <a:noFill/>
                                </a:ln>
                              </pic:spPr>
                            </pic:pic>
                          </a:graphicData>
                        </a:graphic>
                      </wp:inline>
                    </w:drawing>
                  </w:r>
                  <w:r w:rsidR="00116EA6" w:rsidRPr="00116EA6">
                    <w:rPr>
                      <w:rFonts w:ascii="Arial" w:hAnsi="Arial" w:cs="Arial"/>
                      <w:sz w:val="18"/>
                      <w:szCs w:val="18"/>
                    </w:rPr>
                    <w:t xml:space="preserve"> </w:t>
                  </w:r>
                </w:p>
              </w:tc>
            </w:tr>
          </w:tbl>
          <w:p w:rsidR="00745FEA" w:rsidRDefault="00745FEA" w:rsidP="00745FEA">
            <w:pPr>
              <w:pStyle w:val="Figure"/>
            </w:pPr>
          </w:p>
        </w:tc>
      </w:tr>
      <w:tr w:rsidR="00745FEA" w:rsidRPr="00C81809" w:rsidTr="00745FEA">
        <w:tc>
          <w:tcPr>
            <w:tcW w:w="5000" w:type="pct"/>
            <w:tcBorders>
              <w:top w:val="nil"/>
              <w:left w:val="nil"/>
              <w:bottom w:val="nil"/>
              <w:right w:val="nil"/>
            </w:tcBorders>
            <w:shd w:val="clear" w:color="auto" w:fill="auto"/>
          </w:tcPr>
          <w:p w:rsidR="00745FEA" w:rsidRPr="00C81809" w:rsidRDefault="00745FEA" w:rsidP="00745FEA">
            <w:r w:rsidRPr="00C81809">
              <w:rPr>
                <w:rStyle w:val="NoteLabel"/>
              </w:rPr>
              <w:t>a</w:t>
            </w:r>
            <w:r>
              <w:t xml:space="preserve"> </w:t>
            </w:r>
            <w:r w:rsidRPr="00C81809">
              <w:rPr>
                <w:rStyle w:val="NoteChar"/>
              </w:rPr>
              <w:t>Annual refunds</w:t>
            </w:r>
            <w:r>
              <w:rPr>
                <w:rStyle w:val="NoteChar"/>
              </w:rPr>
              <w:t xml:space="preserve"> and drawbacks ranged from $212 </w:t>
            </w:r>
            <w:r w:rsidRPr="00C81809">
              <w:rPr>
                <w:rStyle w:val="NoteChar"/>
              </w:rPr>
              <w:t>million to $436</w:t>
            </w:r>
            <w:r>
              <w:rPr>
                <w:rStyle w:val="NoteChar"/>
              </w:rPr>
              <w:t> </w:t>
            </w:r>
            <w:r w:rsidRPr="00C81809">
              <w:rPr>
                <w:rStyle w:val="NoteChar"/>
              </w:rPr>
              <w:t>million from 2005</w:t>
            </w:r>
            <w:r w:rsidRPr="00C81809">
              <w:rPr>
                <w:rStyle w:val="NoteChar"/>
              </w:rPr>
              <w:noBreakHyphen/>
              <w:t>06 to 2016</w:t>
            </w:r>
            <w:r w:rsidRPr="00C81809">
              <w:rPr>
                <w:rStyle w:val="NoteChar"/>
              </w:rPr>
              <w:noBreakHyphen/>
              <w:t>17, with no discernible pattern.</w:t>
            </w:r>
            <w:r w:rsidRPr="00C81809">
              <w:t xml:space="preserve"> </w:t>
            </w: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Pr>
                <w:i/>
              </w:rPr>
              <w:t>s</w:t>
            </w:r>
            <w:r w:rsidRPr="00176D3F">
              <w:t xml:space="preserve">: </w:t>
            </w:r>
            <w:r>
              <w:t>Commission calculations based on Final Budget Outcome (various years), 2017</w:t>
            </w:r>
            <w:r>
              <w:noBreakHyphen/>
              <w:t>18 Budget and Mid</w:t>
            </w:r>
            <w:r>
              <w:noBreakHyphen/>
              <w:t>Year Economic and Fiscal Outlook 2017</w:t>
            </w:r>
            <w:r>
              <w:noBreakHyphen/>
              <w:t xml:space="preserve">18. Nominal values delated by the GDP Implicit Price Deflator </w:t>
            </w:r>
            <w:r w:rsidRPr="002A5F71">
              <w:rPr>
                <w:rFonts w:cs="Arial"/>
              </w:rPr>
              <w:t>(ABS 2017)</w:t>
            </w:r>
            <w:r>
              <w:t xml:space="preserve">. </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It remains open to the Australian Government to unilaterally reduce remaining tariffs and relieve Australian businesses of the associated compliance costs as well as the budgetary cost of administering the system.</w:t>
      </w:r>
      <w:r w:rsidRPr="006B3452">
        <w:t xml:space="preserve"> </w:t>
      </w:r>
      <w:r>
        <w:t>While Australia imposes low tariff rates — a tariff rate of 5 per cent was imposed on about 35 per cent of Australian imports in 2015</w:t>
      </w:r>
      <w:r>
        <w:noBreakHyphen/>
        <w:t>16 — even at these rates, the application of tariffs continues to raise costs to Australian industry and consumers and erode export competitiveness.</w:t>
      </w:r>
    </w:p>
    <w:p w:rsidR="00745FEA" w:rsidRPr="00E0045B" w:rsidRDefault="00745FEA" w:rsidP="00745FEA">
      <w:pPr>
        <w:pStyle w:val="Heading3"/>
      </w:pPr>
      <w:r w:rsidRPr="00E0045B">
        <w:t xml:space="preserve">Rules of Origin </w:t>
      </w:r>
      <w:r>
        <w:t>impose unnecessary burdens on business</w:t>
      </w:r>
    </w:p>
    <w:p w:rsidR="00745FEA" w:rsidRDefault="00745FEA" w:rsidP="00745FEA">
      <w:pPr>
        <w:pStyle w:val="BodyText"/>
        <w:widowControl w:val="0"/>
      </w:pPr>
      <w:r>
        <w:t>RoO are a non</w:t>
      </w:r>
      <w:r>
        <w:noBreakHyphen/>
        <w:t>tariff barrier to trade. They require importers seeking to use preferential trade agreements to meet ‘transformation tests’ (such as requiring a local value</w:t>
      </w:r>
      <w:r>
        <w:noBreakHyphen/>
        <w:t>added threshold).</w:t>
      </w:r>
      <w:r w:rsidRPr="001907BC">
        <w:rPr>
          <w:rStyle w:val="FootnoteReference"/>
        </w:rPr>
        <w:footnoteReference w:id="3"/>
      </w:r>
      <w:r>
        <w:t xml:space="preserve"> The more stringent the transformation test, the harder it is for businesses to use tariff and quota preferences. In effect, a material portion of the benefits to Australian consumers of preferential trade agreements are lost through higher regulatory compliance costs. A recent paper </w:t>
      </w:r>
      <w:r w:rsidRPr="0095741F">
        <w:rPr>
          <w:szCs w:val="24"/>
        </w:rPr>
        <w:t>(Crook and Gordon 2007)</w:t>
      </w:r>
      <w:r w:rsidDel="006D0AA2">
        <w:t xml:space="preserve"> </w:t>
      </w:r>
      <w:r>
        <w:t>concluded:</w:t>
      </w:r>
    </w:p>
    <w:p w:rsidR="00745FEA" w:rsidRDefault="00745FEA" w:rsidP="00745FEA">
      <w:pPr>
        <w:pStyle w:val="Quote"/>
      </w:pPr>
      <w:r>
        <w:t xml:space="preserve">Rules of Origin (RoO) have become a pernicious barrier to trade for Australian business. Their inherent protectionism is little known </w:t>
      </w:r>
      <w:r>
        <w:noBreakHyphen/>
        <w:t xml:space="preserve"> well disguised in their daunting yet mind numbingly dull complexity.</w:t>
      </w:r>
    </w:p>
    <w:p w:rsidR="00745FEA" w:rsidRDefault="00745FEA" w:rsidP="00745FEA">
      <w:pPr>
        <w:pStyle w:val="Quote"/>
      </w:pPr>
      <w:r>
        <w:t xml:space="preserve">RoO are insidious as they afford an impression of trade concessions, but instead their complexity and restrictiveness substantively erode the purported positive trade impacts of the PTA. (p. 3) </w:t>
      </w:r>
    </w:p>
    <w:p w:rsidR="00745FEA" w:rsidRDefault="00745FEA" w:rsidP="00745FEA">
      <w:pPr>
        <w:pStyle w:val="BodyText"/>
      </w:pPr>
      <w:r>
        <w:t>The literature on RoO focus</w:t>
      </w:r>
      <w:r w:rsidR="0055201A">
        <w:t>es</w:t>
      </w:r>
      <w:r>
        <w:t xml:space="preserve"> on the complexity of RoO, the cumbersome compliance procedures, the stringency of the production transformation rules, and the overall erosion of preference use. A number of international empirical studies suggest about one quarter to one third of available preferences go unused because of the stringency of the transformation rules </w:t>
      </w:r>
      <w:r w:rsidRPr="00702AA8">
        <w:rPr>
          <w:szCs w:val="24"/>
        </w:rPr>
        <w:t>(Anson et al. 2005; Cadot and Ing 2014)</w:t>
      </w:r>
      <w:r>
        <w:t xml:space="preserve"> </w:t>
      </w:r>
    </w:p>
    <w:p w:rsidR="00745FEA" w:rsidRDefault="00745FEA" w:rsidP="00745FEA">
      <w:pPr>
        <w:pStyle w:val="BodyText"/>
      </w:pPr>
      <w:r>
        <w:t xml:space="preserve">Australia cannot control enforcement by other countries of RoO provisions in existing preferential trade agreements on Australian exports. However, it is open to the Australian Government to remove RoO restrictions for </w:t>
      </w:r>
      <w:r w:rsidRPr="00EA2982">
        <w:rPr>
          <w:i/>
        </w:rPr>
        <w:t>imports into Australia</w:t>
      </w:r>
      <w:r>
        <w:t xml:space="preserve"> or alternatively to set all RoO restrictions equal to the least restrictive transformation test within and across Australian preferential trade agreements and to streamline evidence procedures. Arguably, the cumbersome </w:t>
      </w:r>
      <w:r w:rsidR="0055201A">
        <w:t>task of complying with ‘preferential rules of origin’ presents</w:t>
      </w:r>
      <w:r>
        <w:t xml:space="preserve"> an unnecessary barrier to businesses making use of preferential trade agreements </w:t>
      </w:r>
      <w:r w:rsidRPr="0095741F">
        <w:rPr>
          <w:szCs w:val="24"/>
        </w:rPr>
        <w:t>(Mavroidis and Vermulst 2018)</w:t>
      </w:r>
      <w:r>
        <w:t xml:space="preserve">. </w:t>
      </w:r>
    </w:p>
    <w:p w:rsidR="00745FEA" w:rsidRDefault="00745FEA" w:rsidP="00745FEA">
      <w:pPr>
        <w:pStyle w:val="Heading3"/>
      </w:pPr>
      <w:r>
        <w:t>Parallel import restrictions should be removed</w:t>
      </w:r>
    </w:p>
    <w:p w:rsidR="00745FEA" w:rsidRDefault="00745FEA" w:rsidP="00745FEA">
      <w:pPr>
        <w:pStyle w:val="BodyText"/>
      </w:pPr>
      <w:r>
        <w:t xml:space="preserve">Parallel import restrictions are blunt instruments. By banning outright certain imports they limit consumer choice, push up prices and support inefficient industries in Australia, resulting in lower overall living standards. For these reasons, as part of the broader microeconomic reform agenda through the 1980s and 1990s, most parallel import restrictions were removed. </w:t>
      </w:r>
    </w:p>
    <w:p w:rsidR="00745FEA" w:rsidRDefault="00745FEA" w:rsidP="00745FEA">
      <w:pPr>
        <w:pStyle w:val="BodyText"/>
      </w:pPr>
      <w:r>
        <w:t>However, restrictions remain in place on second</w:t>
      </w:r>
      <w:r>
        <w:noBreakHyphen/>
        <w:t>hand cars and books. These were introduced ostensibly to support an Australian car manufacturing industry and a publishing industry to support the creation of Australian literature. Times have moved on, but the policies remain and now provide perverse incentives. For example, higher second</w:t>
      </w:r>
      <w:r>
        <w:noBreakHyphen/>
        <w:t>hand car prices mean Australians pay higher prices for new cars and means that some Australians cannot afford to replace old and inefficient cars. Online ordering of both physical and electronic literature puts Australian book retailers at a competitive disadvantage compared with offshore retailers. There are reasonable grounds for supporting culturally significant Australian books, but direct support for authors is better targeted.</w:t>
      </w:r>
    </w:p>
    <w:p w:rsidR="00745FEA" w:rsidRDefault="00745FEA" w:rsidP="00745FEA">
      <w:pPr>
        <w:pStyle w:val="Heading3"/>
      </w:pPr>
      <w:r>
        <w:t>Anti</w:t>
      </w:r>
      <w:r>
        <w:noBreakHyphen/>
        <w:t>dumping taxes are unnecessary</w:t>
      </w:r>
    </w:p>
    <w:p w:rsidR="00745FEA" w:rsidRDefault="00745FEA" w:rsidP="00745FEA">
      <w:pPr>
        <w:pStyle w:val="BodyText"/>
      </w:pPr>
      <w:r>
        <w:t>Notwithstanding the poor justification for anti</w:t>
      </w:r>
      <w:r>
        <w:noBreakHyphen/>
        <w:t xml:space="preserve">dumping measures </w:t>
      </w:r>
      <w:r w:rsidRPr="0095741F">
        <w:rPr>
          <w:szCs w:val="24"/>
        </w:rPr>
        <w:t>(PC 2016)</w:t>
      </w:r>
      <w:r>
        <w:t xml:space="preserve">, their </w:t>
      </w:r>
      <w:r w:rsidRPr="00B523FF">
        <w:t xml:space="preserve">use </w:t>
      </w:r>
      <w:r>
        <w:t>has been rising and the policy regime has made it easier for parties to seek protection (figure 1.5)</w:t>
      </w:r>
      <w:r w:rsidRPr="00B523FF">
        <w:t xml:space="preserve">. </w:t>
      </w:r>
      <w:r>
        <w:t>For example, legislative changes in 2017 may have the effect of extending the anti</w:t>
      </w:r>
      <w:r>
        <w:noBreakHyphen/>
        <w:t>dumping duties that would previously have been reviewed and repealed after 12 months where dumping activity has stopped. While anti</w:t>
      </w:r>
      <w:r>
        <w:noBreakHyphen/>
        <w:t xml:space="preserve">dumping duties are small in value when compared with general tariffs or many forms of industry assistance, their incidence is highly concentrated and, therefore, highly inefficient. </w:t>
      </w:r>
    </w:p>
    <w:p w:rsidR="00745FEA" w:rsidRDefault="00745FEA" w:rsidP="00745FEA">
      <w:pPr>
        <w:pStyle w:val="BodyText"/>
      </w:pPr>
      <w:r>
        <w:t>Growth in Australian anti</w:t>
      </w:r>
      <w:r>
        <w:noBreakHyphen/>
        <w:t>dumping activity had been concentrated in the steel sector. In 2014</w:t>
      </w:r>
      <w:r>
        <w:noBreakHyphen/>
        <w:t>15 steel products accounted for 86 per cent of anti</w:t>
      </w:r>
      <w:r>
        <w:noBreakHyphen/>
        <w:t>dumping and countervailing investigations and 60 per cent of all the measures imposed in 2014</w:t>
      </w:r>
      <w:r>
        <w:noBreakHyphen/>
        <w:t>15. The average dumping duty imposed by Australia between 2009 and 2015 was 17 per cent. The cost of the protection to local steel</w:t>
      </w:r>
      <w:r>
        <w:noBreakHyphen/>
        <w:t>using industries is a function of the duration of measures as well as their magnitude. The available data suggest that a significant proportion of measures are extended beyond their initial term of five years. For example, across all sectors, 60 per cent of measures eligible for renewal between 2008</w:t>
      </w:r>
      <w:r>
        <w:noBreakHyphen/>
        <w:t>09 and 2014</w:t>
      </w:r>
      <w:r>
        <w:noBreakHyphen/>
        <w:t>15 were extended and in some cases protection has been provided for very long periods (15 years or longer).</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1.</w:t>
            </w:r>
            <w:r>
              <w:rPr>
                <w:b w:val="0"/>
                <w:noProof/>
              </w:rPr>
              <w:t>5</w:t>
            </w:r>
            <w:r>
              <w:tab/>
              <w:t>Australian anti</w:t>
            </w:r>
            <w:r>
              <w:noBreakHyphen/>
              <w:t>dumping activity 1989</w:t>
            </w:r>
            <w:r>
              <w:noBreakHyphen/>
              <w:t>90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8504" w:type="dxa"/>
                  <w:tcBorders>
                    <w:top w:val="nil"/>
                    <w:bottom w:val="nil"/>
                  </w:tcBorders>
                </w:tcPr>
                <w:p w:rsidR="00745FEA" w:rsidRDefault="00745FEA" w:rsidP="00745FEA">
                  <w:pPr>
                    <w:pStyle w:val="Figure"/>
                    <w:spacing w:before="60" w:after="60"/>
                    <w:rPr>
                      <w:rFonts w:ascii="Arial" w:hAnsi="Arial" w:cs="Arial"/>
                      <w:sz w:val="18"/>
                      <w:szCs w:val="18"/>
                    </w:rPr>
                  </w:pPr>
                </w:p>
                <w:p w:rsidR="009504ED" w:rsidRPr="00B1465D" w:rsidRDefault="009504ED" w:rsidP="00745FEA">
                  <w:pPr>
                    <w:pStyle w:val="Figure"/>
                    <w:spacing w:before="60" w:after="60"/>
                    <w:rPr>
                      <w:rFonts w:ascii="Arial" w:hAnsi="Arial" w:cs="Arial"/>
                      <w:sz w:val="18"/>
                      <w:szCs w:val="18"/>
                    </w:rPr>
                  </w:pPr>
                  <w:r w:rsidRPr="009504ED">
                    <w:rPr>
                      <w:rFonts w:ascii="Arial" w:hAnsi="Arial" w:cs="Arial"/>
                      <w:noProof/>
                      <w:sz w:val="18"/>
                      <w:szCs w:val="18"/>
                    </w:rPr>
                    <w:drawing>
                      <wp:inline distT="0" distB="0" distL="0" distR="0">
                        <wp:extent cx="5181600" cy="2621280"/>
                        <wp:effectExtent l="0" t="0" r="0" b="7620"/>
                        <wp:docPr id="5" name="Picture 5" descr="This figure shows Australian anti-dumping activity, including initiations and measures imposed, from 1989 90 to 2016 17. In more recent years the use of anti-dumping measures has been rising and changes in Australian Government anti-dumping policy has made it easier for parties to seek prot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84943" cy="2622971"/>
                                </a:xfrm>
                                <a:prstGeom prst="rect">
                                  <a:avLst/>
                                </a:prstGeom>
                                <a:noFill/>
                                <a:ln>
                                  <a:noFill/>
                                </a:ln>
                              </pic:spPr>
                            </pic:pic>
                          </a:graphicData>
                        </a:graphic>
                      </wp:inline>
                    </w:drawing>
                  </w:r>
                </w:p>
              </w:tc>
            </w:tr>
          </w:tbl>
          <w:p w:rsidR="00745FEA" w:rsidRDefault="00745FEA" w:rsidP="00745FEA">
            <w:pPr>
              <w:pStyle w:val="Figure"/>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FA3B09">
            <w:pPr>
              <w:pStyle w:val="Source"/>
            </w:pPr>
            <w:r>
              <w:rPr>
                <w:i/>
              </w:rPr>
              <w:t>S</w:t>
            </w:r>
            <w:r w:rsidRPr="00784A05">
              <w:rPr>
                <w:i/>
              </w:rPr>
              <w:t>ource</w:t>
            </w:r>
            <w:r w:rsidRPr="00176D3F">
              <w:t xml:space="preserve">: </w:t>
            </w:r>
            <w:r>
              <w:t xml:space="preserve">Commission </w:t>
            </w:r>
            <w:r w:rsidR="00FA3B09">
              <w:t>estimates</w:t>
            </w:r>
            <w:r>
              <w:t xml:space="preserve">. </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2"/>
      </w:pPr>
      <w:bookmarkStart w:id="25" w:name="_Toc511745361"/>
      <w:r>
        <w:t>1.</w:t>
      </w:r>
      <w:r>
        <w:rPr>
          <w:noProof/>
        </w:rPr>
        <w:t>4</w:t>
      </w:r>
      <w:r>
        <w:tab/>
      </w:r>
      <w:r w:rsidR="00FB1638">
        <w:t>Some trade and assistance implications of n</w:t>
      </w:r>
      <w:r>
        <w:t>ational security</w:t>
      </w:r>
      <w:bookmarkEnd w:id="25"/>
      <w:r w:rsidR="00FB1638">
        <w:t xml:space="preserve"> measures</w:t>
      </w:r>
    </w:p>
    <w:p w:rsidR="00745FEA" w:rsidRPr="00116EA6" w:rsidRDefault="00745FEA" w:rsidP="00116EA6">
      <w:pPr>
        <w:pStyle w:val="BodyText"/>
        <w:rPr>
          <w:spacing w:val="-2"/>
        </w:rPr>
      </w:pPr>
      <w:r w:rsidRPr="00116EA6">
        <w:rPr>
          <w:spacing w:val="-2"/>
        </w:rPr>
        <w:t>National security — the safety of a country from war, espionage, serious and organised crime, biosecurity threats, terrorism and cyber attacks — is of great value to the Australian people, with the threats of the latter two particularly attracting recent public and policy attention. In recent years, there has been an expansion of Australian regulations and laws and, by some assessments, there has also been an increase in overall counter</w:t>
      </w:r>
      <w:r w:rsidRPr="00116EA6">
        <w:rPr>
          <w:spacing w:val="-2"/>
        </w:rPr>
        <w:noBreakHyphen/>
        <w:t>terrorism resourcing. These policies can also have trade and assistance effects by acting as barriers to international trade in goods or services, though to date it has only been possible to include budgetary outlays in the Commission’s assistance estimates.</w:t>
      </w:r>
    </w:p>
    <w:p w:rsidR="00745FEA" w:rsidRDefault="00745FEA" w:rsidP="00116EA6">
      <w:pPr>
        <w:pStyle w:val="BodyText"/>
      </w:pPr>
      <w:r>
        <w:t>Four recent policy developments in the trade and assistance arena that relate to national security are:</w:t>
      </w:r>
    </w:p>
    <w:p w:rsidR="00745FEA" w:rsidRPr="00646DCE" w:rsidRDefault="00745FEA" w:rsidP="00745FEA">
      <w:pPr>
        <w:pStyle w:val="ListBullet"/>
        <w:rPr>
          <w:spacing w:val="-2"/>
        </w:rPr>
      </w:pPr>
      <w:r w:rsidRPr="00646DCE">
        <w:rPr>
          <w:spacing w:val="-2"/>
        </w:rPr>
        <w:t>mandatory meta</w:t>
      </w:r>
      <w:r w:rsidRPr="00646DCE">
        <w:rPr>
          <w:spacing w:val="-2"/>
        </w:rPr>
        <w:noBreakHyphen/>
        <w:t>data retention requirements for certain telecommunication businesses and the provision of $128 million industry assistance towards defraying the compliance costs</w:t>
      </w:r>
    </w:p>
    <w:p w:rsidR="00745FEA" w:rsidRDefault="00745FEA" w:rsidP="00745FEA">
      <w:pPr>
        <w:pStyle w:val="ListBullet"/>
      </w:pPr>
      <w:r>
        <w:t>restrictions on the cross</w:t>
      </w:r>
      <w:r>
        <w:noBreakHyphen/>
        <w:t>border flow of data for security</w:t>
      </w:r>
      <w:r>
        <w:noBreakHyphen/>
        <w:t>related purposes, and the inclusion in trade agreements, notably the TPP, of provisions seeking to discipline unnecessary restrictions</w:t>
      </w:r>
    </w:p>
    <w:p w:rsidR="00745FEA" w:rsidRDefault="00745FEA" w:rsidP="00745FEA">
      <w:pPr>
        <w:pStyle w:val="ListBullet"/>
      </w:pPr>
      <w:r>
        <w:t>aviation security regulation, which has involved significant costs to airport and airline operators, with some industry assistance provided to Australian airport operators to help defray these costs</w:t>
      </w:r>
    </w:p>
    <w:p w:rsidR="00745FEA" w:rsidRDefault="00745FEA" w:rsidP="00745FEA">
      <w:pPr>
        <w:pStyle w:val="ListBullet"/>
      </w:pPr>
      <w:r>
        <w:t>cost recovery of security screening for low-value international consignments.</w:t>
      </w:r>
    </w:p>
    <w:p w:rsidR="00745FEA" w:rsidRPr="00116EA6" w:rsidRDefault="00745FEA" w:rsidP="00116EA6">
      <w:pPr>
        <w:pStyle w:val="BodyText"/>
        <w:rPr>
          <w:spacing w:val="-2"/>
        </w:rPr>
      </w:pPr>
      <w:r w:rsidRPr="00116EA6">
        <w:rPr>
          <w:spacing w:val="-2"/>
        </w:rPr>
        <w:t>Like any area of government regulation, national security measures should be designed to be effective in reducing harm and efficient in their use of government funds and in the compliance costs they create. Poor policy design, precisely because national security is so important, can carry large economic costs. Estimates of the economic impact of (overly blunt) data localisation laws, for example, are large because security of data is fundamental to the Australian economy today.</w:t>
      </w:r>
    </w:p>
    <w:p w:rsidR="00745FEA" w:rsidRPr="00116EA6" w:rsidRDefault="00745FEA" w:rsidP="00116EA6">
      <w:pPr>
        <w:pStyle w:val="BodyText"/>
        <w:rPr>
          <w:spacing w:val="-2"/>
        </w:rPr>
      </w:pPr>
      <w:r w:rsidRPr="00116EA6">
        <w:rPr>
          <w:spacing w:val="-2"/>
        </w:rPr>
        <w:t xml:space="preserve">There is little transparency of government spending in pursuit of national security objectives (such as airport security), nor the compliance costs that regulation imposes on Australian businesses and consumers. While security measures often necessitate secrecy, this should not preclude careful assessment of governments’ spending and regulatory measures aimed at averting terrorism or ameliorating its effects. </w:t>
      </w:r>
    </w:p>
    <w:p w:rsidR="00745FEA" w:rsidRPr="00116EA6" w:rsidRDefault="00745FEA" w:rsidP="00116EA6">
      <w:pPr>
        <w:pStyle w:val="BodyText"/>
        <w:rPr>
          <w:spacing w:val="-2"/>
        </w:rPr>
      </w:pPr>
      <w:r w:rsidRPr="00116EA6">
        <w:rPr>
          <w:spacing w:val="-2"/>
        </w:rPr>
        <w:t>Some have also queried whether the overall system of counter</w:t>
      </w:r>
      <w:r w:rsidRPr="00116EA6">
        <w:rPr>
          <w:spacing w:val="-2"/>
        </w:rPr>
        <w:noBreakHyphen/>
        <w:t>terrorism measures should be redesigned to achieve its objectives at lower cost to the community. National security policy would benefit from systemic periodic review by an agency with the appropriate security clearance and access to understand thoroughly the costs, benefits and risks inherent in the system. In addition, the development of a rigorous and publicly available framework for decision</w:t>
      </w:r>
      <w:r w:rsidRPr="00116EA6">
        <w:rPr>
          <w:spacing w:val="-2"/>
        </w:rPr>
        <w:noBreakHyphen/>
        <w:t>making in security</w:t>
      </w:r>
      <w:r w:rsidRPr="00116EA6">
        <w:rPr>
          <w:spacing w:val="-2"/>
        </w:rPr>
        <w:noBreakHyphen/>
        <w:t>related policy would provide a tool for good decision making, especially when decisions must be made quickly as the form and nature of threats change. Such a framework would also foster public understanding and support for national security decisions.</w:t>
      </w:r>
    </w:p>
    <w:p w:rsidR="00745FEA" w:rsidRPr="00116EA6" w:rsidRDefault="00745FEA" w:rsidP="00745FEA">
      <w:pPr>
        <w:rPr>
          <w:spacing w:val="-2"/>
        </w:rPr>
        <w:sectPr w:rsidR="00745FEA" w:rsidRPr="00116EA6" w:rsidSect="00361C12">
          <w:headerReference w:type="even" r:id="rId35"/>
          <w:headerReference w:type="default" r:id="rId36"/>
          <w:footerReference w:type="even" r:id="rId37"/>
          <w:footerReference w:type="default" r:id="rId38"/>
          <w:pgSz w:w="11907" w:h="16840" w:code="9"/>
          <w:pgMar w:top="1985" w:right="1304" w:bottom="1247" w:left="1814" w:header="1701" w:footer="397" w:gutter="0"/>
          <w:pgNumType w:start="1" w:chapSep="period"/>
          <w:cols w:space="720"/>
          <w:docGrid w:linePitch="326"/>
        </w:sectPr>
      </w:pPr>
    </w:p>
    <w:p w:rsidR="00745FEA" w:rsidRDefault="00745FEA" w:rsidP="00745FEA">
      <w:pPr>
        <w:pStyle w:val="Heading1"/>
      </w:pPr>
      <w:bookmarkStart w:id="26" w:name="_Toc511745362"/>
      <w:r>
        <w:t>2</w:t>
      </w:r>
      <w:r>
        <w:tab/>
        <w:t>Assistance estimates</w:t>
      </w:r>
      <w:bookmarkEnd w:id="26"/>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rsidP="00745FEA">
            <w:pPr>
              <w:pStyle w:val="BoxTitle"/>
            </w:pPr>
            <w:r>
              <w:t>Key points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ListBullet"/>
            </w:pPr>
            <w:r>
              <w:t>For 2016</w:t>
            </w:r>
            <w:r>
              <w:noBreakHyphen/>
              <w:t>17, estimated gross assistance to industry provided by the Australian Governmen</w:t>
            </w:r>
            <w:r w:rsidR="00BD4915">
              <w:t>t</w:t>
            </w:r>
            <w:r w:rsidR="0066331F">
              <w:t xml:space="preserve"> was </w:t>
            </w:r>
            <w:r w:rsidR="00FC1CDB">
              <w:t>$</w:t>
            </w:r>
            <w:r w:rsidR="0066331F">
              <w:t xml:space="preserve">19.3 billion, </w:t>
            </w:r>
            <w:r>
              <w:t xml:space="preserve">comprised </w:t>
            </w:r>
            <w:r w:rsidR="0066331F">
              <w:t xml:space="preserve">of </w:t>
            </w:r>
            <w:r>
              <w:t>$6.8 billion in output tariff assistance, $5.3 billion in budgetary outlays and $7.2 billion in tax concessions. After deducting the cost penalty of tariffs on imported inputs ($5.9 billion</w:t>
            </w:r>
            <w:r w:rsidRPr="00287954">
              <w:t>, two</w:t>
            </w:r>
            <w:r>
              <w:noBreakHyphen/>
            </w:r>
            <w:r w:rsidRPr="00287954">
              <w:t>thirds incurred by services industries</w:t>
            </w:r>
            <w:r>
              <w:t xml:space="preserve">), net assistance to industry was $13.4 billion. </w:t>
            </w:r>
          </w:p>
          <w:p w:rsidR="00745FEA" w:rsidRDefault="00745FEA" w:rsidP="00745FEA">
            <w:pPr>
              <w:pStyle w:val="BoxListBullet2"/>
            </w:pPr>
            <w:r>
              <w:t>The gross value of tariff output assistance increased marginally in 2016</w:t>
            </w:r>
            <w:r>
              <w:noBreakHyphen/>
              <w:t>17, while the input tariff penalty has risen slowly over time, leading to a fall in net tariff assistance but at a slower rate than in previous years.</w:t>
            </w:r>
          </w:p>
          <w:p w:rsidR="00745FEA" w:rsidRDefault="00745FEA" w:rsidP="00745FEA">
            <w:pPr>
              <w:pStyle w:val="BoxListBullet"/>
            </w:pPr>
            <w:r w:rsidRPr="002D5679">
              <w:t>Aggregate budgetary assistance is calculated to have increased in 2016</w:t>
            </w:r>
            <w:r>
              <w:noBreakHyphen/>
            </w:r>
            <w:r w:rsidRPr="002D5679">
              <w:t>17. The main reason for the increase was the expansion of tax relief to small businesses through more generous depreciation allowances and a concessional company tax rate. Budgetary assistance to R&amp;D also increased due to an increase in the reported level of eligible business expenditure.</w:t>
            </w:r>
            <w:r>
              <w:t xml:space="preserve"> </w:t>
            </w:r>
          </w:p>
          <w:p w:rsidR="00745FEA" w:rsidRDefault="00745FEA" w:rsidP="00745FEA">
            <w:pPr>
              <w:pStyle w:val="BoxListBullet"/>
            </w:pPr>
            <w:r>
              <w:t>The effective rates of combined assistance have continued to fall for most industries.</w:t>
            </w:r>
          </w:p>
          <w:p w:rsidR="00745FEA" w:rsidRDefault="00745FEA" w:rsidP="00745FEA">
            <w:pPr>
              <w:pStyle w:val="BoxListBullet2"/>
            </w:pPr>
            <w:r>
              <w:t>Despite a small decline, higher rates continue in motor vehicles and parts (9.4 per cent). They have continued to fall in textiles, leather, clothing and footwear (3.6 per cent).</w:t>
            </w:r>
          </w:p>
          <w:p w:rsidR="00745FEA" w:rsidRDefault="00745FEA" w:rsidP="00745FEA">
            <w:pPr>
              <w:pStyle w:val="BoxListBullet2"/>
            </w:pPr>
            <w:r>
              <w:t>Rates have fallen for dairy cattle farming (1.4 per cent) while sheep, beef cattle and grain farming rates have stabilised (4.2 per cent).</w:t>
            </w:r>
          </w:p>
          <w:p w:rsidR="00745FEA" w:rsidRDefault="00745FEA" w:rsidP="00745FEA">
            <w:pPr>
              <w:pStyle w:val="BoxListBullet"/>
            </w:pPr>
            <w:r>
              <w:t>The incidence of assistance varies widely between sectors.</w:t>
            </w:r>
          </w:p>
          <w:p w:rsidR="00745FEA" w:rsidRDefault="00745FEA" w:rsidP="00745FEA">
            <w:pPr>
              <w:pStyle w:val="BoxListBullet2"/>
            </w:pPr>
            <w:r>
              <w:t>Negative net tariff assistance has been rising for services and mining, while output tariff assistance is focused on manufacturing and input cost penalties fall on all sectors.</w:t>
            </w:r>
          </w:p>
          <w:p w:rsidR="00745FEA" w:rsidRDefault="00745FEA" w:rsidP="00745FEA">
            <w:pPr>
              <w:pStyle w:val="BoxListBullet2"/>
            </w:pPr>
            <w:r>
              <w:t>The share of budgetary assistance to manufacturing and primary production is much higher than their share of the economy.</w:t>
            </w:r>
          </w:p>
          <w:p w:rsidR="00745FEA" w:rsidRDefault="00745FEA" w:rsidP="00745FEA">
            <w:pPr>
              <w:pStyle w:val="BoxListBullet"/>
            </w:pPr>
            <w:r>
              <w:t>Over the past 45 years, assistance to the manufacturing and agricultural sectors has fallen dramatically, and significant disparities between industries within these sectors have narrowed.</w:t>
            </w:r>
          </w:p>
          <w:p w:rsidR="00745FEA" w:rsidRDefault="00745FEA" w:rsidP="00745FEA">
            <w:pPr>
              <w:pStyle w:val="BoxListBullet"/>
            </w:pPr>
            <w:r>
              <w:t xml:space="preserve">The measured estimates are conservative as they exclude significant assistance that is difficult to quantify. This includes: favourable finance (loans, debt, equity, guarantees); local purchasing preferences for defence equipment; and regulatory restrictions on competition. It also excludes state and territory government support to industry. </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pPr>
        <w:rPr>
          <w:szCs w:val="20"/>
        </w:rPr>
      </w:pPr>
      <w:r>
        <w:br w:type="page"/>
      </w:r>
    </w:p>
    <w:p w:rsidR="00745FEA" w:rsidRDefault="00745FEA" w:rsidP="00745FEA">
      <w:pPr>
        <w:pStyle w:val="BodyText"/>
      </w:pPr>
      <w:r>
        <w:t>Industry is assisted through a wide array of government programs, regulatory instruments and policies. Each year, the Commission updates and publishes estimates of the assistance provided by:</w:t>
      </w:r>
    </w:p>
    <w:p w:rsidR="00745FEA" w:rsidRDefault="00745FEA" w:rsidP="00745FEA">
      <w:pPr>
        <w:pStyle w:val="ListBullet"/>
      </w:pPr>
      <w:r>
        <w:t>import tariffs, which raise the price of imported products (mainly manufactured goods) allowing competing domestic firms to charge higher prices.</w:t>
      </w:r>
      <w:r w:rsidRPr="007F5E0F">
        <w:t xml:space="preserve"> </w:t>
      </w:r>
      <w:r>
        <w:t>The tariff assistance estimate is the equivalent budget outlay to the industry that would be expected to have the same effect on Australian producer’s prices and volumes of production. The measure is not the amount of duty collected.</w:t>
      </w:r>
    </w:p>
    <w:p w:rsidR="00745FEA" w:rsidRDefault="00745FEA" w:rsidP="00745FEA">
      <w:pPr>
        <w:pStyle w:val="ListBullet"/>
      </w:pPr>
      <w:r>
        <w:t>Australian Government budgetary measures — divided into government subsidies (predominantly grants and concessional loans) and tax concessions. This budgetary support advantages recipient firms and industries relative to those that do not receive support.</w:t>
      </w:r>
      <w:r w:rsidRPr="00B76C5B">
        <w:rPr>
          <w:rStyle w:val="FootnoteReference"/>
        </w:rPr>
        <w:footnoteReference w:id="4"/>
      </w:r>
      <w:r>
        <w:t xml:space="preserve"> </w:t>
      </w:r>
    </w:p>
    <w:p w:rsidR="00745FEA" w:rsidRDefault="00745FEA" w:rsidP="00745FEA">
      <w:pPr>
        <w:pStyle w:val="BodyText"/>
      </w:pPr>
      <w:r>
        <w:t>The estimates cover a broad range of measures that afford substantive support to industry and that can be readily quantified on a consistent annual basis. However, they do not capture all Australian Government support for industry (box 2.1). For example, the assistance provided through government regulation is not included in the estimates, nor is assistance arising from government purchasing preferences. In large part this is because the extent of these forms of assistance is difficult to estimate. The estimates also do not include assistance from other government jurisdictions. This can be considerable. A detailed study for the 2009</w:t>
      </w:r>
      <w:r>
        <w:noBreakHyphen/>
        <w:t xml:space="preserve">10 </w:t>
      </w:r>
      <w:r w:rsidRPr="007E4AA1">
        <w:rPr>
          <w:i/>
        </w:rPr>
        <w:t>Review</w:t>
      </w:r>
      <w:r>
        <w:t xml:space="preserve"> indicated that State and Territory assistance to industry amounted to around $4 billion in identifiable assistance in 2008</w:t>
      </w:r>
      <w:r>
        <w:noBreakHyphen/>
        <w:t xml:space="preserve">09 </w:t>
      </w:r>
      <w:r w:rsidRPr="003B712E">
        <w:rPr>
          <w:szCs w:val="24"/>
        </w:rPr>
        <w:t>(PC 2011)</w:t>
      </w:r>
      <w:r>
        <w:t xml:space="preserve">. The reported estimates in this chapter, therefore, do not cover the full extent of assistance to industry and the gap between reported values and actual assistance is potentially large. </w:t>
      </w:r>
    </w:p>
    <w:p w:rsidR="00745FEA" w:rsidRDefault="00745FEA" w:rsidP="00745FEA">
      <w:pPr>
        <w:pStyle w:val="BodyText"/>
      </w:pPr>
      <w:r>
        <w:t xml:space="preserve">There are also government policies that can advantage businesses that are not considered industry assistance. This arises where activities to support social or other objectives increases demand for an industry’s products, or where it lowers the costs of production for some businesses (box 2.1). This chapter reports on government activities that constitute industry assistance and that can be readily measured. </w:t>
      </w:r>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pPr>
              <w:pStyle w:val="BoxTitle"/>
            </w:pPr>
            <w:r>
              <w:rPr>
                <w:b w:val="0"/>
              </w:rPr>
              <w:t>Box 2.</w:t>
            </w:r>
            <w:r>
              <w:rPr>
                <w:b w:val="0"/>
                <w:noProof/>
              </w:rPr>
              <w:t>1</w:t>
            </w:r>
            <w:r>
              <w:tab/>
              <w:t>W</w:t>
            </w:r>
            <w:r w:rsidRPr="00247A44">
              <w:rPr>
                <w:rFonts w:ascii="Arial Bold" w:hAnsi="Arial Bold"/>
                <w:spacing w:val="-4"/>
              </w:rPr>
              <w:t>hat is not included in the Commission’s assistance estimates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 xml:space="preserve">The Commission’s assistance estimates cover only those measures that selectively benefit particular firms, industries or activities, and that can be quantified given practical constraints in measurement and data availability. Consequently, there are some significant government programs which selectively confer industry assistance, but cannot be appropriately estimated. Conversely, certain businesses benefit significantly from some government arrangements, but the benefit is not classified as (preferential) industry assistance, generally because the purpose of the arrangement is a broader public objective. </w:t>
            </w:r>
          </w:p>
          <w:p w:rsidR="00745FEA" w:rsidRDefault="00745FEA" w:rsidP="00745FEA">
            <w:pPr>
              <w:pStyle w:val="BoxHeading1"/>
            </w:pPr>
            <w:r>
              <w:t>Examples of industry assistance not included in the core estimates</w:t>
            </w:r>
          </w:p>
          <w:p w:rsidR="00745FEA" w:rsidRDefault="00745FEA" w:rsidP="00745FEA">
            <w:pPr>
              <w:pStyle w:val="BoxListBullet"/>
            </w:pPr>
            <w:r>
              <w:t xml:space="preserve">Regulatory restrictions on competition such as those relating to pharmacies, air services, importation of books, media and broadcasting, </w:t>
            </w:r>
            <w:r w:rsidRPr="007E01AF">
              <w:t>and importation of second hand cars</w:t>
            </w:r>
          </w:p>
          <w:p w:rsidR="00745FEA" w:rsidRDefault="00745FEA" w:rsidP="00745FEA">
            <w:pPr>
              <w:pStyle w:val="BoxListBullet"/>
            </w:pPr>
            <w:r>
              <w:t>Government purchasing preferences and local content arrangements, such as defence procurement</w:t>
            </w:r>
          </w:p>
          <w:p w:rsidR="00745FEA" w:rsidRDefault="00745FEA" w:rsidP="00745FEA">
            <w:pPr>
              <w:pStyle w:val="BoxListBullet"/>
            </w:pPr>
            <w:r>
              <w:t>Concessional debt and equity finance</w:t>
            </w:r>
          </w:p>
          <w:p w:rsidR="00745FEA" w:rsidRDefault="00745FEA" w:rsidP="00745FEA">
            <w:pPr>
              <w:pStyle w:val="BoxListBullet"/>
            </w:pPr>
            <w:r>
              <w:t>State and territory government support to industry</w:t>
            </w:r>
          </w:p>
          <w:p w:rsidR="00745FEA" w:rsidRDefault="00745FEA" w:rsidP="00745FEA">
            <w:pPr>
              <w:pStyle w:val="BoxListBullet"/>
            </w:pPr>
            <w:r>
              <w:t>Anti dumping and countervailing duties</w:t>
            </w:r>
          </w:p>
          <w:p w:rsidR="00745FEA" w:rsidRDefault="00745FEA" w:rsidP="00745FEA">
            <w:pPr>
              <w:pStyle w:val="BoxListBullet"/>
            </w:pPr>
            <w:r>
              <w:t>Access and pricing of resources (mining, forestry, fisheries and water), if on favourable economic terms</w:t>
            </w:r>
          </w:p>
          <w:p w:rsidR="00745FEA" w:rsidRDefault="00745FEA" w:rsidP="00745FEA">
            <w:pPr>
              <w:pStyle w:val="BoxListBullet"/>
            </w:pPr>
            <w:r>
              <w:t>Support for professional sport (such as tax concessions for international tournaments in Australia and support for sporting venue redevelopment).</w:t>
            </w:r>
          </w:p>
          <w:p w:rsidR="00745FEA" w:rsidRDefault="00745FEA" w:rsidP="00745FEA">
            <w:pPr>
              <w:pStyle w:val="Box"/>
            </w:pPr>
            <w:r>
              <w:t xml:space="preserve">Some of these arrangements have been examined in detail in inquiries, research reports, and previous Reviews. </w:t>
            </w:r>
          </w:p>
          <w:p w:rsidR="00745FEA" w:rsidRDefault="00745FEA" w:rsidP="00745FEA">
            <w:pPr>
              <w:pStyle w:val="BoxHeading1"/>
            </w:pPr>
            <w:r>
              <w:t>Examples of policies that provide a benefit to certain businesses that are not classified as industry assistance</w:t>
            </w:r>
          </w:p>
          <w:p w:rsidR="00745FEA" w:rsidRDefault="00745FEA" w:rsidP="00745FEA">
            <w:pPr>
              <w:pStyle w:val="BoxListBullet"/>
            </w:pPr>
            <w:r>
              <w:t>Superannuation concessions</w:t>
            </w:r>
          </w:p>
          <w:p w:rsidR="00745FEA" w:rsidRDefault="00745FEA" w:rsidP="00745FEA">
            <w:pPr>
              <w:pStyle w:val="BoxListBullet"/>
            </w:pPr>
            <w:r>
              <w:t>Health insurance rebate</w:t>
            </w:r>
          </w:p>
          <w:p w:rsidR="00745FEA" w:rsidRDefault="00745FEA" w:rsidP="00745FEA">
            <w:pPr>
              <w:pStyle w:val="BoxListBullet"/>
            </w:pPr>
            <w:r>
              <w:t>Government funding of private community service providers</w:t>
            </w:r>
          </w:p>
          <w:p w:rsidR="00745FEA" w:rsidRDefault="00745FEA" w:rsidP="00745FEA">
            <w:pPr>
              <w:pStyle w:val="BoxListBullet"/>
            </w:pPr>
            <w:r>
              <w:t>Indigenous business support</w:t>
            </w:r>
          </w:p>
          <w:p w:rsidR="00745FEA" w:rsidRDefault="00745FEA" w:rsidP="00745FEA">
            <w:pPr>
              <w:pStyle w:val="BoxListBullet"/>
            </w:pPr>
            <w:r>
              <w:t>Employment incentives to business</w:t>
            </w:r>
          </w:p>
          <w:p w:rsidR="00745FEA" w:rsidRDefault="00745FEA" w:rsidP="00745FEA">
            <w:pPr>
              <w:pStyle w:val="BoxListBullet"/>
            </w:pPr>
            <w:r>
              <w:t>Remote housing concessions in mining regions</w:t>
            </w:r>
          </w:p>
          <w:p w:rsidR="00745FEA" w:rsidRDefault="00745FEA" w:rsidP="00745FEA">
            <w:pPr>
              <w:pStyle w:val="BoxListBullet"/>
            </w:pPr>
            <w:r w:rsidRPr="007E01AF">
              <w:t xml:space="preserve">Differential tax rates in relation to </w:t>
            </w:r>
            <w:r>
              <w:t>excises, GST and Fringe Benefit Tax (and state payroll tax)</w:t>
            </w:r>
          </w:p>
          <w:p w:rsidR="00745FEA" w:rsidRDefault="00745FEA" w:rsidP="00745FEA">
            <w:pPr>
              <w:pStyle w:val="BoxListBullet"/>
            </w:pPr>
            <w:r>
              <w:t>Improved transport infrastructure, for example, an upgraded road in a concentrated beef producing area would be expected to lower logistics costs for beef producers, but the road is not for the sole use of beef producers.</w:t>
            </w:r>
          </w:p>
          <w:p w:rsidR="00745FEA" w:rsidRDefault="00745FEA" w:rsidP="00745FEA">
            <w:pPr>
              <w:pStyle w:val="Box"/>
            </w:pPr>
            <w:r>
              <w:t xml:space="preserve">Although not classified as assistance, evaluations of </w:t>
            </w:r>
            <w:r w:rsidR="0055201A">
              <w:t>these programs</w:t>
            </w:r>
            <w:r>
              <w:t xml:space="preserve"> should include analysis of the differential effects on businesses in an industry and across industries.</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The following sections present the 2016</w:t>
      </w:r>
      <w:r>
        <w:noBreakHyphen/>
        <w:t xml:space="preserve">17 assistance estimates at the sectoral level (primary production, mining, manufacturing and services), and for 34 detailed industry groupings. Detailed estimates are provided in appendix A. The estimates cover: </w:t>
      </w:r>
    </w:p>
    <w:p w:rsidR="00745FEA" w:rsidRDefault="00745FEA" w:rsidP="00745FEA">
      <w:pPr>
        <w:pStyle w:val="ListBullet"/>
      </w:pPr>
      <w:r>
        <w:t>gross and net assistance provided by import tariffs, which mainly assist the manufacturing sector while raising costs to consumers and to industries that use manufactured and other tariff assisted inputs (section 2.1)</w:t>
      </w:r>
    </w:p>
    <w:p w:rsidR="00745FEA" w:rsidRDefault="00745FEA" w:rsidP="00745FEA">
      <w:pPr>
        <w:pStyle w:val="ListBullet"/>
      </w:pPr>
      <w:r>
        <w:t>Australian Government budgetary measures — divided into government outlays and tax concessions, and then into eight categories (including R&amp;D, export assistance and support to small business), which confer financial support to the recipient businesses (section 2.2)</w:t>
      </w:r>
    </w:p>
    <w:p w:rsidR="00745FEA" w:rsidRDefault="00745FEA" w:rsidP="00745FEA">
      <w:pPr>
        <w:pStyle w:val="ListBullet"/>
      </w:pPr>
      <w:r>
        <w:t>the combined rate of assistance, and the effective rate of assistance, which indicates the extent to which assistance to an industry enables it to attract and hold economic resources relative to other industries (section 2.3)</w:t>
      </w:r>
    </w:p>
    <w:p w:rsidR="00745FEA" w:rsidRDefault="00745FEA" w:rsidP="00745FEA">
      <w:pPr>
        <w:pStyle w:val="ListBullet"/>
      </w:pPr>
      <w:r>
        <w:t>trends in these sources of assistance over the four decades (section 2.4).</w:t>
      </w:r>
    </w:p>
    <w:p w:rsidR="00745FEA" w:rsidRPr="005774D7" w:rsidRDefault="00745FEA" w:rsidP="00745FEA">
      <w:pPr>
        <w:pStyle w:val="Heading2"/>
      </w:pPr>
      <w:bookmarkStart w:id="27" w:name="_Toc511745363"/>
      <w:r>
        <w:t>2.</w:t>
      </w:r>
      <w:r>
        <w:rPr>
          <w:noProof/>
        </w:rPr>
        <w:t>1</w:t>
      </w:r>
      <w:r w:rsidRPr="005774D7">
        <w:tab/>
        <w:t>Tariff assistance</w:t>
      </w:r>
      <w:bookmarkEnd w:id="27"/>
    </w:p>
    <w:p w:rsidR="00745FEA" w:rsidRDefault="00745FEA" w:rsidP="00745FEA">
      <w:pPr>
        <w:pStyle w:val="BodyText"/>
      </w:pPr>
      <w:r>
        <w:t xml:space="preserve">Tariffs have direct effects on the returns received by Australian producers. The Commission’s estimates of tariff assistance are divided into three categories — ‘output’ assistance, ‘input’ assistance and ‘net’ assistance. </w:t>
      </w:r>
    </w:p>
    <w:p w:rsidR="00745FEA" w:rsidRDefault="00745FEA" w:rsidP="00745FEA">
      <w:pPr>
        <w:pStyle w:val="ListBullet"/>
      </w:pPr>
      <w:r>
        <w:t xml:space="preserve">Tariffs on imported goods increase the price at which those goods are sold on the Australian market and, thus, allow scope for domestic producers of competing products to increase their prices. These effects are captured by the Commission’s estimates of </w:t>
      </w:r>
      <w:r w:rsidRPr="00200F2F">
        <w:rPr>
          <w:i/>
        </w:rPr>
        <w:t>output assistance</w:t>
      </w:r>
      <w:r>
        <w:t xml:space="preserve">. Around 50 per cent of product items in Australia’s MFN tariff schedule (at the HS 8 digit level) have a 5 per cent import tariff. </w:t>
      </w:r>
    </w:p>
    <w:p w:rsidR="00745FEA" w:rsidRDefault="00745FEA" w:rsidP="00745FEA">
      <w:pPr>
        <w:pStyle w:val="ListBullet"/>
      </w:pPr>
      <w:r>
        <w:t xml:space="preserve">On the other hand, tariffs also increase the price of local and imported goods that are used as inputs and thus penalise local user industries. This ‘penalty’ is reduced if tariff concessions are available to Australian producers. The penalties are reflected in the Commission’s estimates of </w:t>
      </w:r>
      <w:r w:rsidRPr="00200F2F">
        <w:rPr>
          <w:i/>
        </w:rPr>
        <w:t>input assistance</w:t>
      </w:r>
      <w:r>
        <w:t xml:space="preserve">. </w:t>
      </w:r>
    </w:p>
    <w:p w:rsidR="00745FEA" w:rsidRDefault="00745FEA" w:rsidP="00745FEA">
      <w:pPr>
        <w:pStyle w:val="ListBullet"/>
      </w:pPr>
      <w:r w:rsidRPr="00200F2F">
        <w:rPr>
          <w:i/>
        </w:rPr>
        <w:t>Net tariff assistance</w:t>
      </w:r>
      <w:r>
        <w:t xml:space="preserve"> represents the total net assistance provided through tariffs to industry, and is calculated as output tariff assistance less the input assistance, where input assistance is the cost penalty on business inputs imposed by tariffs (box 2.2).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rsidP="00745FEA">
            <w:pPr>
              <w:pStyle w:val="BoxTitle"/>
            </w:pPr>
            <w:r>
              <w:rPr>
                <w:b w:val="0"/>
              </w:rPr>
              <w:t>Box 2.</w:t>
            </w:r>
            <w:r>
              <w:rPr>
                <w:b w:val="0"/>
                <w:noProof/>
              </w:rPr>
              <w:t>2</w:t>
            </w:r>
            <w:r>
              <w:tab/>
              <w:t xml:space="preserve">Tariff assistance to the </w:t>
            </w:r>
            <w:r w:rsidRPr="00857B50">
              <w:rPr>
                <w:i/>
              </w:rPr>
              <w:t>Food, Beverage and Tobacco products</w:t>
            </w:r>
            <w:r>
              <w:t xml:space="preserve"> industry in 2016</w:t>
            </w:r>
            <w:r>
              <w:noBreakHyphen/>
              <w:t>17</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rsidRPr="00003182">
              <w:t xml:space="preserve">As an example, the estimates of output tariff assistance, input tariff assistance (input tariff penalty) and net tariff assistance are provided for the </w:t>
            </w:r>
            <w:r w:rsidRPr="00003182">
              <w:rPr>
                <w:i/>
              </w:rPr>
              <w:t>Food, Beverage and Tobacco products</w:t>
            </w:r>
            <w:r w:rsidRPr="00003182">
              <w:t xml:space="preserve"> industry.</w:t>
            </w:r>
            <w:r>
              <w:t xml:space="preserve"> </w:t>
            </w:r>
          </w:p>
          <w:p w:rsidR="00745FEA" w:rsidRDefault="004270F2" w:rsidP="00745FEA">
            <w:pPr>
              <w:pStyle w:val="Box"/>
            </w:pPr>
            <w:r w:rsidRPr="004270F2">
              <w:rPr>
                <w:noProof/>
              </w:rPr>
              <w:drawing>
                <wp:inline distT="0" distB="0" distL="0" distR="0" wp14:anchorId="4587B170" wp14:editId="01AEE052">
                  <wp:extent cx="5404514" cy="1546343"/>
                  <wp:effectExtent l="0" t="0" r="5715" b="0"/>
                  <wp:docPr id="29" name="Picture 29" descr="The figure presents the estimates of output tariff assistance, input tariff assistance and net tariff assistance for the Food, Beverage and Tobacco products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5664" cy="1546672"/>
                          </a:xfrm>
                          <a:prstGeom prst="rect">
                            <a:avLst/>
                          </a:prstGeom>
                          <a:noFill/>
                          <a:ln>
                            <a:noFill/>
                          </a:ln>
                        </pic:spPr>
                      </pic:pic>
                    </a:graphicData>
                  </a:graphic>
                </wp:inline>
              </w:drawing>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Source"/>
            </w:pPr>
            <w:r>
              <w:rPr>
                <w:i/>
              </w:rPr>
              <w:t>Source</w:t>
            </w:r>
            <w:r w:rsidRPr="00167F06">
              <w:t xml:space="preserve">: </w:t>
            </w:r>
            <w:r>
              <w:t>Commission estimates.</w:t>
            </w:r>
          </w:p>
        </w:tc>
      </w:tr>
      <w:tr w:rsidR="00745FEA" w:rsidTr="00745FEA">
        <w:tc>
          <w:tcPr>
            <w:tcW w:w="5000" w:type="pct"/>
            <w:tcBorders>
              <w:top w:val="nil"/>
              <w:left w:val="nil"/>
              <w:bottom w:val="single" w:sz="6" w:space="0" w:color="78A22F"/>
              <w:right w:val="nil"/>
            </w:tcBorders>
            <w:shd w:val="clear" w:color="auto" w:fill="F2F2F2"/>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3"/>
        <w:spacing w:before="480"/>
      </w:pPr>
      <w:r w:rsidRPr="005774D7">
        <w:t>The gross value of output assistance increased in 2016</w:t>
      </w:r>
      <w:r w:rsidRPr="005774D7">
        <w:noBreakHyphen/>
        <w:t>17 after falls in</w:t>
      </w:r>
      <w:r>
        <w:t xml:space="preserve"> previous years </w:t>
      </w:r>
    </w:p>
    <w:p w:rsidR="00745FEA" w:rsidRPr="007E01AF" w:rsidRDefault="00745FEA" w:rsidP="00745FEA">
      <w:pPr>
        <w:pStyle w:val="BodyText"/>
      </w:pPr>
      <w:r w:rsidRPr="006D12D4">
        <w:t>The gross value of tariff assistance to domestic production was around $6.8 billion in 201</w:t>
      </w:r>
      <w:r>
        <w:t>6</w:t>
      </w:r>
      <w:r>
        <w:noBreakHyphen/>
        <w:t>17</w:t>
      </w:r>
      <w:r w:rsidRPr="006D12D4">
        <w:t xml:space="preserve">, around </w:t>
      </w:r>
      <w:r>
        <w:t xml:space="preserve">$100 million higher than </w:t>
      </w:r>
      <w:r w:rsidRPr="006D12D4">
        <w:t>the previous year (table</w:t>
      </w:r>
      <w:r>
        <w:t> </w:t>
      </w:r>
      <w:r w:rsidRPr="006D12D4">
        <w:t>2.1). The gross value of tariff assistance fell from 201</w:t>
      </w:r>
      <w:r>
        <w:t>1</w:t>
      </w:r>
      <w:r>
        <w:noBreakHyphen/>
        <w:t>12</w:t>
      </w:r>
      <w:r w:rsidRPr="006D12D4">
        <w:t xml:space="preserve"> to 201</w:t>
      </w:r>
      <w:r>
        <w:t>6</w:t>
      </w:r>
      <w:r>
        <w:noBreakHyphen/>
        <w:t>17</w:t>
      </w:r>
      <w:r w:rsidRPr="006D12D4">
        <w:t xml:space="preserve">. Changes in the gross value of tariff assistance over the period reflect both changes </w:t>
      </w:r>
      <w:r w:rsidRPr="007E01AF">
        <w:t xml:space="preserve">in tariffs </w:t>
      </w:r>
      <w:r w:rsidRPr="006D12D4">
        <w:t xml:space="preserve">and </w:t>
      </w:r>
      <w:r>
        <w:t>the size of industries</w:t>
      </w:r>
      <w:r w:rsidRPr="006D12D4">
        <w:t xml:space="preserve">. Tariffs for certain </w:t>
      </w:r>
      <w:r w:rsidRPr="007B5276">
        <w:rPr>
          <w:i/>
        </w:rPr>
        <w:t>Textile, clothing and footwear</w:t>
      </w:r>
      <w:r w:rsidRPr="006D12D4">
        <w:t xml:space="preserve"> items fell from 10</w:t>
      </w:r>
      <w:r>
        <w:t> per cent</w:t>
      </w:r>
      <w:r w:rsidRPr="006D12D4">
        <w:t xml:space="preserve"> to 5</w:t>
      </w:r>
      <w:r>
        <w:t> per cent</w:t>
      </w:r>
      <w:r w:rsidRPr="006D12D4">
        <w:t xml:space="preserve"> on </w:t>
      </w:r>
      <w:r w:rsidRPr="006D12D4" w:rsidDel="00A6322C">
        <w:t>1</w:t>
      </w:r>
      <w:r>
        <w:t> </w:t>
      </w:r>
      <w:r w:rsidRPr="006D12D4">
        <w:t>anuary</w:t>
      </w:r>
      <w:r>
        <w:t> </w:t>
      </w:r>
      <w:r w:rsidRPr="006D12D4">
        <w:t>2015</w:t>
      </w:r>
      <w:r>
        <w:t xml:space="preserve">, while as part of the WTO Information Technology Agreement, tariffs for certain information technology products fell from 5 per cent to 3.75 per cent on 1 January 2017. </w:t>
      </w:r>
      <w:r w:rsidRPr="006D12D4">
        <w:t>The estimated fall in 2013</w:t>
      </w:r>
      <w:r>
        <w:noBreakHyphen/>
      </w:r>
      <w:r w:rsidRPr="006D12D4">
        <w:t xml:space="preserve">14 reflected lower output levels in tariff assisted activities (mainly </w:t>
      </w:r>
      <w:r w:rsidRPr="007E01AF">
        <w:rPr>
          <w:i/>
        </w:rPr>
        <w:t>Metal and fabricated metal products</w:t>
      </w:r>
      <w:r w:rsidRPr="007E01AF">
        <w:t xml:space="preserve">, and </w:t>
      </w:r>
      <w:r w:rsidRPr="007E01AF">
        <w:rPr>
          <w:i/>
        </w:rPr>
        <w:t>Petroleum, coal, chemical and rubber products</w:t>
      </w:r>
      <w:r w:rsidRPr="007E01AF">
        <w:t xml:space="preserve">). </w:t>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2.</w:t>
            </w:r>
            <w:r>
              <w:rPr>
                <w:b w:val="0"/>
                <w:noProof/>
              </w:rPr>
              <w:t>1</w:t>
            </w:r>
            <w:r>
              <w:tab/>
              <w:t>Tariff assistance</w:t>
            </w:r>
            <w:r w:rsidRPr="0082333C">
              <w:rPr>
                <w:rStyle w:val="NoteLabel"/>
                <w:rFonts w:ascii="Arial Bold" w:hAnsi="Arial Bold"/>
                <w:b/>
                <w:position w:val="10"/>
              </w:rPr>
              <w:t>a</w:t>
            </w:r>
            <w:r>
              <w:t>, 2011</w:t>
            </w:r>
            <w:r>
              <w:noBreakHyphen/>
              <w:t>12 to 2016</w:t>
            </w:r>
            <w:r>
              <w:noBreakHyphen/>
              <w:t>17</w:t>
            </w:r>
          </w:p>
          <w:p w:rsidR="00745FEA" w:rsidRPr="00784A05" w:rsidRDefault="00745FEA" w:rsidP="00745FEA">
            <w:pPr>
              <w:pStyle w:val="Subtitle"/>
            </w:pPr>
            <w:r>
              <w:t>$ million (nominal)</w:t>
            </w:r>
          </w:p>
        </w:tc>
      </w:tr>
      <w:tr w:rsidR="00745FEA" w:rsidTr="00745FE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44"/>
              <w:gridCol w:w="1080"/>
              <w:gridCol w:w="1077"/>
              <w:gridCol w:w="1077"/>
              <w:gridCol w:w="1077"/>
              <w:gridCol w:w="1077"/>
              <w:gridCol w:w="1073"/>
            </w:tblGrid>
            <w:tr w:rsidR="00745FEA" w:rsidTr="00745FEA">
              <w:trPr>
                <w:tblHeader/>
              </w:trPr>
              <w:tc>
                <w:tcPr>
                  <w:tcW w:w="1202"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635" w:type="pct"/>
                  <w:tcBorders>
                    <w:top w:val="single" w:sz="6" w:space="0" w:color="BFBFBF"/>
                    <w:bottom w:val="single" w:sz="6" w:space="0" w:color="BFBFBF"/>
                  </w:tcBorders>
                </w:tcPr>
                <w:p w:rsidR="00745FEA" w:rsidRDefault="00745FEA" w:rsidP="00745FEA">
                  <w:pPr>
                    <w:pStyle w:val="TableColumnHeading"/>
                  </w:pPr>
                  <w:r>
                    <w:t>2011</w:t>
                  </w:r>
                  <w:r>
                    <w:noBreakHyphen/>
                    <w:t>12</w:t>
                  </w:r>
                </w:p>
              </w:tc>
              <w:tc>
                <w:tcPr>
                  <w:tcW w:w="633" w:type="pct"/>
                  <w:tcBorders>
                    <w:top w:val="single" w:sz="6" w:space="0" w:color="BFBFBF"/>
                    <w:bottom w:val="single" w:sz="6" w:space="0" w:color="BFBFBF"/>
                  </w:tcBorders>
                </w:tcPr>
                <w:p w:rsidR="00745FEA" w:rsidRDefault="00745FEA" w:rsidP="00745FEA">
                  <w:pPr>
                    <w:pStyle w:val="TableColumnHeading"/>
                  </w:pPr>
                  <w:r>
                    <w:t>2012</w:t>
                  </w:r>
                  <w:r>
                    <w:noBreakHyphen/>
                    <w:t>13</w:t>
                  </w:r>
                </w:p>
              </w:tc>
              <w:tc>
                <w:tcPr>
                  <w:tcW w:w="633" w:type="pct"/>
                  <w:tcBorders>
                    <w:top w:val="single" w:sz="6" w:space="0" w:color="BFBFBF"/>
                    <w:bottom w:val="single" w:sz="6" w:space="0" w:color="BFBFBF"/>
                  </w:tcBorders>
                </w:tcPr>
                <w:p w:rsidR="00745FEA" w:rsidRDefault="00745FEA" w:rsidP="00745FEA">
                  <w:pPr>
                    <w:pStyle w:val="TableColumnHeading"/>
                  </w:pPr>
                  <w:r>
                    <w:t>2013</w:t>
                  </w:r>
                  <w:r>
                    <w:noBreakHyphen/>
                    <w:t>14</w:t>
                  </w:r>
                </w:p>
              </w:tc>
              <w:tc>
                <w:tcPr>
                  <w:tcW w:w="633" w:type="pct"/>
                  <w:tcBorders>
                    <w:top w:val="single" w:sz="6" w:space="0" w:color="BFBFBF"/>
                    <w:bottom w:val="single" w:sz="6" w:space="0" w:color="BFBFBF"/>
                  </w:tcBorders>
                </w:tcPr>
                <w:p w:rsidR="00745FEA" w:rsidRDefault="00745FEA" w:rsidP="00745FEA">
                  <w:pPr>
                    <w:pStyle w:val="TableColumnHeading"/>
                  </w:pPr>
                  <w:r>
                    <w:t>2014</w:t>
                  </w:r>
                  <w:r>
                    <w:noBreakHyphen/>
                    <w:t>15</w:t>
                  </w:r>
                </w:p>
              </w:tc>
              <w:tc>
                <w:tcPr>
                  <w:tcW w:w="633"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pPr>
                  <w:r>
                    <w:t>2015</w:t>
                  </w:r>
                  <w:r>
                    <w:noBreakHyphen/>
                    <w:t>16</w:t>
                  </w:r>
                </w:p>
              </w:tc>
              <w:tc>
                <w:tcPr>
                  <w:tcW w:w="631"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ind w:right="28"/>
                  </w:pPr>
                  <w:r>
                    <w:t>2016</w:t>
                  </w:r>
                  <w:r>
                    <w:noBreakHyphen/>
                    <w:t>17</w:t>
                  </w:r>
                </w:p>
              </w:tc>
            </w:tr>
            <w:tr w:rsidR="00745FEA" w:rsidTr="00745FEA">
              <w:trPr>
                <w:trHeight w:val="257"/>
              </w:trPr>
              <w:tc>
                <w:tcPr>
                  <w:tcW w:w="1202" w:type="pct"/>
                  <w:tcBorders>
                    <w:top w:val="single" w:sz="6" w:space="0" w:color="BFBFBF"/>
                  </w:tcBorders>
                </w:tcPr>
                <w:p w:rsidR="00745FEA" w:rsidRDefault="00745FEA" w:rsidP="00745FEA">
                  <w:pPr>
                    <w:pStyle w:val="TableBodyText"/>
                    <w:jc w:val="left"/>
                  </w:pPr>
                  <w:r>
                    <w:t>Output assistance</w:t>
                  </w:r>
                </w:p>
              </w:tc>
              <w:tc>
                <w:tcPr>
                  <w:tcW w:w="635" w:type="pct"/>
                  <w:tcBorders>
                    <w:top w:val="single" w:sz="6" w:space="0" w:color="BFBFBF"/>
                  </w:tcBorders>
                </w:tcPr>
                <w:p w:rsidR="00745FEA" w:rsidRPr="00A47C4D" w:rsidRDefault="00745FEA" w:rsidP="00745FEA">
                  <w:pPr>
                    <w:pStyle w:val="TableBodyText"/>
                  </w:pPr>
                  <w:r w:rsidRPr="00A47C4D">
                    <w:t>7</w:t>
                  </w:r>
                  <w:r>
                    <w:t> </w:t>
                  </w:r>
                  <w:r w:rsidRPr="00A47C4D">
                    <w:t>195.3</w:t>
                  </w:r>
                </w:p>
              </w:tc>
              <w:tc>
                <w:tcPr>
                  <w:tcW w:w="633" w:type="pct"/>
                  <w:tcBorders>
                    <w:top w:val="single" w:sz="6" w:space="0" w:color="BFBFBF"/>
                  </w:tcBorders>
                </w:tcPr>
                <w:p w:rsidR="00745FEA" w:rsidRPr="00A47C4D" w:rsidRDefault="00745FEA" w:rsidP="00745FEA">
                  <w:pPr>
                    <w:pStyle w:val="TableBodyText"/>
                  </w:pPr>
                  <w:r w:rsidRPr="00A47C4D">
                    <w:t>7</w:t>
                  </w:r>
                  <w:r>
                    <w:t> </w:t>
                  </w:r>
                  <w:r w:rsidRPr="00A47C4D">
                    <w:t>093.6</w:t>
                  </w:r>
                </w:p>
              </w:tc>
              <w:tc>
                <w:tcPr>
                  <w:tcW w:w="633" w:type="pct"/>
                  <w:tcBorders>
                    <w:top w:val="single" w:sz="6" w:space="0" w:color="BFBFBF"/>
                  </w:tcBorders>
                </w:tcPr>
                <w:p w:rsidR="00745FEA" w:rsidRPr="00A47C4D" w:rsidRDefault="00745FEA" w:rsidP="00745FEA">
                  <w:pPr>
                    <w:pStyle w:val="TableBodyText"/>
                  </w:pPr>
                  <w:r w:rsidRPr="00A47C4D">
                    <w:t>6</w:t>
                  </w:r>
                  <w:r>
                    <w:t> </w:t>
                  </w:r>
                  <w:r w:rsidRPr="00A47C4D">
                    <w:t>725.0</w:t>
                  </w:r>
                </w:p>
              </w:tc>
              <w:tc>
                <w:tcPr>
                  <w:tcW w:w="633" w:type="pct"/>
                  <w:tcBorders>
                    <w:top w:val="single" w:sz="6" w:space="0" w:color="BFBFBF"/>
                  </w:tcBorders>
                </w:tcPr>
                <w:p w:rsidR="00745FEA" w:rsidRPr="00A47C4D" w:rsidRDefault="00745FEA" w:rsidP="00745FEA">
                  <w:pPr>
                    <w:pStyle w:val="TableBodyText"/>
                  </w:pPr>
                  <w:r w:rsidRPr="00A47C4D">
                    <w:t>6</w:t>
                  </w:r>
                  <w:r>
                    <w:t> </w:t>
                  </w:r>
                  <w:r w:rsidRPr="00A47C4D">
                    <w:t>792.0</w:t>
                  </w:r>
                </w:p>
              </w:tc>
              <w:tc>
                <w:tcPr>
                  <w:tcW w:w="633" w:type="pct"/>
                  <w:tcBorders>
                    <w:top w:val="single" w:sz="6" w:space="0" w:color="BFBFBF"/>
                  </w:tcBorders>
                </w:tcPr>
                <w:p w:rsidR="00745FEA" w:rsidRPr="00A47C4D" w:rsidRDefault="00745FEA" w:rsidP="00745FEA">
                  <w:pPr>
                    <w:pStyle w:val="TableBodyText"/>
                  </w:pPr>
                  <w:r w:rsidRPr="00A47C4D">
                    <w:t>6</w:t>
                  </w:r>
                  <w:r>
                    <w:t> </w:t>
                  </w:r>
                  <w:r w:rsidRPr="00A47C4D">
                    <w:t>686.3</w:t>
                  </w:r>
                </w:p>
              </w:tc>
              <w:tc>
                <w:tcPr>
                  <w:tcW w:w="631" w:type="pct"/>
                  <w:tcBorders>
                    <w:top w:val="single" w:sz="6" w:space="0" w:color="BFBFBF"/>
                  </w:tcBorders>
                </w:tcPr>
                <w:p w:rsidR="00745FEA" w:rsidRPr="00A47C4D" w:rsidRDefault="00745FEA" w:rsidP="00745FEA">
                  <w:pPr>
                    <w:pStyle w:val="TableBodyText"/>
                  </w:pPr>
                  <w:r w:rsidRPr="00A47C4D">
                    <w:t>6</w:t>
                  </w:r>
                  <w:r>
                    <w:t> </w:t>
                  </w:r>
                  <w:r w:rsidRPr="00A47C4D">
                    <w:t>789.1</w:t>
                  </w:r>
                </w:p>
              </w:tc>
            </w:tr>
            <w:tr w:rsidR="00745FEA" w:rsidTr="00745FEA">
              <w:tc>
                <w:tcPr>
                  <w:tcW w:w="1202" w:type="pct"/>
                </w:tcPr>
                <w:p w:rsidR="00745FEA" w:rsidRDefault="00745FEA" w:rsidP="00745FEA">
                  <w:pPr>
                    <w:pStyle w:val="TableBodyText"/>
                    <w:jc w:val="left"/>
                  </w:pPr>
                  <w:r>
                    <w:t>Input penalty</w:t>
                  </w:r>
                </w:p>
              </w:tc>
              <w:tc>
                <w:tcPr>
                  <w:tcW w:w="635" w:type="pct"/>
                </w:tcPr>
                <w:p w:rsidR="00745FEA" w:rsidRPr="00CF12A9" w:rsidRDefault="00745FEA" w:rsidP="00745FEA">
                  <w:pPr>
                    <w:pStyle w:val="TableBodyText"/>
                  </w:pPr>
                  <w:r>
                    <w:noBreakHyphen/>
                  </w:r>
                  <w:r w:rsidRPr="00CF12A9">
                    <w:t>5</w:t>
                  </w:r>
                  <w:r>
                    <w:t> </w:t>
                  </w:r>
                  <w:r w:rsidRPr="00CF12A9">
                    <w:t>584.7</w:t>
                  </w:r>
                </w:p>
              </w:tc>
              <w:tc>
                <w:tcPr>
                  <w:tcW w:w="633" w:type="pct"/>
                </w:tcPr>
                <w:p w:rsidR="00745FEA" w:rsidRPr="00CF12A9" w:rsidRDefault="00745FEA" w:rsidP="00745FEA">
                  <w:pPr>
                    <w:pStyle w:val="TableBodyText"/>
                  </w:pPr>
                  <w:r>
                    <w:noBreakHyphen/>
                  </w:r>
                  <w:r w:rsidRPr="00CF12A9">
                    <w:t>5</w:t>
                  </w:r>
                  <w:r>
                    <w:t> </w:t>
                  </w:r>
                  <w:r w:rsidRPr="00CF12A9">
                    <w:t>648.9</w:t>
                  </w:r>
                </w:p>
              </w:tc>
              <w:tc>
                <w:tcPr>
                  <w:tcW w:w="633" w:type="pct"/>
                </w:tcPr>
                <w:p w:rsidR="00745FEA" w:rsidRPr="00CF12A9" w:rsidRDefault="00745FEA" w:rsidP="00745FEA">
                  <w:pPr>
                    <w:pStyle w:val="TableBodyText"/>
                  </w:pPr>
                  <w:r>
                    <w:noBreakHyphen/>
                  </w:r>
                  <w:r w:rsidRPr="00CF12A9">
                    <w:t>5</w:t>
                  </w:r>
                  <w:r>
                    <w:t> </w:t>
                  </w:r>
                  <w:r w:rsidRPr="00CF12A9">
                    <w:t>838.1</w:t>
                  </w:r>
                </w:p>
              </w:tc>
              <w:tc>
                <w:tcPr>
                  <w:tcW w:w="633" w:type="pct"/>
                </w:tcPr>
                <w:p w:rsidR="00745FEA" w:rsidRPr="00CF12A9" w:rsidRDefault="00745FEA" w:rsidP="00745FEA">
                  <w:pPr>
                    <w:pStyle w:val="TableBodyText"/>
                  </w:pPr>
                  <w:r>
                    <w:noBreakHyphen/>
                  </w:r>
                  <w:r w:rsidRPr="00CF12A9">
                    <w:t>5</w:t>
                  </w:r>
                  <w:r>
                    <w:t> </w:t>
                  </w:r>
                  <w:r w:rsidRPr="00CF12A9">
                    <w:t>876.4</w:t>
                  </w:r>
                </w:p>
              </w:tc>
              <w:tc>
                <w:tcPr>
                  <w:tcW w:w="633" w:type="pct"/>
                </w:tcPr>
                <w:p w:rsidR="00745FEA" w:rsidRPr="00CF12A9" w:rsidRDefault="00745FEA" w:rsidP="00745FEA">
                  <w:pPr>
                    <w:pStyle w:val="TableBodyText"/>
                  </w:pPr>
                  <w:r>
                    <w:noBreakHyphen/>
                  </w:r>
                  <w:r w:rsidRPr="00CF12A9">
                    <w:t>5</w:t>
                  </w:r>
                  <w:r>
                    <w:t> </w:t>
                  </w:r>
                  <w:r w:rsidRPr="00CF12A9">
                    <w:t>827.2</w:t>
                  </w:r>
                </w:p>
              </w:tc>
              <w:tc>
                <w:tcPr>
                  <w:tcW w:w="631" w:type="pct"/>
                </w:tcPr>
                <w:p w:rsidR="00745FEA" w:rsidRPr="00CF12A9" w:rsidRDefault="00745FEA" w:rsidP="00745FEA">
                  <w:pPr>
                    <w:pStyle w:val="TableBodyText"/>
                  </w:pPr>
                  <w:r>
                    <w:noBreakHyphen/>
                  </w:r>
                  <w:r w:rsidRPr="00CF12A9">
                    <w:t>5</w:t>
                  </w:r>
                  <w:r>
                    <w:t> </w:t>
                  </w:r>
                  <w:r w:rsidRPr="00CF12A9">
                    <w:t>924.5</w:t>
                  </w:r>
                </w:p>
              </w:tc>
            </w:tr>
            <w:tr w:rsidR="00745FEA" w:rsidTr="00745FEA">
              <w:tc>
                <w:tcPr>
                  <w:tcW w:w="1202" w:type="pct"/>
                  <w:tcBorders>
                    <w:bottom w:val="single" w:sz="6" w:space="0" w:color="BFBFBF"/>
                  </w:tcBorders>
                  <w:shd w:val="clear" w:color="auto" w:fill="auto"/>
                </w:tcPr>
                <w:p w:rsidR="00745FEA" w:rsidRDefault="00745FEA" w:rsidP="00745FEA">
                  <w:pPr>
                    <w:pStyle w:val="TableBodyText"/>
                    <w:jc w:val="left"/>
                  </w:pPr>
                  <w:r>
                    <w:t>Net tariff assistance</w:t>
                  </w:r>
                </w:p>
              </w:tc>
              <w:tc>
                <w:tcPr>
                  <w:tcW w:w="635" w:type="pct"/>
                  <w:tcBorders>
                    <w:bottom w:val="single" w:sz="6" w:space="0" w:color="BFBFBF"/>
                  </w:tcBorders>
                </w:tcPr>
                <w:p w:rsidR="00745FEA" w:rsidRPr="00CF12A9" w:rsidRDefault="00745FEA" w:rsidP="00745FEA">
                  <w:pPr>
                    <w:pStyle w:val="TableBodyText"/>
                  </w:pPr>
                  <w:r w:rsidRPr="00CF12A9">
                    <w:t>1</w:t>
                  </w:r>
                  <w:r>
                    <w:t> </w:t>
                  </w:r>
                  <w:r w:rsidRPr="00CF12A9">
                    <w:t>610.5</w:t>
                  </w:r>
                </w:p>
              </w:tc>
              <w:tc>
                <w:tcPr>
                  <w:tcW w:w="633" w:type="pct"/>
                  <w:tcBorders>
                    <w:bottom w:val="single" w:sz="6" w:space="0" w:color="BFBFBF"/>
                  </w:tcBorders>
                </w:tcPr>
                <w:p w:rsidR="00745FEA" w:rsidRPr="00CF12A9" w:rsidRDefault="00745FEA" w:rsidP="00745FEA">
                  <w:pPr>
                    <w:pStyle w:val="TableBodyText"/>
                  </w:pPr>
                  <w:r w:rsidRPr="00CF12A9">
                    <w:t>1</w:t>
                  </w:r>
                  <w:r>
                    <w:t> </w:t>
                  </w:r>
                  <w:r w:rsidRPr="00CF12A9">
                    <w:t>444.7</w:t>
                  </w:r>
                </w:p>
              </w:tc>
              <w:tc>
                <w:tcPr>
                  <w:tcW w:w="633" w:type="pct"/>
                  <w:tcBorders>
                    <w:bottom w:val="single" w:sz="6" w:space="0" w:color="BFBFBF"/>
                  </w:tcBorders>
                </w:tcPr>
                <w:p w:rsidR="00745FEA" w:rsidRPr="00CF12A9" w:rsidRDefault="00745FEA" w:rsidP="00745FEA">
                  <w:pPr>
                    <w:pStyle w:val="TableBodyText"/>
                  </w:pPr>
                  <w:r w:rsidRPr="00CF12A9">
                    <w:t>886.9</w:t>
                  </w:r>
                </w:p>
              </w:tc>
              <w:tc>
                <w:tcPr>
                  <w:tcW w:w="633" w:type="pct"/>
                  <w:tcBorders>
                    <w:bottom w:val="single" w:sz="6" w:space="0" w:color="BFBFBF"/>
                  </w:tcBorders>
                </w:tcPr>
                <w:p w:rsidR="00745FEA" w:rsidRPr="00CF12A9" w:rsidRDefault="00745FEA" w:rsidP="00745FEA">
                  <w:pPr>
                    <w:pStyle w:val="TableBodyText"/>
                  </w:pPr>
                  <w:r w:rsidRPr="00CF12A9">
                    <w:t>915.6</w:t>
                  </w:r>
                </w:p>
              </w:tc>
              <w:tc>
                <w:tcPr>
                  <w:tcW w:w="633" w:type="pct"/>
                  <w:tcBorders>
                    <w:bottom w:val="single" w:sz="6" w:space="0" w:color="BFBFBF"/>
                  </w:tcBorders>
                  <w:shd w:val="clear" w:color="auto" w:fill="auto"/>
                </w:tcPr>
                <w:p w:rsidR="00745FEA" w:rsidRPr="00CF12A9" w:rsidRDefault="00745FEA" w:rsidP="00745FEA">
                  <w:pPr>
                    <w:pStyle w:val="TableBodyText"/>
                  </w:pPr>
                  <w:r w:rsidRPr="00CF12A9">
                    <w:t>859.1</w:t>
                  </w:r>
                </w:p>
              </w:tc>
              <w:tc>
                <w:tcPr>
                  <w:tcW w:w="631" w:type="pct"/>
                  <w:tcBorders>
                    <w:bottom w:val="single" w:sz="6" w:space="0" w:color="BFBFBF"/>
                  </w:tcBorders>
                  <w:shd w:val="clear" w:color="auto" w:fill="auto"/>
                </w:tcPr>
                <w:p w:rsidR="00745FEA" w:rsidRPr="00CF12A9" w:rsidRDefault="00745FEA" w:rsidP="00745FEA">
                  <w:pPr>
                    <w:pStyle w:val="TableBodyText"/>
                  </w:pPr>
                  <w:r w:rsidRPr="00CF12A9">
                    <w:t>864.6</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Note"/>
              <w:rPr>
                <w:i/>
              </w:rPr>
            </w:pPr>
            <w:r w:rsidRPr="008E77FE">
              <w:rPr>
                <w:rStyle w:val="NoteLabel"/>
              </w:rPr>
              <w:t>a</w:t>
            </w:r>
            <w:r>
              <w:t xml:space="preserve"> Nominal tariff assistance </w:t>
            </w:r>
            <w:r w:rsidRPr="00946A2D">
              <w:t>estimates are derived by re</w:t>
            </w:r>
            <w:r>
              <w:noBreakHyphen/>
            </w:r>
            <w:r w:rsidRPr="00946A2D">
              <w:t>indexing a reference series based on 2013</w:t>
            </w:r>
            <w:r>
              <w:noBreakHyphen/>
            </w:r>
            <w:r w:rsidRPr="00946A2D">
              <w:t xml:space="preserve">14 ABS input output data, using ABS Industry Gross Value Added and supporting data at current prices, for all industries except </w:t>
            </w:r>
            <w:r w:rsidRPr="00946A2D">
              <w:rPr>
                <w:i/>
              </w:rPr>
              <w:t>Mining</w:t>
            </w:r>
            <w:r w:rsidRPr="00946A2D">
              <w:t xml:space="preserve">. For </w:t>
            </w:r>
            <w:r w:rsidRPr="00946A2D">
              <w:rPr>
                <w:i/>
              </w:rPr>
              <w:t>Mining</w:t>
            </w:r>
            <w:r w:rsidRPr="00946A2D">
              <w:t>, in order to abstract from the effects of terms of trade changes, the estimates are re</w:t>
            </w:r>
            <w:r>
              <w:noBreakHyphen/>
            </w:r>
            <w:r w:rsidRPr="00946A2D">
              <w:t xml:space="preserve">indexed using the ABS Industry Gross Value Added, chain volume measures. This information is subject to periodic revision by the ABS </w:t>
            </w:r>
            <w:r w:rsidRPr="003B712E">
              <w:rPr>
                <w:rFonts w:cs="Arial"/>
              </w:rPr>
              <w:t>(2017)</w:t>
            </w:r>
            <w:r w:rsidRPr="00946A2D">
              <w:t>.</w:t>
            </w:r>
            <w:r>
              <w:t xml:space="preserve"> </w:t>
            </w: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 xml:space="preserve">Commission estimates. </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5774D7" w:rsidRDefault="00745FEA" w:rsidP="00745FEA">
      <w:pPr>
        <w:pStyle w:val="Heading3"/>
      </w:pPr>
      <w:r w:rsidRPr="005774D7">
        <w:t>Assistance to a few industries is making others less competitive</w:t>
      </w:r>
    </w:p>
    <w:p w:rsidR="00745FEA" w:rsidRDefault="00745FEA" w:rsidP="00745FEA">
      <w:pPr>
        <w:pStyle w:val="BodyText"/>
        <w:spacing w:before="200"/>
      </w:pPr>
      <w:r w:rsidRPr="00D053D9">
        <w:t>The estimated cost penalty on inputs to user industries (including primary, manufacturing and services industries) arising from tariffs was around $5.9 billion in 201</w:t>
      </w:r>
      <w:r>
        <w:t>6</w:t>
      </w:r>
      <w:r>
        <w:noBreakHyphen/>
      </w:r>
      <w:r w:rsidRPr="00D053D9">
        <w:t>1</w:t>
      </w:r>
      <w:r>
        <w:t>7</w:t>
      </w:r>
      <w:r w:rsidRPr="00D053D9">
        <w:t xml:space="preserve"> (table</w:t>
      </w:r>
      <w:r>
        <w:t> </w:t>
      </w:r>
      <w:r w:rsidRPr="00D053D9">
        <w:t>2.2). This compares with a penalty of around $5.</w:t>
      </w:r>
      <w:r>
        <w:t>6</w:t>
      </w:r>
      <w:r w:rsidRPr="00D053D9">
        <w:t xml:space="preserve"> billion in 201</w:t>
      </w:r>
      <w:r>
        <w:t>1</w:t>
      </w:r>
      <w:r>
        <w:noBreakHyphen/>
        <w:t>12</w:t>
      </w:r>
      <w:r w:rsidRPr="00D053D9">
        <w:t>. The estimated penalty has increased in nominal terms with the general growth in the economy and rising price levels. This increase was moderated in 2014</w:t>
      </w:r>
      <w:r>
        <w:noBreakHyphen/>
        <w:t>15 and 2015</w:t>
      </w:r>
      <w:r>
        <w:noBreakHyphen/>
      </w:r>
      <w:r w:rsidRPr="00D053D9">
        <w:t xml:space="preserve">16 by reductions in tariffs on certain </w:t>
      </w:r>
      <w:r>
        <w:rPr>
          <w:i/>
        </w:rPr>
        <w:t>T</w:t>
      </w:r>
      <w:r w:rsidRPr="00305D86">
        <w:rPr>
          <w:i/>
        </w:rPr>
        <w:t>extiles, clothing and footwear</w:t>
      </w:r>
      <w:r w:rsidRPr="00D053D9">
        <w:t xml:space="preserve"> (TCF) items in January 2015. The moderating impact of lower tariffs on the input penalty, however, is less obvious than for past tariff reductions as the majority of these TCF products are final consumption items.</w:t>
      </w:r>
      <w:r>
        <w:t xml:space="preserve"> </w:t>
      </w:r>
    </w:p>
    <w:p w:rsidR="00745FEA" w:rsidRPr="005774D7" w:rsidRDefault="00745FEA" w:rsidP="00745FEA">
      <w:pPr>
        <w:pStyle w:val="Heading3"/>
        <w:spacing w:before="480"/>
      </w:pPr>
      <w:r w:rsidRPr="005774D7">
        <w:t>Net tariff assistance levelled off in 2016</w:t>
      </w:r>
      <w:r w:rsidRPr="005774D7">
        <w:noBreakHyphen/>
        <w:t>17 after falls in previous years</w:t>
      </w:r>
    </w:p>
    <w:p w:rsidR="00745FEA" w:rsidRDefault="00745FEA" w:rsidP="00745FEA">
      <w:pPr>
        <w:pStyle w:val="BodyText"/>
        <w:spacing w:before="200"/>
      </w:pPr>
      <w:r w:rsidRPr="00D053D9">
        <w:t>After deducting the tariff input penalty from the output assistance, net tariff assistance (for the Australian economy) was estimated to be around $0.</w:t>
      </w:r>
      <w:r>
        <w:t>9</w:t>
      </w:r>
      <w:r w:rsidRPr="00D053D9">
        <w:t xml:space="preserve"> billion in 201</w:t>
      </w:r>
      <w:r>
        <w:t>6</w:t>
      </w:r>
      <w:r>
        <w:noBreakHyphen/>
      </w:r>
      <w:r w:rsidRPr="00D053D9">
        <w:t>1</w:t>
      </w:r>
      <w:r>
        <w:t>7</w:t>
      </w:r>
      <w:r w:rsidRPr="00D053D9">
        <w:t>, down from around $1.</w:t>
      </w:r>
      <w:r>
        <w:t>6</w:t>
      </w:r>
      <w:r w:rsidRPr="00D053D9">
        <w:t xml:space="preserve"> billion in 201</w:t>
      </w:r>
      <w:r>
        <w:t>1</w:t>
      </w:r>
      <w:r>
        <w:noBreakHyphen/>
        <w:t>12</w:t>
      </w:r>
      <w:r w:rsidRPr="00D053D9">
        <w:t xml:space="preserve"> (table</w:t>
      </w:r>
      <w:r>
        <w:t> </w:t>
      </w:r>
      <w:r w:rsidRPr="00D053D9">
        <w:t>2.2). This fall reflects both high relative growth in the services sector (which incurs significant tariff penalties on inputs), especially relative to the manufacturing sector (a significant beneficiary of tariff assistance), together with some reductions in tariffs applied to manufactured products.</w:t>
      </w:r>
      <w:r>
        <w:t xml:space="preserve"> </w:t>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2.</w:t>
            </w:r>
            <w:r>
              <w:rPr>
                <w:b w:val="0"/>
                <w:noProof/>
              </w:rPr>
              <w:t>2</w:t>
            </w:r>
            <w:r>
              <w:tab/>
              <w:t>Net tariff assistance by industry sector</w:t>
            </w:r>
            <w:r w:rsidRPr="00B543AA">
              <w:rPr>
                <w:rStyle w:val="NoteLabel"/>
              </w:rPr>
              <w:t>a</w:t>
            </w:r>
            <w:r>
              <w:t>, 2011</w:t>
            </w:r>
            <w:r>
              <w:noBreakHyphen/>
              <w:t>12 to 2016</w:t>
            </w:r>
            <w:r>
              <w:noBreakHyphen/>
              <w:t>17</w:t>
            </w:r>
          </w:p>
          <w:p w:rsidR="00745FEA" w:rsidRPr="00784A05" w:rsidRDefault="00745FEA" w:rsidP="00745FEA">
            <w:pPr>
              <w:pStyle w:val="Subtitle"/>
            </w:pPr>
            <w:r>
              <w:t>$ million (nominal)</w:t>
            </w:r>
          </w:p>
        </w:tc>
      </w:tr>
      <w:tr w:rsidR="00745FEA" w:rsidTr="00745FE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44"/>
              <w:gridCol w:w="1080"/>
              <w:gridCol w:w="1077"/>
              <w:gridCol w:w="1077"/>
              <w:gridCol w:w="1077"/>
              <w:gridCol w:w="1077"/>
              <w:gridCol w:w="1073"/>
            </w:tblGrid>
            <w:tr w:rsidR="00745FEA" w:rsidTr="00745FEA">
              <w:trPr>
                <w:tblHeader/>
              </w:trPr>
              <w:tc>
                <w:tcPr>
                  <w:tcW w:w="1202"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635" w:type="pct"/>
                  <w:tcBorders>
                    <w:top w:val="single" w:sz="6" w:space="0" w:color="BFBFBF"/>
                    <w:bottom w:val="single" w:sz="6" w:space="0" w:color="BFBFBF"/>
                  </w:tcBorders>
                </w:tcPr>
                <w:p w:rsidR="00745FEA" w:rsidRDefault="00745FEA" w:rsidP="00745FEA">
                  <w:pPr>
                    <w:pStyle w:val="TableColumnHeading"/>
                  </w:pPr>
                  <w:r>
                    <w:t>2011</w:t>
                  </w:r>
                  <w:r>
                    <w:noBreakHyphen/>
                    <w:t>12</w:t>
                  </w:r>
                </w:p>
              </w:tc>
              <w:tc>
                <w:tcPr>
                  <w:tcW w:w="633" w:type="pct"/>
                  <w:tcBorders>
                    <w:top w:val="single" w:sz="6" w:space="0" w:color="BFBFBF"/>
                    <w:bottom w:val="single" w:sz="6" w:space="0" w:color="BFBFBF"/>
                  </w:tcBorders>
                </w:tcPr>
                <w:p w:rsidR="00745FEA" w:rsidRDefault="00745FEA" w:rsidP="00745FEA">
                  <w:pPr>
                    <w:pStyle w:val="TableColumnHeading"/>
                  </w:pPr>
                  <w:r>
                    <w:t>2012</w:t>
                  </w:r>
                  <w:r>
                    <w:noBreakHyphen/>
                    <w:t>13</w:t>
                  </w:r>
                </w:p>
              </w:tc>
              <w:tc>
                <w:tcPr>
                  <w:tcW w:w="633" w:type="pct"/>
                  <w:tcBorders>
                    <w:top w:val="single" w:sz="6" w:space="0" w:color="BFBFBF"/>
                    <w:bottom w:val="single" w:sz="6" w:space="0" w:color="BFBFBF"/>
                  </w:tcBorders>
                </w:tcPr>
                <w:p w:rsidR="00745FEA" w:rsidRDefault="00745FEA" w:rsidP="00745FEA">
                  <w:pPr>
                    <w:pStyle w:val="TableColumnHeading"/>
                  </w:pPr>
                  <w:r>
                    <w:t>2013</w:t>
                  </w:r>
                  <w:r>
                    <w:noBreakHyphen/>
                    <w:t>14</w:t>
                  </w:r>
                </w:p>
              </w:tc>
              <w:tc>
                <w:tcPr>
                  <w:tcW w:w="633" w:type="pct"/>
                  <w:tcBorders>
                    <w:top w:val="single" w:sz="6" w:space="0" w:color="BFBFBF"/>
                    <w:bottom w:val="single" w:sz="6" w:space="0" w:color="BFBFBF"/>
                  </w:tcBorders>
                </w:tcPr>
                <w:p w:rsidR="00745FEA" w:rsidRDefault="00745FEA" w:rsidP="00745FEA">
                  <w:pPr>
                    <w:pStyle w:val="TableColumnHeading"/>
                  </w:pPr>
                  <w:r>
                    <w:t>2014</w:t>
                  </w:r>
                  <w:r>
                    <w:noBreakHyphen/>
                    <w:t>15</w:t>
                  </w:r>
                </w:p>
              </w:tc>
              <w:tc>
                <w:tcPr>
                  <w:tcW w:w="633"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pPr>
                  <w:r>
                    <w:t>2015</w:t>
                  </w:r>
                  <w:r>
                    <w:noBreakHyphen/>
                    <w:t>16</w:t>
                  </w:r>
                </w:p>
              </w:tc>
              <w:tc>
                <w:tcPr>
                  <w:tcW w:w="631"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ind w:right="28"/>
                  </w:pPr>
                  <w:r>
                    <w:t>2016</w:t>
                  </w:r>
                  <w:r>
                    <w:noBreakHyphen/>
                    <w:t>17</w:t>
                  </w:r>
                </w:p>
              </w:tc>
            </w:tr>
            <w:tr w:rsidR="00745FEA" w:rsidTr="00745FEA">
              <w:tc>
                <w:tcPr>
                  <w:tcW w:w="1202" w:type="pct"/>
                  <w:tcBorders>
                    <w:top w:val="single" w:sz="6" w:space="0" w:color="BFBFBF"/>
                  </w:tcBorders>
                </w:tcPr>
                <w:p w:rsidR="00745FEA" w:rsidRDefault="00745FEA" w:rsidP="00745FEA">
                  <w:pPr>
                    <w:pStyle w:val="TableUnitsRow"/>
                    <w:jc w:val="left"/>
                  </w:pPr>
                  <w:r>
                    <w:t>Primary production</w:t>
                  </w:r>
                </w:p>
              </w:tc>
              <w:tc>
                <w:tcPr>
                  <w:tcW w:w="635" w:type="pct"/>
                  <w:tcBorders>
                    <w:top w:val="single" w:sz="6" w:space="0" w:color="BFBFBF"/>
                  </w:tcBorders>
                </w:tcPr>
                <w:p w:rsidR="00745FEA" w:rsidRPr="001D0CF2" w:rsidRDefault="00745FEA" w:rsidP="00745FEA">
                  <w:pPr>
                    <w:pStyle w:val="TableBodyText"/>
                    <w:spacing w:before="40"/>
                  </w:pPr>
                  <w:r w:rsidRPr="008A4D9A">
                    <w:t>228.6</w:t>
                  </w:r>
                </w:p>
              </w:tc>
              <w:tc>
                <w:tcPr>
                  <w:tcW w:w="633" w:type="pct"/>
                  <w:tcBorders>
                    <w:top w:val="single" w:sz="6" w:space="0" w:color="BFBFBF"/>
                  </w:tcBorders>
                </w:tcPr>
                <w:p w:rsidR="00745FEA" w:rsidRPr="001D0CF2" w:rsidRDefault="00745FEA" w:rsidP="00745FEA">
                  <w:pPr>
                    <w:pStyle w:val="TableBodyText"/>
                    <w:spacing w:before="40"/>
                  </w:pPr>
                  <w:r w:rsidRPr="008A4D9A">
                    <w:t>268.4</w:t>
                  </w:r>
                </w:p>
              </w:tc>
              <w:tc>
                <w:tcPr>
                  <w:tcW w:w="633" w:type="pct"/>
                  <w:tcBorders>
                    <w:top w:val="single" w:sz="6" w:space="0" w:color="BFBFBF"/>
                  </w:tcBorders>
                </w:tcPr>
                <w:p w:rsidR="00745FEA" w:rsidRPr="001D0CF2" w:rsidRDefault="00745FEA" w:rsidP="00745FEA">
                  <w:pPr>
                    <w:pStyle w:val="TableBodyText"/>
                    <w:spacing w:before="40"/>
                  </w:pPr>
                  <w:r w:rsidRPr="008A4D9A">
                    <w:t>212.6</w:t>
                  </w:r>
                </w:p>
              </w:tc>
              <w:tc>
                <w:tcPr>
                  <w:tcW w:w="633" w:type="pct"/>
                  <w:tcBorders>
                    <w:top w:val="single" w:sz="6" w:space="0" w:color="BFBFBF"/>
                  </w:tcBorders>
                </w:tcPr>
                <w:p w:rsidR="00745FEA" w:rsidRPr="001D0CF2" w:rsidRDefault="00745FEA" w:rsidP="00745FEA">
                  <w:pPr>
                    <w:pStyle w:val="TableBodyText"/>
                    <w:spacing w:before="40"/>
                  </w:pPr>
                  <w:r w:rsidRPr="008A4D9A">
                    <w:t>226.2</w:t>
                  </w:r>
                </w:p>
              </w:tc>
              <w:tc>
                <w:tcPr>
                  <w:tcW w:w="633" w:type="pct"/>
                  <w:tcBorders>
                    <w:top w:val="single" w:sz="6" w:space="0" w:color="BFBFBF"/>
                  </w:tcBorders>
                </w:tcPr>
                <w:p w:rsidR="00745FEA" w:rsidRPr="001D0CF2" w:rsidRDefault="00745FEA" w:rsidP="00745FEA">
                  <w:pPr>
                    <w:pStyle w:val="TableBodyText"/>
                    <w:spacing w:before="40"/>
                  </w:pPr>
                  <w:r w:rsidRPr="008A4D9A">
                    <w:t>238.0</w:t>
                  </w:r>
                </w:p>
              </w:tc>
              <w:tc>
                <w:tcPr>
                  <w:tcW w:w="631" w:type="pct"/>
                  <w:tcBorders>
                    <w:top w:val="single" w:sz="6" w:space="0" w:color="BFBFBF"/>
                  </w:tcBorders>
                </w:tcPr>
                <w:p w:rsidR="00745FEA" w:rsidRPr="001D0CF2" w:rsidRDefault="00745FEA" w:rsidP="00745FEA">
                  <w:pPr>
                    <w:pStyle w:val="TableBodyText"/>
                    <w:spacing w:before="40"/>
                    <w:ind w:right="0"/>
                  </w:pPr>
                  <w:r w:rsidRPr="008A4D9A">
                    <w:t>290.8</w:t>
                  </w:r>
                </w:p>
              </w:tc>
            </w:tr>
            <w:tr w:rsidR="00745FEA" w:rsidTr="00745FEA">
              <w:tc>
                <w:tcPr>
                  <w:tcW w:w="1202" w:type="pct"/>
                </w:tcPr>
                <w:p w:rsidR="00745FEA" w:rsidRDefault="00745FEA" w:rsidP="00745FEA">
                  <w:pPr>
                    <w:pStyle w:val="TableUnitsRow"/>
                    <w:jc w:val="left"/>
                  </w:pPr>
                  <w:r>
                    <w:t>Mining</w:t>
                  </w:r>
                </w:p>
              </w:tc>
              <w:tc>
                <w:tcPr>
                  <w:tcW w:w="635" w:type="pct"/>
                </w:tcPr>
                <w:p w:rsidR="00745FEA" w:rsidRPr="001D0CF2" w:rsidRDefault="00745FEA" w:rsidP="00745FEA">
                  <w:pPr>
                    <w:pStyle w:val="TableBodyText"/>
                  </w:pPr>
                  <w:r>
                    <w:noBreakHyphen/>
                  </w:r>
                  <w:r w:rsidRPr="008A4D9A">
                    <w:t>234.9</w:t>
                  </w:r>
                </w:p>
              </w:tc>
              <w:tc>
                <w:tcPr>
                  <w:tcW w:w="633" w:type="pct"/>
                </w:tcPr>
                <w:p w:rsidR="00745FEA" w:rsidRPr="001D0CF2" w:rsidRDefault="00745FEA" w:rsidP="00745FEA">
                  <w:pPr>
                    <w:pStyle w:val="TableBodyText"/>
                  </w:pPr>
                  <w:r>
                    <w:noBreakHyphen/>
                  </w:r>
                  <w:r w:rsidRPr="008A4D9A">
                    <w:t>257.2</w:t>
                  </w:r>
                </w:p>
              </w:tc>
              <w:tc>
                <w:tcPr>
                  <w:tcW w:w="633" w:type="pct"/>
                </w:tcPr>
                <w:p w:rsidR="00745FEA" w:rsidRPr="001D0CF2" w:rsidRDefault="00745FEA" w:rsidP="00745FEA">
                  <w:pPr>
                    <w:pStyle w:val="TableBodyText"/>
                  </w:pPr>
                  <w:r>
                    <w:noBreakHyphen/>
                  </w:r>
                  <w:r w:rsidRPr="008A4D9A">
                    <w:t>284.2</w:t>
                  </w:r>
                </w:p>
              </w:tc>
              <w:tc>
                <w:tcPr>
                  <w:tcW w:w="633" w:type="pct"/>
                </w:tcPr>
                <w:p w:rsidR="00745FEA" w:rsidRPr="001D0CF2" w:rsidRDefault="00745FEA" w:rsidP="00745FEA">
                  <w:pPr>
                    <w:pStyle w:val="TableBodyText"/>
                  </w:pPr>
                  <w:r>
                    <w:noBreakHyphen/>
                  </w:r>
                  <w:r w:rsidRPr="008A4D9A">
                    <w:t>295.9</w:t>
                  </w:r>
                </w:p>
              </w:tc>
              <w:tc>
                <w:tcPr>
                  <w:tcW w:w="633" w:type="pct"/>
                </w:tcPr>
                <w:p w:rsidR="00745FEA" w:rsidRPr="001D0CF2" w:rsidRDefault="00745FEA" w:rsidP="00745FEA">
                  <w:pPr>
                    <w:pStyle w:val="TableBodyText"/>
                  </w:pPr>
                  <w:r>
                    <w:noBreakHyphen/>
                  </w:r>
                  <w:r w:rsidRPr="008A4D9A">
                    <w:t>304.1</w:t>
                  </w:r>
                </w:p>
              </w:tc>
              <w:tc>
                <w:tcPr>
                  <w:tcW w:w="631" w:type="pct"/>
                </w:tcPr>
                <w:p w:rsidR="00745FEA" w:rsidRPr="001D0CF2" w:rsidRDefault="00745FEA" w:rsidP="00745FEA">
                  <w:pPr>
                    <w:pStyle w:val="TableBodyText"/>
                    <w:ind w:right="0"/>
                  </w:pPr>
                  <w:r>
                    <w:noBreakHyphen/>
                  </w:r>
                  <w:r w:rsidRPr="008A4D9A">
                    <w:t>307.8</w:t>
                  </w:r>
                </w:p>
              </w:tc>
            </w:tr>
            <w:tr w:rsidR="00745FEA" w:rsidTr="00745FEA">
              <w:tc>
                <w:tcPr>
                  <w:tcW w:w="1202" w:type="pct"/>
                </w:tcPr>
                <w:p w:rsidR="00745FEA" w:rsidRDefault="00745FEA" w:rsidP="00745FEA">
                  <w:pPr>
                    <w:pStyle w:val="TableBodyText"/>
                    <w:jc w:val="left"/>
                  </w:pPr>
                  <w:r>
                    <w:t>Manufacturing</w:t>
                  </w:r>
                </w:p>
              </w:tc>
              <w:tc>
                <w:tcPr>
                  <w:tcW w:w="635" w:type="pct"/>
                </w:tcPr>
                <w:p w:rsidR="00745FEA" w:rsidRPr="001D0CF2" w:rsidRDefault="00745FEA" w:rsidP="00745FEA">
                  <w:pPr>
                    <w:pStyle w:val="TableBodyText"/>
                  </w:pPr>
                  <w:r w:rsidRPr="008A4D9A">
                    <w:t>5</w:t>
                  </w:r>
                  <w:r>
                    <w:t> </w:t>
                  </w:r>
                  <w:r w:rsidRPr="008A4D9A">
                    <w:t>052.5</w:t>
                  </w:r>
                </w:p>
              </w:tc>
              <w:tc>
                <w:tcPr>
                  <w:tcW w:w="633" w:type="pct"/>
                </w:tcPr>
                <w:p w:rsidR="00745FEA" w:rsidRPr="001D0CF2" w:rsidRDefault="00745FEA" w:rsidP="00745FEA">
                  <w:pPr>
                    <w:pStyle w:val="TableBodyText"/>
                  </w:pPr>
                  <w:r w:rsidRPr="008A4D9A">
                    <w:t>5</w:t>
                  </w:r>
                  <w:r>
                    <w:t> </w:t>
                  </w:r>
                  <w:r w:rsidRPr="008A4D9A">
                    <w:t>019.3</w:t>
                  </w:r>
                </w:p>
              </w:tc>
              <w:tc>
                <w:tcPr>
                  <w:tcW w:w="633" w:type="pct"/>
                </w:tcPr>
                <w:p w:rsidR="00745FEA" w:rsidRPr="001D0CF2" w:rsidRDefault="00745FEA" w:rsidP="00745FEA">
                  <w:pPr>
                    <w:pStyle w:val="TableBodyText"/>
                  </w:pPr>
                  <w:r w:rsidRPr="008A4D9A">
                    <w:t>4</w:t>
                  </w:r>
                  <w:r>
                    <w:t> </w:t>
                  </w:r>
                  <w:r w:rsidRPr="008A4D9A">
                    <w:t>671.3</w:t>
                  </w:r>
                </w:p>
              </w:tc>
              <w:tc>
                <w:tcPr>
                  <w:tcW w:w="633" w:type="pct"/>
                </w:tcPr>
                <w:p w:rsidR="00745FEA" w:rsidRPr="001D0CF2" w:rsidRDefault="00745FEA" w:rsidP="00745FEA">
                  <w:pPr>
                    <w:pStyle w:val="TableBodyText"/>
                  </w:pPr>
                  <w:r w:rsidRPr="008A4D9A">
                    <w:t>4</w:t>
                  </w:r>
                  <w:r>
                    <w:t> </w:t>
                  </w:r>
                  <w:r w:rsidRPr="008A4D9A">
                    <w:t>722.6</w:t>
                  </w:r>
                </w:p>
              </w:tc>
              <w:tc>
                <w:tcPr>
                  <w:tcW w:w="633" w:type="pct"/>
                </w:tcPr>
                <w:p w:rsidR="00745FEA" w:rsidRPr="001D0CF2" w:rsidRDefault="00745FEA" w:rsidP="00745FEA">
                  <w:pPr>
                    <w:pStyle w:val="TableBodyText"/>
                  </w:pPr>
                  <w:r w:rsidRPr="008A4D9A">
                    <w:t>4</w:t>
                  </w:r>
                  <w:r>
                    <w:t> </w:t>
                  </w:r>
                  <w:r w:rsidRPr="008A4D9A">
                    <w:t>643.6</w:t>
                  </w:r>
                </w:p>
              </w:tc>
              <w:tc>
                <w:tcPr>
                  <w:tcW w:w="631" w:type="pct"/>
                </w:tcPr>
                <w:p w:rsidR="00745FEA" w:rsidRPr="001D0CF2" w:rsidRDefault="00745FEA" w:rsidP="00745FEA">
                  <w:pPr>
                    <w:pStyle w:val="TableBodyText"/>
                    <w:ind w:right="0"/>
                  </w:pPr>
                  <w:r w:rsidRPr="008A4D9A">
                    <w:t>4</w:t>
                  </w:r>
                  <w:r>
                    <w:t> </w:t>
                  </w:r>
                  <w:r w:rsidRPr="008A4D9A">
                    <w:t>649.1</w:t>
                  </w:r>
                </w:p>
              </w:tc>
            </w:tr>
            <w:tr w:rsidR="00745FEA" w:rsidTr="00745FEA">
              <w:tc>
                <w:tcPr>
                  <w:tcW w:w="1202" w:type="pct"/>
                </w:tcPr>
                <w:p w:rsidR="00745FEA" w:rsidRDefault="00745FEA" w:rsidP="00745FEA">
                  <w:pPr>
                    <w:pStyle w:val="TableBodyText"/>
                    <w:jc w:val="left"/>
                  </w:pPr>
                  <w:r>
                    <w:t>Services</w:t>
                  </w:r>
                </w:p>
              </w:tc>
              <w:tc>
                <w:tcPr>
                  <w:tcW w:w="635" w:type="pct"/>
                </w:tcPr>
                <w:p w:rsidR="00745FEA" w:rsidRPr="001D0CF2" w:rsidRDefault="00745FEA" w:rsidP="00745FEA">
                  <w:pPr>
                    <w:pStyle w:val="TableBodyText"/>
                  </w:pPr>
                  <w:r>
                    <w:noBreakHyphen/>
                  </w:r>
                  <w:r w:rsidRPr="008A4D9A">
                    <w:t>3</w:t>
                  </w:r>
                  <w:r>
                    <w:t> </w:t>
                  </w:r>
                  <w:r w:rsidRPr="008A4D9A">
                    <w:t>435.8</w:t>
                  </w:r>
                </w:p>
              </w:tc>
              <w:tc>
                <w:tcPr>
                  <w:tcW w:w="633" w:type="pct"/>
                </w:tcPr>
                <w:p w:rsidR="00745FEA" w:rsidRPr="001D0CF2" w:rsidRDefault="00745FEA" w:rsidP="00745FEA">
                  <w:pPr>
                    <w:pStyle w:val="TableBodyText"/>
                  </w:pPr>
                  <w:r>
                    <w:noBreakHyphen/>
                  </w:r>
                  <w:r w:rsidRPr="008A4D9A">
                    <w:t>3</w:t>
                  </w:r>
                  <w:r>
                    <w:t> </w:t>
                  </w:r>
                  <w:r w:rsidRPr="008A4D9A">
                    <w:t>585.9</w:t>
                  </w:r>
                </w:p>
              </w:tc>
              <w:tc>
                <w:tcPr>
                  <w:tcW w:w="633" w:type="pct"/>
                </w:tcPr>
                <w:p w:rsidR="00745FEA" w:rsidRPr="001D0CF2" w:rsidRDefault="00745FEA" w:rsidP="00745FEA">
                  <w:pPr>
                    <w:pStyle w:val="TableBodyText"/>
                  </w:pPr>
                  <w:r>
                    <w:noBreakHyphen/>
                  </w:r>
                  <w:r w:rsidRPr="008A4D9A">
                    <w:t>3</w:t>
                  </w:r>
                  <w:r>
                    <w:t> </w:t>
                  </w:r>
                  <w:r w:rsidRPr="008A4D9A">
                    <w:t>712.8</w:t>
                  </w:r>
                </w:p>
              </w:tc>
              <w:tc>
                <w:tcPr>
                  <w:tcW w:w="633" w:type="pct"/>
                </w:tcPr>
                <w:p w:rsidR="00745FEA" w:rsidRPr="001D0CF2" w:rsidRDefault="00745FEA" w:rsidP="00745FEA">
                  <w:pPr>
                    <w:pStyle w:val="TableBodyText"/>
                  </w:pPr>
                  <w:r>
                    <w:noBreakHyphen/>
                  </w:r>
                  <w:r w:rsidRPr="008A4D9A">
                    <w:t>3</w:t>
                  </w:r>
                  <w:r>
                    <w:t> </w:t>
                  </w:r>
                  <w:r w:rsidRPr="008A4D9A">
                    <w:t>737.2</w:t>
                  </w:r>
                </w:p>
              </w:tc>
              <w:tc>
                <w:tcPr>
                  <w:tcW w:w="633" w:type="pct"/>
                </w:tcPr>
                <w:p w:rsidR="00745FEA" w:rsidRPr="001D0CF2" w:rsidRDefault="00745FEA" w:rsidP="00745FEA">
                  <w:pPr>
                    <w:pStyle w:val="TableBodyText"/>
                  </w:pPr>
                  <w:r>
                    <w:noBreakHyphen/>
                  </w:r>
                  <w:r w:rsidRPr="008A4D9A">
                    <w:t>3</w:t>
                  </w:r>
                  <w:r>
                    <w:t> </w:t>
                  </w:r>
                  <w:r w:rsidRPr="008A4D9A">
                    <w:t>718.4</w:t>
                  </w:r>
                </w:p>
              </w:tc>
              <w:tc>
                <w:tcPr>
                  <w:tcW w:w="631" w:type="pct"/>
                </w:tcPr>
                <w:p w:rsidR="00745FEA" w:rsidRPr="001D0CF2" w:rsidRDefault="00745FEA" w:rsidP="00745FEA">
                  <w:pPr>
                    <w:pStyle w:val="TableBodyText"/>
                    <w:ind w:right="0"/>
                  </w:pPr>
                  <w:r>
                    <w:noBreakHyphen/>
                  </w:r>
                  <w:r w:rsidRPr="008A4D9A">
                    <w:t>3</w:t>
                  </w:r>
                  <w:r>
                    <w:t> </w:t>
                  </w:r>
                  <w:r w:rsidRPr="008A4D9A">
                    <w:t>767.6</w:t>
                  </w:r>
                </w:p>
              </w:tc>
            </w:tr>
            <w:tr w:rsidR="00745FEA" w:rsidRPr="00B53DD3" w:rsidTr="00745FEA">
              <w:tc>
                <w:tcPr>
                  <w:tcW w:w="1202" w:type="pct"/>
                  <w:tcBorders>
                    <w:bottom w:val="single" w:sz="6" w:space="0" w:color="BFBFBF"/>
                  </w:tcBorders>
                  <w:shd w:val="clear" w:color="auto" w:fill="auto"/>
                </w:tcPr>
                <w:p w:rsidR="00745FEA" w:rsidRPr="00B53DD3" w:rsidRDefault="00745FEA" w:rsidP="00745FEA">
                  <w:pPr>
                    <w:pStyle w:val="TableBodyText"/>
                    <w:jc w:val="left"/>
                    <w:rPr>
                      <w:b/>
                    </w:rPr>
                  </w:pPr>
                  <w:r w:rsidRPr="00B53DD3">
                    <w:rPr>
                      <w:b/>
                    </w:rPr>
                    <w:t>Total</w:t>
                  </w:r>
                </w:p>
              </w:tc>
              <w:tc>
                <w:tcPr>
                  <w:tcW w:w="635" w:type="pct"/>
                  <w:tcBorders>
                    <w:bottom w:val="single" w:sz="6" w:space="0" w:color="BFBFBF"/>
                  </w:tcBorders>
                </w:tcPr>
                <w:p w:rsidR="00745FEA" w:rsidRPr="00F852B4" w:rsidRDefault="00745FEA" w:rsidP="00745FEA">
                  <w:pPr>
                    <w:pStyle w:val="TableBodyText"/>
                    <w:rPr>
                      <w:b/>
                    </w:rPr>
                  </w:pPr>
                  <w:r w:rsidRPr="00F852B4">
                    <w:rPr>
                      <w:b/>
                    </w:rPr>
                    <w:t>1</w:t>
                  </w:r>
                  <w:r>
                    <w:rPr>
                      <w:b/>
                    </w:rPr>
                    <w:t> </w:t>
                  </w:r>
                  <w:r w:rsidRPr="00F852B4">
                    <w:rPr>
                      <w:b/>
                    </w:rPr>
                    <w:t>610.5</w:t>
                  </w:r>
                </w:p>
              </w:tc>
              <w:tc>
                <w:tcPr>
                  <w:tcW w:w="633" w:type="pct"/>
                  <w:tcBorders>
                    <w:bottom w:val="single" w:sz="6" w:space="0" w:color="BFBFBF"/>
                  </w:tcBorders>
                </w:tcPr>
                <w:p w:rsidR="00745FEA" w:rsidRPr="00F852B4" w:rsidRDefault="00745FEA" w:rsidP="00745FEA">
                  <w:pPr>
                    <w:pStyle w:val="TableBodyText"/>
                    <w:rPr>
                      <w:b/>
                    </w:rPr>
                  </w:pPr>
                  <w:r w:rsidRPr="00F852B4">
                    <w:rPr>
                      <w:b/>
                    </w:rPr>
                    <w:t>1</w:t>
                  </w:r>
                  <w:r>
                    <w:rPr>
                      <w:b/>
                    </w:rPr>
                    <w:t> </w:t>
                  </w:r>
                  <w:r w:rsidRPr="00F852B4">
                    <w:rPr>
                      <w:b/>
                    </w:rPr>
                    <w:t>444.7</w:t>
                  </w:r>
                </w:p>
              </w:tc>
              <w:tc>
                <w:tcPr>
                  <w:tcW w:w="633" w:type="pct"/>
                  <w:tcBorders>
                    <w:bottom w:val="single" w:sz="6" w:space="0" w:color="BFBFBF"/>
                  </w:tcBorders>
                </w:tcPr>
                <w:p w:rsidR="00745FEA" w:rsidRPr="00F852B4" w:rsidRDefault="00745FEA" w:rsidP="00745FEA">
                  <w:pPr>
                    <w:pStyle w:val="TableBodyText"/>
                    <w:rPr>
                      <w:b/>
                    </w:rPr>
                  </w:pPr>
                  <w:r w:rsidRPr="00F852B4">
                    <w:rPr>
                      <w:b/>
                    </w:rPr>
                    <w:t>886.9</w:t>
                  </w:r>
                </w:p>
              </w:tc>
              <w:tc>
                <w:tcPr>
                  <w:tcW w:w="633" w:type="pct"/>
                  <w:tcBorders>
                    <w:bottom w:val="single" w:sz="6" w:space="0" w:color="BFBFBF"/>
                  </w:tcBorders>
                </w:tcPr>
                <w:p w:rsidR="00745FEA" w:rsidRPr="00F852B4" w:rsidRDefault="00745FEA" w:rsidP="00745FEA">
                  <w:pPr>
                    <w:pStyle w:val="TableBodyText"/>
                    <w:rPr>
                      <w:b/>
                    </w:rPr>
                  </w:pPr>
                  <w:r w:rsidRPr="00F852B4">
                    <w:rPr>
                      <w:b/>
                    </w:rPr>
                    <w:t>915.6</w:t>
                  </w:r>
                </w:p>
              </w:tc>
              <w:tc>
                <w:tcPr>
                  <w:tcW w:w="633" w:type="pct"/>
                  <w:tcBorders>
                    <w:bottom w:val="single" w:sz="6" w:space="0" w:color="BFBFBF"/>
                  </w:tcBorders>
                  <w:shd w:val="clear" w:color="auto" w:fill="auto"/>
                </w:tcPr>
                <w:p w:rsidR="00745FEA" w:rsidRPr="00F852B4" w:rsidRDefault="00745FEA" w:rsidP="00745FEA">
                  <w:pPr>
                    <w:pStyle w:val="TableBodyText"/>
                    <w:rPr>
                      <w:b/>
                    </w:rPr>
                  </w:pPr>
                  <w:r w:rsidRPr="00F852B4">
                    <w:rPr>
                      <w:b/>
                    </w:rPr>
                    <w:t>859.1</w:t>
                  </w:r>
                </w:p>
              </w:tc>
              <w:tc>
                <w:tcPr>
                  <w:tcW w:w="631" w:type="pct"/>
                  <w:tcBorders>
                    <w:bottom w:val="single" w:sz="6" w:space="0" w:color="BFBFBF"/>
                  </w:tcBorders>
                  <w:shd w:val="clear" w:color="auto" w:fill="auto"/>
                </w:tcPr>
                <w:p w:rsidR="00745FEA" w:rsidRPr="00F852B4" w:rsidRDefault="00745FEA" w:rsidP="00745FEA">
                  <w:pPr>
                    <w:pStyle w:val="TableBodyText"/>
                    <w:ind w:right="0"/>
                    <w:rPr>
                      <w:b/>
                    </w:rPr>
                  </w:pPr>
                  <w:r w:rsidRPr="00F852B4">
                    <w:rPr>
                      <w:b/>
                    </w:rPr>
                    <w:t>864.6</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Note"/>
              <w:rPr>
                <w:i/>
              </w:rPr>
            </w:pPr>
            <w:r w:rsidRPr="008E77FE">
              <w:rPr>
                <w:rStyle w:val="NoteLabel"/>
              </w:rPr>
              <w:t>a</w:t>
            </w:r>
            <w:r>
              <w:t xml:space="preserve"> Nominal tariff assistance </w:t>
            </w:r>
            <w:r w:rsidRPr="004A0530">
              <w:t>estimates are derived by re</w:t>
            </w:r>
            <w:r>
              <w:noBreakHyphen/>
            </w:r>
            <w:r w:rsidRPr="004A0530">
              <w:t>indexing a reference series based on 2013</w:t>
            </w:r>
            <w:r>
              <w:noBreakHyphen/>
            </w:r>
            <w:r w:rsidRPr="004A0530">
              <w:t xml:space="preserve">14 ABS input output data, using ABS Industry Gross Value Added and supporting data at current prices for all industries except </w:t>
            </w:r>
            <w:r w:rsidRPr="004A0530">
              <w:rPr>
                <w:i/>
              </w:rPr>
              <w:t>Mining</w:t>
            </w:r>
            <w:r w:rsidRPr="004A0530">
              <w:t xml:space="preserve">. For </w:t>
            </w:r>
            <w:r w:rsidRPr="004A0530">
              <w:rPr>
                <w:i/>
              </w:rPr>
              <w:t>Mining</w:t>
            </w:r>
            <w:r w:rsidRPr="004A0530">
              <w:t>, in order to abstract from the effects of terms of trade changes, the estimates are re</w:t>
            </w:r>
            <w:r>
              <w:noBreakHyphen/>
            </w:r>
            <w:r w:rsidRPr="004A0530">
              <w:t xml:space="preserve">indexed using the ABS Industry Gross Value Added, chain volume measures. This information is subject to periodic revision by the ABS </w:t>
            </w:r>
            <w:r w:rsidRPr="003B712E">
              <w:rPr>
                <w:rFonts w:cs="Arial"/>
              </w:rPr>
              <w:t>(2017)</w:t>
            </w:r>
            <w:r w:rsidRPr="004A0530">
              <w:t>.</w:t>
            </w:r>
            <w:r>
              <w:t xml:space="preserve"> </w:t>
            </w: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5774D7" w:rsidRDefault="00745FEA" w:rsidP="00745FEA">
      <w:pPr>
        <w:pStyle w:val="Heading3"/>
        <w:spacing w:before="240"/>
      </w:pPr>
      <w:r w:rsidRPr="005774D7">
        <w:t>Negative net tariff assistance has been rising for services and mining</w:t>
      </w:r>
    </w:p>
    <w:p w:rsidR="00745FEA" w:rsidRDefault="00745FEA" w:rsidP="00745FEA">
      <w:pPr>
        <w:pStyle w:val="BodyText"/>
        <w:spacing w:before="200"/>
      </w:pPr>
      <w:r w:rsidRPr="00D053D9">
        <w:t xml:space="preserve">The estimated value of net tariff assistance for the manufacturing sector has fallen by around </w:t>
      </w:r>
      <w:r>
        <w:t>8 per cent</w:t>
      </w:r>
      <w:r w:rsidRPr="00D053D9">
        <w:t xml:space="preserve"> since 201</w:t>
      </w:r>
      <w:r>
        <w:t>1</w:t>
      </w:r>
      <w:r>
        <w:noBreakHyphen/>
        <w:t>12</w:t>
      </w:r>
      <w:r w:rsidRPr="00D053D9">
        <w:t xml:space="preserve">, largely reflecting reductions in tariff assistance to the </w:t>
      </w:r>
      <w:r w:rsidRPr="004A0530">
        <w:rPr>
          <w:i/>
        </w:rPr>
        <w:t>Textiles, clothing, footwear and leather</w:t>
      </w:r>
      <w:r w:rsidRPr="00D053D9">
        <w:t>, and changing activity levels in tariff assisted activities. At the same time, the net tariff penalty on the services sector has increased by 1</w:t>
      </w:r>
      <w:r>
        <w:t>0 per cent</w:t>
      </w:r>
      <w:r w:rsidRPr="00D053D9">
        <w:t xml:space="preserve"> (to nearly $4 billion), reflecting growth in the use of tariff assisted manufactures as the services sector has expanded. Similarly, the net tariff penalty on the mining sector also increased over the period (figure</w:t>
      </w:r>
      <w:r>
        <w:t> </w:t>
      </w:r>
      <w:r w:rsidRPr="00D053D9">
        <w:t>2.1</w:t>
      </w:r>
      <w:r>
        <w:t>)</w:t>
      </w:r>
      <w:r w:rsidRPr="00D053D9">
        <w:t>.</w:t>
      </w:r>
      <w:r>
        <w:t xml:space="preserv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2.</w:t>
            </w:r>
            <w:r>
              <w:rPr>
                <w:b w:val="0"/>
                <w:noProof/>
              </w:rPr>
              <w:t>1</w:t>
            </w:r>
            <w:r>
              <w:tab/>
              <w:t>Net tariff assistance by industry sector,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5000" w:type="pct"/>
                  <w:tcBorders>
                    <w:top w:val="nil"/>
                    <w:bottom w:val="nil"/>
                  </w:tcBorders>
                </w:tcPr>
                <w:p w:rsidR="00745FEA" w:rsidRPr="00B1465D" w:rsidRDefault="004270F2" w:rsidP="00745FEA">
                  <w:pPr>
                    <w:pStyle w:val="Figure"/>
                    <w:spacing w:before="60" w:after="60"/>
                    <w:rPr>
                      <w:rFonts w:ascii="Arial" w:hAnsi="Arial" w:cs="Arial"/>
                      <w:sz w:val="18"/>
                      <w:szCs w:val="18"/>
                    </w:rPr>
                  </w:pPr>
                  <w:r w:rsidRPr="004270F2">
                    <w:rPr>
                      <w:rFonts w:ascii="Arial" w:hAnsi="Arial" w:cs="Arial"/>
                      <w:noProof/>
                      <w:sz w:val="18"/>
                      <w:szCs w:val="18"/>
                    </w:rPr>
                    <w:drawing>
                      <wp:inline distT="0" distB="0" distL="0" distR="0" wp14:anchorId="0A63135D" wp14:editId="15EA96A1">
                        <wp:extent cx="5172710" cy="2756535"/>
                        <wp:effectExtent l="0" t="0" r="8890" b="5715"/>
                        <wp:docPr id="30" name="Picture 30" descr="This figure presents net tariff assistance by industry sector. Net tariff assistance was not significant for primary production and mining in 2016 17. Manufacturing sector received the bulk of net tariff assistance and services paid the bulk of input tariff pen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72710" cy="2756535"/>
                                </a:xfrm>
                                <a:prstGeom prst="rect">
                                  <a:avLst/>
                                </a:prstGeom>
                                <a:noFill/>
                                <a:ln>
                                  <a:noFill/>
                                </a:ln>
                              </pic:spPr>
                            </pic:pic>
                          </a:graphicData>
                        </a:graphic>
                      </wp:inline>
                    </w:drawing>
                  </w:r>
                </w:p>
              </w:tc>
            </w:tr>
          </w:tbl>
          <w:p w:rsidR="00745FEA" w:rsidRDefault="00745FEA" w:rsidP="00745FEA">
            <w:pPr>
              <w:pStyle w:val="Figure"/>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 xml:space="preserve">: </w:t>
            </w:r>
            <w:r>
              <w:t xml:space="preserve">Commission estimates. </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spacing w:before="200"/>
      </w:pPr>
      <w:r w:rsidRPr="00D053D9">
        <w:t>The value of net tariff assistance to primary production trended higher over the period to 2012</w:t>
      </w:r>
      <w:r>
        <w:noBreakHyphen/>
      </w:r>
      <w:r w:rsidRPr="00D053D9">
        <w:t>13 but in 2013</w:t>
      </w:r>
      <w:r>
        <w:noBreakHyphen/>
      </w:r>
      <w:r w:rsidRPr="00D053D9">
        <w:t>14 fell to around that recorded in 2010</w:t>
      </w:r>
      <w:r>
        <w:noBreakHyphen/>
      </w:r>
      <w:r w:rsidRPr="00D053D9">
        <w:t>11. The upward trend continued in 2014</w:t>
      </w:r>
      <w:r>
        <w:noBreakHyphen/>
      </w:r>
      <w:r w:rsidRPr="00D053D9">
        <w:t xml:space="preserve">15 </w:t>
      </w:r>
      <w:r>
        <w:t xml:space="preserve">to </w:t>
      </w:r>
      <w:r w:rsidRPr="00D053D9">
        <w:t>201</w:t>
      </w:r>
      <w:r>
        <w:t>6</w:t>
      </w:r>
      <w:r>
        <w:noBreakHyphen/>
      </w:r>
      <w:r w:rsidRPr="00D053D9">
        <w:t>1</w:t>
      </w:r>
      <w:r>
        <w:t>7</w:t>
      </w:r>
      <w:r w:rsidRPr="00D053D9">
        <w:t xml:space="preserve">. While there has been year to year changes in the value of activity in the sector, the upward trends reflect the </w:t>
      </w:r>
      <w:r w:rsidRPr="003C7C2D">
        <w:rPr>
          <w:i/>
        </w:rPr>
        <w:t>Horticulture and fruit growing</w:t>
      </w:r>
      <w:r w:rsidRPr="00D053D9">
        <w:t xml:space="preserve"> and </w:t>
      </w:r>
      <w:r w:rsidRPr="003C7C2D">
        <w:rPr>
          <w:i/>
        </w:rPr>
        <w:t>Forestry and logging industries</w:t>
      </w:r>
      <w:r w:rsidRPr="00D053D9">
        <w:t xml:space="preserve"> (industries that receive positive net tariff assistance) </w:t>
      </w:r>
      <w:r w:rsidRPr="00D36092">
        <w:t>growing more in absolute terms</w:t>
      </w:r>
      <w:r w:rsidRPr="00D053D9">
        <w:t xml:space="preserve"> than other primary production industries (industries that, as a group, incur negative net tariff assistance). </w:t>
      </w:r>
    </w:p>
    <w:p w:rsidR="00745FEA" w:rsidRPr="00EC4625" w:rsidRDefault="00745FEA" w:rsidP="00745FEA">
      <w:pPr>
        <w:pStyle w:val="Heading3"/>
        <w:spacing w:before="480"/>
      </w:pPr>
      <w:r w:rsidRPr="00EC4625">
        <w:t>Tariff assistance is focused on manufacturing, while input cost penalties fall on all industries</w:t>
      </w:r>
    </w:p>
    <w:p w:rsidR="00745FEA" w:rsidRDefault="00745FEA" w:rsidP="00745FEA">
      <w:pPr>
        <w:pStyle w:val="BodyText"/>
      </w:pPr>
      <w:r>
        <w:t xml:space="preserve">By value, most tariff assistance on outputs is directed towards the manufacturing sector, and in particular the </w:t>
      </w:r>
      <w:r w:rsidRPr="00EC4625">
        <w:rPr>
          <w:i/>
        </w:rPr>
        <w:t>Food, beverages and tobacco</w:t>
      </w:r>
      <w:r>
        <w:t xml:space="preserve"> ($2.1 billion), </w:t>
      </w:r>
      <w:r w:rsidRPr="00EC4625">
        <w:rPr>
          <w:i/>
        </w:rPr>
        <w:t>Metal and fabricated metal products</w:t>
      </w:r>
      <w:r>
        <w:t xml:space="preserve"> ($1 billion), </w:t>
      </w:r>
      <w:r w:rsidRPr="00EC4625">
        <w:rPr>
          <w:i/>
        </w:rPr>
        <w:t>Wood and paper products</w:t>
      </w:r>
      <w:r>
        <w:t xml:space="preserve"> ($0.7 billion), and </w:t>
      </w:r>
      <w:r w:rsidRPr="00EC4625">
        <w:rPr>
          <w:i/>
        </w:rPr>
        <w:t>Petroleum, coal, chemical and rubber products</w:t>
      </w:r>
      <w:r>
        <w:t xml:space="preserve"> ($0.6 billion) industry groups (table 2.3, left hand column). </w:t>
      </w:r>
    </w:p>
    <w:p w:rsidR="00745FEA" w:rsidRDefault="00745FEA" w:rsidP="00745FEA">
      <w:pPr>
        <w:pStyle w:val="BodyText"/>
      </w:pPr>
      <w:r>
        <w:t>Mining and primary production industries receive little tariff assistance on outputs, and tariffs are not levied on services. On the other hand, tariffs impose input cost penalties on all industries (because of their cost raising effects on inputs) (table 2.3, middle column). Around two</w:t>
      </w:r>
      <w:r>
        <w:noBreakHyphen/>
        <w:t xml:space="preserve">thirds of the input penalty on tariffs is incurred by services industries. All manufacturing industries are estimated to receive positive net tariff assistance, as the value of tariff assistance on outputs outweighs the cost impost of tariffs on inputs for each industry group (table 2.3, right hand column). </w:t>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2.</w:t>
            </w:r>
            <w:r>
              <w:rPr>
                <w:b w:val="0"/>
                <w:noProof/>
              </w:rPr>
              <w:t>3</w:t>
            </w:r>
            <w:r>
              <w:tab/>
              <w:t>Tariff assistance by industry grouping, 2016</w:t>
            </w:r>
            <w:r>
              <w:noBreakHyphen/>
              <w:t>17</w:t>
            </w:r>
            <w:r w:rsidRPr="003105C3">
              <w:rPr>
                <w:vertAlign w:val="superscript"/>
              </w:rPr>
              <w:t>a,b</w:t>
            </w:r>
          </w:p>
          <w:p w:rsidR="00745FEA" w:rsidRPr="00784A05" w:rsidRDefault="00745FEA" w:rsidP="00745FEA">
            <w:pPr>
              <w:pStyle w:val="Subtitle"/>
            </w:pPr>
            <w:r>
              <w:t>$ million (nominal)</w:t>
            </w:r>
          </w:p>
        </w:tc>
      </w:tr>
      <w:tr w:rsidR="00745FEA" w:rsidTr="00745FEA">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627"/>
              <w:gridCol w:w="1645"/>
              <w:gridCol w:w="1644"/>
              <w:gridCol w:w="1644"/>
            </w:tblGrid>
            <w:tr w:rsidR="00745FEA" w:rsidTr="00745FEA">
              <w:trPr>
                <w:tblHeader/>
              </w:trPr>
              <w:tc>
                <w:tcPr>
                  <w:tcW w:w="2119"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r>
                    <w:t>Industry grouping</w:t>
                  </w:r>
                </w:p>
              </w:tc>
              <w:tc>
                <w:tcPr>
                  <w:tcW w:w="961" w:type="pct"/>
                  <w:tcBorders>
                    <w:top w:val="single" w:sz="6" w:space="0" w:color="BFBFBF"/>
                    <w:bottom w:val="single" w:sz="6" w:space="0" w:color="BFBFBF"/>
                  </w:tcBorders>
                </w:tcPr>
                <w:p w:rsidR="00745FEA" w:rsidRDefault="00745FEA" w:rsidP="00745FEA">
                  <w:pPr>
                    <w:pStyle w:val="TableColumnHeading"/>
                  </w:pPr>
                  <w:r>
                    <w:t>Output assistance</w:t>
                  </w:r>
                </w:p>
              </w:tc>
              <w:tc>
                <w:tcPr>
                  <w:tcW w:w="96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pPr>
                  <w:r>
                    <w:t>Input cost penalty</w:t>
                  </w:r>
                </w:p>
              </w:tc>
              <w:tc>
                <w:tcPr>
                  <w:tcW w:w="96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ind w:right="28"/>
                  </w:pPr>
                  <w:r>
                    <w:t>Net tariff assistance</w:t>
                  </w:r>
                </w:p>
              </w:tc>
            </w:tr>
            <w:tr w:rsidR="00745FEA" w:rsidRPr="009C509E" w:rsidTr="00745FEA">
              <w:tc>
                <w:tcPr>
                  <w:tcW w:w="2119" w:type="pct"/>
                  <w:tcBorders>
                    <w:top w:val="single" w:sz="6" w:space="0" w:color="BFBFBF"/>
                  </w:tcBorders>
                  <w:vAlign w:val="center"/>
                </w:tcPr>
                <w:p w:rsidR="00745FEA" w:rsidRPr="009C509E" w:rsidRDefault="00745FEA" w:rsidP="00745FEA">
                  <w:pPr>
                    <w:pStyle w:val="TableBodyText"/>
                    <w:jc w:val="left"/>
                    <w:rPr>
                      <w:b/>
                    </w:rPr>
                  </w:pPr>
                  <w:r w:rsidRPr="009C509E">
                    <w:rPr>
                      <w:b/>
                    </w:rPr>
                    <w:t>Primary production</w:t>
                  </w:r>
                </w:p>
              </w:tc>
              <w:tc>
                <w:tcPr>
                  <w:tcW w:w="961" w:type="pct"/>
                  <w:tcBorders>
                    <w:top w:val="single" w:sz="6" w:space="0" w:color="BFBFBF"/>
                  </w:tcBorders>
                </w:tcPr>
                <w:p w:rsidR="00745FEA" w:rsidRPr="009C509E" w:rsidRDefault="00745FEA" w:rsidP="00745FEA">
                  <w:pPr>
                    <w:pStyle w:val="TableBodyText"/>
                    <w:rPr>
                      <w:b/>
                    </w:rPr>
                  </w:pPr>
                  <w:r w:rsidRPr="009C509E">
                    <w:rPr>
                      <w:b/>
                    </w:rPr>
                    <w:t>488.5</w:t>
                  </w:r>
                </w:p>
              </w:tc>
              <w:tc>
                <w:tcPr>
                  <w:tcW w:w="960" w:type="pct"/>
                  <w:tcBorders>
                    <w:top w:val="single" w:sz="6" w:space="0" w:color="BFBFBF"/>
                  </w:tcBorders>
                </w:tcPr>
                <w:p w:rsidR="00745FEA" w:rsidRPr="009C509E" w:rsidRDefault="00745FEA" w:rsidP="00745FEA">
                  <w:pPr>
                    <w:pStyle w:val="TableBodyText"/>
                    <w:rPr>
                      <w:b/>
                    </w:rPr>
                  </w:pPr>
                  <w:r>
                    <w:rPr>
                      <w:b/>
                    </w:rPr>
                    <w:noBreakHyphen/>
                  </w:r>
                  <w:r w:rsidRPr="009C509E">
                    <w:rPr>
                      <w:b/>
                    </w:rPr>
                    <w:t>197.7</w:t>
                  </w:r>
                </w:p>
              </w:tc>
              <w:tc>
                <w:tcPr>
                  <w:tcW w:w="960" w:type="pct"/>
                  <w:tcBorders>
                    <w:top w:val="single" w:sz="6" w:space="0" w:color="BFBFBF"/>
                  </w:tcBorders>
                </w:tcPr>
                <w:p w:rsidR="00745FEA" w:rsidRPr="009C509E" w:rsidRDefault="00745FEA" w:rsidP="00745FEA">
                  <w:pPr>
                    <w:pStyle w:val="TableBodyText"/>
                    <w:ind w:right="0"/>
                    <w:rPr>
                      <w:b/>
                    </w:rPr>
                  </w:pPr>
                  <w:r w:rsidRPr="009C509E">
                    <w:rPr>
                      <w:b/>
                    </w:rPr>
                    <w:t>290.8</w:t>
                  </w:r>
                </w:p>
              </w:tc>
            </w:tr>
            <w:tr w:rsidR="00745FEA" w:rsidTr="00745FEA">
              <w:tc>
                <w:tcPr>
                  <w:tcW w:w="2119" w:type="pct"/>
                  <w:vAlign w:val="center"/>
                </w:tcPr>
                <w:p w:rsidR="00745FEA" w:rsidRPr="00D8479D" w:rsidRDefault="00745FEA" w:rsidP="00745FEA">
                  <w:pPr>
                    <w:pStyle w:val="TableBodyText"/>
                    <w:spacing w:after="20"/>
                    <w:jc w:val="left"/>
                  </w:pPr>
                  <w:r w:rsidRPr="00D8479D">
                    <w:t>Horticulture and fruit growing</w:t>
                  </w:r>
                </w:p>
              </w:tc>
              <w:tc>
                <w:tcPr>
                  <w:tcW w:w="961" w:type="pct"/>
                </w:tcPr>
                <w:p w:rsidR="00745FEA" w:rsidRPr="006960AB" w:rsidRDefault="00745FEA" w:rsidP="00745FEA">
                  <w:pPr>
                    <w:pStyle w:val="TableBodyText"/>
                    <w:spacing w:after="20"/>
                  </w:pPr>
                  <w:r w:rsidRPr="006960AB">
                    <w:t>179.8</w:t>
                  </w:r>
                </w:p>
              </w:tc>
              <w:tc>
                <w:tcPr>
                  <w:tcW w:w="960" w:type="pct"/>
                </w:tcPr>
                <w:p w:rsidR="00745FEA" w:rsidRPr="006960AB" w:rsidRDefault="00745FEA" w:rsidP="00745FEA">
                  <w:pPr>
                    <w:pStyle w:val="TableBodyText"/>
                    <w:spacing w:after="20"/>
                  </w:pPr>
                  <w:r>
                    <w:noBreakHyphen/>
                  </w:r>
                  <w:r w:rsidRPr="006960AB">
                    <w:t>12.3</w:t>
                  </w:r>
                </w:p>
              </w:tc>
              <w:tc>
                <w:tcPr>
                  <w:tcW w:w="960" w:type="pct"/>
                </w:tcPr>
                <w:p w:rsidR="00745FEA" w:rsidRPr="006960AB" w:rsidRDefault="00745FEA" w:rsidP="00745FEA">
                  <w:pPr>
                    <w:pStyle w:val="TableBodyText"/>
                    <w:spacing w:after="20"/>
                    <w:ind w:right="0"/>
                  </w:pPr>
                  <w:r w:rsidRPr="006960AB">
                    <w:t>167.6</w:t>
                  </w:r>
                </w:p>
              </w:tc>
            </w:tr>
            <w:tr w:rsidR="00745FEA" w:rsidTr="00745FEA">
              <w:tc>
                <w:tcPr>
                  <w:tcW w:w="2119" w:type="pct"/>
                  <w:vAlign w:val="center"/>
                </w:tcPr>
                <w:p w:rsidR="00745FEA" w:rsidRPr="00D8479D" w:rsidRDefault="00745FEA" w:rsidP="00745FEA">
                  <w:pPr>
                    <w:pStyle w:val="TableBodyText"/>
                    <w:spacing w:after="20"/>
                    <w:jc w:val="left"/>
                  </w:pPr>
                  <w:r w:rsidRPr="00D8479D">
                    <w:t>Sheep, beef cattle and grain farming</w:t>
                  </w:r>
                </w:p>
              </w:tc>
              <w:tc>
                <w:tcPr>
                  <w:tcW w:w="961" w:type="pct"/>
                </w:tcPr>
                <w:p w:rsidR="00745FEA" w:rsidRPr="006960AB" w:rsidRDefault="00745FEA" w:rsidP="00745FEA">
                  <w:pPr>
                    <w:pStyle w:val="TableBodyText"/>
                    <w:spacing w:after="20"/>
                  </w:pPr>
                  <w:r w:rsidRPr="006960AB">
                    <w:t>256.8</w:t>
                  </w:r>
                </w:p>
              </w:tc>
              <w:tc>
                <w:tcPr>
                  <w:tcW w:w="960" w:type="pct"/>
                </w:tcPr>
                <w:p w:rsidR="00745FEA" w:rsidRPr="006960AB" w:rsidRDefault="00745FEA" w:rsidP="00745FEA">
                  <w:pPr>
                    <w:pStyle w:val="TableBodyText"/>
                    <w:spacing w:after="20"/>
                  </w:pPr>
                  <w:r>
                    <w:noBreakHyphen/>
                  </w:r>
                  <w:r w:rsidRPr="006960AB">
                    <w:t>72.6</w:t>
                  </w:r>
                </w:p>
              </w:tc>
              <w:tc>
                <w:tcPr>
                  <w:tcW w:w="960" w:type="pct"/>
                </w:tcPr>
                <w:p w:rsidR="00745FEA" w:rsidRPr="006960AB" w:rsidRDefault="00745FEA" w:rsidP="00745FEA">
                  <w:pPr>
                    <w:pStyle w:val="TableBodyText"/>
                    <w:spacing w:after="20"/>
                    <w:ind w:right="0"/>
                  </w:pPr>
                  <w:r w:rsidRPr="006960AB">
                    <w:t>184.1</w:t>
                  </w:r>
                </w:p>
              </w:tc>
            </w:tr>
            <w:tr w:rsidR="00745FEA" w:rsidTr="00745FEA">
              <w:tc>
                <w:tcPr>
                  <w:tcW w:w="2119" w:type="pct"/>
                  <w:vAlign w:val="center"/>
                </w:tcPr>
                <w:p w:rsidR="00745FEA" w:rsidRPr="00D8479D" w:rsidRDefault="00745FEA" w:rsidP="00745FEA">
                  <w:pPr>
                    <w:pStyle w:val="TableBodyText"/>
                    <w:spacing w:after="20"/>
                    <w:jc w:val="left"/>
                  </w:pPr>
                  <w:r w:rsidRPr="00D8479D">
                    <w:t>Other crop growing</w:t>
                  </w:r>
                </w:p>
              </w:tc>
              <w:tc>
                <w:tcPr>
                  <w:tcW w:w="961" w:type="pct"/>
                </w:tcPr>
                <w:p w:rsidR="00745FEA" w:rsidRPr="006960AB" w:rsidRDefault="00745FEA" w:rsidP="00745FEA">
                  <w:pPr>
                    <w:pStyle w:val="TableBodyText"/>
                    <w:spacing w:after="20"/>
                  </w:pPr>
                  <w:r w:rsidRPr="006960AB">
                    <w:t>2.2</w:t>
                  </w:r>
                </w:p>
              </w:tc>
              <w:tc>
                <w:tcPr>
                  <w:tcW w:w="960" w:type="pct"/>
                </w:tcPr>
                <w:p w:rsidR="00745FEA" w:rsidRPr="006960AB" w:rsidRDefault="00745FEA" w:rsidP="00745FEA">
                  <w:pPr>
                    <w:pStyle w:val="TableBodyText"/>
                    <w:spacing w:after="20"/>
                  </w:pPr>
                  <w:r>
                    <w:noBreakHyphen/>
                  </w:r>
                  <w:r w:rsidRPr="006960AB">
                    <w:t>9.0</w:t>
                  </w:r>
                </w:p>
              </w:tc>
              <w:tc>
                <w:tcPr>
                  <w:tcW w:w="960" w:type="pct"/>
                </w:tcPr>
                <w:p w:rsidR="00745FEA" w:rsidRPr="006960AB" w:rsidRDefault="00745FEA" w:rsidP="00745FEA">
                  <w:pPr>
                    <w:pStyle w:val="TableBodyText"/>
                    <w:spacing w:after="20"/>
                    <w:ind w:right="0"/>
                  </w:pPr>
                  <w:r>
                    <w:noBreakHyphen/>
                  </w:r>
                  <w:r w:rsidRPr="006960AB">
                    <w:t>6.7</w:t>
                  </w:r>
                </w:p>
              </w:tc>
            </w:tr>
            <w:tr w:rsidR="00745FEA" w:rsidTr="00745FEA">
              <w:tc>
                <w:tcPr>
                  <w:tcW w:w="2119" w:type="pct"/>
                  <w:vAlign w:val="center"/>
                </w:tcPr>
                <w:p w:rsidR="00745FEA" w:rsidRPr="00D8479D" w:rsidRDefault="00745FEA" w:rsidP="00745FEA">
                  <w:pPr>
                    <w:pStyle w:val="TableBodyText"/>
                    <w:spacing w:after="20"/>
                    <w:jc w:val="left"/>
                  </w:pPr>
                  <w:r w:rsidRPr="00D8479D">
                    <w:t>Dairy cattle farming</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12.4</w:t>
                  </w:r>
                </w:p>
              </w:tc>
              <w:tc>
                <w:tcPr>
                  <w:tcW w:w="960" w:type="pct"/>
                </w:tcPr>
                <w:p w:rsidR="00745FEA" w:rsidRPr="006960AB" w:rsidRDefault="00745FEA" w:rsidP="00745FEA">
                  <w:pPr>
                    <w:pStyle w:val="TableBodyText"/>
                    <w:spacing w:after="20"/>
                    <w:ind w:right="0"/>
                  </w:pPr>
                  <w:r>
                    <w:noBreakHyphen/>
                  </w:r>
                  <w:r w:rsidRPr="006960AB">
                    <w:t>12.4</w:t>
                  </w:r>
                </w:p>
              </w:tc>
            </w:tr>
            <w:tr w:rsidR="00745FEA" w:rsidTr="00745FEA">
              <w:tc>
                <w:tcPr>
                  <w:tcW w:w="2119" w:type="pct"/>
                  <w:vAlign w:val="center"/>
                </w:tcPr>
                <w:p w:rsidR="00745FEA" w:rsidRPr="00D8479D" w:rsidRDefault="00745FEA" w:rsidP="00745FEA">
                  <w:pPr>
                    <w:pStyle w:val="TableBodyText"/>
                    <w:spacing w:after="20"/>
                    <w:jc w:val="left"/>
                  </w:pPr>
                  <w:r w:rsidRPr="00D8479D">
                    <w:t>Other livestock farming</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25.2</w:t>
                  </w:r>
                </w:p>
              </w:tc>
              <w:tc>
                <w:tcPr>
                  <w:tcW w:w="960" w:type="pct"/>
                </w:tcPr>
                <w:p w:rsidR="00745FEA" w:rsidRPr="006960AB" w:rsidRDefault="00745FEA" w:rsidP="00745FEA">
                  <w:pPr>
                    <w:pStyle w:val="TableBodyText"/>
                    <w:spacing w:after="20"/>
                    <w:ind w:right="0"/>
                  </w:pPr>
                  <w:r>
                    <w:noBreakHyphen/>
                  </w:r>
                  <w:r w:rsidRPr="006960AB">
                    <w:t>25.2</w:t>
                  </w:r>
                </w:p>
              </w:tc>
            </w:tr>
            <w:tr w:rsidR="00745FEA" w:rsidTr="00745FEA">
              <w:tc>
                <w:tcPr>
                  <w:tcW w:w="2119" w:type="pct"/>
                  <w:vAlign w:val="center"/>
                </w:tcPr>
                <w:p w:rsidR="00745FEA" w:rsidRPr="00D8479D" w:rsidRDefault="00745FEA" w:rsidP="00745FEA">
                  <w:pPr>
                    <w:pStyle w:val="TableBodyText"/>
                    <w:spacing w:after="20"/>
                    <w:jc w:val="left"/>
                  </w:pPr>
                  <w:r w:rsidRPr="00D8479D">
                    <w:t>Aquaculture and fishing</w:t>
                  </w:r>
                </w:p>
              </w:tc>
              <w:tc>
                <w:tcPr>
                  <w:tcW w:w="961" w:type="pct"/>
                </w:tcPr>
                <w:p w:rsidR="00745FEA" w:rsidRPr="006960AB" w:rsidRDefault="00745FEA" w:rsidP="00745FEA">
                  <w:pPr>
                    <w:pStyle w:val="TableBodyText"/>
                    <w:spacing w:after="20"/>
                  </w:pPr>
                  <w:r w:rsidRPr="006960AB">
                    <w:t>2.8</w:t>
                  </w:r>
                </w:p>
              </w:tc>
              <w:tc>
                <w:tcPr>
                  <w:tcW w:w="960" w:type="pct"/>
                </w:tcPr>
                <w:p w:rsidR="00745FEA" w:rsidRPr="006960AB" w:rsidRDefault="00745FEA" w:rsidP="00745FEA">
                  <w:pPr>
                    <w:pStyle w:val="TableBodyText"/>
                    <w:spacing w:after="20"/>
                  </w:pPr>
                  <w:r>
                    <w:noBreakHyphen/>
                  </w:r>
                  <w:r w:rsidRPr="006960AB">
                    <w:t>10.9</w:t>
                  </w:r>
                </w:p>
              </w:tc>
              <w:tc>
                <w:tcPr>
                  <w:tcW w:w="960" w:type="pct"/>
                </w:tcPr>
                <w:p w:rsidR="00745FEA" w:rsidRPr="006960AB" w:rsidRDefault="00745FEA" w:rsidP="00745FEA">
                  <w:pPr>
                    <w:pStyle w:val="TableBodyText"/>
                    <w:spacing w:after="20"/>
                    <w:ind w:right="0"/>
                  </w:pPr>
                  <w:r>
                    <w:noBreakHyphen/>
                  </w:r>
                  <w:r w:rsidRPr="006960AB">
                    <w:t>8.2</w:t>
                  </w:r>
                </w:p>
              </w:tc>
            </w:tr>
            <w:tr w:rsidR="00745FEA" w:rsidTr="00745FEA">
              <w:tc>
                <w:tcPr>
                  <w:tcW w:w="2119" w:type="pct"/>
                  <w:vAlign w:val="center"/>
                </w:tcPr>
                <w:p w:rsidR="00745FEA" w:rsidRPr="00D8479D" w:rsidRDefault="00745FEA" w:rsidP="00745FEA">
                  <w:pPr>
                    <w:pStyle w:val="TableBodyText"/>
                    <w:spacing w:after="20"/>
                    <w:jc w:val="left"/>
                  </w:pPr>
                  <w:r w:rsidRPr="00D8479D">
                    <w:t>Forestry and logging</w:t>
                  </w:r>
                </w:p>
              </w:tc>
              <w:tc>
                <w:tcPr>
                  <w:tcW w:w="961" w:type="pct"/>
                </w:tcPr>
                <w:p w:rsidR="00745FEA" w:rsidRPr="006960AB" w:rsidRDefault="00745FEA" w:rsidP="00745FEA">
                  <w:pPr>
                    <w:pStyle w:val="TableBodyText"/>
                    <w:spacing w:after="20"/>
                  </w:pPr>
                  <w:r w:rsidRPr="006960AB">
                    <w:t>19.5</w:t>
                  </w:r>
                </w:p>
              </w:tc>
              <w:tc>
                <w:tcPr>
                  <w:tcW w:w="960" w:type="pct"/>
                </w:tcPr>
                <w:p w:rsidR="00745FEA" w:rsidRPr="006960AB" w:rsidRDefault="00745FEA" w:rsidP="00745FEA">
                  <w:pPr>
                    <w:pStyle w:val="TableBodyText"/>
                    <w:spacing w:after="20"/>
                  </w:pPr>
                  <w:r>
                    <w:noBreakHyphen/>
                  </w:r>
                  <w:r w:rsidRPr="006960AB">
                    <w:t>2.2</w:t>
                  </w:r>
                </w:p>
              </w:tc>
              <w:tc>
                <w:tcPr>
                  <w:tcW w:w="960" w:type="pct"/>
                </w:tcPr>
                <w:p w:rsidR="00745FEA" w:rsidRPr="006960AB" w:rsidRDefault="00745FEA" w:rsidP="00745FEA">
                  <w:pPr>
                    <w:pStyle w:val="TableBodyText"/>
                    <w:spacing w:after="20"/>
                    <w:ind w:right="0"/>
                  </w:pPr>
                  <w:r w:rsidRPr="006960AB">
                    <w:t>17.3</w:t>
                  </w:r>
                </w:p>
              </w:tc>
            </w:tr>
            <w:tr w:rsidR="00745FEA" w:rsidTr="00745FEA">
              <w:tc>
                <w:tcPr>
                  <w:tcW w:w="2119" w:type="pct"/>
                  <w:vAlign w:val="center"/>
                </w:tcPr>
                <w:p w:rsidR="00745FEA" w:rsidRPr="00D8479D" w:rsidRDefault="00745FEA" w:rsidP="00745FEA">
                  <w:pPr>
                    <w:pStyle w:val="TableBodyText"/>
                    <w:spacing w:after="20"/>
                    <w:jc w:val="left"/>
                  </w:pPr>
                  <w:r w:rsidRPr="00D8479D">
                    <w:t>Primary production support services</w:t>
                  </w:r>
                </w:p>
              </w:tc>
              <w:tc>
                <w:tcPr>
                  <w:tcW w:w="961" w:type="pct"/>
                </w:tcPr>
                <w:p w:rsidR="00745FEA" w:rsidRPr="006960AB" w:rsidRDefault="00745FEA" w:rsidP="00745FEA">
                  <w:pPr>
                    <w:pStyle w:val="TableBodyText"/>
                    <w:spacing w:after="20"/>
                  </w:pPr>
                  <w:r w:rsidRPr="006960AB">
                    <w:t>27.4</w:t>
                  </w:r>
                </w:p>
              </w:tc>
              <w:tc>
                <w:tcPr>
                  <w:tcW w:w="960" w:type="pct"/>
                </w:tcPr>
                <w:p w:rsidR="00745FEA" w:rsidRPr="006960AB" w:rsidRDefault="00745FEA" w:rsidP="00745FEA">
                  <w:pPr>
                    <w:pStyle w:val="TableBodyText"/>
                    <w:spacing w:after="20"/>
                  </w:pPr>
                  <w:r>
                    <w:noBreakHyphen/>
                  </w:r>
                  <w:r w:rsidRPr="006960AB">
                    <w:t>53.0</w:t>
                  </w:r>
                </w:p>
              </w:tc>
              <w:tc>
                <w:tcPr>
                  <w:tcW w:w="960" w:type="pct"/>
                </w:tcPr>
                <w:p w:rsidR="00745FEA" w:rsidRPr="006960AB" w:rsidRDefault="00745FEA" w:rsidP="00745FEA">
                  <w:pPr>
                    <w:pStyle w:val="TableBodyText"/>
                    <w:spacing w:after="20"/>
                    <w:ind w:right="0"/>
                  </w:pPr>
                  <w:r>
                    <w:noBreakHyphen/>
                  </w:r>
                  <w:r w:rsidRPr="006960AB">
                    <w:t>25.6</w:t>
                  </w:r>
                </w:p>
              </w:tc>
            </w:tr>
            <w:tr w:rsidR="00745FEA" w:rsidTr="00745FEA">
              <w:tc>
                <w:tcPr>
                  <w:tcW w:w="2119" w:type="pct"/>
                  <w:vAlign w:val="center"/>
                </w:tcPr>
                <w:p w:rsidR="00745FEA" w:rsidRPr="00D8479D" w:rsidRDefault="00745FEA" w:rsidP="00745FEA">
                  <w:pPr>
                    <w:pStyle w:val="TableBodyText"/>
                    <w:spacing w:after="20"/>
                    <w:jc w:val="left"/>
                  </w:pPr>
                  <w:r w:rsidRPr="00D8479D">
                    <w:t>Unallocated primary production</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ind w:right="0"/>
                  </w:pPr>
                  <w:r>
                    <w:t>–</w:t>
                  </w:r>
                </w:p>
              </w:tc>
            </w:tr>
            <w:tr w:rsidR="00745FEA" w:rsidRPr="009C509E" w:rsidTr="00745FEA">
              <w:tc>
                <w:tcPr>
                  <w:tcW w:w="2119" w:type="pct"/>
                  <w:vAlign w:val="center"/>
                </w:tcPr>
                <w:p w:rsidR="00745FEA" w:rsidRPr="009C509E" w:rsidRDefault="00745FEA" w:rsidP="00745FEA">
                  <w:pPr>
                    <w:pStyle w:val="TableBodyText"/>
                    <w:jc w:val="left"/>
                    <w:rPr>
                      <w:b/>
                    </w:rPr>
                  </w:pPr>
                  <w:r w:rsidRPr="009C509E">
                    <w:rPr>
                      <w:b/>
                    </w:rPr>
                    <w:t>Mining</w:t>
                  </w:r>
                </w:p>
              </w:tc>
              <w:tc>
                <w:tcPr>
                  <w:tcW w:w="961" w:type="pct"/>
                </w:tcPr>
                <w:p w:rsidR="00745FEA" w:rsidRPr="009C509E" w:rsidRDefault="00745FEA" w:rsidP="00745FEA">
                  <w:pPr>
                    <w:pStyle w:val="TableBodyText"/>
                    <w:rPr>
                      <w:b/>
                    </w:rPr>
                  </w:pPr>
                  <w:r w:rsidRPr="009C509E">
                    <w:rPr>
                      <w:b/>
                    </w:rPr>
                    <w:t>1.6</w:t>
                  </w:r>
                </w:p>
              </w:tc>
              <w:tc>
                <w:tcPr>
                  <w:tcW w:w="960" w:type="pct"/>
                </w:tcPr>
                <w:p w:rsidR="00745FEA" w:rsidRPr="009C509E" w:rsidRDefault="00745FEA" w:rsidP="00745FEA">
                  <w:pPr>
                    <w:pStyle w:val="TableBodyText"/>
                    <w:rPr>
                      <w:b/>
                    </w:rPr>
                  </w:pPr>
                  <w:r>
                    <w:rPr>
                      <w:b/>
                    </w:rPr>
                    <w:noBreakHyphen/>
                  </w:r>
                  <w:r w:rsidRPr="009C509E">
                    <w:rPr>
                      <w:b/>
                    </w:rPr>
                    <w:t>309.4</w:t>
                  </w:r>
                </w:p>
              </w:tc>
              <w:tc>
                <w:tcPr>
                  <w:tcW w:w="960" w:type="pct"/>
                </w:tcPr>
                <w:p w:rsidR="00745FEA" w:rsidRPr="009C509E" w:rsidRDefault="00745FEA" w:rsidP="00745FEA">
                  <w:pPr>
                    <w:pStyle w:val="TableBodyText"/>
                    <w:ind w:right="0"/>
                    <w:rPr>
                      <w:b/>
                    </w:rPr>
                  </w:pPr>
                  <w:r>
                    <w:rPr>
                      <w:b/>
                    </w:rPr>
                    <w:noBreakHyphen/>
                  </w:r>
                  <w:r w:rsidRPr="009C509E">
                    <w:rPr>
                      <w:b/>
                    </w:rPr>
                    <w:t>307.8</w:t>
                  </w:r>
                </w:p>
              </w:tc>
            </w:tr>
            <w:tr w:rsidR="00745FEA" w:rsidRPr="009C509E" w:rsidTr="00745FEA">
              <w:tc>
                <w:tcPr>
                  <w:tcW w:w="2119" w:type="pct"/>
                  <w:vAlign w:val="center"/>
                </w:tcPr>
                <w:p w:rsidR="00745FEA" w:rsidRPr="009C509E" w:rsidRDefault="00745FEA" w:rsidP="00745FEA">
                  <w:pPr>
                    <w:pStyle w:val="TableBodyText"/>
                    <w:jc w:val="left"/>
                    <w:rPr>
                      <w:b/>
                    </w:rPr>
                  </w:pPr>
                  <w:r w:rsidRPr="009C509E">
                    <w:rPr>
                      <w:b/>
                    </w:rPr>
                    <w:t>Manufacturing</w:t>
                  </w:r>
                </w:p>
              </w:tc>
              <w:tc>
                <w:tcPr>
                  <w:tcW w:w="961" w:type="pct"/>
                </w:tcPr>
                <w:p w:rsidR="00745FEA" w:rsidRPr="009C509E" w:rsidRDefault="00745FEA" w:rsidP="00745FEA">
                  <w:pPr>
                    <w:pStyle w:val="TableBodyText"/>
                    <w:rPr>
                      <w:b/>
                    </w:rPr>
                  </w:pPr>
                  <w:r w:rsidRPr="009C509E">
                    <w:rPr>
                      <w:b/>
                    </w:rPr>
                    <w:t>6</w:t>
                  </w:r>
                  <w:r>
                    <w:rPr>
                      <w:b/>
                    </w:rPr>
                    <w:t> </w:t>
                  </w:r>
                  <w:r w:rsidRPr="009C509E">
                    <w:rPr>
                      <w:b/>
                    </w:rPr>
                    <w:t>299.0</w:t>
                  </w:r>
                </w:p>
              </w:tc>
              <w:tc>
                <w:tcPr>
                  <w:tcW w:w="960" w:type="pct"/>
                </w:tcPr>
                <w:p w:rsidR="00745FEA" w:rsidRPr="009C509E" w:rsidRDefault="00745FEA" w:rsidP="00745FEA">
                  <w:pPr>
                    <w:pStyle w:val="TableBodyText"/>
                    <w:rPr>
                      <w:b/>
                    </w:rPr>
                  </w:pPr>
                  <w:r>
                    <w:rPr>
                      <w:b/>
                    </w:rPr>
                    <w:noBreakHyphen/>
                  </w:r>
                  <w:r w:rsidRPr="009C509E">
                    <w:rPr>
                      <w:b/>
                    </w:rPr>
                    <w:t>1</w:t>
                  </w:r>
                  <w:r>
                    <w:rPr>
                      <w:b/>
                    </w:rPr>
                    <w:t> </w:t>
                  </w:r>
                  <w:r w:rsidRPr="009C509E">
                    <w:rPr>
                      <w:b/>
                    </w:rPr>
                    <w:t>649.9</w:t>
                  </w:r>
                </w:p>
              </w:tc>
              <w:tc>
                <w:tcPr>
                  <w:tcW w:w="960" w:type="pct"/>
                </w:tcPr>
                <w:p w:rsidR="00745FEA" w:rsidRPr="009C509E" w:rsidRDefault="00745FEA" w:rsidP="00745FEA">
                  <w:pPr>
                    <w:pStyle w:val="TableBodyText"/>
                    <w:ind w:right="0"/>
                    <w:rPr>
                      <w:b/>
                    </w:rPr>
                  </w:pPr>
                  <w:r w:rsidRPr="009C509E">
                    <w:rPr>
                      <w:b/>
                    </w:rPr>
                    <w:t>4</w:t>
                  </w:r>
                  <w:r>
                    <w:rPr>
                      <w:b/>
                    </w:rPr>
                    <w:t> </w:t>
                  </w:r>
                  <w:r w:rsidRPr="009C509E">
                    <w:rPr>
                      <w:b/>
                    </w:rPr>
                    <w:t>649.1</w:t>
                  </w:r>
                </w:p>
              </w:tc>
            </w:tr>
            <w:tr w:rsidR="00745FEA" w:rsidTr="00745FEA">
              <w:tc>
                <w:tcPr>
                  <w:tcW w:w="2119" w:type="pct"/>
                  <w:vAlign w:val="center"/>
                </w:tcPr>
                <w:p w:rsidR="00745FEA" w:rsidRPr="00714DF6" w:rsidRDefault="00745FEA" w:rsidP="00745FEA">
                  <w:pPr>
                    <w:pStyle w:val="TableBodyText"/>
                    <w:spacing w:after="20"/>
                    <w:jc w:val="left"/>
                  </w:pPr>
                  <w:r w:rsidRPr="00714DF6">
                    <w:t>Food, beverages and tobacco</w:t>
                  </w:r>
                </w:p>
              </w:tc>
              <w:tc>
                <w:tcPr>
                  <w:tcW w:w="961" w:type="pct"/>
                </w:tcPr>
                <w:p w:rsidR="00745FEA" w:rsidRPr="006960AB" w:rsidRDefault="00745FEA" w:rsidP="00745FEA">
                  <w:pPr>
                    <w:pStyle w:val="TableBodyText"/>
                    <w:spacing w:after="20"/>
                  </w:pPr>
                  <w:r w:rsidRPr="006960AB">
                    <w:t>2</w:t>
                  </w:r>
                  <w:r>
                    <w:t> </w:t>
                  </w:r>
                  <w:r w:rsidRPr="006960AB">
                    <w:t>108.6</w:t>
                  </w:r>
                </w:p>
              </w:tc>
              <w:tc>
                <w:tcPr>
                  <w:tcW w:w="960" w:type="pct"/>
                </w:tcPr>
                <w:p w:rsidR="00745FEA" w:rsidRPr="006960AB" w:rsidRDefault="00745FEA" w:rsidP="00745FEA">
                  <w:pPr>
                    <w:pStyle w:val="TableBodyText"/>
                    <w:spacing w:after="20"/>
                  </w:pPr>
                  <w:r>
                    <w:noBreakHyphen/>
                  </w:r>
                  <w:r w:rsidRPr="006960AB">
                    <w:t>732.2</w:t>
                  </w:r>
                </w:p>
              </w:tc>
              <w:tc>
                <w:tcPr>
                  <w:tcW w:w="960" w:type="pct"/>
                </w:tcPr>
                <w:p w:rsidR="00745FEA" w:rsidRPr="006960AB" w:rsidRDefault="00745FEA" w:rsidP="00745FEA">
                  <w:pPr>
                    <w:pStyle w:val="TableBodyText"/>
                    <w:spacing w:after="20"/>
                    <w:ind w:right="0"/>
                  </w:pPr>
                  <w:r w:rsidRPr="006960AB">
                    <w:t>1</w:t>
                  </w:r>
                  <w:r>
                    <w:t> </w:t>
                  </w:r>
                  <w:r w:rsidRPr="006960AB">
                    <w:t>376.4</w:t>
                  </w:r>
                </w:p>
              </w:tc>
            </w:tr>
            <w:tr w:rsidR="00745FEA" w:rsidTr="00745FEA">
              <w:tc>
                <w:tcPr>
                  <w:tcW w:w="2119" w:type="pct"/>
                  <w:vAlign w:val="center"/>
                </w:tcPr>
                <w:p w:rsidR="00745FEA" w:rsidRPr="00714DF6" w:rsidRDefault="00745FEA" w:rsidP="00745FEA">
                  <w:pPr>
                    <w:pStyle w:val="TableBodyText"/>
                    <w:spacing w:after="20"/>
                    <w:jc w:val="left"/>
                  </w:pPr>
                  <w:r w:rsidRPr="00714DF6">
                    <w:t>Textiles, leather, clothing and footwear</w:t>
                  </w:r>
                </w:p>
              </w:tc>
              <w:tc>
                <w:tcPr>
                  <w:tcW w:w="961" w:type="pct"/>
                </w:tcPr>
                <w:p w:rsidR="00745FEA" w:rsidRPr="006960AB" w:rsidRDefault="00745FEA" w:rsidP="00745FEA">
                  <w:pPr>
                    <w:pStyle w:val="TableBodyText"/>
                    <w:spacing w:after="20"/>
                  </w:pPr>
                  <w:r w:rsidRPr="006960AB">
                    <w:t>111.4</w:t>
                  </w:r>
                </w:p>
              </w:tc>
              <w:tc>
                <w:tcPr>
                  <w:tcW w:w="960" w:type="pct"/>
                </w:tcPr>
                <w:p w:rsidR="00745FEA" w:rsidRPr="006960AB" w:rsidRDefault="00745FEA" w:rsidP="00745FEA">
                  <w:pPr>
                    <w:pStyle w:val="TableBodyText"/>
                    <w:spacing w:after="20"/>
                  </w:pPr>
                  <w:r>
                    <w:noBreakHyphen/>
                  </w:r>
                  <w:r w:rsidRPr="006960AB">
                    <w:t>29.3</w:t>
                  </w:r>
                </w:p>
              </w:tc>
              <w:tc>
                <w:tcPr>
                  <w:tcW w:w="960" w:type="pct"/>
                </w:tcPr>
                <w:p w:rsidR="00745FEA" w:rsidRPr="006960AB" w:rsidRDefault="00745FEA" w:rsidP="00745FEA">
                  <w:pPr>
                    <w:pStyle w:val="TableBodyText"/>
                    <w:spacing w:after="20"/>
                    <w:ind w:right="0"/>
                  </w:pPr>
                  <w:r w:rsidRPr="006960AB">
                    <w:t>82.1</w:t>
                  </w:r>
                </w:p>
              </w:tc>
            </w:tr>
            <w:tr w:rsidR="00745FEA" w:rsidTr="00745FEA">
              <w:tc>
                <w:tcPr>
                  <w:tcW w:w="2119" w:type="pct"/>
                  <w:vAlign w:val="center"/>
                </w:tcPr>
                <w:p w:rsidR="00745FEA" w:rsidRPr="00714DF6" w:rsidRDefault="00745FEA" w:rsidP="00745FEA">
                  <w:pPr>
                    <w:pStyle w:val="TableBodyText"/>
                    <w:spacing w:after="20"/>
                    <w:jc w:val="left"/>
                  </w:pPr>
                  <w:r w:rsidRPr="00714DF6">
                    <w:t>Wood and paper products</w:t>
                  </w:r>
                </w:p>
              </w:tc>
              <w:tc>
                <w:tcPr>
                  <w:tcW w:w="961" w:type="pct"/>
                </w:tcPr>
                <w:p w:rsidR="00745FEA" w:rsidRPr="006960AB" w:rsidRDefault="00745FEA" w:rsidP="00745FEA">
                  <w:pPr>
                    <w:pStyle w:val="TableBodyText"/>
                    <w:spacing w:after="20"/>
                  </w:pPr>
                  <w:r w:rsidRPr="006960AB">
                    <w:t>673.2</w:t>
                  </w:r>
                </w:p>
              </w:tc>
              <w:tc>
                <w:tcPr>
                  <w:tcW w:w="960" w:type="pct"/>
                </w:tcPr>
                <w:p w:rsidR="00745FEA" w:rsidRPr="006960AB" w:rsidRDefault="00745FEA" w:rsidP="00745FEA">
                  <w:pPr>
                    <w:pStyle w:val="TableBodyText"/>
                    <w:spacing w:after="20"/>
                  </w:pPr>
                  <w:r>
                    <w:noBreakHyphen/>
                  </w:r>
                  <w:r w:rsidRPr="006960AB">
                    <w:t>113.6</w:t>
                  </w:r>
                </w:p>
              </w:tc>
              <w:tc>
                <w:tcPr>
                  <w:tcW w:w="960" w:type="pct"/>
                </w:tcPr>
                <w:p w:rsidR="00745FEA" w:rsidRPr="006960AB" w:rsidRDefault="00745FEA" w:rsidP="00745FEA">
                  <w:pPr>
                    <w:pStyle w:val="TableBodyText"/>
                    <w:spacing w:after="20"/>
                    <w:ind w:right="0"/>
                  </w:pPr>
                  <w:r w:rsidRPr="006960AB">
                    <w:t>559.5</w:t>
                  </w:r>
                </w:p>
              </w:tc>
            </w:tr>
            <w:tr w:rsidR="00745FEA" w:rsidTr="00745FEA">
              <w:tc>
                <w:tcPr>
                  <w:tcW w:w="2119" w:type="pct"/>
                  <w:vAlign w:val="center"/>
                </w:tcPr>
                <w:p w:rsidR="00745FEA" w:rsidRPr="00714DF6" w:rsidRDefault="00745FEA" w:rsidP="00745FEA">
                  <w:pPr>
                    <w:pStyle w:val="TableBodyText"/>
                    <w:spacing w:after="20"/>
                    <w:jc w:val="left"/>
                  </w:pPr>
                  <w:r w:rsidRPr="00714DF6">
                    <w:t>Printing and recorded media</w:t>
                  </w:r>
                </w:p>
              </w:tc>
              <w:tc>
                <w:tcPr>
                  <w:tcW w:w="961" w:type="pct"/>
                </w:tcPr>
                <w:p w:rsidR="00745FEA" w:rsidRPr="006960AB" w:rsidRDefault="00745FEA" w:rsidP="00745FEA">
                  <w:pPr>
                    <w:pStyle w:val="TableBodyText"/>
                    <w:spacing w:after="20"/>
                  </w:pPr>
                  <w:r w:rsidRPr="006960AB">
                    <w:t>109.4</w:t>
                  </w:r>
                </w:p>
              </w:tc>
              <w:tc>
                <w:tcPr>
                  <w:tcW w:w="960" w:type="pct"/>
                </w:tcPr>
                <w:p w:rsidR="00745FEA" w:rsidRPr="006960AB" w:rsidRDefault="00745FEA" w:rsidP="00745FEA">
                  <w:pPr>
                    <w:pStyle w:val="TableBodyText"/>
                    <w:spacing w:after="20"/>
                  </w:pPr>
                  <w:r>
                    <w:noBreakHyphen/>
                  </w:r>
                  <w:r w:rsidRPr="006960AB">
                    <w:t>29.5</w:t>
                  </w:r>
                </w:p>
              </w:tc>
              <w:tc>
                <w:tcPr>
                  <w:tcW w:w="960" w:type="pct"/>
                </w:tcPr>
                <w:p w:rsidR="00745FEA" w:rsidRPr="006960AB" w:rsidRDefault="00745FEA" w:rsidP="00745FEA">
                  <w:pPr>
                    <w:pStyle w:val="TableBodyText"/>
                    <w:spacing w:after="20"/>
                    <w:ind w:right="0"/>
                  </w:pPr>
                  <w:r w:rsidRPr="006960AB">
                    <w:t>79.8</w:t>
                  </w:r>
                </w:p>
              </w:tc>
            </w:tr>
            <w:tr w:rsidR="00745FEA" w:rsidTr="00745FEA">
              <w:tc>
                <w:tcPr>
                  <w:tcW w:w="2119" w:type="pct"/>
                  <w:vAlign w:val="center"/>
                </w:tcPr>
                <w:p w:rsidR="00745FEA" w:rsidRPr="00714DF6" w:rsidRDefault="00745FEA" w:rsidP="00745FEA">
                  <w:pPr>
                    <w:pStyle w:val="TableBodyText"/>
                    <w:spacing w:after="20"/>
                    <w:jc w:val="left"/>
                  </w:pPr>
                  <w:r w:rsidRPr="00714DF6">
                    <w:t>Petroleum, coal, chemical and rubber prod.</w:t>
                  </w:r>
                </w:p>
              </w:tc>
              <w:tc>
                <w:tcPr>
                  <w:tcW w:w="961" w:type="pct"/>
                </w:tcPr>
                <w:p w:rsidR="00745FEA" w:rsidRPr="006960AB" w:rsidRDefault="00745FEA" w:rsidP="00745FEA">
                  <w:pPr>
                    <w:pStyle w:val="TableBodyText"/>
                    <w:spacing w:after="20"/>
                  </w:pPr>
                  <w:r w:rsidRPr="006960AB">
                    <w:t>617.0</w:t>
                  </w:r>
                </w:p>
              </w:tc>
              <w:tc>
                <w:tcPr>
                  <w:tcW w:w="960" w:type="pct"/>
                </w:tcPr>
                <w:p w:rsidR="00745FEA" w:rsidRPr="006960AB" w:rsidRDefault="00745FEA" w:rsidP="00745FEA">
                  <w:pPr>
                    <w:pStyle w:val="TableBodyText"/>
                    <w:spacing w:after="20"/>
                  </w:pPr>
                  <w:r>
                    <w:noBreakHyphen/>
                  </w:r>
                  <w:r w:rsidRPr="006960AB">
                    <w:t>130.6</w:t>
                  </w:r>
                </w:p>
              </w:tc>
              <w:tc>
                <w:tcPr>
                  <w:tcW w:w="960" w:type="pct"/>
                </w:tcPr>
                <w:p w:rsidR="00745FEA" w:rsidRPr="006960AB" w:rsidRDefault="00745FEA" w:rsidP="00745FEA">
                  <w:pPr>
                    <w:pStyle w:val="TableBodyText"/>
                    <w:spacing w:after="20"/>
                    <w:ind w:right="0"/>
                  </w:pPr>
                  <w:r w:rsidRPr="006960AB">
                    <w:t>486.3</w:t>
                  </w:r>
                </w:p>
              </w:tc>
            </w:tr>
            <w:tr w:rsidR="00745FEA" w:rsidTr="00745FEA">
              <w:tc>
                <w:tcPr>
                  <w:tcW w:w="2119" w:type="pct"/>
                  <w:vAlign w:val="center"/>
                </w:tcPr>
                <w:p w:rsidR="00745FEA" w:rsidRPr="00714DF6" w:rsidRDefault="00745FEA" w:rsidP="00745FEA">
                  <w:pPr>
                    <w:pStyle w:val="TableBodyText"/>
                    <w:spacing w:after="20"/>
                    <w:jc w:val="left"/>
                  </w:pPr>
                  <w:r w:rsidRPr="00714DF6">
                    <w:t>Non</w:t>
                  </w:r>
                  <w:r>
                    <w:noBreakHyphen/>
                  </w:r>
                  <w:r w:rsidRPr="00714DF6">
                    <w:t>metallic mineral products</w:t>
                  </w:r>
                </w:p>
              </w:tc>
              <w:tc>
                <w:tcPr>
                  <w:tcW w:w="961" w:type="pct"/>
                </w:tcPr>
                <w:p w:rsidR="00745FEA" w:rsidRPr="006960AB" w:rsidRDefault="00745FEA" w:rsidP="00745FEA">
                  <w:pPr>
                    <w:pStyle w:val="TableBodyText"/>
                    <w:spacing w:after="20"/>
                  </w:pPr>
                  <w:r w:rsidRPr="006960AB">
                    <w:t>319.8</w:t>
                  </w:r>
                </w:p>
              </w:tc>
              <w:tc>
                <w:tcPr>
                  <w:tcW w:w="960" w:type="pct"/>
                </w:tcPr>
                <w:p w:rsidR="00745FEA" w:rsidRPr="006960AB" w:rsidRDefault="00745FEA" w:rsidP="00745FEA">
                  <w:pPr>
                    <w:pStyle w:val="TableBodyText"/>
                    <w:spacing w:after="20"/>
                  </w:pPr>
                  <w:r>
                    <w:noBreakHyphen/>
                  </w:r>
                  <w:r w:rsidRPr="006960AB">
                    <w:t>53.8</w:t>
                  </w:r>
                </w:p>
              </w:tc>
              <w:tc>
                <w:tcPr>
                  <w:tcW w:w="960" w:type="pct"/>
                </w:tcPr>
                <w:p w:rsidR="00745FEA" w:rsidRPr="006960AB" w:rsidRDefault="00745FEA" w:rsidP="00745FEA">
                  <w:pPr>
                    <w:pStyle w:val="TableBodyText"/>
                    <w:spacing w:after="20"/>
                    <w:ind w:right="0"/>
                  </w:pPr>
                  <w:r w:rsidRPr="006960AB">
                    <w:t>265.9</w:t>
                  </w:r>
                </w:p>
              </w:tc>
            </w:tr>
            <w:tr w:rsidR="00745FEA" w:rsidTr="00745FEA">
              <w:tc>
                <w:tcPr>
                  <w:tcW w:w="2119" w:type="pct"/>
                  <w:vAlign w:val="center"/>
                </w:tcPr>
                <w:p w:rsidR="00745FEA" w:rsidRPr="00714DF6" w:rsidRDefault="00745FEA" w:rsidP="00745FEA">
                  <w:pPr>
                    <w:pStyle w:val="TableBodyText"/>
                    <w:spacing w:after="20"/>
                    <w:jc w:val="left"/>
                  </w:pPr>
                  <w:r w:rsidRPr="00714DF6">
                    <w:t>Metal and fabricated metal products</w:t>
                  </w:r>
                </w:p>
              </w:tc>
              <w:tc>
                <w:tcPr>
                  <w:tcW w:w="961" w:type="pct"/>
                </w:tcPr>
                <w:p w:rsidR="00745FEA" w:rsidRPr="006960AB" w:rsidRDefault="00745FEA" w:rsidP="00745FEA">
                  <w:pPr>
                    <w:pStyle w:val="TableBodyText"/>
                    <w:spacing w:after="20"/>
                  </w:pPr>
                  <w:r w:rsidRPr="006960AB">
                    <w:t>1</w:t>
                  </w:r>
                  <w:r>
                    <w:t> </w:t>
                  </w:r>
                  <w:r w:rsidRPr="006960AB">
                    <w:t>045.6</w:t>
                  </w:r>
                </w:p>
              </w:tc>
              <w:tc>
                <w:tcPr>
                  <w:tcW w:w="960" w:type="pct"/>
                </w:tcPr>
                <w:p w:rsidR="00745FEA" w:rsidRPr="006960AB" w:rsidRDefault="00745FEA" w:rsidP="00745FEA">
                  <w:pPr>
                    <w:pStyle w:val="TableBodyText"/>
                    <w:spacing w:after="20"/>
                  </w:pPr>
                  <w:r>
                    <w:noBreakHyphen/>
                  </w:r>
                  <w:r w:rsidRPr="006960AB">
                    <w:t>167.8</w:t>
                  </w:r>
                </w:p>
              </w:tc>
              <w:tc>
                <w:tcPr>
                  <w:tcW w:w="960" w:type="pct"/>
                </w:tcPr>
                <w:p w:rsidR="00745FEA" w:rsidRPr="006960AB" w:rsidRDefault="00745FEA" w:rsidP="00745FEA">
                  <w:pPr>
                    <w:pStyle w:val="TableBodyText"/>
                    <w:spacing w:after="20"/>
                    <w:ind w:right="0"/>
                  </w:pPr>
                  <w:r w:rsidRPr="006960AB">
                    <w:t>877.8</w:t>
                  </w:r>
                </w:p>
              </w:tc>
            </w:tr>
            <w:tr w:rsidR="00745FEA" w:rsidTr="00745FEA">
              <w:tc>
                <w:tcPr>
                  <w:tcW w:w="2119" w:type="pct"/>
                  <w:vAlign w:val="center"/>
                </w:tcPr>
                <w:p w:rsidR="00745FEA" w:rsidRPr="00714DF6" w:rsidRDefault="00745FEA" w:rsidP="00745FEA">
                  <w:pPr>
                    <w:pStyle w:val="TableBodyText"/>
                    <w:spacing w:after="20"/>
                    <w:jc w:val="left"/>
                  </w:pPr>
                  <w:r w:rsidRPr="00714DF6">
                    <w:t>Motor vehicles and parts</w:t>
                  </w:r>
                </w:p>
              </w:tc>
              <w:tc>
                <w:tcPr>
                  <w:tcW w:w="961" w:type="pct"/>
                </w:tcPr>
                <w:p w:rsidR="00745FEA" w:rsidRPr="006960AB" w:rsidRDefault="00745FEA" w:rsidP="00745FEA">
                  <w:pPr>
                    <w:pStyle w:val="TableBodyText"/>
                    <w:spacing w:after="20"/>
                  </w:pPr>
                  <w:r w:rsidRPr="006960AB">
                    <w:t>475.1</w:t>
                  </w:r>
                </w:p>
              </w:tc>
              <w:tc>
                <w:tcPr>
                  <w:tcW w:w="960" w:type="pct"/>
                </w:tcPr>
                <w:p w:rsidR="00745FEA" w:rsidRPr="006960AB" w:rsidRDefault="00745FEA" w:rsidP="00745FEA">
                  <w:pPr>
                    <w:pStyle w:val="TableBodyText"/>
                    <w:spacing w:after="20"/>
                  </w:pPr>
                  <w:r>
                    <w:noBreakHyphen/>
                  </w:r>
                  <w:r w:rsidRPr="006960AB">
                    <w:t>183.0</w:t>
                  </w:r>
                </w:p>
              </w:tc>
              <w:tc>
                <w:tcPr>
                  <w:tcW w:w="960" w:type="pct"/>
                </w:tcPr>
                <w:p w:rsidR="00745FEA" w:rsidRPr="006960AB" w:rsidRDefault="00745FEA" w:rsidP="00745FEA">
                  <w:pPr>
                    <w:pStyle w:val="TableBodyText"/>
                    <w:spacing w:after="20"/>
                    <w:ind w:right="0"/>
                  </w:pPr>
                  <w:r w:rsidRPr="006960AB">
                    <w:t>292.1</w:t>
                  </w:r>
                </w:p>
              </w:tc>
            </w:tr>
            <w:tr w:rsidR="00745FEA" w:rsidTr="00745FEA">
              <w:tc>
                <w:tcPr>
                  <w:tcW w:w="2119" w:type="pct"/>
                  <w:vAlign w:val="center"/>
                </w:tcPr>
                <w:p w:rsidR="00745FEA" w:rsidRPr="00714DF6" w:rsidRDefault="00745FEA" w:rsidP="00745FEA">
                  <w:pPr>
                    <w:pStyle w:val="TableBodyText"/>
                    <w:spacing w:after="20"/>
                    <w:jc w:val="left"/>
                  </w:pPr>
                  <w:r w:rsidRPr="00714DF6">
                    <w:t>Other transport equipment</w:t>
                  </w:r>
                </w:p>
              </w:tc>
              <w:tc>
                <w:tcPr>
                  <w:tcW w:w="961" w:type="pct"/>
                </w:tcPr>
                <w:p w:rsidR="00745FEA" w:rsidRPr="006960AB" w:rsidRDefault="00745FEA" w:rsidP="00745FEA">
                  <w:pPr>
                    <w:pStyle w:val="TableBodyText"/>
                    <w:spacing w:after="20"/>
                  </w:pPr>
                  <w:r w:rsidRPr="006960AB">
                    <w:t>231.4</w:t>
                  </w:r>
                </w:p>
              </w:tc>
              <w:tc>
                <w:tcPr>
                  <w:tcW w:w="960" w:type="pct"/>
                </w:tcPr>
                <w:p w:rsidR="00745FEA" w:rsidRPr="006960AB" w:rsidRDefault="00745FEA" w:rsidP="00745FEA">
                  <w:pPr>
                    <w:pStyle w:val="TableBodyText"/>
                    <w:spacing w:after="20"/>
                  </w:pPr>
                  <w:r>
                    <w:noBreakHyphen/>
                  </w:r>
                  <w:r w:rsidRPr="006960AB">
                    <w:t>63.6</w:t>
                  </w:r>
                </w:p>
              </w:tc>
              <w:tc>
                <w:tcPr>
                  <w:tcW w:w="960" w:type="pct"/>
                </w:tcPr>
                <w:p w:rsidR="00745FEA" w:rsidRPr="006960AB" w:rsidRDefault="00745FEA" w:rsidP="00745FEA">
                  <w:pPr>
                    <w:pStyle w:val="TableBodyText"/>
                    <w:spacing w:after="20"/>
                    <w:ind w:right="0"/>
                  </w:pPr>
                  <w:r w:rsidRPr="006960AB">
                    <w:t>167.8</w:t>
                  </w:r>
                </w:p>
              </w:tc>
            </w:tr>
            <w:tr w:rsidR="00745FEA" w:rsidTr="00745FEA">
              <w:tc>
                <w:tcPr>
                  <w:tcW w:w="2119" w:type="pct"/>
                  <w:vAlign w:val="center"/>
                </w:tcPr>
                <w:p w:rsidR="00745FEA" w:rsidRPr="00714DF6" w:rsidRDefault="00745FEA" w:rsidP="00745FEA">
                  <w:pPr>
                    <w:pStyle w:val="TableBodyText"/>
                    <w:spacing w:after="20"/>
                    <w:jc w:val="left"/>
                  </w:pPr>
                  <w:r w:rsidRPr="00714DF6">
                    <w:t>Machinery and equipment manufacturing</w:t>
                  </w:r>
                </w:p>
              </w:tc>
              <w:tc>
                <w:tcPr>
                  <w:tcW w:w="961" w:type="pct"/>
                </w:tcPr>
                <w:p w:rsidR="00745FEA" w:rsidRPr="006960AB" w:rsidRDefault="00745FEA" w:rsidP="00745FEA">
                  <w:pPr>
                    <w:pStyle w:val="TableBodyText"/>
                    <w:spacing w:after="20"/>
                  </w:pPr>
                  <w:r w:rsidRPr="006960AB">
                    <w:t>394.2</w:t>
                  </w:r>
                </w:p>
              </w:tc>
              <w:tc>
                <w:tcPr>
                  <w:tcW w:w="960" w:type="pct"/>
                </w:tcPr>
                <w:p w:rsidR="00745FEA" w:rsidRPr="006960AB" w:rsidRDefault="00745FEA" w:rsidP="00745FEA">
                  <w:pPr>
                    <w:pStyle w:val="TableBodyText"/>
                    <w:spacing w:after="20"/>
                  </w:pPr>
                  <w:r>
                    <w:noBreakHyphen/>
                  </w:r>
                  <w:r w:rsidRPr="006960AB">
                    <w:t>98.1</w:t>
                  </w:r>
                </w:p>
              </w:tc>
              <w:tc>
                <w:tcPr>
                  <w:tcW w:w="960" w:type="pct"/>
                </w:tcPr>
                <w:p w:rsidR="00745FEA" w:rsidRPr="006960AB" w:rsidRDefault="00745FEA" w:rsidP="00745FEA">
                  <w:pPr>
                    <w:pStyle w:val="TableBodyText"/>
                    <w:spacing w:after="20"/>
                    <w:ind w:right="0"/>
                  </w:pPr>
                  <w:r w:rsidRPr="006960AB">
                    <w:t>296.1</w:t>
                  </w:r>
                </w:p>
              </w:tc>
            </w:tr>
            <w:tr w:rsidR="00745FEA" w:rsidTr="00745FEA">
              <w:tc>
                <w:tcPr>
                  <w:tcW w:w="2119" w:type="pct"/>
                  <w:vAlign w:val="center"/>
                </w:tcPr>
                <w:p w:rsidR="00745FEA" w:rsidRPr="00714DF6" w:rsidRDefault="00745FEA" w:rsidP="00745FEA">
                  <w:pPr>
                    <w:pStyle w:val="TableBodyText"/>
                    <w:spacing w:after="20"/>
                    <w:jc w:val="left"/>
                  </w:pPr>
                  <w:r w:rsidRPr="00714DF6">
                    <w:t>Furniture and other manufacturing</w:t>
                  </w:r>
                </w:p>
              </w:tc>
              <w:tc>
                <w:tcPr>
                  <w:tcW w:w="961" w:type="pct"/>
                </w:tcPr>
                <w:p w:rsidR="00745FEA" w:rsidRPr="006960AB" w:rsidRDefault="00745FEA" w:rsidP="00745FEA">
                  <w:pPr>
                    <w:pStyle w:val="TableBodyText"/>
                    <w:spacing w:after="20"/>
                  </w:pPr>
                  <w:r w:rsidRPr="006960AB">
                    <w:t>213.5</w:t>
                  </w:r>
                </w:p>
              </w:tc>
              <w:tc>
                <w:tcPr>
                  <w:tcW w:w="960" w:type="pct"/>
                </w:tcPr>
                <w:p w:rsidR="00745FEA" w:rsidRPr="006960AB" w:rsidRDefault="00745FEA" w:rsidP="00745FEA">
                  <w:pPr>
                    <w:pStyle w:val="TableBodyText"/>
                    <w:spacing w:after="20"/>
                  </w:pPr>
                  <w:r>
                    <w:noBreakHyphen/>
                  </w:r>
                  <w:r w:rsidRPr="006960AB">
                    <w:t>48.3</w:t>
                  </w:r>
                </w:p>
              </w:tc>
              <w:tc>
                <w:tcPr>
                  <w:tcW w:w="960" w:type="pct"/>
                </w:tcPr>
                <w:p w:rsidR="00745FEA" w:rsidRPr="006960AB" w:rsidRDefault="00745FEA" w:rsidP="00745FEA">
                  <w:pPr>
                    <w:pStyle w:val="TableBodyText"/>
                    <w:spacing w:after="20"/>
                    <w:ind w:right="0"/>
                  </w:pPr>
                  <w:r w:rsidRPr="006960AB">
                    <w:t>165.2</w:t>
                  </w:r>
                </w:p>
              </w:tc>
            </w:tr>
            <w:tr w:rsidR="00745FEA" w:rsidTr="00745FEA">
              <w:tc>
                <w:tcPr>
                  <w:tcW w:w="2119" w:type="pct"/>
                  <w:vAlign w:val="center"/>
                </w:tcPr>
                <w:p w:rsidR="00745FEA" w:rsidRDefault="00745FEA" w:rsidP="00745FEA">
                  <w:pPr>
                    <w:pStyle w:val="TableBodyText"/>
                    <w:spacing w:after="20"/>
                    <w:jc w:val="left"/>
                  </w:pPr>
                  <w:r w:rsidRPr="00714DF6">
                    <w:t>Unallocated manufacturing</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ind w:right="0"/>
                  </w:pPr>
                  <w:r>
                    <w:t>–</w:t>
                  </w:r>
                </w:p>
              </w:tc>
            </w:tr>
            <w:tr w:rsidR="00745FEA" w:rsidRPr="00EC4625" w:rsidTr="00745FEA">
              <w:tc>
                <w:tcPr>
                  <w:tcW w:w="2119" w:type="pct"/>
                  <w:vAlign w:val="center"/>
                </w:tcPr>
                <w:p w:rsidR="00745FEA" w:rsidRPr="00EC4625" w:rsidRDefault="00745FEA" w:rsidP="00745FEA">
                  <w:pPr>
                    <w:pStyle w:val="TableBodyText"/>
                    <w:jc w:val="left"/>
                    <w:rPr>
                      <w:b/>
                    </w:rPr>
                  </w:pPr>
                  <w:r w:rsidRPr="00EC4625">
                    <w:rPr>
                      <w:b/>
                    </w:rPr>
                    <w:t>Services</w:t>
                  </w:r>
                </w:p>
              </w:tc>
              <w:tc>
                <w:tcPr>
                  <w:tcW w:w="961" w:type="pct"/>
                </w:tcPr>
                <w:p w:rsidR="00745FEA" w:rsidRPr="00EC4625" w:rsidRDefault="00745FEA" w:rsidP="00745FEA">
                  <w:pPr>
                    <w:pStyle w:val="TableBodyText"/>
                    <w:rPr>
                      <w:b/>
                    </w:rPr>
                  </w:pPr>
                  <w:r w:rsidRPr="00EC4625">
                    <w:rPr>
                      <w:b/>
                    </w:rPr>
                    <w:t>–</w:t>
                  </w:r>
                </w:p>
              </w:tc>
              <w:tc>
                <w:tcPr>
                  <w:tcW w:w="960" w:type="pct"/>
                </w:tcPr>
                <w:p w:rsidR="00745FEA" w:rsidRPr="00EC4625" w:rsidRDefault="00745FEA" w:rsidP="00745FEA">
                  <w:pPr>
                    <w:pStyle w:val="TableBodyText"/>
                    <w:rPr>
                      <w:b/>
                    </w:rPr>
                  </w:pPr>
                  <w:r>
                    <w:rPr>
                      <w:b/>
                    </w:rPr>
                    <w:noBreakHyphen/>
                  </w:r>
                  <w:r w:rsidRPr="00EC4625">
                    <w:rPr>
                      <w:b/>
                    </w:rPr>
                    <w:t>3</w:t>
                  </w:r>
                  <w:r>
                    <w:rPr>
                      <w:b/>
                    </w:rPr>
                    <w:t> </w:t>
                  </w:r>
                  <w:r w:rsidRPr="00EC4625">
                    <w:rPr>
                      <w:b/>
                    </w:rPr>
                    <w:t>767.6</w:t>
                  </w:r>
                </w:p>
              </w:tc>
              <w:tc>
                <w:tcPr>
                  <w:tcW w:w="960" w:type="pct"/>
                </w:tcPr>
                <w:p w:rsidR="00745FEA" w:rsidRPr="00EC4625" w:rsidRDefault="00745FEA" w:rsidP="00745FEA">
                  <w:pPr>
                    <w:pStyle w:val="TableBodyText"/>
                    <w:ind w:right="0"/>
                    <w:rPr>
                      <w:b/>
                    </w:rPr>
                  </w:pPr>
                  <w:r>
                    <w:rPr>
                      <w:b/>
                    </w:rPr>
                    <w:noBreakHyphen/>
                  </w:r>
                  <w:r w:rsidRPr="00EC4625">
                    <w:rPr>
                      <w:b/>
                    </w:rPr>
                    <w:t>3</w:t>
                  </w:r>
                  <w:r>
                    <w:rPr>
                      <w:b/>
                    </w:rPr>
                    <w:t> </w:t>
                  </w:r>
                  <w:r w:rsidRPr="00EC4625">
                    <w:rPr>
                      <w:b/>
                    </w:rPr>
                    <w:t>767.6</w:t>
                  </w:r>
                </w:p>
              </w:tc>
            </w:tr>
            <w:tr w:rsidR="00745FEA" w:rsidTr="00745FEA">
              <w:tc>
                <w:tcPr>
                  <w:tcW w:w="2119" w:type="pct"/>
                  <w:vAlign w:val="center"/>
                </w:tcPr>
                <w:p w:rsidR="00745FEA" w:rsidRPr="005E791A" w:rsidRDefault="00745FEA" w:rsidP="00745FEA">
                  <w:pPr>
                    <w:pStyle w:val="TableBodyText"/>
                    <w:spacing w:after="20"/>
                    <w:jc w:val="left"/>
                  </w:pPr>
                  <w:r w:rsidRPr="005E791A">
                    <w:t>Electricity, gas, water and waste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69.9</w:t>
                  </w:r>
                </w:p>
              </w:tc>
              <w:tc>
                <w:tcPr>
                  <w:tcW w:w="960" w:type="pct"/>
                </w:tcPr>
                <w:p w:rsidR="00745FEA" w:rsidRPr="006960AB" w:rsidRDefault="00745FEA" w:rsidP="00745FEA">
                  <w:pPr>
                    <w:pStyle w:val="TableBodyText"/>
                    <w:spacing w:after="20"/>
                    <w:ind w:right="0"/>
                  </w:pPr>
                  <w:r>
                    <w:noBreakHyphen/>
                  </w:r>
                  <w:r w:rsidRPr="006960AB">
                    <w:t>69.9</w:t>
                  </w:r>
                </w:p>
              </w:tc>
            </w:tr>
            <w:tr w:rsidR="00745FEA" w:rsidTr="00745FEA">
              <w:tc>
                <w:tcPr>
                  <w:tcW w:w="2119" w:type="pct"/>
                  <w:vAlign w:val="center"/>
                </w:tcPr>
                <w:p w:rsidR="00745FEA" w:rsidRPr="005E791A" w:rsidRDefault="00745FEA" w:rsidP="00745FEA">
                  <w:pPr>
                    <w:pStyle w:val="TableBodyText"/>
                    <w:spacing w:after="20"/>
                    <w:jc w:val="left"/>
                  </w:pPr>
                  <w:r w:rsidRPr="005E791A">
                    <w:t>Construction</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1</w:t>
                  </w:r>
                  <w:r>
                    <w:t> </w:t>
                  </w:r>
                  <w:r w:rsidRPr="006960AB">
                    <w:t>505.4</w:t>
                  </w:r>
                </w:p>
              </w:tc>
              <w:tc>
                <w:tcPr>
                  <w:tcW w:w="960" w:type="pct"/>
                </w:tcPr>
                <w:p w:rsidR="00745FEA" w:rsidRPr="006960AB" w:rsidRDefault="00745FEA" w:rsidP="00745FEA">
                  <w:pPr>
                    <w:pStyle w:val="TableBodyText"/>
                    <w:spacing w:after="20"/>
                    <w:ind w:right="0"/>
                  </w:pPr>
                  <w:r>
                    <w:noBreakHyphen/>
                  </w:r>
                  <w:r w:rsidRPr="006960AB">
                    <w:t>1</w:t>
                  </w:r>
                  <w:r>
                    <w:t> </w:t>
                  </w:r>
                  <w:r w:rsidRPr="006960AB">
                    <w:t>505.4</w:t>
                  </w:r>
                </w:p>
              </w:tc>
            </w:tr>
            <w:tr w:rsidR="00745FEA" w:rsidTr="00745FEA">
              <w:tc>
                <w:tcPr>
                  <w:tcW w:w="2119" w:type="pct"/>
                  <w:vAlign w:val="center"/>
                </w:tcPr>
                <w:p w:rsidR="00745FEA" w:rsidRPr="005E791A" w:rsidRDefault="00745FEA" w:rsidP="00745FEA">
                  <w:pPr>
                    <w:pStyle w:val="TableBodyText"/>
                    <w:spacing w:after="20"/>
                    <w:jc w:val="left"/>
                  </w:pPr>
                  <w:r w:rsidRPr="005E791A">
                    <w:t>Wholesale trade</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228.9</w:t>
                  </w:r>
                </w:p>
              </w:tc>
              <w:tc>
                <w:tcPr>
                  <w:tcW w:w="960" w:type="pct"/>
                </w:tcPr>
                <w:p w:rsidR="00745FEA" w:rsidRPr="006960AB" w:rsidRDefault="00745FEA" w:rsidP="00745FEA">
                  <w:pPr>
                    <w:pStyle w:val="TableBodyText"/>
                    <w:spacing w:after="20"/>
                    <w:ind w:right="0"/>
                  </w:pPr>
                  <w:r>
                    <w:noBreakHyphen/>
                  </w:r>
                  <w:r w:rsidRPr="006960AB">
                    <w:t>228.9</w:t>
                  </w:r>
                </w:p>
              </w:tc>
            </w:tr>
            <w:tr w:rsidR="00745FEA" w:rsidTr="00745FEA">
              <w:tc>
                <w:tcPr>
                  <w:tcW w:w="2119" w:type="pct"/>
                  <w:vAlign w:val="center"/>
                </w:tcPr>
                <w:p w:rsidR="00745FEA" w:rsidRPr="005E791A" w:rsidRDefault="00745FEA" w:rsidP="00745FEA">
                  <w:pPr>
                    <w:pStyle w:val="TableBodyText"/>
                    <w:spacing w:after="20"/>
                    <w:jc w:val="left"/>
                  </w:pPr>
                  <w:r w:rsidRPr="005E791A">
                    <w:t>Retail trade</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146.5</w:t>
                  </w:r>
                </w:p>
              </w:tc>
              <w:tc>
                <w:tcPr>
                  <w:tcW w:w="960" w:type="pct"/>
                </w:tcPr>
                <w:p w:rsidR="00745FEA" w:rsidRPr="006960AB" w:rsidRDefault="00745FEA" w:rsidP="00745FEA">
                  <w:pPr>
                    <w:pStyle w:val="TableBodyText"/>
                    <w:spacing w:after="20"/>
                    <w:ind w:right="0"/>
                  </w:pPr>
                  <w:r>
                    <w:noBreakHyphen/>
                  </w:r>
                  <w:r w:rsidRPr="006960AB">
                    <w:t>146.5</w:t>
                  </w:r>
                </w:p>
              </w:tc>
            </w:tr>
            <w:tr w:rsidR="00745FEA" w:rsidTr="00745FEA">
              <w:tc>
                <w:tcPr>
                  <w:tcW w:w="2119" w:type="pct"/>
                  <w:vAlign w:val="center"/>
                </w:tcPr>
                <w:p w:rsidR="00745FEA" w:rsidRPr="005E791A" w:rsidRDefault="00745FEA" w:rsidP="00745FEA">
                  <w:pPr>
                    <w:pStyle w:val="TableBodyText"/>
                    <w:spacing w:after="20"/>
                    <w:jc w:val="left"/>
                  </w:pPr>
                  <w:r w:rsidRPr="005E791A">
                    <w:t>Accommodation and food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293.4</w:t>
                  </w:r>
                </w:p>
              </w:tc>
              <w:tc>
                <w:tcPr>
                  <w:tcW w:w="960" w:type="pct"/>
                </w:tcPr>
                <w:p w:rsidR="00745FEA" w:rsidRPr="006960AB" w:rsidRDefault="00745FEA" w:rsidP="00745FEA">
                  <w:pPr>
                    <w:pStyle w:val="TableBodyText"/>
                    <w:spacing w:after="20"/>
                    <w:ind w:right="0"/>
                  </w:pPr>
                  <w:r>
                    <w:noBreakHyphen/>
                  </w:r>
                  <w:r w:rsidRPr="006960AB">
                    <w:t>293.4</w:t>
                  </w:r>
                </w:p>
              </w:tc>
            </w:tr>
            <w:tr w:rsidR="00745FEA" w:rsidTr="00745FEA">
              <w:tc>
                <w:tcPr>
                  <w:tcW w:w="2119" w:type="pct"/>
                  <w:vAlign w:val="center"/>
                </w:tcPr>
                <w:p w:rsidR="00745FEA" w:rsidRPr="005E791A" w:rsidRDefault="00745FEA" w:rsidP="00745FEA">
                  <w:pPr>
                    <w:pStyle w:val="TableBodyText"/>
                    <w:spacing w:after="20"/>
                    <w:jc w:val="left"/>
                  </w:pPr>
                  <w:r w:rsidRPr="005E791A">
                    <w:t>Transport, postal and warehousing</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203.5</w:t>
                  </w:r>
                </w:p>
              </w:tc>
              <w:tc>
                <w:tcPr>
                  <w:tcW w:w="960" w:type="pct"/>
                </w:tcPr>
                <w:p w:rsidR="00745FEA" w:rsidRPr="006960AB" w:rsidRDefault="00745FEA" w:rsidP="00745FEA">
                  <w:pPr>
                    <w:pStyle w:val="TableBodyText"/>
                    <w:spacing w:after="20"/>
                    <w:ind w:right="0"/>
                  </w:pPr>
                  <w:r>
                    <w:noBreakHyphen/>
                  </w:r>
                  <w:r w:rsidRPr="006960AB">
                    <w:t>203.5</w:t>
                  </w:r>
                </w:p>
              </w:tc>
            </w:tr>
            <w:tr w:rsidR="00745FEA" w:rsidTr="00745FEA">
              <w:tc>
                <w:tcPr>
                  <w:tcW w:w="2119" w:type="pct"/>
                  <w:vAlign w:val="center"/>
                </w:tcPr>
                <w:p w:rsidR="00745FEA" w:rsidRPr="005E791A" w:rsidRDefault="00745FEA" w:rsidP="00745FEA">
                  <w:pPr>
                    <w:pStyle w:val="TableBodyText"/>
                    <w:spacing w:after="20"/>
                    <w:jc w:val="left"/>
                  </w:pPr>
                  <w:r w:rsidRPr="005E791A">
                    <w:t>Information, media and telecommunications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71.3</w:t>
                  </w:r>
                </w:p>
              </w:tc>
              <w:tc>
                <w:tcPr>
                  <w:tcW w:w="960" w:type="pct"/>
                </w:tcPr>
                <w:p w:rsidR="00745FEA" w:rsidRPr="006960AB" w:rsidRDefault="00745FEA" w:rsidP="00745FEA">
                  <w:pPr>
                    <w:pStyle w:val="TableBodyText"/>
                    <w:spacing w:after="20"/>
                    <w:ind w:right="0"/>
                  </w:pPr>
                  <w:r>
                    <w:noBreakHyphen/>
                  </w:r>
                  <w:r w:rsidRPr="006960AB">
                    <w:t>71.3</w:t>
                  </w:r>
                </w:p>
              </w:tc>
            </w:tr>
            <w:tr w:rsidR="00745FEA" w:rsidTr="00745FEA">
              <w:tc>
                <w:tcPr>
                  <w:tcW w:w="2119" w:type="pct"/>
                  <w:vAlign w:val="center"/>
                </w:tcPr>
                <w:p w:rsidR="00745FEA" w:rsidRPr="005E791A" w:rsidRDefault="00745FEA" w:rsidP="00745FEA">
                  <w:pPr>
                    <w:pStyle w:val="TableBodyText"/>
                    <w:spacing w:after="20"/>
                    <w:jc w:val="left"/>
                  </w:pPr>
                  <w:r w:rsidRPr="005E791A">
                    <w:t>Financial and insurance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16.0</w:t>
                  </w:r>
                </w:p>
              </w:tc>
              <w:tc>
                <w:tcPr>
                  <w:tcW w:w="960" w:type="pct"/>
                </w:tcPr>
                <w:p w:rsidR="00745FEA" w:rsidRPr="006960AB" w:rsidRDefault="00745FEA" w:rsidP="00745FEA">
                  <w:pPr>
                    <w:pStyle w:val="TableBodyText"/>
                    <w:spacing w:after="20"/>
                    <w:ind w:right="0"/>
                  </w:pPr>
                  <w:r>
                    <w:noBreakHyphen/>
                  </w:r>
                  <w:r w:rsidRPr="006960AB">
                    <w:t>16.0</w:t>
                  </w:r>
                </w:p>
              </w:tc>
            </w:tr>
            <w:tr w:rsidR="00745FEA" w:rsidTr="00745FEA">
              <w:tc>
                <w:tcPr>
                  <w:tcW w:w="2119" w:type="pct"/>
                  <w:vAlign w:val="center"/>
                </w:tcPr>
                <w:p w:rsidR="00745FEA" w:rsidRPr="005E791A" w:rsidRDefault="00745FEA" w:rsidP="00745FEA">
                  <w:pPr>
                    <w:pStyle w:val="TableBodyText"/>
                    <w:spacing w:after="20"/>
                    <w:jc w:val="left"/>
                  </w:pPr>
                  <w:r w:rsidRPr="005E791A">
                    <w:t>Property, professional and admin.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406.1</w:t>
                  </w:r>
                </w:p>
              </w:tc>
              <w:tc>
                <w:tcPr>
                  <w:tcW w:w="960" w:type="pct"/>
                </w:tcPr>
                <w:p w:rsidR="00745FEA" w:rsidRPr="006960AB" w:rsidRDefault="00745FEA" w:rsidP="00745FEA">
                  <w:pPr>
                    <w:pStyle w:val="TableBodyText"/>
                    <w:spacing w:after="20"/>
                    <w:ind w:right="0"/>
                  </w:pPr>
                  <w:r>
                    <w:noBreakHyphen/>
                  </w:r>
                  <w:r w:rsidRPr="006960AB">
                    <w:t>406.1</w:t>
                  </w:r>
                </w:p>
              </w:tc>
            </w:tr>
            <w:tr w:rsidR="00745FEA" w:rsidTr="00745FEA">
              <w:tc>
                <w:tcPr>
                  <w:tcW w:w="2119" w:type="pct"/>
                  <w:vAlign w:val="center"/>
                </w:tcPr>
                <w:p w:rsidR="00745FEA" w:rsidRPr="005E791A" w:rsidRDefault="00745FEA" w:rsidP="00745FEA">
                  <w:pPr>
                    <w:pStyle w:val="TableBodyText"/>
                    <w:spacing w:after="20"/>
                    <w:jc w:val="left"/>
                  </w:pPr>
                  <w:r w:rsidRPr="005E791A">
                    <w:t>Public administration and safety</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144.9</w:t>
                  </w:r>
                </w:p>
              </w:tc>
              <w:tc>
                <w:tcPr>
                  <w:tcW w:w="960" w:type="pct"/>
                </w:tcPr>
                <w:p w:rsidR="00745FEA" w:rsidRPr="006960AB" w:rsidRDefault="00745FEA" w:rsidP="00745FEA">
                  <w:pPr>
                    <w:pStyle w:val="TableBodyText"/>
                    <w:spacing w:after="20"/>
                    <w:ind w:right="0"/>
                  </w:pPr>
                  <w:r>
                    <w:noBreakHyphen/>
                  </w:r>
                  <w:r w:rsidRPr="006960AB">
                    <w:t>144.9</w:t>
                  </w:r>
                </w:p>
              </w:tc>
            </w:tr>
            <w:tr w:rsidR="00745FEA" w:rsidTr="00745FEA">
              <w:tc>
                <w:tcPr>
                  <w:tcW w:w="2119" w:type="pct"/>
                  <w:vAlign w:val="center"/>
                </w:tcPr>
                <w:p w:rsidR="00745FEA" w:rsidRPr="005E791A" w:rsidRDefault="00745FEA" w:rsidP="00745FEA">
                  <w:pPr>
                    <w:pStyle w:val="TableBodyText"/>
                    <w:spacing w:after="20"/>
                    <w:jc w:val="left"/>
                  </w:pPr>
                  <w:r w:rsidRPr="005E791A">
                    <w:t>Education and training</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51.5</w:t>
                  </w:r>
                </w:p>
              </w:tc>
              <w:tc>
                <w:tcPr>
                  <w:tcW w:w="960" w:type="pct"/>
                </w:tcPr>
                <w:p w:rsidR="00745FEA" w:rsidRPr="006960AB" w:rsidRDefault="00745FEA" w:rsidP="00745FEA">
                  <w:pPr>
                    <w:pStyle w:val="TableBodyText"/>
                    <w:spacing w:after="20"/>
                    <w:ind w:right="0"/>
                  </w:pPr>
                  <w:r>
                    <w:noBreakHyphen/>
                  </w:r>
                  <w:r w:rsidRPr="006960AB">
                    <w:t>51.5</w:t>
                  </w:r>
                </w:p>
              </w:tc>
            </w:tr>
            <w:tr w:rsidR="00745FEA" w:rsidTr="00745FEA">
              <w:tc>
                <w:tcPr>
                  <w:tcW w:w="2119" w:type="pct"/>
                  <w:vAlign w:val="center"/>
                </w:tcPr>
                <w:p w:rsidR="00745FEA" w:rsidRPr="005E791A" w:rsidRDefault="00745FEA" w:rsidP="00745FEA">
                  <w:pPr>
                    <w:pStyle w:val="TableBodyText"/>
                    <w:spacing w:after="20"/>
                    <w:jc w:val="left"/>
                  </w:pPr>
                  <w:r w:rsidRPr="005E791A">
                    <w:t>Health care and social assistance</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228.5</w:t>
                  </w:r>
                </w:p>
              </w:tc>
              <w:tc>
                <w:tcPr>
                  <w:tcW w:w="960" w:type="pct"/>
                </w:tcPr>
                <w:p w:rsidR="00745FEA" w:rsidRPr="006960AB" w:rsidRDefault="00745FEA" w:rsidP="00745FEA">
                  <w:pPr>
                    <w:pStyle w:val="TableBodyText"/>
                    <w:spacing w:after="20"/>
                    <w:ind w:right="0"/>
                  </w:pPr>
                  <w:r>
                    <w:noBreakHyphen/>
                  </w:r>
                  <w:r w:rsidRPr="006960AB">
                    <w:t>228.5</w:t>
                  </w:r>
                </w:p>
              </w:tc>
            </w:tr>
            <w:tr w:rsidR="00745FEA" w:rsidTr="00745FEA">
              <w:tc>
                <w:tcPr>
                  <w:tcW w:w="2119" w:type="pct"/>
                  <w:vAlign w:val="center"/>
                </w:tcPr>
                <w:p w:rsidR="00745FEA" w:rsidRPr="005E791A" w:rsidRDefault="00745FEA" w:rsidP="00745FEA">
                  <w:pPr>
                    <w:pStyle w:val="TableBodyText"/>
                    <w:spacing w:after="20"/>
                    <w:jc w:val="left"/>
                  </w:pPr>
                  <w:r w:rsidRPr="005E791A">
                    <w:t>Arts and recreation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74.7</w:t>
                  </w:r>
                </w:p>
              </w:tc>
              <w:tc>
                <w:tcPr>
                  <w:tcW w:w="960" w:type="pct"/>
                </w:tcPr>
                <w:p w:rsidR="00745FEA" w:rsidRPr="006960AB" w:rsidRDefault="00745FEA" w:rsidP="00745FEA">
                  <w:pPr>
                    <w:pStyle w:val="TableBodyText"/>
                    <w:spacing w:after="20"/>
                    <w:ind w:right="0"/>
                  </w:pPr>
                  <w:r>
                    <w:noBreakHyphen/>
                  </w:r>
                  <w:r w:rsidRPr="006960AB">
                    <w:t>74.7</w:t>
                  </w:r>
                </w:p>
              </w:tc>
            </w:tr>
            <w:tr w:rsidR="00745FEA" w:rsidTr="00745FEA">
              <w:tc>
                <w:tcPr>
                  <w:tcW w:w="2119" w:type="pct"/>
                  <w:vAlign w:val="center"/>
                </w:tcPr>
                <w:p w:rsidR="00745FEA" w:rsidRPr="005E791A" w:rsidRDefault="00745FEA" w:rsidP="00745FEA">
                  <w:pPr>
                    <w:pStyle w:val="TableBodyText"/>
                    <w:spacing w:after="20"/>
                    <w:jc w:val="left"/>
                  </w:pPr>
                  <w:r w:rsidRPr="005E791A">
                    <w:t>Other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noBreakHyphen/>
                  </w:r>
                  <w:r w:rsidRPr="006960AB">
                    <w:t>327.1</w:t>
                  </w:r>
                </w:p>
              </w:tc>
              <w:tc>
                <w:tcPr>
                  <w:tcW w:w="960" w:type="pct"/>
                </w:tcPr>
                <w:p w:rsidR="00745FEA" w:rsidRPr="006960AB" w:rsidRDefault="00745FEA" w:rsidP="00745FEA">
                  <w:pPr>
                    <w:pStyle w:val="TableBodyText"/>
                    <w:spacing w:after="20"/>
                    <w:ind w:right="0"/>
                  </w:pPr>
                  <w:r>
                    <w:noBreakHyphen/>
                  </w:r>
                  <w:r w:rsidRPr="006960AB">
                    <w:t>327.1</w:t>
                  </w:r>
                </w:p>
              </w:tc>
            </w:tr>
            <w:tr w:rsidR="00745FEA" w:rsidTr="00745FEA">
              <w:tc>
                <w:tcPr>
                  <w:tcW w:w="2119" w:type="pct"/>
                  <w:vAlign w:val="center"/>
                </w:tcPr>
                <w:p w:rsidR="00745FEA" w:rsidRPr="005E791A" w:rsidRDefault="00745FEA" w:rsidP="00745FEA">
                  <w:pPr>
                    <w:pStyle w:val="TableBodyText"/>
                    <w:spacing w:after="20"/>
                    <w:jc w:val="left"/>
                  </w:pPr>
                  <w:r w:rsidRPr="005E791A">
                    <w:t>Unallocated services</w:t>
                  </w:r>
                </w:p>
              </w:tc>
              <w:tc>
                <w:tcPr>
                  <w:tcW w:w="961"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pPr>
                  <w:r>
                    <w:t>–</w:t>
                  </w:r>
                </w:p>
              </w:tc>
              <w:tc>
                <w:tcPr>
                  <w:tcW w:w="960" w:type="pct"/>
                </w:tcPr>
                <w:p w:rsidR="00745FEA" w:rsidRPr="006960AB" w:rsidRDefault="00745FEA" w:rsidP="00745FEA">
                  <w:pPr>
                    <w:pStyle w:val="TableBodyText"/>
                    <w:spacing w:after="20"/>
                    <w:ind w:right="0"/>
                  </w:pPr>
                  <w:r>
                    <w:t>–</w:t>
                  </w:r>
                </w:p>
              </w:tc>
            </w:tr>
            <w:tr w:rsidR="00745FEA" w:rsidRPr="00EC4625" w:rsidTr="00745FEA">
              <w:tc>
                <w:tcPr>
                  <w:tcW w:w="2119" w:type="pct"/>
                  <w:vAlign w:val="center"/>
                </w:tcPr>
                <w:p w:rsidR="00745FEA" w:rsidRPr="00EC4625" w:rsidRDefault="00745FEA" w:rsidP="00745FEA">
                  <w:pPr>
                    <w:pStyle w:val="TableBodyText"/>
                    <w:jc w:val="left"/>
                    <w:rPr>
                      <w:b/>
                    </w:rPr>
                  </w:pPr>
                  <w:r w:rsidRPr="00EC4625">
                    <w:rPr>
                      <w:b/>
                    </w:rPr>
                    <w:t>Unallocated other</w:t>
                  </w:r>
                </w:p>
              </w:tc>
              <w:tc>
                <w:tcPr>
                  <w:tcW w:w="961" w:type="pct"/>
                </w:tcPr>
                <w:p w:rsidR="00745FEA" w:rsidRPr="00EC4625" w:rsidRDefault="00745FEA" w:rsidP="00745FEA">
                  <w:pPr>
                    <w:pStyle w:val="TableBodyText"/>
                    <w:rPr>
                      <w:b/>
                    </w:rPr>
                  </w:pPr>
                  <w:r w:rsidRPr="00EC4625">
                    <w:rPr>
                      <w:b/>
                    </w:rPr>
                    <w:t>–</w:t>
                  </w:r>
                </w:p>
              </w:tc>
              <w:tc>
                <w:tcPr>
                  <w:tcW w:w="960" w:type="pct"/>
                </w:tcPr>
                <w:p w:rsidR="00745FEA" w:rsidRPr="00EC4625" w:rsidRDefault="00745FEA" w:rsidP="00745FEA">
                  <w:pPr>
                    <w:pStyle w:val="TableBodyText"/>
                    <w:rPr>
                      <w:b/>
                    </w:rPr>
                  </w:pPr>
                  <w:r w:rsidRPr="00EC4625">
                    <w:rPr>
                      <w:b/>
                    </w:rPr>
                    <w:t>–</w:t>
                  </w:r>
                </w:p>
              </w:tc>
              <w:tc>
                <w:tcPr>
                  <w:tcW w:w="960" w:type="pct"/>
                </w:tcPr>
                <w:p w:rsidR="00745FEA" w:rsidRPr="00EC4625" w:rsidRDefault="00745FEA" w:rsidP="00745FEA">
                  <w:pPr>
                    <w:pStyle w:val="TableBodyText"/>
                    <w:ind w:right="0"/>
                    <w:rPr>
                      <w:b/>
                    </w:rPr>
                  </w:pPr>
                  <w:r w:rsidRPr="00EC4625">
                    <w:rPr>
                      <w:b/>
                    </w:rPr>
                    <w:t>–</w:t>
                  </w:r>
                </w:p>
              </w:tc>
            </w:tr>
            <w:tr w:rsidR="00745FEA" w:rsidRPr="009C509E" w:rsidTr="00745FEA">
              <w:tc>
                <w:tcPr>
                  <w:tcW w:w="2119" w:type="pct"/>
                  <w:tcBorders>
                    <w:bottom w:val="single" w:sz="6" w:space="0" w:color="BFBFBF"/>
                  </w:tcBorders>
                  <w:shd w:val="clear" w:color="auto" w:fill="auto"/>
                </w:tcPr>
                <w:p w:rsidR="00745FEA" w:rsidRPr="009C509E" w:rsidRDefault="00745FEA" w:rsidP="00745FEA">
                  <w:pPr>
                    <w:pStyle w:val="TableBodyText"/>
                    <w:jc w:val="left"/>
                    <w:rPr>
                      <w:b/>
                    </w:rPr>
                  </w:pPr>
                  <w:r w:rsidRPr="009C509E">
                    <w:rPr>
                      <w:b/>
                    </w:rPr>
                    <w:t>Total</w:t>
                  </w:r>
                </w:p>
              </w:tc>
              <w:tc>
                <w:tcPr>
                  <w:tcW w:w="961" w:type="pct"/>
                  <w:tcBorders>
                    <w:bottom w:val="single" w:sz="6" w:space="0" w:color="BFBFBF"/>
                  </w:tcBorders>
                </w:tcPr>
                <w:p w:rsidR="00745FEA" w:rsidRPr="009C509E" w:rsidRDefault="00745FEA" w:rsidP="00745FEA">
                  <w:pPr>
                    <w:pStyle w:val="TableBodyText"/>
                    <w:rPr>
                      <w:b/>
                    </w:rPr>
                  </w:pPr>
                  <w:r w:rsidRPr="009C509E">
                    <w:rPr>
                      <w:b/>
                    </w:rPr>
                    <w:t>6</w:t>
                  </w:r>
                  <w:r>
                    <w:rPr>
                      <w:b/>
                    </w:rPr>
                    <w:t> </w:t>
                  </w:r>
                  <w:r w:rsidRPr="009C509E">
                    <w:rPr>
                      <w:b/>
                    </w:rPr>
                    <w:t>789.1</w:t>
                  </w:r>
                </w:p>
              </w:tc>
              <w:tc>
                <w:tcPr>
                  <w:tcW w:w="960" w:type="pct"/>
                  <w:tcBorders>
                    <w:bottom w:val="single" w:sz="6" w:space="0" w:color="BFBFBF"/>
                  </w:tcBorders>
                  <w:shd w:val="clear" w:color="auto" w:fill="auto"/>
                </w:tcPr>
                <w:p w:rsidR="00745FEA" w:rsidRPr="009C509E" w:rsidRDefault="00745FEA" w:rsidP="00745FEA">
                  <w:pPr>
                    <w:pStyle w:val="TableBodyText"/>
                    <w:rPr>
                      <w:b/>
                    </w:rPr>
                  </w:pPr>
                  <w:r>
                    <w:rPr>
                      <w:b/>
                    </w:rPr>
                    <w:noBreakHyphen/>
                  </w:r>
                  <w:r w:rsidRPr="009C509E">
                    <w:rPr>
                      <w:b/>
                    </w:rPr>
                    <w:t>5</w:t>
                  </w:r>
                  <w:r>
                    <w:rPr>
                      <w:b/>
                    </w:rPr>
                    <w:t> </w:t>
                  </w:r>
                  <w:r w:rsidRPr="009C509E">
                    <w:rPr>
                      <w:b/>
                    </w:rPr>
                    <w:t>924.5</w:t>
                  </w:r>
                </w:p>
              </w:tc>
              <w:tc>
                <w:tcPr>
                  <w:tcW w:w="960" w:type="pct"/>
                  <w:tcBorders>
                    <w:bottom w:val="single" w:sz="6" w:space="0" w:color="BFBFBF"/>
                  </w:tcBorders>
                  <w:shd w:val="clear" w:color="auto" w:fill="auto"/>
                </w:tcPr>
                <w:p w:rsidR="00745FEA" w:rsidRPr="009C509E" w:rsidRDefault="00745FEA" w:rsidP="00745FEA">
                  <w:pPr>
                    <w:pStyle w:val="TableBodyText"/>
                    <w:ind w:right="0"/>
                    <w:rPr>
                      <w:b/>
                    </w:rPr>
                  </w:pPr>
                  <w:r w:rsidRPr="009C509E">
                    <w:rPr>
                      <w:b/>
                    </w:rPr>
                    <w:t>864.6</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Note"/>
              <w:rPr>
                <w:i/>
              </w:rPr>
            </w:pPr>
            <w:r w:rsidRPr="008E77FE">
              <w:rPr>
                <w:rStyle w:val="NoteLabel"/>
              </w:rPr>
              <w:t>a</w:t>
            </w:r>
            <w:r>
              <w:t xml:space="preserve"> See footnote (a) in table 2.1. </w:t>
            </w:r>
            <w:r>
              <w:rPr>
                <w:rStyle w:val="NoteLabel"/>
              </w:rPr>
              <w:t>b</w:t>
            </w:r>
            <w:r>
              <w:t xml:space="preserve"> Totals may not add due to rounding.</w:t>
            </w: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Outside the manufacturing sector, the </w:t>
      </w:r>
      <w:r w:rsidRPr="00EC4625">
        <w:rPr>
          <w:i/>
        </w:rPr>
        <w:t>Sheep, beef cattle and grain farming</w:t>
      </w:r>
      <w:r>
        <w:t xml:space="preserve">, </w:t>
      </w:r>
      <w:r w:rsidRPr="00EC4625">
        <w:rPr>
          <w:i/>
        </w:rPr>
        <w:t>Horticulture and fruit growing</w:t>
      </w:r>
      <w:r>
        <w:t xml:space="preserve"> and </w:t>
      </w:r>
      <w:r w:rsidRPr="00EC4625">
        <w:rPr>
          <w:i/>
        </w:rPr>
        <w:t>Forestry and logging</w:t>
      </w:r>
      <w:r>
        <w:t xml:space="preserve"> industries are also estimated to have received positive net tariff assistance in 2016</w:t>
      </w:r>
      <w:r>
        <w:noBreakHyphen/>
        <w:t xml:space="preserve">17. This reflects the incidence of a 5 per cent tariff on certain imports such as nuts, grapes and softwood conifers which affords protection to local producers of these import competing products. </w:t>
      </w:r>
    </w:p>
    <w:p w:rsidR="00745FEA" w:rsidRDefault="00745FEA" w:rsidP="00745FEA">
      <w:pPr>
        <w:pStyle w:val="BodyText"/>
      </w:pPr>
      <w:r>
        <w:t xml:space="preserve">The </w:t>
      </w:r>
      <w:r w:rsidRPr="00EC4625">
        <w:rPr>
          <w:i/>
        </w:rPr>
        <w:t>Mining</w:t>
      </w:r>
      <w:r>
        <w:t xml:space="preserve"> industry together with all of the services industries (and most primary production industries) incurred negative net tariff assistance in 2016</w:t>
      </w:r>
      <w:r>
        <w:noBreakHyphen/>
        <w:t xml:space="preserve">17. </w:t>
      </w:r>
    </w:p>
    <w:p w:rsidR="00745FEA" w:rsidRDefault="00745FEA" w:rsidP="00745FEA">
      <w:pPr>
        <w:pStyle w:val="Heading2"/>
      </w:pPr>
      <w:bookmarkStart w:id="28" w:name="_Toc511745364"/>
      <w:r>
        <w:t>2.</w:t>
      </w:r>
      <w:r>
        <w:rPr>
          <w:noProof/>
        </w:rPr>
        <w:t>2</w:t>
      </w:r>
      <w:r>
        <w:tab/>
        <w:t>Australian Government budgetary assistance</w:t>
      </w:r>
      <w:bookmarkEnd w:id="28"/>
    </w:p>
    <w:p w:rsidR="00745FEA" w:rsidRDefault="00745FEA" w:rsidP="00745FEA">
      <w:pPr>
        <w:pStyle w:val="BodyText"/>
      </w:pPr>
      <w:r w:rsidRPr="00AE7C58">
        <w:t>Budgetary assistance includes actual payments (outlays) and industry and sector</w:t>
      </w:r>
      <w:r>
        <w:noBreakHyphen/>
      </w:r>
      <w:r w:rsidRPr="00AE7C58">
        <w:t>specific tax concessions that have industry policy objectives (figure</w:t>
      </w:r>
      <w:r>
        <w:t> </w:t>
      </w:r>
      <w:r w:rsidRPr="00AE7C58">
        <w:t>2.2). Some measures provide financial assistance directly to firms, such as the Automotive Transformation Scheme ($</w:t>
      </w:r>
      <w:r>
        <w:t>168 </w:t>
      </w:r>
      <w:r w:rsidRPr="00AE7C58">
        <w:t>million in 201</w:t>
      </w:r>
      <w:r>
        <w:t>6</w:t>
      </w:r>
      <w:r>
        <w:noBreakHyphen/>
        <w:t>17</w:t>
      </w:r>
      <w:r w:rsidRPr="00AE7C58">
        <w:t>) and the R&amp;D Tax Incentive ($</w:t>
      </w:r>
      <w:r>
        <w:t>3.3</w:t>
      </w:r>
      <w:r w:rsidRPr="00AE7C58">
        <w:t xml:space="preserve"> billion in 201</w:t>
      </w:r>
      <w:r>
        <w:t>6</w:t>
      </w:r>
      <w:r>
        <w:noBreakHyphen/>
        <w:t>17</w:t>
      </w:r>
      <w:r w:rsidRPr="00AE7C58">
        <w:t>), while other budgetary support measures deliver benefits indirectly to an industry via intermediate organisations such as the Rural Research and Development Corporations ($</w:t>
      </w:r>
      <w:r>
        <w:t>280</w:t>
      </w:r>
      <w:r w:rsidRPr="00AE7C58">
        <w:t xml:space="preserve"> million in 201</w:t>
      </w:r>
      <w:r>
        <w:t>6</w:t>
      </w:r>
      <w:r>
        <w:noBreakHyphen/>
        <w:t>17</w:t>
      </w:r>
      <w:r w:rsidRPr="00AE7C58">
        <w:t>) and the CS</w:t>
      </w:r>
      <w:r>
        <w:t>IRO ($544 million in 2016</w:t>
      </w:r>
      <w:r>
        <w:noBreakHyphen/>
        <w:t>17).</w:t>
      </w:r>
      <w:r w:rsidRPr="00B76C5B">
        <w:rPr>
          <w:rStyle w:val="FootnoteReference"/>
        </w:rPr>
        <w:footnoteReference w:id="5"/>
      </w:r>
      <w:r>
        <w:t xml:space="preserv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2.</w:t>
            </w:r>
            <w:r>
              <w:rPr>
                <w:b w:val="0"/>
                <w:noProof/>
              </w:rPr>
              <w:t>2</w:t>
            </w:r>
            <w:r>
              <w:tab/>
              <w:t>Forms of budgetary assistance</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45FEA" w:rsidRPr="00B1465D" w:rsidTr="00745FEA">
              <w:trPr>
                <w:tblHeader/>
                <w:jc w:val="center"/>
              </w:trPr>
              <w:tc>
                <w:tcPr>
                  <w:tcW w:w="5000" w:type="pct"/>
                  <w:tcBorders>
                    <w:top w:val="nil"/>
                    <w:bottom w:val="nil"/>
                  </w:tcBorders>
                </w:tcPr>
                <w:p w:rsidR="00745FEA" w:rsidRPr="00B1465D" w:rsidRDefault="00515C52" w:rsidP="00745FEA">
                  <w:pPr>
                    <w:pStyle w:val="Figure"/>
                    <w:spacing w:before="60" w:after="60"/>
                    <w:rPr>
                      <w:rFonts w:ascii="Arial" w:hAnsi="Arial" w:cs="Arial"/>
                      <w:sz w:val="18"/>
                      <w:szCs w:val="18"/>
                    </w:rPr>
                  </w:pPr>
                  <w:r w:rsidRPr="00515C52">
                    <w:rPr>
                      <w:rFonts w:ascii="Arial" w:hAnsi="Arial" w:cs="Arial"/>
                      <w:noProof/>
                      <w:sz w:val="18"/>
                      <w:szCs w:val="18"/>
                    </w:rPr>
                    <w:drawing>
                      <wp:inline distT="0" distB="0" distL="0" distR="0" wp14:anchorId="4F44CCF7" wp14:editId="1D78058F">
                        <wp:extent cx="5419725" cy="3343275"/>
                        <wp:effectExtent l="0" t="0" r="9525" b="0"/>
                        <wp:docPr id="3" name="Picture 3" descr="This figure is a diagram showing that budgetary assistance can first be divided into budgetary outlays and tax concessions. Budgetary outlays are further sub-divided into direct financial assistance (such as grants, loans and other subsidies) and indirect assistance through funding to organisations that perform services of benefit to industry, such as CSIRO, Rural Research and Development Corporations, and Austrade. Tax concessions provide financial benefits to industry in the form of tax exemptions, deductions, rebates, preferential tax rates and tax d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19725" cy="3343275"/>
                                </a:xfrm>
                                <a:prstGeom prst="rect">
                                  <a:avLst/>
                                </a:prstGeom>
                                <a:noFill/>
                                <a:ln>
                                  <a:noFill/>
                                </a:ln>
                              </pic:spPr>
                            </pic:pic>
                          </a:graphicData>
                        </a:graphic>
                      </wp:inline>
                    </w:drawing>
                  </w:r>
                </w:p>
              </w:tc>
            </w:tr>
          </w:tbl>
          <w:p w:rsidR="00745FEA" w:rsidRDefault="00745FEA" w:rsidP="00745FEA">
            <w:pPr>
              <w:pStyle w:val="Figure"/>
            </w:pP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6412FA" w:rsidRDefault="00745FEA" w:rsidP="00745FEA">
      <w:pPr>
        <w:pStyle w:val="BodyText"/>
      </w:pPr>
      <w:r w:rsidRPr="00AE7C58">
        <w:t>The budgetary assistance estimates are derived primarily from actual expenditures shown in departmental and agency annual reports, and the Tax Expenditures Statement (TES) compiled by the Australian Treasury. Industry and sectoral disaggregations are based primarily on supplementary information provided by rel</w:t>
      </w:r>
      <w:r>
        <w:t>evant departments or agencies.</w:t>
      </w:r>
      <w:r w:rsidRPr="00B76C5B">
        <w:rPr>
          <w:rStyle w:val="FootnoteReference"/>
        </w:rPr>
        <w:footnoteReference w:id="6"/>
      </w:r>
      <w:r>
        <w:t xml:space="preserve"> </w:t>
      </w:r>
    </w:p>
    <w:p w:rsidR="00745FEA" w:rsidRPr="003105C3" w:rsidRDefault="00745FEA" w:rsidP="00745FEA">
      <w:pPr>
        <w:pStyle w:val="Heading3"/>
      </w:pPr>
      <w:r w:rsidRPr="003105C3">
        <w:t xml:space="preserve">Aggregate budgetary assistance </w:t>
      </w:r>
      <w:r>
        <w:t xml:space="preserve">increased significantly </w:t>
      </w:r>
      <w:r w:rsidRPr="003105C3">
        <w:t>in 2016</w:t>
      </w:r>
      <w:r w:rsidRPr="003105C3">
        <w:noBreakHyphen/>
        <w:t>17 after declining</w:t>
      </w:r>
      <w:r>
        <w:t xml:space="preserve"> in previous years</w:t>
      </w:r>
    </w:p>
    <w:p w:rsidR="00745FEA" w:rsidRDefault="00745FEA" w:rsidP="00745FEA">
      <w:pPr>
        <w:pStyle w:val="BodyText"/>
      </w:pPr>
      <w:r w:rsidRPr="00AB4D28">
        <w:t>The estimated gross value of budgetary assistance to Australian industry was around $</w:t>
      </w:r>
      <w:r>
        <w:t>12</w:t>
      </w:r>
      <w:r w:rsidRPr="00AB4D28">
        <w:t>.</w:t>
      </w:r>
      <w:r>
        <w:t>5 </w:t>
      </w:r>
      <w:r w:rsidRPr="00AB4D28">
        <w:t>billion in 201</w:t>
      </w:r>
      <w:r>
        <w:t>6</w:t>
      </w:r>
      <w:r>
        <w:noBreakHyphen/>
        <w:t>17</w:t>
      </w:r>
      <w:r w:rsidRPr="00AB4D28">
        <w:t xml:space="preserve">, </w:t>
      </w:r>
      <w:r>
        <w:t xml:space="preserve">around 41 per cent higher than in </w:t>
      </w:r>
      <w:r w:rsidRPr="00AB4D28">
        <w:t>201</w:t>
      </w:r>
      <w:r>
        <w:t>5</w:t>
      </w:r>
      <w:r>
        <w:noBreakHyphen/>
      </w:r>
      <w:r w:rsidRPr="00AB4D28">
        <w:t>1</w:t>
      </w:r>
      <w:r>
        <w:t>6</w:t>
      </w:r>
      <w:r w:rsidRPr="00AB4D28">
        <w:t xml:space="preserve"> (figure</w:t>
      </w:r>
      <w:r>
        <w:t> </w:t>
      </w:r>
      <w:r w:rsidRPr="00AB4D28">
        <w:t xml:space="preserve">2.3). </w:t>
      </w:r>
      <w:r>
        <w:t>Between 2011</w:t>
      </w:r>
      <w:r>
        <w:noBreakHyphen/>
        <w:t>12 and 2015</w:t>
      </w:r>
      <w:r>
        <w:noBreakHyphen/>
        <w:t>16 there had been a net fall in the real level of estimated assistance of around 13 per cent. The significant increase in assistance in 2016</w:t>
      </w:r>
      <w:r>
        <w:noBreakHyphen/>
        <w:t xml:space="preserve">17 has reversed this trend.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981528">
            <w:pPr>
              <w:pStyle w:val="FigureTitle"/>
            </w:pPr>
            <w:r w:rsidRPr="00784A05">
              <w:rPr>
                <w:b w:val="0"/>
              </w:rPr>
              <w:t xml:space="preserve">Figure </w:t>
            </w:r>
            <w:r>
              <w:rPr>
                <w:b w:val="0"/>
              </w:rPr>
              <w:t>2.</w:t>
            </w:r>
            <w:r>
              <w:rPr>
                <w:b w:val="0"/>
                <w:noProof/>
              </w:rPr>
              <w:t>3</w:t>
            </w:r>
            <w:r>
              <w:tab/>
              <w:t>Budgetary assistance to industry</w:t>
            </w:r>
            <w:r w:rsidR="00981528">
              <w:t>,</w:t>
            </w:r>
            <w:r>
              <w:t xml:space="preserve"> 2011</w:t>
            </w:r>
            <w:r>
              <w:noBreakHyphen/>
              <w:t>12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5000" w:type="pct"/>
                  <w:tcBorders>
                    <w:top w:val="nil"/>
                    <w:bottom w:val="nil"/>
                  </w:tcBorders>
                </w:tcPr>
                <w:p w:rsidR="00745FEA" w:rsidRPr="00B1465D" w:rsidRDefault="00066ADE" w:rsidP="00745FEA">
                  <w:pPr>
                    <w:pStyle w:val="Figure"/>
                    <w:spacing w:before="60" w:after="60"/>
                    <w:rPr>
                      <w:rFonts w:ascii="Arial" w:hAnsi="Arial" w:cs="Arial"/>
                      <w:sz w:val="18"/>
                      <w:szCs w:val="18"/>
                    </w:rPr>
                  </w:pPr>
                  <w:r w:rsidRPr="00066ADE">
                    <w:rPr>
                      <w:rFonts w:ascii="Arial" w:hAnsi="Arial" w:cs="Arial"/>
                      <w:noProof/>
                      <w:sz w:val="18"/>
                      <w:szCs w:val="18"/>
                    </w:rPr>
                    <w:drawing>
                      <wp:inline distT="0" distB="0" distL="0" distR="0" wp14:anchorId="1E5A2953" wp14:editId="03F01166">
                        <wp:extent cx="5253355" cy="3601720"/>
                        <wp:effectExtent l="0" t="0" r="4445" b="0"/>
                        <wp:docPr id="1" name="Picture 1" descr="This figure shows the allocation of budgetary assistance by type, outlays and tax concessions. The overall amount of budgetary assistance increased significantly in 2016 17 to $12.5 billion from $8.9 billion in 2015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53355" cy="3601720"/>
                                </a:xfrm>
                                <a:prstGeom prst="rect">
                                  <a:avLst/>
                                </a:prstGeom>
                                <a:noFill/>
                                <a:ln>
                                  <a:noFill/>
                                </a:ln>
                              </pic:spPr>
                            </pic:pic>
                          </a:graphicData>
                        </a:graphic>
                      </wp:inline>
                    </w:drawing>
                  </w:r>
                </w:p>
              </w:tc>
            </w:tr>
          </w:tbl>
          <w:p w:rsidR="00745FEA" w:rsidRDefault="00745FEA" w:rsidP="00745FEA">
            <w:pPr>
              <w:pStyle w:val="Figure"/>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pPr>
        <w:rPr>
          <w:szCs w:val="20"/>
        </w:rPr>
      </w:pPr>
      <w:r>
        <w:br w:type="page"/>
      </w:r>
    </w:p>
    <w:p w:rsidR="00745FEA" w:rsidRDefault="00745FEA" w:rsidP="00745FEA">
      <w:pPr>
        <w:pStyle w:val="BodyText"/>
      </w:pPr>
      <w:r>
        <w:t>Contributing to the $3.6 billion increase in aggregate budgetary assistance from 2015</w:t>
      </w:r>
      <w:r>
        <w:noBreakHyphen/>
        <w:t>16 to 2016</w:t>
      </w:r>
      <w:r>
        <w:noBreakHyphen/>
        <w:t>17 are:</w:t>
      </w:r>
    </w:p>
    <w:p w:rsidR="00745FEA" w:rsidRDefault="00745FEA" w:rsidP="00745FEA">
      <w:pPr>
        <w:pStyle w:val="ListBullet"/>
      </w:pPr>
      <w:r>
        <w:t>an increase of $1.3 billion in assistance afforded by the Small Business Simplified Depreciation Rules – to enable small businesses to access concessional depreciation arrangements for business assets</w:t>
      </w:r>
    </w:p>
    <w:p w:rsidR="00745FEA" w:rsidRDefault="00745FEA" w:rsidP="00745FEA">
      <w:pPr>
        <w:pStyle w:val="ListBullet"/>
      </w:pPr>
      <w:r>
        <w:t>an increase of $850 million in assistance afforded by the Lower Company Tax Rate – accessible for companies with aggregated annual turnover of less than $10 million (up from $2 million in 2015</w:t>
      </w:r>
      <w:r>
        <w:noBreakHyphen/>
        <w:t>16)</w:t>
      </w:r>
    </w:p>
    <w:p w:rsidR="00745FEA" w:rsidRDefault="00745FEA" w:rsidP="00745FEA">
      <w:pPr>
        <w:pStyle w:val="ListBullet"/>
      </w:pPr>
      <w:r>
        <w:t>$550 million for the Unincorporated Small Business Tax Discount — accessible for unincorporated small businesses with turnover less than $5 million</w:t>
      </w:r>
    </w:p>
    <w:p w:rsidR="00745FEA" w:rsidRDefault="00745FEA" w:rsidP="00745FEA">
      <w:pPr>
        <w:pStyle w:val="ListBullet"/>
      </w:pPr>
      <w:r>
        <w:t>an increase of $420 million in assistance afforded by the refundable part of the R&amp;D Tax Incentive — which is a tax offset scheme for certain eligible entities whose aggregated annual turnover is less than $20 million</w:t>
      </w:r>
    </w:p>
    <w:p w:rsidR="00745FEA" w:rsidRDefault="00745FEA" w:rsidP="00745FEA">
      <w:pPr>
        <w:pStyle w:val="ListBullet"/>
      </w:pPr>
      <w:r>
        <w:t xml:space="preserve">$120 million in assistance afforded by the newly introduced Data Retention Industry Grants program for </w:t>
      </w:r>
      <w:r w:rsidRPr="00E35766">
        <w:t>eligible telecommunications service providers to meet upfront costs of implementing data retention obligations</w:t>
      </w:r>
      <w:r>
        <w:t xml:space="preserve"> </w:t>
      </w:r>
      <w:r w:rsidRPr="00A74ED5">
        <w:t>(with the remaining $8 million of outlay</w:t>
      </w:r>
      <w:r>
        <w:t xml:space="preserve"> occurring in subsequent years)</w:t>
      </w:r>
      <w:r w:rsidRPr="00E35766">
        <w:t>.</w:t>
      </w:r>
      <w:r>
        <w:t xml:space="preserve"> </w:t>
      </w:r>
    </w:p>
    <w:p w:rsidR="00745FEA" w:rsidRDefault="00745FEA" w:rsidP="00745FEA">
      <w:pPr>
        <w:pStyle w:val="BodyText"/>
      </w:pPr>
      <w:r w:rsidRPr="00CD1488">
        <w:t>Reductions in existing programs and cessations in 2016</w:t>
      </w:r>
      <w:r w:rsidRPr="00CD1488">
        <w:noBreakHyphen/>
        <w:t>17 totalled $372 million across 47</w:t>
      </w:r>
      <w:r>
        <w:t> </w:t>
      </w:r>
      <w:r w:rsidRPr="00CD1488">
        <w:t>programs (some demand driven and some by government decision)</w:t>
      </w:r>
      <w:r>
        <w:t xml:space="preserve"> including: </w:t>
      </w:r>
    </w:p>
    <w:p w:rsidR="00745FEA" w:rsidRDefault="00745FEA" w:rsidP="00745FEA">
      <w:pPr>
        <w:pStyle w:val="ListBullet"/>
      </w:pPr>
      <w:r>
        <w:t>a fall of around $54 million in assistance afforded by the Automotive Transformation Scheme to encourage competitive investment and innovation in the Australian automotive industry</w:t>
      </w:r>
    </w:p>
    <w:p w:rsidR="00745FEA" w:rsidRDefault="00745FEA" w:rsidP="00745FEA">
      <w:pPr>
        <w:pStyle w:val="ListBullet"/>
      </w:pPr>
      <w:r>
        <w:t>a fall of $45 million in assistance afforded by the tax concession – Concessional rate of withholding tax</w:t>
      </w:r>
    </w:p>
    <w:p w:rsidR="00745FEA" w:rsidRDefault="00745FEA" w:rsidP="00745FEA">
      <w:pPr>
        <w:pStyle w:val="ListBullet"/>
      </w:pPr>
      <w:r>
        <w:t xml:space="preserve">a fall of $45 million in assistance afforded through the Film Industry Offsets program. </w:t>
      </w:r>
    </w:p>
    <w:p w:rsidR="00745FEA" w:rsidRDefault="00745FEA" w:rsidP="00745FEA">
      <w:pPr>
        <w:pStyle w:val="BodyText"/>
      </w:pPr>
      <w:r>
        <w:t>The noticeable reduction in budgetary assistance from 2011</w:t>
      </w:r>
      <w:r>
        <w:noBreakHyphen/>
        <w:t>12 to 2012</w:t>
      </w:r>
      <w:r>
        <w:noBreakHyphen/>
        <w:t>13 (of $1.3 billion)reflects</w:t>
      </w:r>
      <w:r w:rsidR="00FC1CDB">
        <w:t xml:space="preserve"> </w:t>
      </w:r>
      <w:r>
        <w:t>winding up of the Energy Security Fund ($1 billion), reduction in the Small Business and General Business Tax Break ($470 million), end of the one</w:t>
      </w:r>
      <w:r>
        <w:noBreakHyphen/>
        <w:t>off Coal sector jobs package ($219 million), end of the one</w:t>
      </w:r>
      <w:r>
        <w:noBreakHyphen/>
        <w:t xml:space="preserve">off Steel transformation plan ($164 million), reduced usage of the Farm Management Deposits scheme ($80 million), and reduced expenditure from the Green Car Innovation Fund ($78 million). </w:t>
      </w:r>
    </w:p>
    <w:p w:rsidR="00745FEA" w:rsidRDefault="00745FEA" w:rsidP="00745FEA">
      <w:pPr>
        <w:pStyle w:val="Heading3"/>
      </w:pPr>
      <w:r>
        <w:t>Manufacturing and primary production received a much higher share of assistance than their share of the economy</w:t>
      </w:r>
    </w:p>
    <w:p w:rsidR="00745FEA" w:rsidRDefault="00745FEA" w:rsidP="00745FEA">
      <w:pPr>
        <w:pStyle w:val="BodyText"/>
      </w:pPr>
      <w:r>
        <w:t>The Commission records the incidence of budgetary assistance by the initial benefiting industry. Estimates are presented for 34 industry groupings, while four ‘unallocated’ categories are used for programs where it has not been possible to confidently identify the initial benefiting industry or sector from available information. Since 2011</w:t>
      </w:r>
      <w:r>
        <w:noBreakHyphen/>
        <w:t xml:space="preserve">12, an initial benefiting industry has been identified for around 90 per cent of budgetary assistance. </w:t>
      </w:r>
    </w:p>
    <w:p w:rsidR="00745FEA" w:rsidRDefault="00745FEA" w:rsidP="00745FEA">
      <w:pPr>
        <w:pStyle w:val="BodyText"/>
      </w:pPr>
      <w:r>
        <w:t>In 2016</w:t>
      </w:r>
      <w:r>
        <w:noBreakHyphen/>
        <w:t xml:space="preserve">17 most budgetary assistance was afforded through outlays for the primary production and manufacturing sectors while for mining and services sectors the majority of budgetary assistance was provided through tax concessions. </w:t>
      </w:r>
    </w:p>
    <w:p w:rsidR="00745FEA" w:rsidRDefault="00745FEA" w:rsidP="00745FEA">
      <w:pPr>
        <w:pStyle w:val="BodyText"/>
      </w:pPr>
      <w:r>
        <w:t>In 2016</w:t>
      </w:r>
      <w:r>
        <w:noBreakHyphen/>
        <w:t xml:space="preserve">17, the services sector received around 44 per cent of estimated budgetary assistance (figure 2.4 top panel), much lower than the sector’s share of economy wide value added (around 84 per cent) (figure 2.4 lower panel). In contrast, the manufacturing and primary production sectors, combined, received around 27 per cent of budgetary assistance while contributing around 9 per cent of economy wide value added. </w:t>
      </w:r>
    </w:p>
    <w:p w:rsidR="00745FEA" w:rsidRDefault="00745FEA" w:rsidP="00745FEA">
      <w:pPr>
        <w:pStyle w:val="BodyText"/>
      </w:pPr>
      <w:r>
        <w:t>The three industry groups receiving the largest levels of budgetary assistance accounted for around 30 per cent of estimated budgetary assistance to industry in 2016</w:t>
      </w:r>
      <w:r>
        <w:noBreakHyphen/>
        <w:t xml:space="preserve">17 (table 2.4). </w:t>
      </w:r>
    </w:p>
    <w:p w:rsidR="00745FEA" w:rsidRDefault="00745FEA" w:rsidP="00745FEA">
      <w:pPr>
        <w:pStyle w:val="ListBullet"/>
      </w:pPr>
      <w:r>
        <w:t xml:space="preserve">Budgetary assistance was highest for the </w:t>
      </w:r>
      <w:r w:rsidRPr="002F1DED">
        <w:rPr>
          <w:i/>
        </w:rPr>
        <w:t>Property, professional and administrative services</w:t>
      </w:r>
      <w:r>
        <w:t xml:space="preserve"> industry ($1.8 billion) consisting mainly of the R&amp;D Tax Incentive scheme and the Small Business Simplified Depreciation Rules scheme.</w:t>
      </w:r>
    </w:p>
    <w:p w:rsidR="00745FEA" w:rsidRDefault="00745FEA" w:rsidP="00745FEA">
      <w:pPr>
        <w:pStyle w:val="ListBullet"/>
      </w:pPr>
      <w:r w:rsidRPr="002F1DED">
        <w:rPr>
          <w:i/>
        </w:rPr>
        <w:t>Financial and insurance services</w:t>
      </w:r>
      <w:r>
        <w:t xml:space="preserve"> was the next highest recipient ($1 billion), including through the Offshore Banking Unit tax concession and the Concessional rate of withholding tax concession. </w:t>
      </w:r>
    </w:p>
    <w:p w:rsidR="00745FEA" w:rsidRDefault="00745FEA" w:rsidP="00745FEA">
      <w:pPr>
        <w:pStyle w:val="ListBullet"/>
      </w:pPr>
      <w:r w:rsidRPr="002F1DED">
        <w:rPr>
          <w:i/>
        </w:rPr>
        <w:t>Sheep, beef cattle and grain farming</w:t>
      </w:r>
      <w:r>
        <w:t xml:space="preserve"> accounted for $758 million, mainly in the form of the Farm Management Deposits scheme, rural R&amp;D support (through CSIRO and the Rural Research and Development Corporations), and income tax averaging provisions. </w:t>
      </w:r>
    </w:p>
    <w:p w:rsidR="00745FEA" w:rsidRDefault="00745FEA" w:rsidP="00745FEA">
      <w:pPr>
        <w:pStyle w:val="ListBullet"/>
      </w:pPr>
      <w:r>
        <w:t xml:space="preserve">Although </w:t>
      </w:r>
      <w:r w:rsidRPr="00CD191C">
        <w:rPr>
          <w:i/>
        </w:rPr>
        <w:t>Motor vehicles and parts</w:t>
      </w:r>
      <w:r>
        <w:t xml:space="preserve"> received the eleventh highest absolute level of support, accounting for $243 million in budgetary assistance in 2016</w:t>
      </w:r>
      <w:r>
        <w:noBreakHyphen/>
        <w:t xml:space="preserve">17, it has the highest effective rate of assistance (absolute assistance relative to unassisted value added) of all industry groups because of the relatively high level of assistance relative to the scale of operations.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2.</w:t>
            </w:r>
            <w:r>
              <w:rPr>
                <w:b w:val="0"/>
                <w:noProof/>
              </w:rPr>
              <w:t>4</w:t>
            </w:r>
            <w:r>
              <w:tab/>
              <w:t>Budgetary assistance and value</w:t>
            </w:r>
            <w:r>
              <w:noBreakHyphen/>
              <w:t>added shares by industry sector, 2011</w:t>
            </w:r>
            <w:r>
              <w:noBreakHyphen/>
              <w:t>12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485997" w:rsidTr="00745FEA">
              <w:trPr>
                <w:tblHeader/>
                <w:jc w:val="center"/>
              </w:trPr>
              <w:tc>
                <w:tcPr>
                  <w:tcW w:w="5000" w:type="pct"/>
                  <w:tcBorders>
                    <w:top w:val="nil"/>
                    <w:bottom w:val="nil"/>
                  </w:tcBorders>
                </w:tcPr>
                <w:p w:rsidR="00745FEA" w:rsidRPr="00485997" w:rsidRDefault="00745FEA" w:rsidP="00745FEA">
                  <w:pPr>
                    <w:pStyle w:val="Figure"/>
                    <w:spacing w:before="60" w:after="60"/>
                    <w:rPr>
                      <w:rFonts w:ascii="Arial" w:hAnsi="Arial" w:cs="Arial"/>
                      <w:i/>
                      <w:sz w:val="18"/>
                      <w:szCs w:val="18"/>
                    </w:rPr>
                  </w:pPr>
                  <w:r w:rsidRPr="00485997">
                    <w:rPr>
                      <w:rFonts w:ascii="Arial" w:hAnsi="Arial" w:cs="Arial"/>
                      <w:i/>
                      <w:sz w:val="18"/>
                      <w:szCs w:val="18"/>
                    </w:rPr>
                    <w:t>Budgetary assistance</w:t>
                  </w:r>
                </w:p>
              </w:tc>
            </w:tr>
          </w:tbl>
          <w:p w:rsidR="00745FEA" w:rsidRPr="00485997" w:rsidRDefault="00745FEA" w:rsidP="00745FEA">
            <w:pPr>
              <w:pStyle w:val="Figure"/>
              <w:rPr>
                <w:i/>
              </w:rPr>
            </w:pP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B1465D" w:rsidRDefault="004C15F1" w:rsidP="00745FEA">
            <w:pPr>
              <w:pStyle w:val="Figure"/>
              <w:spacing w:before="60" w:after="60"/>
              <w:rPr>
                <w:rFonts w:ascii="Arial" w:hAnsi="Arial" w:cs="Arial"/>
                <w:sz w:val="18"/>
                <w:szCs w:val="18"/>
              </w:rPr>
            </w:pPr>
            <w:r w:rsidRPr="004C15F1">
              <w:rPr>
                <w:rFonts w:ascii="Arial" w:hAnsi="Arial" w:cs="Arial"/>
                <w:noProof/>
                <w:sz w:val="18"/>
                <w:szCs w:val="18"/>
              </w:rPr>
              <w:drawing>
                <wp:inline distT="0" distB="0" distL="0" distR="0" wp14:anchorId="1AA40C9A" wp14:editId="22842A17">
                  <wp:extent cx="5187229" cy="3784600"/>
                  <wp:effectExtent l="0" t="0" r="0" b="6350"/>
                  <wp:docPr id="35" name="Picture 35" descr="This figure has two panels. The top panel shows allocation of budgetary assistance by sector and the bottom panel shows industry value added by sector, both in dollar value. Since 2011 12 around 90 per cent of budgetary assistance has been allocated to a specific sector with most assistance received by the services sector. The sector’s contribution to value added (around 84 per cent), however, fell short of its share in the budgetary assistance (around 44 per cent). In contrast, primary production and manufacturing together contributed 9 per cent of value added but received around 27 per cent of budgetary ass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3466" b="8410"/>
                          <a:stretch/>
                        </pic:blipFill>
                        <pic:spPr bwMode="auto">
                          <a:xfrm>
                            <a:off x="0" y="0"/>
                            <a:ext cx="5188585" cy="37855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485997" w:rsidRDefault="00745FEA" w:rsidP="00745FEA">
            <w:pPr>
              <w:pStyle w:val="Figure"/>
              <w:spacing w:before="60" w:after="60"/>
              <w:rPr>
                <w:rFonts w:ascii="Arial" w:hAnsi="Arial" w:cs="Arial"/>
                <w:i/>
                <w:sz w:val="18"/>
                <w:szCs w:val="18"/>
              </w:rPr>
            </w:pPr>
            <w:r w:rsidRPr="00485997">
              <w:rPr>
                <w:rFonts w:ascii="Arial" w:hAnsi="Arial" w:cs="Arial"/>
                <w:i/>
                <w:sz w:val="18"/>
                <w:szCs w:val="18"/>
              </w:rPr>
              <w:t>Industry value</w:t>
            </w:r>
            <w:r>
              <w:rPr>
                <w:rFonts w:ascii="Arial" w:hAnsi="Arial" w:cs="Arial"/>
                <w:i/>
                <w:sz w:val="18"/>
                <w:szCs w:val="18"/>
              </w:rPr>
              <w:noBreakHyphen/>
            </w:r>
            <w:r w:rsidRPr="00485997">
              <w:rPr>
                <w:rFonts w:ascii="Arial" w:hAnsi="Arial" w:cs="Arial"/>
                <w:i/>
                <w:sz w:val="18"/>
                <w:szCs w:val="18"/>
              </w:rPr>
              <w:t>added</w:t>
            </w:r>
          </w:p>
        </w:tc>
      </w:tr>
      <w:tr w:rsidR="00745FEA" w:rsidTr="00745FEA">
        <w:tc>
          <w:tcPr>
            <w:tcW w:w="5000" w:type="pct"/>
            <w:tcBorders>
              <w:top w:val="nil"/>
              <w:left w:val="nil"/>
              <w:bottom w:val="nil"/>
              <w:right w:val="nil"/>
            </w:tcBorders>
            <w:shd w:val="clear" w:color="auto" w:fill="auto"/>
            <w:tcMar>
              <w:top w:w="28" w:type="dxa"/>
              <w:bottom w:w="28" w:type="dxa"/>
            </w:tcMar>
          </w:tcPr>
          <w:p w:rsidR="00745FEA" w:rsidRPr="00B1465D" w:rsidRDefault="00002A0F" w:rsidP="00745FEA">
            <w:pPr>
              <w:pStyle w:val="Figure"/>
              <w:spacing w:before="60" w:after="60"/>
              <w:rPr>
                <w:rFonts w:ascii="Arial" w:hAnsi="Arial" w:cs="Arial"/>
                <w:sz w:val="18"/>
                <w:szCs w:val="18"/>
              </w:rPr>
            </w:pPr>
            <w:r w:rsidRPr="00002A0F">
              <w:rPr>
                <w:rFonts w:ascii="Arial" w:hAnsi="Arial" w:cs="Arial"/>
                <w:noProof/>
                <w:sz w:val="18"/>
                <w:szCs w:val="18"/>
              </w:rPr>
              <w:drawing>
                <wp:inline distT="0" distB="0" distL="0" distR="0" wp14:anchorId="434F8C65" wp14:editId="5DC9E8F0">
                  <wp:extent cx="5191125" cy="2857500"/>
                  <wp:effectExtent l="0" t="0" r="9525" b="0"/>
                  <wp:docPr id="4" name="Picture 4" descr="This figure has two panels. The top panel shows allocation of budgetary assistance by sector and the bottom panel shows industry value added by sector, both in dollar value. Since 2011 12 around 90 per cent of budgetary assistance has been allocated to a specific sector with most assistance received by the services sector. The sector’s contribution to value added (around 84 per cent), however, fell short of its share in the budgetary assistance (around 44 per cent). In contrast, primary production and manufacturing together contributed 9 per cent of value added but received around 27 per cent of budgetary ass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91125" cy="2857500"/>
                          </a:xfrm>
                          <a:prstGeom prst="rect">
                            <a:avLst/>
                          </a:prstGeom>
                          <a:noFill/>
                          <a:ln>
                            <a:noFill/>
                          </a:ln>
                        </pic:spPr>
                      </pic:pic>
                    </a:graphicData>
                  </a:graphic>
                </wp:inline>
              </w:drawing>
            </w: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w:t>
            </w:r>
            <w:r>
              <w:t xml:space="preserve"> Commission estimates. </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2.</w:t>
            </w:r>
            <w:r>
              <w:rPr>
                <w:b w:val="0"/>
                <w:noProof/>
              </w:rPr>
              <w:t>4</w:t>
            </w:r>
            <w:r>
              <w:tab/>
              <w:t>Budgetary assistance by industry grouping, 2016</w:t>
            </w:r>
            <w:r>
              <w:noBreakHyphen/>
              <w:t>17</w:t>
            </w:r>
          </w:p>
          <w:p w:rsidR="00745FEA" w:rsidRPr="00784A05" w:rsidRDefault="00745FEA" w:rsidP="00745FEA">
            <w:pPr>
              <w:pStyle w:val="Subtitle"/>
            </w:pPr>
            <w:r>
              <w:t>$ million (nominal)</w:t>
            </w:r>
          </w:p>
        </w:tc>
      </w:tr>
      <w:tr w:rsidR="00745FEA" w:rsidTr="00745FEA">
        <w:tc>
          <w:tcPr>
            <w:tcW w:w="5000" w:type="pct"/>
            <w:tcBorders>
              <w:top w:val="nil"/>
              <w:left w:val="nil"/>
              <w:bottom w:val="nil"/>
              <w:right w:val="nil"/>
            </w:tcBorders>
            <w:shd w:val="clear" w:color="auto" w:fill="auto"/>
          </w:tcPr>
          <w:tbl>
            <w:tblPr>
              <w:tblW w:w="8558" w:type="dxa"/>
              <w:tblCellMar>
                <w:top w:w="28" w:type="dxa"/>
                <w:left w:w="0" w:type="dxa"/>
                <w:right w:w="0" w:type="dxa"/>
              </w:tblCellMar>
              <w:tblLook w:val="0000" w:firstRow="0" w:lastRow="0" w:firstColumn="0" w:lastColumn="0" w:noHBand="0" w:noVBand="0"/>
            </w:tblPr>
            <w:tblGrid>
              <w:gridCol w:w="4310"/>
              <w:gridCol w:w="1422"/>
              <w:gridCol w:w="1422"/>
              <w:gridCol w:w="1404"/>
            </w:tblGrid>
            <w:tr w:rsidR="00745FEA" w:rsidTr="00745FEA">
              <w:trPr>
                <w:tblHeader/>
              </w:trPr>
              <w:tc>
                <w:tcPr>
                  <w:tcW w:w="25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831" w:type="pct"/>
                  <w:tcBorders>
                    <w:top w:val="single" w:sz="6" w:space="0" w:color="BFBFBF"/>
                    <w:bottom w:val="single" w:sz="6" w:space="0" w:color="BFBFBF"/>
                  </w:tcBorders>
                  <w:vAlign w:val="bottom"/>
                </w:tcPr>
                <w:p w:rsidR="00745FEA" w:rsidRDefault="00745FEA" w:rsidP="00745FEA">
                  <w:pPr>
                    <w:pStyle w:val="TableColumnHeading"/>
                  </w:pPr>
                  <w:r>
                    <w:t>Outlays</w:t>
                  </w:r>
                </w:p>
              </w:tc>
              <w:tc>
                <w:tcPr>
                  <w:tcW w:w="831" w:type="pct"/>
                  <w:tcBorders>
                    <w:top w:val="single" w:sz="6" w:space="0" w:color="BFBFBF"/>
                    <w:bottom w:val="single" w:sz="6" w:space="0" w:color="BFBFBF"/>
                  </w:tcBorders>
                  <w:shd w:val="clear" w:color="auto" w:fill="auto"/>
                  <w:tcMar>
                    <w:top w:w="28" w:type="dxa"/>
                  </w:tcMar>
                  <w:vAlign w:val="bottom"/>
                </w:tcPr>
                <w:p w:rsidR="00745FEA" w:rsidRDefault="00745FEA" w:rsidP="00745FEA">
                  <w:pPr>
                    <w:pStyle w:val="TableColumnHeading"/>
                  </w:pPr>
                  <w:r>
                    <w:t>Tax concessions</w:t>
                  </w:r>
                </w:p>
              </w:tc>
              <w:tc>
                <w:tcPr>
                  <w:tcW w:w="820" w:type="pct"/>
                  <w:tcBorders>
                    <w:top w:val="single" w:sz="6" w:space="0" w:color="BFBFBF"/>
                    <w:bottom w:val="single" w:sz="6" w:space="0" w:color="BFBFBF"/>
                  </w:tcBorders>
                  <w:shd w:val="clear" w:color="auto" w:fill="auto"/>
                  <w:tcMar>
                    <w:top w:w="28" w:type="dxa"/>
                  </w:tcMar>
                  <w:vAlign w:val="bottom"/>
                </w:tcPr>
                <w:p w:rsidR="00745FEA" w:rsidRDefault="00745FEA" w:rsidP="00745FEA">
                  <w:pPr>
                    <w:pStyle w:val="TableColumnHeading"/>
                    <w:ind w:right="28"/>
                  </w:pPr>
                  <w:r>
                    <w:t>Total budgetary assistance</w:t>
                  </w:r>
                </w:p>
              </w:tc>
            </w:tr>
            <w:tr w:rsidR="00745FEA" w:rsidRPr="00537771" w:rsidTr="00745FEA">
              <w:tc>
                <w:tcPr>
                  <w:tcW w:w="2518" w:type="pct"/>
                  <w:tcBorders>
                    <w:top w:val="single" w:sz="6" w:space="0" w:color="BFBFBF"/>
                  </w:tcBorders>
                  <w:vAlign w:val="center"/>
                </w:tcPr>
                <w:p w:rsidR="00745FEA" w:rsidRPr="00537771" w:rsidRDefault="00745FEA" w:rsidP="00745FEA">
                  <w:pPr>
                    <w:pStyle w:val="TableBodyText"/>
                    <w:jc w:val="left"/>
                    <w:rPr>
                      <w:b/>
                    </w:rPr>
                  </w:pPr>
                  <w:r w:rsidRPr="00537771">
                    <w:rPr>
                      <w:b/>
                    </w:rPr>
                    <w:t>Primary production</w:t>
                  </w:r>
                </w:p>
              </w:tc>
              <w:tc>
                <w:tcPr>
                  <w:tcW w:w="831" w:type="pct"/>
                  <w:tcBorders>
                    <w:top w:val="single" w:sz="6" w:space="0" w:color="BFBFBF"/>
                  </w:tcBorders>
                </w:tcPr>
                <w:p w:rsidR="00745FEA" w:rsidRPr="00537771" w:rsidRDefault="00745FEA" w:rsidP="00745FEA">
                  <w:pPr>
                    <w:pStyle w:val="TableBodyText"/>
                    <w:rPr>
                      <w:b/>
                    </w:rPr>
                  </w:pPr>
                  <w:r w:rsidRPr="00537771">
                    <w:rPr>
                      <w:b/>
                    </w:rPr>
                    <w:t>879.9</w:t>
                  </w:r>
                </w:p>
              </w:tc>
              <w:tc>
                <w:tcPr>
                  <w:tcW w:w="831" w:type="pct"/>
                  <w:tcBorders>
                    <w:top w:val="single" w:sz="6" w:space="0" w:color="BFBFBF"/>
                  </w:tcBorders>
                </w:tcPr>
                <w:p w:rsidR="00745FEA" w:rsidRPr="00537771" w:rsidRDefault="00745FEA" w:rsidP="00745FEA">
                  <w:pPr>
                    <w:pStyle w:val="TableBodyText"/>
                    <w:rPr>
                      <w:b/>
                    </w:rPr>
                  </w:pPr>
                  <w:r w:rsidRPr="00537771">
                    <w:rPr>
                      <w:b/>
                    </w:rPr>
                    <w:t>759.9</w:t>
                  </w:r>
                </w:p>
              </w:tc>
              <w:tc>
                <w:tcPr>
                  <w:tcW w:w="820" w:type="pct"/>
                  <w:tcBorders>
                    <w:top w:val="single" w:sz="6" w:space="0" w:color="BFBFBF"/>
                  </w:tcBorders>
                </w:tcPr>
                <w:p w:rsidR="00745FEA" w:rsidRPr="00537771" w:rsidRDefault="00745FEA" w:rsidP="00745FEA">
                  <w:pPr>
                    <w:pStyle w:val="TableBodyText"/>
                    <w:ind w:right="28"/>
                    <w:rPr>
                      <w:b/>
                    </w:rPr>
                  </w:pPr>
                  <w:r w:rsidRPr="00537771">
                    <w:rPr>
                      <w:b/>
                    </w:rPr>
                    <w:t>1639.8</w:t>
                  </w:r>
                </w:p>
              </w:tc>
            </w:tr>
            <w:tr w:rsidR="00745FEA" w:rsidTr="00745FEA">
              <w:tc>
                <w:tcPr>
                  <w:tcW w:w="2518" w:type="pct"/>
                  <w:vAlign w:val="center"/>
                </w:tcPr>
                <w:p w:rsidR="00745FEA" w:rsidRPr="00283455" w:rsidRDefault="00745FEA" w:rsidP="00745FEA">
                  <w:pPr>
                    <w:pStyle w:val="TableBodyText"/>
                    <w:spacing w:after="20"/>
                    <w:jc w:val="left"/>
                  </w:pPr>
                  <w:r w:rsidRPr="00283455">
                    <w:t>Horticulture and fruit growing</w:t>
                  </w:r>
                </w:p>
              </w:tc>
              <w:tc>
                <w:tcPr>
                  <w:tcW w:w="831" w:type="pct"/>
                </w:tcPr>
                <w:p w:rsidR="00745FEA" w:rsidRPr="00600278" w:rsidRDefault="00745FEA" w:rsidP="00745FEA">
                  <w:pPr>
                    <w:pStyle w:val="TableBodyText"/>
                    <w:spacing w:after="20"/>
                  </w:pPr>
                  <w:r w:rsidRPr="00182AB0">
                    <w:t>95.5</w:t>
                  </w:r>
                </w:p>
              </w:tc>
              <w:tc>
                <w:tcPr>
                  <w:tcW w:w="831" w:type="pct"/>
                </w:tcPr>
                <w:p w:rsidR="00745FEA" w:rsidRPr="00600278" w:rsidRDefault="00745FEA" w:rsidP="00745FEA">
                  <w:pPr>
                    <w:pStyle w:val="TableBodyText"/>
                    <w:spacing w:after="20"/>
                  </w:pPr>
                  <w:r w:rsidRPr="00182AB0">
                    <w:t>79.5</w:t>
                  </w:r>
                </w:p>
              </w:tc>
              <w:tc>
                <w:tcPr>
                  <w:tcW w:w="820" w:type="pct"/>
                </w:tcPr>
                <w:p w:rsidR="00745FEA" w:rsidRPr="008F6CA7" w:rsidRDefault="00745FEA" w:rsidP="00745FEA">
                  <w:pPr>
                    <w:pStyle w:val="TableBodyText"/>
                    <w:spacing w:after="20"/>
                    <w:ind w:right="28"/>
                  </w:pPr>
                  <w:r w:rsidRPr="00182AB0">
                    <w:t>175.1</w:t>
                  </w:r>
                </w:p>
              </w:tc>
            </w:tr>
            <w:tr w:rsidR="00745FEA" w:rsidTr="00745FEA">
              <w:tc>
                <w:tcPr>
                  <w:tcW w:w="2518" w:type="pct"/>
                  <w:vAlign w:val="center"/>
                </w:tcPr>
                <w:p w:rsidR="00745FEA" w:rsidRPr="00283455" w:rsidRDefault="00745FEA" w:rsidP="00745FEA">
                  <w:pPr>
                    <w:pStyle w:val="TableBodyText"/>
                    <w:spacing w:after="20"/>
                    <w:jc w:val="left"/>
                  </w:pPr>
                  <w:r w:rsidRPr="00283455">
                    <w:t>Sheep, beef cattle and grain farming</w:t>
                  </w:r>
                </w:p>
              </w:tc>
              <w:tc>
                <w:tcPr>
                  <w:tcW w:w="831" w:type="pct"/>
                </w:tcPr>
                <w:p w:rsidR="00745FEA" w:rsidRPr="00600278" w:rsidRDefault="00745FEA" w:rsidP="00745FEA">
                  <w:pPr>
                    <w:pStyle w:val="TableBodyText"/>
                    <w:spacing w:after="20"/>
                  </w:pPr>
                  <w:r w:rsidRPr="00182AB0">
                    <w:t>249.2</w:t>
                  </w:r>
                </w:p>
              </w:tc>
              <w:tc>
                <w:tcPr>
                  <w:tcW w:w="831" w:type="pct"/>
                </w:tcPr>
                <w:p w:rsidR="00745FEA" w:rsidRPr="00600278" w:rsidRDefault="00745FEA" w:rsidP="00745FEA">
                  <w:pPr>
                    <w:pStyle w:val="TableBodyText"/>
                    <w:spacing w:after="20"/>
                  </w:pPr>
                  <w:r w:rsidRPr="00182AB0">
                    <w:t>509.2</w:t>
                  </w:r>
                </w:p>
              </w:tc>
              <w:tc>
                <w:tcPr>
                  <w:tcW w:w="820" w:type="pct"/>
                </w:tcPr>
                <w:p w:rsidR="00745FEA" w:rsidRPr="008F6CA7" w:rsidRDefault="00745FEA" w:rsidP="00745FEA">
                  <w:pPr>
                    <w:pStyle w:val="TableBodyText"/>
                    <w:spacing w:after="20"/>
                    <w:ind w:right="28"/>
                  </w:pPr>
                  <w:r w:rsidRPr="00182AB0">
                    <w:t>758.4</w:t>
                  </w:r>
                </w:p>
              </w:tc>
            </w:tr>
            <w:tr w:rsidR="00745FEA" w:rsidTr="00745FEA">
              <w:tc>
                <w:tcPr>
                  <w:tcW w:w="2518" w:type="pct"/>
                  <w:vAlign w:val="center"/>
                </w:tcPr>
                <w:p w:rsidR="00745FEA" w:rsidRPr="00283455" w:rsidRDefault="00745FEA" w:rsidP="00745FEA">
                  <w:pPr>
                    <w:pStyle w:val="TableBodyText"/>
                    <w:spacing w:after="20"/>
                    <w:jc w:val="left"/>
                  </w:pPr>
                  <w:r w:rsidRPr="00283455">
                    <w:t>Other crop growing</w:t>
                  </w:r>
                </w:p>
              </w:tc>
              <w:tc>
                <w:tcPr>
                  <w:tcW w:w="831" w:type="pct"/>
                </w:tcPr>
                <w:p w:rsidR="00745FEA" w:rsidRPr="00600278" w:rsidRDefault="00745FEA" w:rsidP="00745FEA">
                  <w:pPr>
                    <w:pStyle w:val="TableBodyText"/>
                    <w:spacing w:after="20"/>
                  </w:pPr>
                  <w:r w:rsidRPr="00182AB0">
                    <w:t>52.4</w:t>
                  </w:r>
                </w:p>
              </w:tc>
              <w:tc>
                <w:tcPr>
                  <w:tcW w:w="831" w:type="pct"/>
                </w:tcPr>
                <w:p w:rsidR="00745FEA" w:rsidRPr="00600278" w:rsidRDefault="00745FEA" w:rsidP="00745FEA">
                  <w:pPr>
                    <w:pStyle w:val="TableBodyText"/>
                    <w:spacing w:after="20"/>
                  </w:pPr>
                  <w:r w:rsidRPr="00182AB0">
                    <w:t>43.5</w:t>
                  </w:r>
                </w:p>
              </w:tc>
              <w:tc>
                <w:tcPr>
                  <w:tcW w:w="820" w:type="pct"/>
                </w:tcPr>
                <w:p w:rsidR="00745FEA" w:rsidRPr="008F6CA7" w:rsidRDefault="00745FEA" w:rsidP="00745FEA">
                  <w:pPr>
                    <w:pStyle w:val="TableBodyText"/>
                    <w:spacing w:after="20"/>
                    <w:ind w:right="28"/>
                  </w:pPr>
                  <w:r w:rsidRPr="00182AB0">
                    <w:t>95.9</w:t>
                  </w:r>
                </w:p>
              </w:tc>
            </w:tr>
            <w:tr w:rsidR="00745FEA" w:rsidTr="00745FEA">
              <w:tc>
                <w:tcPr>
                  <w:tcW w:w="2518" w:type="pct"/>
                  <w:vAlign w:val="center"/>
                </w:tcPr>
                <w:p w:rsidR="00745FEA" w:rsidRPr="00283455" w:rsidRDefault="00745FEA" w:rsidP="00745FEA">
                  <w:pPr>
                    <w:pStyle w:val="TableBodyText"/>
                    <w:spacing w:after="20"/>
                    <w:jc w:val="left"/>
                  </w:pPr>
                  <w:r w:rsidRPr="00283455">
                    <w:t>Dairy cattle farming</w:t>
                  </w:r>
                </w:p>
              </w:tc>
              <w:tc>
                <w:tcPr>
                  <w:tcW w:w="831" w:type="pct"/>
                </w:tcPr>
                <w:p w:rsidR="00745FEA" w:rsidRPr="00600278" w:rsidRDefault="00745FEA" w:rsidP="00745FEA">
                  <w:pPr>
                    <w:pStyle w:val="TableBodyText"/>
                    <w:spacing w:after="20"/>
                  </w:pPr>
                  <w:r w:rsidRPr="00182AB0">
                    <w:t>31.9</w:t>
                  </w:r>
                </w:p>
              </w:tc>
              <w:tc>
                <w:tcPr>
                  <w:tcW w:w="831" w:type="pct"/>
                </w:tcPr>
                <w:p w:rsidR="00745FEA" w:rsidRPr="00600278" w:rsidRDefault="00745FEA" w:rsidP="00745FEA">
                  <w:pPr>
                    <w:pStyle w:val="TableBodyText"/>
                    <w:spacing w:after="20"/>
                  </w:pPr>
                  <w:r w:rsidRPr="00182AB0">
                    <w:t>33.6</w:t>
                  </w:r>
                </w:p>
              </w:tc>
              <w:tc>
                <w:tcPr>
                  <w:tcW w:w="820" w:type="pct"/>
                </w:tcPr>
                <w:p w:rsidR="00745FEA" w:rsidRPr="008F6CA7" w:rsidRDefault="00745FEA" w:rsidP="00745FEA">
                  <w:pPr>
                    <w:pStyle w:val="TableBodyText"/>
                    <w:spacing w:after="20"/>
                    <w:ind w:right="28"/>
                  </w:pPr>
                  <w:r w:rsidRPr="00182AB0">
                    <w:t>65.5</w:t>
                  </w:r>
                </w:p>
              </w:tc>
            </w:tr>
            <w:tr w:rsidR="00745FEA" w:rsidTr="00745FEA">
              <w:tc>
                <w:tcPr>
                  <w:tcW w:w="2518" w:type="pct"/>
                  <w:vAlign w:val="center"/>
                </w:tcPr>
                <w:p w:rsidR="00745FEA" w:rsidRPr="00283455" w:rsidRDefault="00745FEA" w:rsidP="00745FEA">
                  <w:pPr>
                    <w:pStyle w:val="TableBodyText"/>
                    <w:spacing w:after="20"/>
                    <w:jc w:val="left"/>
                  </w:pPr>
                  <w:r w:rsidRPr="00283455">
                    <w:t>Other livestock farming</w:t>
                  </w:r>
                </w:p>
              </w:tc>
              <w:tc>
                <w:tcPr>
                  <w:tcW w:w="831" w:type="pct"/>
                </w:tcPr>
                <w:p w:rsidR="00745FEA" w:rsidRPr="00600278" w:rsidRDefault="00745FEA" w:rsidP="00745FEA">
                  <w:pPr>
                    <w:pStyle w:val="TableBodyText"/>
                    <w:spacing w:after="20"/>
                  </w:pPr>
                  <w:r w:rsidRPr="00182AB0">
                    <w:t>38.2</w:t>
                  </w:r>
                </w:p>
              </w:tc>
              <w:tc>
                <w:tcPr>
                  <w:tcW w:w="831" w:type="pct"/>
                </w:tcPr>
                <w:p w:rsidR="00745FEA" w:rsidRPr="00600278" w:rsidRDefault="00745FEA" w:rsidP="00745FEA">
                  <w:pPr>
                    <w:pStyle w:val="TableBodyText"/>
                    <w:spacing w:after="20"/>
                  </w:pPr>
                  <w:r w:rsidRPr="00182AB0">
                    <w:t>24.9</w:t>
                  </w:r>
                </w:p>
              </w:tc>
              <w:tc>
                <w:tcPr>
                  <w:tcW w:w="820" w:type="pct"/>
                </w:tcPr>
                <w:p w:rsidR="00745FEA" w:rsidRPr="008F6CA7" w:rsidRDefault="00745FEA" w:rsidP="00745FEA">
                  <w:pPr>
                    <w:pStyle w:val="TableBodyText"/>
                    <w:spacing w:after="20"/>
                    <w:ind w:right="28"/>
                  </w:pPr>
                  <w:r w:rsidRPr="00182AB0">
                    <w:t>63.1</w:t>
                  </w:r>
                </w:p>
              </w:tc>
            </w:tr>
            <w:tr w:rsidR="00745FEA" w:rsidTr="00745FEA">
              <w:tc>
                <w:tcPr>
                  <w:tcW w:w="2518" w:type="pct"/>
                  <w:vAlign w:val="center"/>
                </w:tcPr>
                <w:p w:rsidR="00745FEA" w:rsidRPr="00283455" w:rsidRDefault="00745FEA" w:rsidP="00745FEA">
                  <w:pPr>
                    <w:pStyle w:val="TableBodyText"/>
                    <w:spacing w:after="20"/>
                    <w:jc w:val="left"/>
                  </w:pPr>
                  <w:r w:rsidRPr="00283455">
                    <w:t>Aquaculture and fishing</w:t>
                  </w:r>
                </w:p>
              </w:tc>
              <w:tc>
                <w:tcPr>
                  <w:tcW w:w="831" w:type="pct"/>
                </w:tcPr>
                <w:p w:rsidR="00745FEA" w:rsidRPr="00600278" w:rsidRDefault="00745FEA" w:rsidP="00745FEA">
                  <w:pPr>
                    <w:pStyle w:val="TableBodyText"/>
                    <w:spacing w:after="20"/>
                  </w:pPr>
                  <w:r w:rsidRPr="00182AB0">
                    <w:t>77.5</w:t>
                  </w:r>
                </w:p>
              </w:tc>
              <w:tc>
                <w:tcPr>
                  <w:tcW w:w="831" w:type="pct"/>
                </w:tcPr>
                <w:p w:rsidR="00745FEA" w:rsidRPr="00600278" w:rsidRDefault="00745FEA" w:rsidP="00745FEA">
                  <w:pPr>
                    <w:pStyle w:val="TableBodyText"/>
                    <w:spacing w:after="20"/>
                  </w:pPr>
                  <w:r w:rsidRPr="00182AB0">
                    <w:t>18.6</w:t>
                  </w:r>
                </w:p>
              </w:tc>
              <w:tc>
                <w:tcPr>
                  <w:tcW w:w="820" w:type="pct"/>
                </w:tcPr>
                <w:p w:rsidR="00745FEA" w:rsidRPr="008F6CA7" w:rsidRDefault="00745FEA" w:rsidP="00745FEA">
                  <w:pPr>
                    <w:pStyle w:val="TableBodyText"/>
                    <w:spacing w:after="20"/>
                    <w:ind w:right="28"/>
                  </w:pPr>
                  <w:r w:rsidRPr="00182AB0">
                    <w:t>96.1</w:t>
                  </w:r>
                </w:p>
              </w:tc>
            </w:tr>
            <w:tr w:rsidR="00745FEA" w:rsidTr="00745FEA">
              <w:tc>
                <w:tcPr>
                  <w:tcW w:w="2518" w:type="pct"/>
                  <w:vAlign w:val="center"/>
                </w:tcPr>
                <w:p w:rsidR="00745FEA" w:rsidRPr="00283455" w:rsidRDefault="00745FEA" w:rsidP="00745FEA">
                  <w:pPr>
                    <w:pStyle w:val="TableBodyText"/>
                    <w:spacing w:after="20"/>
                    <w:jc w:val="left"/>
                  </w:pPr>
                  <w:r w:rsidRPr="00283455">
                    <w:t>Forestry and logging</w:t>
                  </w:r>
                </w:p>
              </w:tc>
              <w:tc>
                <w:tcPr>
                  <w:tcW w:w="831" w:type="pct"/>
                </w:tcPr>
                <w:p w:rsidR="00745FEA" w:rsidRPr="00600278" w:rsidRDefault="00745FEA" w:rsidP="00745FEA">
                  <w:pPr>
                    <w:pStyle w:val="TableBodyText"/>
                    <w:spacing w:after="20"/>
                  </w:pPr>
                  <w:r w:rsidRPr="00182AB0">
                    <w:t>16.0</w:t>
                  </w:r>
                </w:p>
              </w:tc>
              <w:tc>
                <w:tcPr>
                  <w:tcW w:w="831" w:type="pct"/>
                </w:tcPr>
                <w:p w:rsidR="00745FEA" w:rsidRPr="00600278" w:rsidRDefault="00745FEA" w:rsidP="00745FEA">
                  <w:pPr>
                    <w:pStyle w:val="TableBodyText"/>
                    <w:spacing w:after="20"/>
                  </w:pPr>
                  <w:r w:rsidRPr="00182AB0">
                    <w:t>18.4</w:t>
                  </w:r>
                </w:p>
              </w:tc>
              <w:tc>
                <w:tcPr>
                  <w:tcW w:w="820" w:type="pct"/>
                </w:tcPr>
                <w:p w:rsidR="00745FEA" w:rsidRPr="008F6CA7" w:rsidRDefault="00745FEA" w:rsidP="00745FEA">
                  <w:pPr>
                    <w:pStyle w:val="TableBodyText"/>
                    <w:spacing w:after="20"/>
                    <w:ind w:right="28"/>
                  </w:pPr>
                  <w:r w:rsidRPr="00182AB0">
                    <w:t>34.4</w:t>
                  </w:r>
                </w:p>
              </w:tc>
            </w:tr>
            <w:tr w:rsidR="00745FEA" w:rsidTr="00745FEA">
              <w:tc>
                <w:tcPr>
                  <w:tcW w:w="2518" w:type="pct"/>
                  <w:vAlign w:val="center"/>
                </w:tcPr>
                <w:p w:rsidR="00745FEA" w:rsidRPr="00283455" w:rsidRDefault="00745FEA" w:rsidP="00745FEA">
                  <w:pPr>
                    <w:pStyle w:val="TableBodyText"/>
                    <w:spacing w:after="20"/>
                    <w:jc w:val="left"/>
                  </w:pPr>
                  <w:r w:rsidRPr="00283455">
                    <w:t>Primary production services</w:t>
                  </w:r>
                </w:p>
              </w:tc>
              <w:tc>
                <w:tcPr>
                  <w:tcW w:w="831" w:type="pct"/>
                </w:tcPr>
                <w:p w:rsidR="00745FEA" w:rsidRPr="00600278" w:rsidRDefault="00745FEA" w:rsidP="00745FEA">
                  <w:pPr>
                    <w:pStyle w:val="TableBodyText"/>
                    <w:spacing w:after="20"/>
                  </w:pPr>
                  <w:r w:rsidRPr="00182AB0">
                    <w:t>8.7</w:t>
                  </w:r>
                </w:p>
              </w:tc>
              <w:tc>
                <w:tcPr>
                  <w:tcW w:w="831" w:type="pct"/>
                </w:tcPr>
                <w:p w:rsidR="00745FEA" w:rsidRPr="00600278" w:rsidRDefault="00745FEA" w:rsidP="00745FEA">
                  <w:pPr>
                    <w:pStyle w:val="TableBodyText"/>
                    <w:spacing w:after="20"/>
                  </w:pPr>
                  <w:r w:rsidRPr="00182AB0">
                    <w:t>28.0</w:t>
                  </w:r>
                </w:p>
              </w:tc>
              <w:tc>
                <w:tcPr>
                  <w:tcW w:w="820" w:type="pct"/>
                </w:tcPr>
                <w:p w:rsidR="00745FEA" w:rsidRPr="008F6CA7" w:rsidRDefault="00745FEA" w:rsidP="00745FEA">
                  <w:pPr>
                    <w:pStyle w:val="TableBodyText"/>
                    <w:spacing w:after="20"/>
                    <w:ind w:right="28"/>
                  </w:pPr>
                  <w:r w:rsidRPr="00182AB0">
                    <w:t>36.7</w:t>
                  </w:r>
                </w:p>
              </w:tc>
            </w:tr>
            <w:tr w:rsidR="00745FEA" w:rsidTr="00745FEA">
              <w:tc>
                <w:tcPr>
                  <w:tcW w:w="2518" w:type="pct"/>
                  <w:vAlign w:val="center"/>
                </w:tcPr>
                <w:p w:rsidR="00745FEA" w:rsidRPr="00283455" w:rsidRDefault="00745FEA" w:rsidP="00745FEA">
                  <w:pPr>
                    <w:pStyle w:val="TableBodyText"/>
                    <w:spacing w:after="20"/>
                    <w:jc w:val="left"/>
                  </w:pPr>
                  <w:r w:rsidRPr="00283455">
                    <w:t>Unallocated primary</w:t>
                  </w:r>
                </w:p>
              </w:tc>
              <w:tc>
                <w:tcPr>
                  <w:tcW w:w="831" w:type="pct"/>
                </w:tcPr>
                <w:p w:rsidR="00745FEA" w:rsidRPr="00600278" w:rsidRDefault="00745FEA" w:rsidP="00745FEA">
                  <w:pPr>
                    <w:pStyle w:val="TableBodyText"/>
                    <w:spacing w:after="20"/>
                  </w:pPr>
                  <w:r w:rsidRPr="00182AB0">
                    <w:t>310.6</w:t>
                  </w:r>
                </w:p>
              </w:tc>
              <w:tc>
                <w:tcPr>
                  <w:tcW w:w="831" w:type="pct"/>
                </w:tcPr>
                <w:p w:rsidR="00745FEA" w:rsidRPr="00600278" w:rsidRDefault="00745FEA" w:rsidP="00745FEA">
                  <w:pPr>
                    <w:pStyle w:val="TableBodyText"/>
                    <w:spacing w:after="20"/>
                  </w:pPr>
                  <w:r w:rsidRPr="00182AB0">
                    <w:t>4.1</w:t>
                  </w:r>
                </w:p>
              </w:tc>
              <w:tc>
                <w:tcPr>
                  <w:tcW w:w="820" w:type="pct"/>
                </w:tcPr>
                <w:p w:rsidR="00745FEA" w:rsidRPr="008F6CA7" w:rsidRDefault="00745FEA" w:rsidP="00745FEA">
                  <w:pPr>
                    <w:pStyle w:val="TableBodyText"/>
                    <w:spacing w:after="20"/>
                    <w:ind w:right="28"/>
                  </w:pPr>
                  <w:r w:rsidRPr="00182AB0">
                    <w:t>314.7</w:t>
                  </w:r>
                </w:p>
              </w:tc>
            </w:tr>
            <w:tr w:rsidR="00745FEA" w:rsidRPr="00537771" w:rsidTr="00745FEA">
              <w:tc>
                <w:tcPr>
                  <w:tcW w:w="2518" w:type="pct"/>
                  <w:vAlign w:val="center"/>
                </w:tcPr>
                <w:p w:rsidR="00745FEA" w:rsidRPr="00537771" w:rsidRDefault="00745FEA" w:rsidP="00745FEA">
                  <w:pPr>
                    <w:pStyle w:val="TableBodyText"/>
                    <w:jc w:val="left"/>
                    <w:rPr>
                      <w:b/>
                    </w:rPr>
                  </w:pPr>
                  <w:r w:rsidRPr="00537771">
                    <w:rPr>
                      <w:b/>
                    </w:rPr>
                    <w:t>Mining</w:t>
                  </w:r>
                </w:p>
              </w:tc>
              <w:tc>
                <w:tcPr>
                  <w:tcW w:w="831" w:type="pct"/>
                </w:tcPr>
                <w:p w:rsidR="00745FEA" w:rsidRPr="00537771" w:rsidRDefault="00745FEA" w:rsidP="00745FEA">
                  <w:pPr>
                    <w:pStyle w:val="TableBodyText"/>
                    <w:rPr>
                      <w:b/>
                    </w:rPr>
                  </w:pPr>
                  <w:r w:rsidRPr="00537771">
                    <w:rPr>
                      <w:b/>
                    </w:rPr>
                    <w:t>238.9</w:t>
                  </w:r>
                </w:p>
              </w:tc>
              <w:tc>
                <w:tcPr>
                  <w:tcW w:w="831" w:type="pct"/>
                </w:tcPr>
                <w:p w:rsidR="00745FEA" w:rsidRPr="00537771" w:rsidRDefault="00745FEA" w:rsidP="00745FEA">
                  <w:pPr>
                    <w:pStyle w:val="TableBodyText"/>
                    <w:rPr>
                      <w:b/>
                    </w:rPr>
                  </w:pPr>
                  <w:r w:rsidRPr="00537771">
                    <w:rPr>
                      <w:b/>
                    </w:rPr>
                    <w:t>282.9</w:t>
                  </w:r>
                </w:p>
              </w:tc>
              <w:tc>
                <w:tcPr>
                  <w:tcW w:w="820" w:type="pct"/>
                </w:tcPr>
                <w:p w:rsidR="00745FEA" w:rsidRPr="00537771" w:rsidRDefault="00745FEA" w:rsidP="00745FEA">
                  <w:pPr>
                    <w:pStyle w:val="TableBodyText"/>
                    <w:ind w:right="28"/>
                    <w:rPr>
                      <w:b/>
                    </w:rPr>
                  </w:pPr>
                  <w:r w:rsidRPr="00537771">
                    <w:rPr>
                      <w:b/>
                    </w:rPr>
                    <w:t>521.8</w:t>
                  </w:r>
                </w:p>
              </w:tc>
            </w:tr>
            <w:tr w:rsidR="00745FEA" w:rsidRPr="00537771" w:rsidTr="00745FEA">
              <w:tc>
                <w:tcPr>
                  <w:tcW w:w="2518" w:type="pct"/>
                  <w:vAlign w:val="center"/>
                </w:tcPr>
                <w:p w:rsidR="00745FEA" w:rsidRPr="00537771" w:rsidRDefault="00745FEA" w:rsidP="00745FEA">
                  <w:pPr>
                    <w:pStyle w:val="TableBodyText"/>
                    <w:jc w:val="left"/>
                    <w:rPr>
                      <w:b/>
                    </w:rPr>
                  </w:pPr>
                  <w:r w:rsidRPr="00537771">
                    <w:rPr>
                      <w:b/>
                    </w:rPr>
                    <w:t>Manufacturing</w:t>
                  </w:r>
                </w:p>
              </w:tc>
              <w:tc>
                <w:tcPr>
                  <w:tcW w:w="831" w:type="pct"/>
                </w:tcPr>
                <w:p w:rsidR="00745FEA" w:rsidRPr="00537771" w:rsidRDefault="00745FEA" w:rsidP="00745FEA">
                  <w:pPr>
                    <w:pStyle w:val="TableBodyText"/>
                    <w:rPr>
                      <w:b/>
                    </w:rPr>
                  </w:pPr>
                  <w:r w:rsidRPr="00537771">
                    <w:rPr>
                      <w:b/>
                    </w:rPr>
                    <w:t>1179.2</w:t>
                  </w:r>
                </w:p>
              </w:tc>
              <w:tc>
                <w:tcPr>
                  <w:tcW w:w="831" w:type="pct"/>
                </w:tcPr>
                <w:p w:rsidR="00745FEA" w:rsidRPr="00537771" w:rsidRDefault="00745FEA" w:rsidP="00745FEA">
                  <w:pPr>
                    <w:pStyle w:val="TableBodyText"/>
                    <w:rPr>
                      <w:b/>
                    </w:rPr>
                  </w:pPr>
                  <w:r w:rsidRPr="00537771">
                    <w:rPr>
                      <w:b/>
                    </w:rPr>
                    <w:t>550.5</w:t>
                  </w:r>
                </w:p>
              </w:tc>
              <w:tc>
                <w:tcPr>
                  <w:tcW w:w="820" w:type="pct"/>
                </w:tcPr>
                <w:p w:rsidR="00745FEA" w:rsidRPr="00537771" w:rsidRDefault="00745FEA" w:rsidP="00745FEA">
                  <w:pPr>
                    <w:pStyle w:val="TableBodyText"/>
                    <w:ind w:right="28"/>
                    <w:rPr>
                      <w:b/>
                    </w:rPr>
                  </w:pPr>
                  <w:r w:rsidRPr="00537771">
                    <w:rPr>
                      <w:b/>
                    </w:rPr>
                    <w:t>1729.8</w:t>
                  </w:r>
                </w:p>
              </w:tc>
            </w:tr>
            <w:tr w:rsidR="00745FEA" w:rsidTr="00745FEA">
              <w:tc>
                <w:tcPr>
                  <w:tcW w:w="2518" w:type="pct"/>
                  <w:vAlign w:val="center"/>
                </w:tcPr>
                <w:p w:rsidR="00745FEA" w:rsidRPr="00283455" w:rsidRDefault="00745FEA" w:rsidP="00745FEA">
                  <w:pPr>
                    <w:pStyle w:val="TableBodyText"/>
                    <w:spacing w:after="20"/>
                    <w:jc w:val="left"/>
                  </w:pPr>
                  <w:r w:rsidRPr="00283455">
                    <w:t>Food, beverages and tobacco</w:t>
                  </w:r>
                </w:p>
              </w:tc>
              <w:tc>
                <w:tcPr>
                  <w:tcW w:w="831" w:type="pct"/>
                </w:tcPr>
                <w:p w:rsidR="00745FEA" w:rsidRPr="00600278" w:rsidRDefault="00745FEA" w:rsidP="00745FEA">
                  <w:pPr>
                    <w:pStyle w:val="TableBodyText"/>
                    <w:spacing w:after="20"/>
                  </w:pPr>
                  <w:r w:rsidRPr="00182AB0">
                    <w:t>83.0</w:t>
                  </w:r>
                </w:p>
              </w:tc>
              <w:tc>
                <w:tcPr>
                  <w:tcW w:w="831" w:type="pct"/>
                </w:tcPr>
                <w:p w:rsidR="00745FEA" w:rsidRPr="00600278" w:rsidRDefault="00745FEA" w:rsidP="00745FEA">
                  <w:pPr>
                    <w:pStyle w:val="TableBodyText"/>
                    <w:spacing w:after="20"/>
                  </w:pPr>
                  <w:r w:rsidRPr="00182AB0">
                    <w:t>51.7</w:t>
                  </w:r>
                </w:p>
              </w:tc>
              <w:tc>
                <w:tcPr>
                  <w:tcW w:w="820" w:type="pct"/>
                </w:tcPr>
                <w:p w:rsidR="00745FEA" w:rsidRPr="008F6CA7" w:rsidRDefault="00745FEA" w:rsidP="00745FEA">
                  <w:pPr>
                    <w:pStyle w:val="TableBodyText"/>
                    <w:spacing w:after="20"/>
                    <w:ind w:right="28"/>
                  </w:pPr>
                  <w:r w:rsidRPr="00182AB0">
                    <w:t>134.7</w:t>
                  </w:r>
                </w:p>
              </w:tc>
            </w:tr>
            <w:tr w:rsidR="00745FEA" w:rsidTr="00745FEA">
              <w:tc>
                <w:tcPr>
                  <w:tcW w:w="2518" w:type="pct"/>
                  <w:vAlign w:val="center"/>
                </w:tcPr>
                <w:p w:rsidR="00745FEA" w:rsidRPr="00283455" w:rsidRDefault="00745FEA" w:rsidP="00745FEA">
                  <w:pPr>
                    <w:pStyle w:val="TableBodyText"/>
                    <w:spacing w:after="20"/>
                    <w:jc w:val="left"/>
                  </w:pPr>
                  <w:r w:rsidRPr="00283455">
                    <w:t>Textile, leather, clothing and footwear</w:t>
                  </w:r>
                </w:p>
              </w:tc>
              <w:tc>
                <w:tcPr>
                  <w:tcW w:w="831" w:type="pct"/>
                </w:tcPr>
                <w:p w:rsidR="00745FEA" w:rsidRPr="00600278" w:rsidRDefault="00745FEA" w:rsidP="00745FEA">
                  <w:pPr>
                    <w:pStyle w:val="TableBodyText"/>
                    <w:spacing w:after="20"/>
                  </w:pPr>
                  <w:r w:rsidRPr="00182AB0">
                    <w:t>23.8</w:t>
                  </w:r>
                </w:p>
              </w:tc>
              <w:tc>
                <w:tcPr>
                  <w:tcW w:w="831" w:type="pct"/>
                </w:tcPr>
                <w:p w:rsidR="00745FEA" w:rsidRPr="00600278" w:rsidRDefault="00745FEA" w:rsidP="00745FEA">
                  <w:pPr>
                    <w:pStyle w:val="TableBodyText"/>
                    <w:spacing w:after="20"/>
                  </w:pPr>
                  <w:r w:rsidRPr="00182AB0">
                    <w:t>14.1</w:t>
                  </w:r>
                </w:p>
              </w:tc>
              <w:tc>
                <w:tcPr>
                  <w:tcW w:w="820" w:type="pct"/>
                </w:tcPr>
                <w:p w:rsidR="00745FEA" w:rsidRPr="008F6CA7" w:rsidRDefault="00745FEA" w:rsidP="00745FEA">
                  <w:pPr>
                    <w:pStyle w:val="TableBodyText"/>
                    <w:spacing w:after="20"/>
                    <w:ind w:right="28"/>
                  </w:pPr>
                  <w:r w:rsidRPr="00182AB0">
                    <w:t>37.9</w:t>
                  </w:r>
                </w:p>
              </w:tc>
            </w:tr>
            <w:tr w:rsidR="00745FEA" w:rsidTr="00745FEA">
              <w:tc>
                <w:tcPr>
                  <w:tcW w:w="2518" w:type="pct"/>
                  <w:vAlign w:val="center"/>
                </w:tcPr>
                <w:p w:rsidR="00745FEA" w:rsidRPr="00283455" w:rsidRDefault="00745FEA" w:rsidP="00745FEA">
                  <w:pPr>
                    <w:pStyle w:val="TableBodyText"/>
                    <w:spacing w:after="20"/>
                    <w:jc w:val="left"/>
                  </w:pPr>
                  <w:r w:rsidRPr="00283455">
                    <w:t>Wood and paper products</w:t>
                  </w:r>
                </w:p>
              </w:tc>
              <w:tc>
                <w:tcPr>
                  <w:tcW w:w="831" w:type="pct"/>
                </w:tcPr>
                <w:p w:rsidR="00745FEA" w:rsidRPr="00600278" w:rsidRDefault="00745FEA" w:rsidP="00745FEA">
                  <w:pPr>
                    <w:pStyle w:val="TableBodyText"/>
                    <w:spacing w:after="20"/>
                  </w:pPr>
                  <w:r w:rsidRPr="00182AB0">
                    <w:t>13.4</w:t>
                  </w:r>
                </w:p>
              </w:tc>
              <w:tc>
                <w:tcPr>
                  <w:tcW w:w="831" w:type="pct"/>
                </w:tcPr>
                <w:p w:rsidR="00745FEA" w:rsidRPr="00600278" w:rsidRDefault="00745FEA" w:rsidP="00745FEA">
                  <w:pPr>
                    <w:pStyle w:val="TableBodyText"/>
                    <w:spacing w:after="20"/>
                  </w:pPr>
                  <w:r w:rsidRPr="00182AB0">
                    <w:t>16.8</w:t>
                  </w:r>
                </w:p>
              </w:tc>
              <w:tc>
                <w:tcPr>
                  <w:tcW w:w="820" w:type="pct"/>
                </w:tcPr>
                <w:p w:rsidR="00745FEA" w:rsidRPr="008F6CA7" w:rsidRDefault="00745FEA" w:rsidP="00745FEA">
                  <w:pPr>
                    <w:pStyle w:val="TableBodyText"/>
                    <w:spacing w:after="20"/>
                    <w:ind w:right="28"/>
                  </w:pPr>
                  <w:r w:rsidRPr="00182AB0">
                    <w:t>30.2</w:t>
                  </w:r>
                </w:p>
              </w:tc>
            </w:tr>
            <w:tr w:rsidR="00745FEA" w:rsidTr="00745FEA">
              <w:tc>
                <w:tcPr>
                  <w:tcW w:w="2518" w:type="pct"/>
                  <w:vAlign w:val="center"/>
                </w:tcPr>
                <w:p w:rsidR="00745FEA" w:rsidRPr="00283455" w:rsidRDefault="00745FEA" w:rsidP="00745FEA">
                  <w:pPr>
                    <w:pStyle w:val="TableBodyText"/>
                    <w:spacing w:after="20"/>
                    <w:jc w:val="left"/>
                  </w:pPr>
                  <w:r w:rsidRPr="00283455">
                    <w:t>Printing and recorded media</w:t>
                  </w:r>
                </w:p>
              </w:tc>
              <w:tc>
                <w:tcPr>
                  <w:tcW w:w="831" w:type="pct"/>
                </w:tcPr>
                <w:p w:rsidR="00745FEA" w:rsidRPr="00600278" w:rsidRDefault="00745FEA" w:rsidP="00745FEA">
                  <w:pPr>
                    <w:pStyle w:val="TableBodyText"/>
                    <w:spacing w:after="20"/>
                  </w:pPr>
                  <w:r w:rsidRPr="00182AB0">
                    <w:t>58.3</w:t>
                  </w:r>
                </w:p>
              </w:tc>
              <w:tc>
                <w:tcPr>
                  <w:tcW w:w="831" w:type="pct"/>
                </w:tcPr>
                <w:p w:rsidR="00745FEA" w:rsidRPr="00600278" w:rsidRDefault="00745FEA" w:rsidP="00745FEA">
                  <w:pPr>
                    <w:pStyle w:val="TableBodyText"/>
                    <w:spacing w:after="20"/>
                  </w:pPr>
                  <w:r w:rsidRPr="00182AB0">
                    <w:t>15.1</w:t>
                  </w:r>
                </w:p>
              </w:tc>
              <w:tc>
                <w:tcPr>
                  <w:tcW w:w="820" w:type="pct"/>
                </w:tcPr>
                <w:p w:rsidR="00745FEA" w:rsidRPr="008F6CA7" w:rsidRDefault="00745FEA" w:rsidP="00745FEA">
                  <w:pPr>
                    <w:pStyle w:val="TableBodyText"/>
                    <w:spacing w:after="20"/>
                    <w:ind w:right="28"/>
                  </w:pPr>
                  <w:r w:rsidRPr="00182AB0">
                    <w:t>73.4</w:t>
                  </w:r>
                </w:p>
              </w:tc>
            </w:tr>
            <w:tr w:rsidR="00745FEA" w:rsidTr="00745FEA">
              <w:tc>
                <w:tcPr>
                  <w:tcW w:w="2518" w:type="pct"/>
                  <w:vAlign w:val="center"/>
                </w:tcPr>
                <w:p w:rsidR="00745FEA" w:rsidRPr="00283455" w:rsidRDefault="00745FEA" w:rsidP="00745FEA">
                  <w:pPr>
                    <w:pStyle w:val="TableBodyText"/>
                    <w:spacing w:after="20"/>
                    <w:jc w:val="left"/>
                  </w:pPr>
                  <w:r w:rsidRPr="00283455">
                    <w:t>Petroleum, coal, chemicals and rubber products</w:t>
                  </w:r>
                </w:p>
              </w:tc>
              <w:tc>
                <w:tcPr>
                  <w:tcW w:w="831" w:type="pct"/>
                </w:tcPr>
                <w:p w:rsidR="00745FEA" w:rsidRPr="00600278" w:rsidRDefault="00745FEA" w:rsidP="00745FEA">
                  <w:pPr>
                    <w:pStyle w:val="TableBodyText"/>
                    <w:spacing w:after="20"/>
                  </w:pPr>
                  <w:r w:rsidRPr="00182AB0">
                    <w:t>203.5</w:t>
                  </w:r>
                </w:p>
              </w:tc>
              <w:tc>
                <w:tcPr>
                  <w:tcW w:w="831" w:type="pct"/>
                </w:tcPr>
                <w:p w:rsidR="00745FEA" w:rsidRPr="00600278" w:rsidRDefault="00745FEA" w:rsidP="00745FEA">
                  <w:pPr>
                    <w:pStyle w:val="TableBodyText"/>
                    <w:spacing w:after="20"/>
                  </w:pPr>
                  <w:r w:rsidRPr="00182AB0">
                    <w:t>35.3</w:t>
                  </w:r>
                </w:p>
              </w:tc>
              <w:tc>
                <w:tcPr>
                  <w:tcW w:w="820" w:type="pct"/>
                </w:tcPr>
                <w:p w:rsidR="00745FEA" w:rsidRPr="008F6CA7" w:rsidRDefault="00745FEA" w:rsidP="00745FEA">
                  <w:pPr>
                    <w:pStyle w:val="TableBodyText"/>
                    <w:spacing w:after="20"/>
                    <w:ind w:right="28"/>
                  </w:pPr>
                  <w:r w:rsidRPr="00182AB0">
                    <w:t>238.8</w:t>
                  </w:r>
                </w:p>
              </w:tc>
            </w:tr>
            <w:tr w:rsidR="00745FEA" w:rsidTr="00745FEA">
              <w:tc>
                <w:tcPr>
                  <w:tcW w:w="2518" w:type="pct"/>
                  <w:vAlign w:val="center"/>
                </w:tcPr>
                <w:p w:rsidR="00745FEA" w:rsidRPr="00283455" w:rsidRDefault="00745FEA" w:rsidP="00745FEA">
                  <w:pPr>
                    <w:pStyle w:val="TableBodyText"/>
                    <w:spacing w:after="20"/>
                    <w:jc w:val="left"/>
                  </w:pPr>
                  <w:r w:rsidRPr="00283455">
                    <w:t>Non</w:t>
                  </w:r>
                  <w:r>
                    <w:noBreakHyphen/>
                  </w:r>
                  <w:r w:rsidRPr="00283455">
                    <w:t>metallic mineral products</w:t>
                  </w:r>
                </w:p>
              </w:tc>
              <w:tc>
                <w:tcPr>
                  <w:tcW w:w="831" w:type="pct"/>
                </w:tcPr>
                <w:p w:rsidR="00745FEA" w:rsidRPr="00600278" w:rsidRDefault="00745FEA" w:rsidP="00745FEA">
                  <w:pPr>
                    <w:pStyle w:val="TableBodyText"/>
                    <w:spacing w:after="20"/>
                  </w:pPr>
                  <w:r w:rsidRPr="00182AB0">
                    <w:t>19.0</w:t>
                  </w:r>
                </w:p>
              </w:tc>
              <w:tc>
                <w:tcPr>
                  <w:tcW w:w="831" w:type="pct"/>
                </w:tcPr>
                <w:p w:rsidR="00745FEA" w:rsidRPr="00600278" w:rsidRDefault="00745FEA" w:rsidP="00745FEA">
                  <w:pPr>
                    <w:pStyle w:val="TableBodyText"/>
                    <w:spacing w:after="20"/>
                  </w:pPr>
                  <w:r w:rsidRPr="00182AB0">
                    <w:t>7.4</w:t>
                  </w:r>
                </w:p>
              </w:tc>
              <w:tc>
                <w:tcPr>
                  <w:tcW w:w="820" w:type="pct"/>
                </w:tcPr>
                <w:p w:rsidR="00745FEA" w:rsidRPr="008F6CA7" w:rsidRDefault="00745FEA" w:rsidP="00745FEA">
                  <w:pPr>
                    <w:pStyle w:val="TableBodyText"/>
                    <w:spacing w:after="20"/>
                    <w:ind w:right="28"/>
                  </w:pPr>
                  <w:r w:rsidRPr="00182AB0">
                    <w:t>26.5</w:t>
                  </w:r>
                </w:p>
              </w:tc>
            </w:tr>
            <w:tr w:rsidR="00745FEA" w:rsidTr="00745FEA">
              <w:tc>
                <w:tcPr>
                  <w:tcW w:w="2518" w:type="pct"/>
                  <w:vAlign w:val="center"/>
                </w:tcPr>
                <w:p w:rsidR="00745FEA" w:rsidRPr="00283455" w:rsidRDefault="00745FEA" w:rsidP="00745FEA">
                  <w:pPr>
                    <w:pStyle w:val="TableBodyText"/>
                    <w:spacing w:after="20"/>
                    <w:jc w:val="left"/>
                  </w:pPr>
                  <w:r w:rsidRPr="00283455">
                    <w:t>Metal and fabricated metal products</w:t>
                  </w:r>
                </w:p>
              </w:tc>
              <w:tc>
                <w:tcPr>
                  <w:tcW w:w="831" w:type="pct"/>
                </w:tcPr>
                <w:p w:rsidR="00745FEA" w:rsidRPr="00600278" w:rsidRDefault="00745FEA" w:rsidP="00745FEA">
                  <w:pPr>
                    <w:pStyle w:val="TableBodyText"/>
                    <w:spacing w:after="20"/>
                  </w:pPr>
                  <w:r w:rsidRPr="00182AB0">
                    <w:t>125.2</w:t>
                  </w:r>
                </w:p>
              </w:tc>
              <w:tc>
                <w:tcPr>
                  <w:tcW w:w="831" w:type="pct"/>
                </w:tcPr>
                <w:p w:rsidR="00745FEA" w:rsidRPr="00600278" w:rsidRDefault="00745FEA" w:rsidP="00745FEA">
                  <w:pPr>
                    <w:pStyle w:val="TableBodyText"/>
                    <w:spacing w:after="20"/>
                  </w:pPr>
                  <w:r w:rsidRPr="00182AB0">
                    <w:t>138.6</w:t>
                  </w:r>
                </w:p>
              </w:tc>
              <w:tc>
                <w:tcPr>
                  <w:tcW w:w="820" w:type="pct"/>
                </w:tcPr>
                <w:p w:rsidR="00745FEA" w:rsidRPr="008F6CA7" w:rsidRDefault="00745FEA" w:rsidP="00745FEA">
                  <w:pPr>
                    <w:pStyle w:val="TableBodyText"/>
                    <w:spacing w:after="20"/>
                    <w:ind w:right="28"/>
                  </w:pPr>
                  <w:r w:rsidRPr="00182AB0">
                    <w:t>263.8</w:t>
                  </w:r>
                </w:p>
              </w:tc>
            </w:tr>
            <w:tr w:rsidR="00745FEA" w:rsidTr="00745FEA">
              <w:tc>
                <w:tcPr>
                  <w:tcW w:w="2518" w:type="pct"/>
                  <w:vAlign w:val="center"/>
                </w:tcPr>
                <w:p w:rsidR="00745FEA" w:rsidRPr="00283455" w:rsidRDefault="00745FEA" w:rsidP="00745FEA">
                  <w:pPr>
                    <w:pStyle w:val="TableBodyText"/>
                    <w:spacing w:after="20"/>
                    <w:jc w:val="left"/>
                  </w:pPr>
                  <w:r w:rsidRPr="00283455">
                    <w:t>Motor vehicle and parts</w:t>
                  </w:r>
                </w:p>
              </w:tc>
              <w:tc>
                <w:tcPr>
                  <w:tcW w:w="831" w:type="pct"/>
                </w:tcPr>
                <w:p w:rsidR="00745FEA" w:rsidRPr="00600278" w:rsidRDefault="00745FEA" w:rsidP="00745FEA">
                  <w:pPr>
                    <w:pStyle w:val="TableBodyText"/>
                    <w:spacing w:after="20"/>
                  </w:pPr>
                  <w:r w:rsidRPr="00182AB0">
                    <w:t>207.1</w:t>
                  </w:r>
                </w:p>
              </w:tc>
              <w:tc>
                <w:tcPr>
                  <w:tcW w:w="831" w:type="pct"/>
                </w:tcPr>
                <w:p w:rsidR="00745FEA" w:rsidRPr="00600278" w:rsidRDefault="00745FEA" w:rsidP="00745FEA">
                  <w:pPr>
                    <w:pStyle w:val="TableBodyText"/>
                    <w:spacing w:after="20"/>
                  </w:pPr>
                  <w:r w:rsidRPr="00182AB0">
                    <w:t>36.3</w:t>
                  </w:r>
                </w:p>
              </w:tc>
              <w:tc>
                <w:tcPr>
                  <w:tcW w:w="820" w:type="pct"/>
                </w:tcPr>
                <w:p w:rsidR="00745FEA" w:rsidRPr="008F6CA7" w:rsidRDefault="00745FEA" w:rsidP="00745FEA">
                  <w:pPr>
                    <w:pStyle w:val="TableBodyText"/>
                    <w:spacing w:after="20"/>
                    <w:ind w:right="28"/>
                  </w:pPr>
                  <w:r w:rsidRPr="00182AB0">
                    <w:t>243.4</w:t>
                  </w:r>
                </w:p>
              </w:tc>
            </w:tr>
            <w:tr w:rsidR="00745FEA" w:rsidTr="00745FEA">
              <w:tc>
                <w:tcPr>
                  <w:tcW w:w="2518" w:type="pct"/>
                  <w:vAlign w:val="center"/>
                </w:tcPr>
                <w:p w:rsidR="00745FEA" w:rsidRPr="00283455" w:rsidRDefault="00745FEA" w:rsidP="00745FEA">
                  <w:pPr>
                    <w:pStyle w:val="TableBodyText"/>
                    <w:spacing w:after="20"/>
                    <w:jc w:val="left"/>
                  </w:pPr>
                  <w:r w:rsidRPr="00283455">
                    <w:t>Other transport equipment</w:t>
                  </w:r>
                </w:p>
              </w:tc>
              <w:tc>
                <w:tcPr>
                  <w:tcW w:w="831" w:type="pct"/>
                </w:tcPr>
                <w:p w:rsidR="00745FEA" w:rsidRPr="00600278" w:rsidRDefault="00745FEA" w:rsidP="00745FEA">
                  <w:pPr>
                    <w:pStyle w:val="TableBodyText"/>
                    <w:spacing w:after="20"/>
                  </w:pPr>
                  <w:r w:rsidRPr="00182AB0">
                    <w:t>26.5</w:t>
                  </w:r>
                </w:p>
              </w:tc>
              <w:tc>
                <w:tcPr>
                  <w:tcW w:w="831" w:type="pct"/>
                </w:tcPr>
                <w:p w:rsidR="00745FEA" w:rsidRPr="00600278" w:rsidRDefault="00745FEA" w:rsidP="00745FEA">
                  <w:pPr>
                    <w:pStyle w:val="TableBodyText"/>
                    <w:spacing w:after="20"/>
                  </w:pPr>
                  <w:r w:rsidRPr="00182AB0">
                    <w:t>9.7</w:t>
                  </w:r>
                </w:p>
              </w:tc>
              <w:tc>
                <w:tcPr>
                  <w:tcW w:w="820" w:type="pct"/>
                </w:tcPr>
                <w:p w:rsidR="00745FEA" w:rsidRPr="008F6CA7" w:rsidRDefault="00745FEA" w:rsidP="00745FEA">
                  <w:pPr>
                    <w:pStyle w:val="TableBodyText"/>
                    <w:spacing w:after="20"/>
                    <w:ind w:right="28"/>
                  </w:pPr>
                  <w:r w:rsidRPr="00182AB0">
                    <w:t>36.2</w:t>
                  </w:r>
                </w:p>
              </w:tc>
            </w:tr>
            <w:tr w:rsidR="00745FEA" w:rsidTr="00745FEA">
              <w:tc>
                <w:tcPr>
                  <w:tcW w:w="2518" w:type="pct"/>
                  <w:vAlign w:val="center"/>
                </w:tcPr>
                <w:p w:rsidR="00745FEA" w:rsidRPr="00283455" w:rsidRDefault="00745FEA" w:rsidP="00745FEA">
                  <w:pPr>
                    <w:pStyle w:val="TableBodyText"/>
                    <w:spacing w:after="20"/>
                    <w:jc w:val="left"/>
                  </w:pPr>
                  <w:r w:rsidRPr="00283455">
                    <w:t>Machinery and equipment</w:t>
                  </w:r>
                </w:p>
              </w:tc>
              <w:tc>
                <w:tcPr>
                  <w:tcW w:w="831" w:type="pct"/>
                </w:tcPr>
                <w:p w:rsidR="00745FEA" w:rsidRPr="00600278" w:rsidRDefault="00745FEA" w:rsidP="00745FEA">
                  <w:pPr>
                    <w:pStyle w:val="TableBodyText"/>
                    <w:spacing w:after="20"/>
                  </w:pPr>
                  <w:r w:rsidRPr="00182AB0">
                    <w:t>223.6</w:t>
                  </w:r>
                </w:p>
              </w:tc>
              <w:tc>
                <w:tcPr>
                  <w:tcW w:w="831" w:type="pct"/>
                </w:tcPr>
                <w:p w:rsidR="00745FEA" w:rsidRPr="00600278" w:rsidRDefault="00745FEA" w:rsidP="00745FEA">
                  <w:pPr>
                    <w:pStyle w:val="TableBodyText"/>
                    <w:spacing w:after="20"/>
                  </w:pPr>
                  <w:r w:rsidRPr="00182AB0">
                    <w:t>51.8</w:t>
                  </w:r>
                </w:p>
              </w:tc>
              <w:tc>
                <w:tcPr>
                  <w:tcW w:w="820" w:type="pct"/>
                </w:tcPr>
                <w:p w:rsidR="00745FEA" w:rsidRPr="008F6CA7" w:rsidRDefault="00745FEA" w:rsidP="00745FEA">
                  <w:pPr>
                    <w:pStyle w:val="TableBodyText"/>
                    <w:spacing w:after="20"/>
                    <w:ind w:right="28"/>
                  </w:pPr>
                  <w:r w:rsidRPr="00182AB0">
                    <w:t>275.3</w:t>
                  </w:r>
                </w:p>
              </w:tc>
            </w:tr>
            <w:tr w:rsidR="00745FEA" w:rsidTr="00745FEA">
              <w:tc>
                <w:tcPr>
                  <w:tcW w:w="2518" w:type="pct"/>
                  <w:vAlign w:val="center"/>
                </w:tcPr>
                <w:p w:rsidR="00745FEA" w:rsidRPr="00283455" w:rsidRDefault="00745FEA" w:rsidP="00745FEA">
                  <w:pPr>
                    <w:pStyle w:val="TableBodyText"/>
                    <w:spacing w:after="20"/>
                    <w:jc w:val="left"/>
                  </w:pPr>
                  <w:r w:rsidRPr="00283455">
                    <w:t>Furniture and other products</w:t>
                  </w:r>
                </w:p>
              </w:tc>
              <w:tc>
                <w:tcPr>
                  <w:tcW w:w="831" w:type="pct"/>
                </w:tcPr>
                <w:p w:rsidR="00745FEA" w:rsidRPr="00600278" w:rsidRDefault="00745FEA" w:rsidP="00745FEA">
                  <w:pPr>
                    <w:pStyle w:val="TableBodyText"/>
                    <w:spacing w:after="20"/>
                  </w:pPr>
                  <w:r w:rsidRPr="00182AB0">
                    <w:t>25.4</w:t>
                  </w:r>
                </w:p>
              </w:tc>
              <w:tc>
                <w:tcPr>
                  <w:tcW w:w="831" w:type="pct"/>
                </w:tcPr>
                <w:p w:rsidR="00745FEA" w:rsidRPr="00600278" w:rsidRDefault="00745FEA" w:rsidP="00745FEA">
                  <w:pPr>
                    <w:pStyle w:val="TableBodyText"/>
                    <w:spacing w:after="20"/>
                  </w:pPr>
                  <w:r w:rsidRPr="00182AB0">
                    <w:t>6.4</w:t>
                  </w:r>
                </w:p>
              </w:tc>
              <w:tc>
                <w:tcPr>
                  <w:tcW w:w="820" w:type="pct"/>
                </w:tcPr>
                <w:p w:rsidR="00745FEA" w:rsidRPr="008F6CA7" w:rsidRDefault="00745FEA" w:rsidP="00745FEA">
                  <w:pPr>
                    <w:pStyle w:val="TableBodyText"/>
                    <w:spacing w:after="20"/>
                    <w:ind w:right="28"/>
                  </w:pPr>
                  <w:r w:rsidRPr="00182AB0">
                    <w:t>31.9</w:t>
                  </w:r>
                </w:p>
              </w:tc>
            </w:tr>
            <w:tr w:rsidR="00745FEA" w:rsidTr="00745FEA">
              <w:tc>
                <w:tcPr>
                  <w:tcW w:w="2518" w:type="pct"/>
                  <w:vAlign w:val="center"/>
                </w:tcPr>
                <w:p w:rsidR="00745FEA" w:rsidRPr="00283455" w:rsidRDefault="00745FEA" w:rsidP="00745FEA">
                  <w:pPr>
                    <w:pStyle w:val="TableBodyText"/>
                    <w:spacing w:after="20"/>
                    <w:jc w:val="left"/>
                  </w:pPr>
                  <w:r w:rsidRPr="00283455">
                    <w:t>Unallocated manufacturing</w:t>
                  </w:r>
                </w:p>
              </w:tc>
              <w:tc>
                <w:tcPr>
                  <w:tcW w:w="831" w:type="pct"/>
                </w:tcPr>
                <w:p w:rsidR="00745FEA" w:rsidRPr="00600278" w:rsidRDefault="00745FEA" w:rsidP="00745FEA">
                  <w:pPr>
                    <w:pStyle w:val="TableBodyText"/>
                    <w:spacing w:after="20"/>
                  </w:pPr>
                  <w:r w:rsidRPr="00182AB0">
                    <w:t>170.4</w:t>
                  </w:r>
                </w:p>
              </w:tc>
              <w:tc>
                <w:tcPr>
                  <w:tcW w:w="831" w:type="pct"/>
                </w:tcPr>
                <w:p w:rsidR="00745FEA" w:rsidRPr="00600278" w:rsidRDefault="00745FEA" w:rsidP="00745FEA">
                  <w:pPr>
                    <w:pStyle w:val="TableBodyText"/>
                    <w:spacing w:after="20"/>
                  </w:pPr>
                  <w:r w:rsidRPr="00182AB0">
                    <w:t>167.4</w:t>
                  </w:r>
                </w:p>
              </w:tc>
              <w:tc>
                <w:tcPr>
                  <w:tcW w:w="820" w:type="pct"/>
                </w:tcPr>
                <w:p w:rsidR="00745FEA" w:rsidRPr="008F6CA7" w:rsidRDefault="00745FEA" w:rsidP="00745FEA">
                  <w:pPr>
                    <w:pStyle w:val="TableBodyText"/>
                    <w:spacing w:after="20"/>
                    <w:ind w:right="28"/>
                  </w:pPr>
                  <w:r w:rsidRPr="00182AB0">
                    <w:t>337.8</w:t>
                  </w:r>
                </w:p>
              </w:tc>
            </w:tr>
            <w:tr w:rsidR="00745FEA" w:rsidRPr="004D0F4B" w:rsidTr="00745FEA">
              <w:tc>
                <w:tcPr>
                  <w:tcW w:w="2518" w:type="pct"/>
                  <w:vAlign w:val="center"/>
                </w:tcPr>
                <w:p w:rsidR="00745FEA" w:rsidRPr="004D0F4B" w:rsidRDefault="00745FEA" w:rsidP="00745FEA">
                  <w:pPr>
                    <w:pStyle w:val="TableBodyText"/>
                    <w:jc w:val="left"/>
                    <w:rPr>
                      <w:b/>
                    </w:rPr>
                  </w:pPr>
                  <w:r w:rsidRPr="004D0F4B">
                    <w:rPr>
                      <w:b/>
                    </w:rPr>
                    <w:t>Services</w:t>
                  </w:r>
                </w:p>
              </w:tc>
              <w:tc>
                <w:tcPr>
                  <w:tcW w:w="831" w:type="pct"/>
                </w:tcPr>
                <w:p w:rsidR="00745FEA" w:rsidRPr="000E1A66" w:rsidRDefault="00745FEA" w:rsidP="00745FEA">
                  <w:pPr>
                    <w:pStyle w:val="TableBodyText"/>
                    <w:rPr>
                      <w:b/>
                    </w:rPr>
                  </w:pPr>
                  <w:r w:rsidRPr="000E1A66">
                    <w:rPr>
                      <w:b/>
                    </w:rPr>
                    <w:t>2634.1</w:t>
                  </w:r>
                </w:p>
              </w:tc>
              <w:tc>
                <w:tcPr>
                  <w:tcW w:w="831" w:type="pct"/>
                </w:tcPr>
                <w:p w:rsidR="00745FEA" w:rsidRPr="000E1A66" w:rsidRDefault="00745FEA" w:rsidP="00745FEA">
                  <w:pPr>
                    <w:pStyle w:val="TableBodyText"/>
                    <w:rPr>
                      <w:b/>
                    </w:rPr>
                  </w:pPr>
                  <w:r w:rsidRPr="000E1A66">
                    <w:rPr>
                      <w:b/>
                    </w:rPr>
                    <w:t>2843.9</w:t>
                  </w:r>
                </w:p>
              </w:tc>
              <w:tc>
                <w:tcPr>
                  <w:tcW w:w="820" w:type="pct"/>
                </w:tcPr>
                <w:p w:rsidR="00745FEA" w:rsidRPr="000E1A66" w:rsidRDefault="00745FEA" w:rsidP="00745FEA">
                  <w:pPr>
                    <w:pStyle w:val="TableBodyText"/>
                    <w:ind w:right="28"/>
                    <w:rPr>
                      <w:b/>
                    </w:rPr>
                  </w:pPr>
                  <w:r w:rsidRPr="000E1A66">
                    <w:rPr>
                      <w:b/>
                    </w:rPr>
                    <w:t>5478.0</w:t>
                  </w:r>
                </w:p>
              </w:tc>
            </w:tr>
            <w:tr w:rsidR="00745FEA" w:rsidTr="00745FEA">
              <w:tc>
                <w:tcPr>
                  <w:tcW w:w="2518" w:type="pct"/>
                  <w:vAlign w:val="center"/>
                </w:tcPr>
                <w:p w:rsidR="00745FEA" w:rsidRPr="00283455" w:rsidRDefault="00745FEA" w:rsidP="00745FEA">
                  <w:pPr>
                    <w:pStyle w:val="TableBodyText"/>
                    <w:spacing w:after="20"/>
                    <w:jc w:val="left"/>
                  </w:pPr>
                  <w:r w:rsidRPr="00283455">
                    <w:t>Electricity, gas, water and waste services</w:t>
                  </w:r>
                </w:p>
              </w:tc>
              <w:tc>
                <w:tcPr>
                  <w:tcW w:w="831" w:type="pct"/>
                </w:tcPr>
                <w:p w:rsidR="00745FEA" w:rsidRPr="00600278" w:rsidRDefault="00745FEA" w:rsidP="00745FEA">
                  <w:pPr>
                    <w:pStyle w:val="TableBodyText"/>
                    <w:spacing w:after="20"/>
                  </w:pPr>
                  <w:r w:rsidRPr="00182AB0">
                    <w:t>120.5</w:t>
                  </w:r>
                </w:p>
              </w:tc>
              <w:tc>
                <w:tcPr>
                  <w:tcW w:w="831" w:type="pct"/>
                </w:tcPr>
                <w:p w:rsidR="00745FEA" w:rsidRPr="00600278" w:rsidRDefault="00745FEA" w:rsidP="00745FEA">
                  <w:pPr>
                    <w:pStyle w:val="TableBodyText"/>
                    <w:spacing w:after="20"/>
                  </w:pPr>
                  <w:r w:rsidRPr="00182AB0">
                    <w:t>28.8</w:t>
                  </w:r>
                </w:p>
              </w:tc>
              <w:tc>
                <w:tcPr>
                  <w:tcW w:w="820" w:type="pct"/>
                </w:tcPr>
                <w:p w:rsidR="00745FEA" w:rsidRPr="008F6CA7" w:rsidRDefault="00745FEA" w:rsidP="00745FEA">
                  <w:pPr>
                    <w:pStyle w:val="TableBodyText"/>
                    <w:spacing w:after="20"/>
                    <w:ind w:right="28"/>
                  </w:pPr>
                  <w:r w:rsidRPr="00182AB0">
                    <w:t>149.3</w:t>
                  </w:r>
                </w:p>
              </w:tc>
            </w:tr>
            <w:tr w:rsidR="00745FEA" w:rsidTr="00745FEA">
              <w:tc>
                <w:tcPr>
                  <w:tcW w:w="2518" w:type="pct"/>
                  <w:vAlign w:val="center"/>
                </w:tcPr>
                <w:p w:rsidR="00745FEA" w:rsidRPr="00283455" w:rsidRDefault="00745FEA" w:rsidP="00745FEA">
                  <w:pPr>
                    <w:pStyle w:val="TableBodyText"/>
                    <w:spacing w:after="20"/>
                    <w:jc w:val="left"/>
                  </w:pPr>
                  <w:r w:rsidRPr="00283455">
                    <w:t>Construction</w:t>
                  </w:r>
                </w:p>
              </w:tc>
              <w:tc>
                <w:tcPr>
                  <w:tcW w:w="831" w:type="pct"/>
                </w:tcPr>
                <w:p w:rsidR="00745FEA" w:rsidRPr="00600278" w:rsidRDefault="00745FEA" w:rsidP="00745FEA">
                  <w:pPr>
                    <w:pStyle w:val="TableBodyText"/>
                    <w:spacing w:after="20"/>
                  </w:pPr>
                  <w:r w:rsidRPr="00182AB0">
                    <w:t>81.6</w:t>
                  </w:r>
                </w:p>
              </w:tc>
              <w:tc>
                <w:tcPr>
                  <w:tcW w:w="831" w:type="pct"/>
                </w:tcPr>
                <w:p w:rsidR="00745FEA" w:rsidRPr="00600278" w:rsidRDefault="00745FEA" w:rsidP="00745FEA">
                  <w:pPr>
                    <w:pStyle w:val="TableBodyText"/>
                    <w:spacing w:after="20"/>
                  </w:pPr>
                  <w:r w:rsidRPr="00182AB0">
                    <w:t>247.4</w:t>
                  </w:r>
                </w:p>
              </w:tc>
              <w:tc>
                <w:tcPr>
                  <w:tcW w:w="820" w:type="pct"/>
                </w:tcPr>
                <w:p w:rsidR="00745FEA" w:rsidRPr="008F6CA7" w:rsidRDefault="00745FEA" w:rsidP="00745FEA">
                  <w:pPr>
                    <w:pStyle w:val="TableBodyText"/>
                    <w:spacing w:after="20"/>
                    <w:ind w:right="28"/>
                  </w:pPr>
                  <w:r w:rsidRPr="00182AB0">
                    <w:t>329.0</w:t>
                  </w:r>
                </w:p>
              </w:tc>
            </w:tr>
            <w:tr w:rsidR="00745FEA" w:rsidTr="00745FEA">
              <w:tc>
                <w:tcPr>
                  <w:tcW w:w="2518" w:type="pct"/>
                  <w:vAlign w:val="center"/>
                </w:tcPr>
                <w:p w:rsidR="00745FEA" w:rsidRPr="00283455" w:rsidRDefault="00745FEA" w:rsidP="00745FEA">
                  <w:pPr>
                    <w:pStyle w:val="TableBodyText"/>
                    <w:spacing w:after="20"/>
                    <w:jc w:val="left"/>
                  </w:pPr>
                  <w:r w:rsidRPr="00283455">
                    <w:t>Wholesale trade</w:t>
                  </w:r>
                </w:p>
              </w:tc>
              <w:tc>
                <w:tcPr>
                  <w:tcW w:w="831" w:type="pct"/>
                </w:tcPr>
                <w:p w:rsidR="00745FEA" w:rsidRPr="00600278" w:rsidRDefault="00745FEA" w:rsidP="00745FEA">
                  <w:pPr>
                    <w:pStyle w:val="TableBodyText"/>
                    <w:spacing w:after="20"/>
                  </w:pPr>
                  <w:r w:rsidRPr="00182AB0">
                    <w:t>103.2</w:t>
                  </w:r>
                </w:p>
              </w:tc>
              <w:tc>
                <w:tcPr>
                  <w:tcW w:w="831" w:type="pct"/>
                </w:tcPr>
                <w:p w:rsidR="00745FEA" w:rsidRPr="00600278" w:rsidRDefault="00745FEA" w:rsidP="00745FEA">
                  <w:pPr>
                    <w:pStyle w:val="TableBodyText"/>
                    <w:spacing w:after="20"/>
                  </w:pPr>
                  <w:r w:rsidRPr="00182AB0">
                    <w:t>115.1</w:t>
                  </w:r>
                </w:p>
              </w:tc>
              <w:tc>
                <w:tcPr>
                  <w:tcW w:w="820" w:type="pct"/>
                </w:tcPr>
                <w:p w:rsidR="00745FEA" w:rsidRPr="008F6CA7" w:rsidRDefault="00745FEA" w:rsidP="00745FEA">
                  <w:pPr>
                    <w:pStyle w:val="TableBodyText"/>
                    <w:spacing w:after="20"/>
                    <w:ind w:right="28"/>
                  </w:pPr>
                  <w:r w:rsidRPr="00182AB0">
                    <w:t>218.2</w:t>
                  </w:r>
                </w:p>
              </w:tc>
            </w:tr>
            <w:tr w:rsidR="00745FEA" w:rsidTr="00745FEA">
              <w:tc>
                <w:tcPr>
                  <w:tcW w:w="2518" w:type="pct"/>
                  <w:vAlign w:val="center"/>
                </w:tcPr>
                <w:p w:rsidR="00745FEA" w:rsidRPr="00283455" w:rsidRDefault="00745FEA" w:rsidP="00745FEA">
                  <w:pPr>
                    <w:pStyle w:val="TableBodyText"/>
                    <w:spacing w:after="20"/>
                    <w:jc w:val="left"/>
                  </w:pPr>
                  <w:r w:rsidRPr="00283455">
                    <w:t>Retail trade</w:t>
                  </w:r>
                </w:p>
              </w:tc>
              <w:tc>
                <w:tcPr>
                  <w:tcW w:w="831" w:type="pct"/>
                </w:tcPr>
                <w:p w:rsidR="00745FEA" w:rsidRPr="00600278" w:rsidRDefault="00745FEA" w:rsidP="00745FEA">
                  <w:pPr>
                    <w:pStyle w:val="TableBodyText"/>
                    <w:spacing w:after="20"/>
                  </w:pPr>
                  <w:r w:rsidRPr="00182AB0">
                    <w:t>46.6</w:t>
                  </w:r>
                </w:p>
              </w:tc>
              <w:tc>
                <w:tcPr>
                  <w:tcW w:w="831" w:type="pct"/>
                </w:tcPr>
                <w:p w:rsidR="00745FEA" w:rsidRPr="00600278" w:rsidRDefault="00745FEA" w:rsidP="00745FEA">
                  <w:pPr>
                    <w:pStyle w:val="TableBodyText"/>
                    <w:spacing w:after="20"/>
                  </w:pPr>
                  <w:r w:rsidRPr="00182AB0">
                    <w:t>139.3</w:t>
                  </w:r>
                </w:p>
              </w:tc>
              <w:tc>
                <w:tcPr>
                  <w:tcW w:w="820" w:type="pct"/>
                </w:tcPr>
                <w:p w:rsidR="00745FEA" w:rsidRPr="008F6CA7" w:rsidRDefault="00745FEA" w:rsidP="00745FEA">
                  <w:pPr>
                    <w:pStyle w:val="TableBodyText"/>
                    <w:spacing w:after="20"/>
                    <w:ind w:right="28"/>
                  </w:pPr>
                  <w:r w:rsidRPr="00182AB0">
                    <w:t>186.0</w:t>
                  </w:r>
                </w:p>
              </w:tc>
            </w:tr>
            <w:tr w:rsidR="00745FEA" w:rsidTr="00745FEA">
              <w:tc>
                <w:tcPr>
                  <w:tcW w:w="2518" w:type="pct"/>
                  <w:vAlign w:val="center"/>
                </w:tcPr>
                <w:p w:rsidR="00745FEA" w:rsidRPr="00283455" w:rsidRDefault="00745FEA" w:rsidP="00745FEA">
                  <w:pPr>
                    <w:pStyle w:val="TableBodyText"/>
                    <w:spacing w:after="20"/>
                    <w:jc w:val="left"/>
                  </w:pPr>
                  <w:r w:rsidRPr="00283455">
                    <w:t>Accommodation and food services</w:t>
                  </w:r>
                </w:p>
              </w:tc>
              <w:tc>
                <w:tcPr>
                  <w:tcW w:w="831" w:type="pct"/>
                </w:tcPr>
                <w:p w:rsidR="00745FEA" w:rsidRPr="00600278" w:rsidRDefault="00745FEA" w:rsidP="00745FEA">
                  <w:pPr>
                    <w:pStyle w:val="TableBodyText"/>
                    <w:spacing w:after="20"/>
                  </w:pPr>
                  <w:r w:rsidRPr="00182AB0">
                    <w:t>8.7</w:t>
                  </w:r>
                </w:p>
              </w:tc>
              <w:tc>
                <w:tcPr>
                  <w:tcW w:w="831" w:type="pct"/>
                </w:tcPr>
                <w:p w:rsidR="00745FEA" w:rsidRPr="00600278" w:rsidRDefault="00745FEA" w:rsidP="00745FEA">
                  <w:pPr>
                    <w:pStyle w:val="TableBodyText"/>
                    <w:spacing w:after="20"/>
                  </w:pPr>
                  <w:r w:rsidRPr="00182AB0">
                    <w:t>116.8</w:t>
                  </w:r>
                </w:p>
              </w:tc>
              <w:tc>
                <w:tcPr>
                  <w:tcW w:w="820" w:type="pct"/>
                </w:tcPr>
                <w:p w:rsidR="00745FEA" w:rsidRPr="008F6CA7" w:rsidRDefault="00745FEA" w:rsidP="00745FEA">
                  <w:pPr>
                    <w:pStyle w:val="TableBodyText"/>
                    <w:spacing w:after="20"/>
                    <w:ind w:right="28"/>
                  </w:pPr>
                  <w:r w:rsidRPr="00182AB0">
                    <w:t>125.4</w:t>
                  </w:r>
                </w:p>
              </w:tc>
            </w:tr>
            <w:tr w:rsidR="00745FEA" w:rsidTr="00745FEA">
              <w:tc>
                <w:tcPr>
                  <w:tcW w:w="2518" w:type="pct"/>
                  <w:vAlign w:val="center"/>
                </w:tcPr>
                <w:p w:rsidR="00745FEA" w:rsidRPr="00283455" w:rsidRDefault="00745FEA" w:rsidP="00745FEA">
                  <w:pPr>
                    <w:pStyle w:val="TableBodyText"/>
                    <w:spacing w:after="20"/>
                    <w:jc w:val="left"/>
                  </w:pPr>
                  <w:r w:rsidRPr="00283455">
                    <w:t>Transport, postal and warehousing</w:t>
                  </w:r>
                </w:p>
              </w:tc>
              <w:tc>
                <w:tcPr>
                  <w:tcW w:w="831" w:type="pct"/>
                </w:tcPr>
                <w:p w:rsidR="00745FEA" w:rsidRPr="00600278" w:rsidRDefault="00745FEA" w:rsidP="00745FEA">
                  <w:pPr>
                    <w:pStyle w:val="TableBodyText"/>
                    <w:spacing w:after="20"/>
                  </w:pPr>
                  <w:r w:rsidRPr="00182AB0">
                    <w:t>79.8</w:t>
                  </w:r>
                </w:p>
              </w:tc>
              <w:tc>
                <w:tcPr>
                  <w:tcW w:w="831" w:type="pct"/>
                </w:tcPr>
                <w:p w:rsidR="00745FEA" w:rsidRPr="00600278" w:rsidRDefault="00745FEA" w:rsidP="00745FEA">
                  <w:pPr>
                    <w:pStyle w:val="TableBodyText"/>
                    <w:spacing w:after="20"/>
                  </w:pPr>
                  <w:r w:rsidRPr="00182AB0">
                    <w:t>108.6</w:t>
                  </w:r>
                </w:p>
              </w:tc>
              <w:tc>
                <w:tcPr>
                  <w:tcW w:w="820" w:type="pct"/>
                </w:tcPr>
                <w:p w:rsidR="00745FEA" w:rsidRPr="008F6CA7" w:rsidRDefault="00745FEA" w:rsidP="00745FEA">
                  <w:pPr>
                    <w:pStyle w:val="TableBodyText"/>
                    <w:spacing w:after="20"/>
                    <w:ind w:right="28"/>
                  </w:pPr>
                  <w:r w:rsidRPr="00182AB0">
                    <w:t>188.5</w:t>
                  </w:r>
                </w:p>
              </w:tc>
            </w:tr>
            <w:tr w:rsidR="00745FEA" w:rsidTr="00745FEA">
              <w:tc>
                <w:tcPr>
                  <w:tcW w:w="2518" w:type="pct"/>
                  <w:vAlign w:val="center"/>
                </w:tcPr>
                <w:p w:rsidR="00745FEA" w:rsidRPr="00283455" w:rsidRDefault="00745FEA" w:rsidP="00745FEA">
                  <w:pPr>
                    <w:pStyle w:val="TableBodyText"/>
                    <w:spacing w:after="20"/>
                    <w:jc w:val="left"/>
                  </w:pPr>
                  <w:r w:rsidRPr="00283455">
                    <w:t>Information, media and telecommunications</w:t>
                  </w:r>
                </w:p>
              </w:tc>
              <w:tc>
                <w:tcPr>
                  <w:tcW w:w="831" w:type="pct"/>
                </w:tcPr>
                <w:p w:rsidR="00745FEA" w:rsidRPr="00600278" w:rsidRDefault="00745FEA" w:rsidP="00745FEA">
                  <w:pPr>
                    <w:pStyle w:val="TableBodyText"/>
                    <w:spacing w:after="20"/>
                  </w:pPr>
                  <w:r w:rsidRPr="00182AB0">
                    <w:t>350.9</w:t>
                  </w:r>
                </w:p>
              </w:tc>
              <w:tc>
                <w:tcPr>
                  <w:tcW w:w="831" w:type="pct"/>
                </w:tcPr>
                <w:p w:rsidR="00745FEA" w:rsidRPr="00600278" w:rsidRDefault="00745FEA" w:rsidP="00745FEA">
                  <w:pPr>
                    <w:pStyle w:val="TableBodyText"/>
                    <w:spacing w:after="20"/>
                  </w:pPr>
                  <w:r w:rsidRPr="00182AB0">
                    <w:t>52.9</w:t>
                  </w:r>
                </w:p>
              </w:tc>
              <w:tc>
                <w:tcPr>
                  <w:tcW w:w="820" w:type="pct"/>
                </w:tcPr>
                <w:p w:rsidR="00745FEA" w:rsidRPr="008F6CA7" w:rsidRDefault="00745FEA" w:rsidP="00745FEA">
                  <w:pPr>
                    <w:pStyle w:val="TableBodyText"/>
                    <w:spacing w:after="20"/>
                    <w:ind w:right="28"/>
                  </w:pPr>
                  <w:r w:rsidRPr="00182AB0">
                    <w:t>403.8</w:t>
                  </w:r>
                </w:p>
              </w:tc>
            </w:tr>
            <w:tr w:rsidR="00745FEA" w:rsidTr="00745FEA">
              <w:tc>
                <w:tcPr>
                  <w:tcW w:w="2518" w:type="pct"/>
                  <w:vAlign w:val="center"/>
                </w:tcPr>
                <w:p w:rsidR="00745FEA" w:rsidRPr="00283455" w:rsidRDefault="00745FEA" w:rsidP="00745FEA">
                  <w:pPr>
                    <w:pStyle w:val="TableBodyText"/>
                    <w:spacing w:after="20"/>
                    <w:jc w:val="left"/>
                  </w:pPr>
                  <w:r w:rsidRPr="00283455">
                    <w:t>Financial and insurance services</w:t>
                  </w:r>
                </w:p>
              </w:tc>
              <w:tc>
                <w:tcPr>
                  <w:tcW w:w="831" w:type="pct"/>
                </w:tcPr>
                <w:p w:rsidR="00745FEA" w:rsidRPr="00600278" w:rsidRDefault="00745FEA" w:rsidP="00745FEA">
                  <w:pPr>
                    <w:pStyle w:val="TableBodyText"/>
                    <w:spacing w:after="20"/>
                  </w:pPr>
                  <w:r w:rsidRPr="00182AB0">
                    <w:t>135.4</w:t>
                  </w:r>
                </w:p>
              </w:tc>
              <w:tc>
                <w:tcPr>
                  <w:tcW w:w="831" w:type="pct"/>
                </w:tcPr>
                <w:p w:rsidR="00745FEA" w:rsidRPr="00600278" w:rsidRDefault="00745FEA" w:rsidP="00745FEA">
                  <w:pPr>
                    <w:pStyle w:val="TableBodyText"/>
                    <w:spacing w:after="20"/>
                  </w:pPr>
                  <w:r w:rsidRPr="00182AB0">
                    <w:t>820.0</w:t>
                  </w:r>
                </w:p>
              </w:tc>
              <w:tc>
                <w:tcPr>
                  <w:tcW w:w="820" w:type="pct"/>
                </w:tcPr>
                <w:p w:rsidR="00745FEA" w:rsidRPr="008F6CA7" w:rsidRDefault="00745FEA" w:rsidP="00745FEA">
                  <w:pPr>
                    <w:pStyle w:val="TableBodyText"/>
                    <w:spacing w:after="20"/>
                    <w:ind w:right="28"/>
                  </w:pPr>
                  <w:r w:rsidRPr="00182AB0">
                    <w:t>955.3</w:t>
                  </w:r>
                </w:p>
              </w:tc>
            </w:tr>
            <w:tr w:rsidR="00745FEA" w:rsidTr="00745FEA">
              <w:tc>
                <w:tcPr>
                  <w:tcW w:w="2518" w:type="pct"/>
                  <w:vAlign w:val="center"/>
                </w:tcPr>
                <w:p w:rsidR="00745FEA" w:rsidRPr="00283455" w:rsidRDefault="00745FEA" w:rsidP="00745FEA">
                  <w:pPr>
                    <w:pStyle w:val="TableBodyText"/>
                    <w:spacing w:after="20"/>
                    <w:jc w:val="left"/>
                  </w:pPr>
                  <w:r w:rsidRPr="00283455">
                    <w:t xml:space="preserve">Property, professional and administrative services </w:t>
                  </w:r>
                </w:p>
              </w:tc>
              <w:tc>
                <w:tcPr>
                  <w:tcW w:w="831" w:type="pct"/>
                </w:tcPr>
                <w:p w:rsidR="00745FEA" w:rsidRPr="00600278" w:rsidRDefault="00745FEA" w:rsidP="00745FEA">
                  <w:pPr>
                    <w:pStyle w:val="TableBodyText"/>
                    <w:spacing w:after="20"/>
                  </w:pPr>
                  <w:r w:rsidRPr="00182AB0">
                    <w:t>1234.4</w:t>
                  </w:r>
                </w:p>
              </w:tc>
              <w:tc>
                <w:tcPr>
                  <w:tcW w:w="831" w:type="pct"/>
                </w:tcPr>
                <w:p w:rsidR="00745FEA" w:rsidRPr="00600278" w:rsidRDefault="00745FEA" w:rsidP="00745FEA">
                  <w:pPr>
                    <w:pStyle w:val="TableBodyText"/>
                    <w:spacing w:after="20"/>
                  </w:pPr>
                  <w:r w:rsidRPr="00182AB0">
                    <w:t>613.5</w:t>
                  </w:r>
                </w:p>
              </w:tc>
              <w:tc>
                <w:tcPr>
                  <w:tcW w:w="820" w:type="pct"/>
                </w:tcPr>
                <w:p w:rsidR="00745FEA" w:rsidRPr="008F6CA7" w:rsidRDefault="00745FEA" w:rsidP="00745FEA">
                  <w:pPr>
                    <w:pStyle w:val="TableBodyText"/>
                    <w:spacing w:after="20"/>
                    <w:ind w:right="28"/>
                  </w:pPr>
                  <w:r w:rsidRPr="00182AB0">
                    <w:t>1847.9</w:t>
                  </w:r>
                </w:p>
              </w:tc>
            </w:tr>
            <w:tr w:rsidR="00745FEA" w:rsidTr="00745FEA">
              <w:tc>
                <w:tcPr>
                  <w:tcW w:w="2518" w:type="pct"/>
                  <w:vAlign w:val="center"/>
                </w:tcPr>
                <w:p w:rsidR="00745FEA" w:rsidRPr="00283455" w:rsidRDefault="00745FEA" w:rsidP="00745FEA">
                  <w:pPr>
                    <w:pStyle w:val="TableBodyText"/>
                    <w:spacing w:after="20"/>
                    <w:jc w:val="left"/>
                  </w:pPr>
                  <w:r w:rsidRPr="00283455">
                    <w:t>Public administration and safety</w:t>
                  </w:r>
                </w:p>
              </w:tc>
              <w:tc>
                <w:tcPr>
                  <w:tcW w:w="831" w:type="pct"/>
                </w:tcPr>
                <w:p w:rsidR="00745FEA" w:rsidRPr="00600278" w:rsidRDefault="00745FEA" w:rsidP="00745FEA">
                  <w:pPr>
                    <w:pStyle w:val="TableBodyText"/>
                    <w:spacing w:after="20"/>
                  </w:pPr>
                  <w:r w:rsidRPr="00182AB0">
                    <w:t>21.6</w:t>
                  </w:r>
                </w:p>
              </w:tc>
              <w:tc>
                <w:tcPr>
                  <w:tcW w:w="831" w:type="pct"/>
                </w:tcPr>
                <w:p w:rsidR="00745FEA" w:rsidRPr="00600278" w:rsidRDefault="00745FEA" w:rsidP="00745FEA">
                  <w:pPr>
                    <w:pStyle w:val="TableBodyText"/>
                    <w:spacing w:after="20"/>
                  </w:pPr>
                  <w:r w:rsidRPr="00182AB0">
                    <w:t>7.9</w:t>
                  </w:r>
                </w:p>
              </w:tc>
              <w:tc>
                <w:tcPr>
                  <w:tcW w:w="820" w:type="pct"/>
                </w:tcPr>
                <w:p w:rsidR="00745FEA" w:rsidRPr="008F6CA7" w:rsidRDefault="00745FEA" w:rsidP="00745FEA">
                  <w:pPr>
                    <w:pStyle w:val="TableBodyText"/>
                    <w:spacing w:after="20"/>
                    <w:ind w:right="28"/>
                  </w:pPr>
                  <w:r w:rsidRPr="00182AB0">
                    <w:t>29.5</w:t>
                  </w:r>
                </w:p>
              </w:tc>
            </w:tr>
            <w:tr w:rsidR="00745FEA" w:rsidTr="00745FEA">
              <w:tc>
                <w:tcPr>
                  <w:tcW w:w="2518" w:type="pct"/>
                  <w:vAlign w:val="center"/>
                </w:tcPr>
                <w:p w:rsidR="00745FEA" w:rsidRPr="00283455" w:rsidRDefault="00745FEA" w:rsidP="00745FEA">
                  <w:pPr>
                    <w:pStyle w:val="TableBodyText"/>
                    <w:spacing w:after="20"/>
                    <w:jc w:val="left"/>
                  </w:pPr>
                  <w:r w:rsidRPr="00283455">
                    <w:t>Education and training</w:t>
                  </w:r>
                </w:p>
              </w:tc>
              <w:tc>
                <w:tcPr>
                  <w:tcW w:w="831" w:type="pct"/>
                </w:tcPr>
                <w:p w:rsidR="00745FEA" w:rsidRPr="00600278" w:rsidRDefault="00745FEA" w:rsidP="00745FEA">
                  <w:pPr>
                    <w:pStyle w:val="TableBodyText"/>
                    <w:spacing w:after="20"/>
                  </w:pPr>
                  <w:r w:rsidRPr="00182AB0">
                    <w:t>26.8</w:t>
                  </w:r>
                </w:p>
              </w:tc>
              <w:tc>
                <w:tcPr>
                  <w:tcW w:w="831" w:type="pct"/>
                </w:tcPr>
                <w:p w:rsidR="00745FEA" w:rsidRPr="00600278" w:rsidRDefault="00745FEA" w:rsidP="00745FEA">
                  <w:pPr>
                    <w:pStyle w:val="TableBodyText"/>
                    <w:spacing w:after="20"/>
                  </w:pPr>
                  <w:r w:rsidRPr="00182AB0">
                    <w:t>19.9</w:t>
                  </w:r>
                </w:p>
              </w:tc>
              <w:tc>
                <w:tcPr>
                  <w:tcW w:w="820" w:type="pct"/>
                </w:tcPr>
                <w:p w:rsidR="00745FEA" w:rsidRPr="008F6CA7" w:rsidRDefault="00745FEA" w:rsidP="00745FEA">
                  <w:pPr>
                    <w:pStyle w:val="TableBodyText"/>
                    <w:spacing w:after="20"/>
                    <w:ind w:right="28"/>
                  </w:pPr>
                  <w:r w:rsidRPr="00182AB0">
                    <w:t>46.7</w:t>
                  </w:r>
                </w:p>
              </w:tc>
            </w:tr>
            <w:tr w:rsidR="00745FEA" w:rsidTr="00745FEA">
              <w:tc>
                <w:tcPr>
                  <w:tcW w:w="2518" w:type="pct"/>
                  <w:vAlign w:val="center"/>
                </w:tcPr>
                <w:p w:rsidR="00745FEA" w:rsidRPr="00283455" w:rsidRDefault="00745FEA" w:rsidP="00745FEA">
                  <w:pPr>
                    <w:pStyle w:val="TableBodyText"/>
                    <w:spacing w:after="20"/>
                    <w:jc w:val="left"/>
                  </w:pPr>
                  <w:r w:rsidRPr="00283455">
                    <w:t>Health care and social assistance</w:t>
                  </w:r>
                </w:p>
              </w:tc>
              <w:tc>
                <w:tcPr>
                  <w:tcW w:w="831" w:type="pct"/>
                </w:tcPr>
                <w:p w:rsidR="00745FEA" w:rsidRPr="00600278" w:rsidRDefault="00745FEA" w:rsidP="00745FEA">
                  <w:pPr>
                    <w:pStyle w:val="TableBodyText"/>
                    <w:spacing w:after="20"/>
                  </w:pPr>
                  <w:r w:rsidRPr="00182AB0">
                    <w:t>109.6</w:t>
                  </w:r>
                </w:p>
              </w:tc>
              <w:tc>
                <w:tcPr>
                  <w:tcW w:w="831" w:type="pct"/>
                </w:tcPr>
                <w:p w:rsidR="00745FEA" w:rsidRPr="00600278" w:rsidRDefault="00745FEA" w:rsidP="00745FEA">
                  <w:pPr>
                    <w:pStyle w:val="TableBodyText"/>
                    <w:spacing w:after="20"/>
                  </w:pPr>
                  <w:r w:rsidRPr="00182AB0">
                    <w:t>135.3</w:t>
                  </w:r>
                </w:p>
              </w:tc>
              <w:tc>
                <w:tcPr>
                  <w:tcW w:w="820" w:type="pct"/>
                </w:tcPr>
                <w:p w:rsidR="00745FEA" w:rsidRPr="008F6CA7" w:rsidRDefault="00745FEA" w:rsidP="00745FEA">
                  <w:pPr>
                    <w:pStyle w:val="TableBodyText"/>
                    <w:spacing w:after="20"/>
                    <w:ind w:right="28"/>
                  </w:pPr>
                  <w:r w:rsidRPr="00182AB0">
                    <w:t>244.9</w:t>
                  </w:r>
                </w:p>
              </w:tc>
            </w:tr>
            <w:tr w:rsidR="00745FEA" w:rsidTr="00745FEA">
              <w:tc>
                <w:tcPr>
                  <w:tcW w:w="2518" w:type="pct"/>
                  <w:vAlign w:val="center"/>
                </w:tcPr>
                <w:p w:rsidR="00745FEA" w:rsidRPr="00283455" w:rsidRDefault="00745FEA" w:rsidP="00745FEA">
                  <w:pPr>
                    <w:pStyle w:val="TableBodyText"/>
                    <w:spacing w:after="20"/>
                    <w:jc w:val="left"/>
                  </w:pPr>
                  <w:r w:rsidRPr="00283455">
                    <w:t>Arts and recreation services</w:t>
                  </w:r>
                </w:p>
              </w:tc>
              <w:tc>
                <w:tcPr>
                  <w:tcW w:w="831" w:type="pct"/>
                </w:tcPr>
                <w:p w:rsidR="00745FEA" w:rsidRPr="00600278" w:rsidRDefault="00745FEA" w:rsidP="00745FEA">
                  <w:pPr>
                    <w:pStyle w:val="TableBodyText"/>
                    <w:spacing w:after="20"/>
                  </w:pPr>
                  <w:r w:rsidRPr="00182AB0">
                    <w:t>149.7</w:t>
                  </w:r>
                </w:p>
              </w:tc>
              <w:tc>
                <w:tcPr>
                  <w:tcW w:w="831" w:type="pct"/>
                </w:tcPr>
                <w:p w:rsidR="00745FEA" w:rsidRPr="00600278" w:rsidRDefault="00745FEA" w:rsidP="00745FEA">
                  <w:pPr>
                    <w:pStyle w:val="TableBodyText"/>
                    <w:spacing w:after="20"/>
                  </w:pPr>
                  <w:r w:rsidRPr="00182AB0">
                    <w:t>365.7</w:t>
                  </w:r>
                </w:p>
              </w:tc>
              <w:tc>
                <w:tcPr>
                  <w:tcW w:w="820" w:type="pct"/>
                </w:tcPr>
                <w:p w:rsidR="00745FEA" w:rsidRPr="008F6CA7" w:rsidRDefault="00745FEA" w:rsidP="00745FEA">
                  <w:pPr>
                    <w:pStyle w:val="TableBodyText"/>
                    <w:spacing w:after="20"/>
                    <w:ind w:right="28"/>
                  </w:pPr>
                  <w:r w:rsidRPr="00182AB0">
                    <w:t>515.4</w:t>
                  </w:r>
                </w:p>
              </w:tc>
            </w:tr>
            <w:tr w:rsidR="00745FEA" w:rsidTr="00745FEA">
              <w:tc>
                <w:tcPr>
                  <w:tcW w:w="2518" w:type="pct"/>
                  <w:vAlign w:val="center"/>
                </w:tcPr>
                <w:p w:rsidR="00745FEA" w:rsidRPr="00283455" w:rsidRDefault="00745FEA" w:rsidP="00745FEA">
                  <w:pPr>
                    <w:pStyle w:val="TableBodyText"/>
                    <w:spacing w:after="20"/>
                    <w:jc w:val="left"/>
                  </w:pPr>
                  <w:r w:rsidRPr="00283455">
                    <w:t>Other services</w:t>
                  </w:r>
                </w:p>
              </w:tc>
              <w:tc>
                <w:tcPr>
                  <w:tcW w:w="831" w:type="pct"/>
                </w:tcPr>
                <w:p w:rsidR="00745FEA" w:rsidRPr="00600278" w:rsidRDefault="00745FEA" w:rsidP="00745FEA">
                  <w:pPr>
                    <w:pStyle w:val="TableBodyText"/>
                    <w:spacing w:after="20"/>
                  </w:pPr>
                  <w:r w:rsidRPr="00182AB0">
                    <w:t>22.9</w:t>
                  </w:r>
                </w:p>
              </w:tc>
              <w:tc>
                <w:tcPr>
                  <w:tcW w:w="831" w:type="pct"/>
                </w:tcPr>
                <w:p w:rsidR="00745FEA" w:rsidRPr="00600278" w:rsidRDefault="00745FEA" w:rsidP="00745FEA">
                  <w:pPr>
                    <w:pStyle w:val="TableBodyText"/>
                    <w:spacing w:after="20"/>
                  </w:pPr>
                  <w:r w:rsidRPr="00182AB0">
                    <w:t>72.7</w:t>
                  </w:r>
                </w:p>
              </w:tc>
              <w:tc>
                <w:tcPr>
                  <w:tcW w:w="820" w:type="pct"/>
                </w:tcPr>
                <w:p w:rsidR="00745FEA" w:rsidRPr="008F6CA7" w:rsidRDefault="00745FEA" w:rsidP="00745FEA">
                  <w:pPr>
                    <w:pStyle w:val="TableBodyText"/>
                    <w:spacing w:after="20"/>
                    <w:ind w:right="28"/>
                  </w:pPr>
                  <w:r w:rsidRPr="00182AB0">
                    <w:t>95.6</w:t>
                  </w:r>
                </w:p>
              </w:tc>
            </w:tr>
            <w:tr w:rsidR="00745FEA" w:rsidTr="00745FEA">
              <w:tc>
                <w:tcPr>
                  <w:tcW w:w="2518" w:type="pct"/>
                  <w:vAlign w:val="center"/>
                </w:tcPr>
                <w:p w:rsidR="00745FEA" w:rsidRPr="00283455" w:rsidRDefault="00745FEA" w:rsidP="00745FEA">
                  <w:pPr>
                    <w:pStyle w:val="TableBodyText"/>
                    <w:spacing w:after="20"/>
                    <w:jc w:val="left"/>
                  </w:pPr>
                  <w:r w:rsidRPr="00283455">
                    <w:t>Unallocated services</w:t>
                  </w:r>
                </w:p>
              </w:tc>
              <w:tc>
                <w:tcPr>
                  <w:tcW w:w="831" w:type="pct"/>
                </w:tcPr>
                <w:p w:rsidR="00745FEA" w:rsidRPr="00600278" w:rsidRDefault="00745FEA" w:rsidP="00745FEA">
                  <w:pPr>
                    <w:pStyle w:val="TableBodyText"/>
                    <w:spacing w:after="20"/>
                  </w:pPr>
                  <w:r w:rsidRPr="00182AB0">
                    <w:t>142.4</w:t>
                  </w:r>
                </w:p>
              </w:tc>
              <w:tc>
                <w:tcPr>
                  <w:tcW w:w="831" w:type="pct"/>
                </w:tcPr>
                <w:p w:rsidR="00745FEA" w:rsidRPr="00600278" w:rsidRDefault="00745FEA" w:rsidP="00745FEA">
                  <w:pPr>
                    <w:pStyle w:val="TableBodyText"/>
                    <w:spacing w:after="20"/>
                  </w:pPr>
                  <w:r w:rsidRPr="00182AB0">
                    <w:t>0.0</w:t>
                  </w:r>
                </w:p>
              </w:tc>
              <w:tc>
                <w:tcPr>
                  <w:tcW w:w="820" w:type="pct"/>
                </w:tcPr>
                <w:p w:rsidR="00745FEA" w:rsidRPr="008F6CA7" w:rsidRDefault="00745FEA" w:rsidP="00745FEA">
                  <w:pPr>
                    <w:pStyle w:val="TableBodyText"/>
                    <w:spacing w:after="20"/>
                    <w:ind w:right="28"/>
                  </w:pPr>
                  <w:r w:rsidRPr="00182AB0">
                    <w:t>142.4</w:t>
                  </w:r>
                </w:p>
              </w:tc>
            </w:tr>
            <w:tr w:rsidR="00745FEA" w:rsidRPr="00537771" w:rsidTr="00745FEA">
              <w:tc>
                <w:tcPr>
                  <w:tcW w:w="2518" w:type="pct"/>
                  <w:vAlign w:val="center"/>
                </w:tcPr>
                <w:p w:rsidR="00745FEA" w:rsidRPr="00537771" w:rsidRDefault="00745FEA" w:rsidP="00745FEA">
                  <w:pPr>
                    <w:pStyle w:val="TableBodyText"/>
                    <w:jc w:val="left"/>
                    <w:rPr>
                      <w:b/>
                    </w:rPr>
                  </w:pPr>
                  <w:r w:rsidRPr="00537771">
                    <w:rPr>
                      <w:b/>
                    </w:rPr>
                    <w:t>Unallocated other</w:t>
                  </w:r>
                </w:p>
              </w:tc>
              <w:tc>
                <w:tcPr>
                  <w:tcW w:w="831" w:type="pct"/>
                </w:tcPr>
                <w:p w:rsidR="00745FEA" w:rsidRPr="00537771" w:rsidRDefault="00745FEA" w:rsidP="00745FEA">
                  <w:pPr>
                    <w:pStyle w:val="TableBodyText"/>
                    <w:rPr>
                      <w:b/>
                    </w:rPr>
                  </w:pPr>
                  <w:r w:rsidRPr="00537771">
                    <w:rPr>
                      <w:b/>
                    </w:rPr>
                    <w:t>359.1</w:t>
                  </w:r>
                </w:p>
              </w:tc>
              <w:tc>
                <w:tcPr>
                  <w:tcW w:w="831" w:type="pct"/>
                </w:tcPr>
                <w:p w:rsidR="00745FEA" w:rsidRPr="00537771" w:rsidRDefault="00745FEA" w:rsidP="00745FEA">
                  <w:pPr>
                    <w:pStyle w:val="TableBodyText"/>
                    <w:rPr>
                      <w:b/>
                    </w:rPr>
                  </w:pPr>
                  <w:r w:rsidRPr="00537771">
                    <w:rPr>
                      <w:b/>
                    </w:rPr>
                    <w:t>2775.0</w:t>
                  </w:r>
                </w:p>
              </w:tc>
              <w:tc>
                <w:tcPr>
                  <w:tcW w:w="820" w:type="pct"/>
                </w:tcPr>
                <w:p w:rsidR="00745FEA" w:rsidRPr="00537771" w:rsidRDefault="00745FEA" w:rsidP="00745FEA">
                  <w:pPr>
                    <w:pStyle w:val="TableBodyText"/>
                    <w:ind w:right="28"/>
                    <w:rPr>
                      <w:b/>
                    </w:rPr>
                  </w:pPr>
                  <w:r w:rsidRPr="00537771">
                    <w:rPr>
                      <w:b/>
                    </w:rPr>
                    <w:t>3134.1</w:t>
                  </w:r>
                </w:p>
              </w:tc>
            </w:tr>
            <w:tr w:rsidR="00745FEA" w:rsidRPr="00537771" w:rsidTr="00745FEA">
              <w:tc>
                <w:tcPr>
                  <w:tcW w:w="2518" w:type="pct"/>
                  <w:tcBorders>
                    <w:bottom w:val="single" w:sz="6" w:space="0" w:color="BFBFBF"/>
                  </w:tcBorders>
                  <w:shd w:val="clear" w:color="auto" w:fill="auto"/>
                  <w:vAlign w:val="center"/>
                </w:tcPr>
                <w:p w:rsidR="00745FEA" w:rsidRPr="00537771" w:rsidRDefault="00745FEA" w:rsidP="00745FEA">
                  <w:pPr>
                    <w:pStyle w:val="TableBodyText"/>
                    <w:jc w:val="left"/>
                    <w:rPr>
                      <w:b/>
                    </w:rPr>
                  </w:pPr>
                  <w:r w:rsidRPr="00537771">
                    <w:rPr>
                      <w:b/>
                    </w:rPr>
                    <w:t>Total</w:t>
                  </w:r>
                </w:p>
              </w:tc>
              <w:tc>
                <w:tcPr>
                  <w:tcW w:w="831" w:type="pct"/>
                  <w:tcBorders>
                    <w:bottom w:val="single" w:sz="6" w:space="0" w:color="BFBFBF"/>
                  </w:tcBorders>
                </w:tcPr>
                <w:p w:rsidR="00745FEA" w:rsidRPr="00537771" w:rsidRDefault="00745FEA" w:rsidP="00745FEA">
                  <w:pPr>
                    <w:pStyle w:val="TableBodyText"/>
                    <w:rPr>
                      <w:b/>
                    </w:rPr>
                  </w:pPr>
                  <w:r w:rsidRPr="00537771">
                    <w:rPr>
                      <w:b/>
                    </w:rPr>
                    <w:t>5291.3</w:t>
                  </w:r>
                </w:p>
              </w:tc>
              <w:tc>
                <w:tcPr>
                  <w:tcW w:w="831" w:type="pct"/>
                  <w:tcBorders>
                    <w:bottom w:val="single" w:sz="6" w:space="0" w:color="BFBFBF"/>
                  </w:tcBorders>
                  <w:shd w:val="clear" w:color="auto" w:fill="auto"/>
                </w:tcPr>
                <w:p w:rsidR="00745FEA" w:rsidRPr="00537771" w:rsidRDefault="00745FEA" w:rsidP="00745FEA">
                  <w:pPr>
                    <w:pStyle w:val="TableBodyText"/>
                    <w:rPr>
                      <w:b/>
                    </w:rPr>
                  </w:pPr>
                  <w:r w:rsidRPr="00537771">
                    <w:rPr>
                      <w:b/>
                    </w:rPr>
                    <w:t>7212.2</w:t>
                  </w:r>
                </w:p>
              </w:tc>
              <w:tc>
                <w:tcPr>
                  <w:tcW w:w="820" w:type="pct"/>
                  <w:tcBorders>
                    <w:bottom w:val="single" w:sz="6" w:space="0" w:color="BFBFBF"/>
                  </w:tcBorders>
                  <w:shd w:val="clear" w:color="auto" w:fill="auto"/>
                </w:tcPr>
                <w:p w:rsidR="00745FEA" w:rsidRPr="00537771" w:rsidRDefault="00745FEA" w:rsidP="00745FEA">
                  <w:pPr>
                    <w:pStyle w:val="TableBodyText"/>
                    <w:ind w:right="28"/>
                    <w:rPr>
                      <w:b/>
                    </w:rPr>
                  </w:pPr>
                  <w:r w:rsidRPr="00537771">
                    <w:rPr>
                      <w:b/>
                    </w:rPr>
                    <w:t>12503.5</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Note"/>
              <w:rPr>
                <w:i/>
              </w:rPr>
            </w:pPr>
            <w:r>
              <w:t xml:space="preserve">– Nil. </w:t>
            </w:r>
            <w:r w:rsidRPr="008E77FE">
              <w:rPr>
                <w:rStyle w:val="NoteLabel"/>
              </w:rPr>
              <w:t>a</w:t>
            </w:r>
            <w:r>
              <w:t xml:space="preserve"> </w:t>
            </w:r>
            <w:r w:rsidRPr="00AC3C01">
              <w:rPr>
                <w:i/>
              </w:rPr>
              <w:t>Aquaculture and fishing</w:t>
            </w:r>
            <w:r>
              <w:t xml:space="preserve"> includes </w:t>
            </w:r>
            <w:r w:rsidRPr="00AC3C01">
              <w:rPr>
                <w:i/>
              </w:rPr>
              <w:t>Hunting and trapping</w:t>
            </w:r>
            <w:r>
              <w:t xml:space="preserve">. </w:t>
            </w:r>
            <w:r>
              <w:rPr>
                <w:rStyle w:val="NoteLabel"/>
              </w:rPr>
              <w:t>b</w:t>
            </w:r>
            <w:r>
              <w:t xml:space="preserve"> Unallocated includes programs for which details of the initial benefiting industry cannot be readily identified. </w:t>
            </w: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Budgetary assistance not assigned to an industry sector is reported in the </w:t>
      </w:r>
      <w:r w:rsidRPr="005919C3">
        <w:rPr>
          <w:i/>
        </w:rPr>
        <w:t>Unallocated other</w:t>
      </w:r>
      <w:r>
        <w:t xml:space="preserve"> category. That assistance accounted for around 25 per cent of total estimated budgetary assistance in 2016</w:t>
      </w:r>
      <w:r>
        <w:noBreakHyphen/>
        <w:t>17. The concessional taxation for small business ($1.1 billion), small business capital gains tax concession ($1.1 billion) and the unincorporated small business tax discount ($550 million) schemes, for which industry allocation data is currently not available through taxation statistics, account for nearly 90 per cent of the category. Other budgetary assistance not classified to industry included Austrade,</w:t>
      </w:r>
      <w:r w:rsidRPr="00B76C5B">
        <w:rPr>
          <w:rStyle w:val="FootnoteReference"/>
        </w:rPr>
        <w:footnoteReference w:id="7"/>
      </w:r>
      <w:r>
        <w:t xml:space="preserve"> Australian Renewable Energy Agency (ARENA) grants, and the TCF Corporate Wear Program.</w:t>
      </w:r>
      <w:r w:rsidRPr="00B76C5B">
        <w:rPr>
          <w:rStyle w:val="FootnoteReference"/>
        </w:rPr>
        <w:footnoteReference w:id="8"/>
      </w:r>
      <w:r>
        <w:t xml:space="preserve"> </w:t>
      </w:r>
    </w:p>
    <w:p w:rsidR="00745FEA" w:rsidRDefault="00745FEA" w:rsidP="00745FEA">
      <w:pPr>
        <w:pStyle w:val="Heading3"/>
      </w:pPr>
      <w:r>
        <w:t>R&amp;D remains the largest categories of budgetary assistance</w:t>
      </w:r>
    </w:p>
    <w:p w:rsidR="00745FEA" w:rsidRDefault="00745FEA" w:rsidP="00745FEA">
      <w:pPr>
        <w:pStyle w:val="BodyText"/>
      </w:pPr>
      <w:r>
        <w:t xml:space="preserve">Budgetary assistance is often designed to encourage particular activities (such as R&amp;D or exports) or to support particular firms, industries or sectors. To facilitate more detailed assessments of changes in the composition and nature of assistance, the Commission categorises its estimates of Australian Government budgetary assistance into: </w:t>
      </w:r>
    </w:p>
    <w:p w:rsidR="00745FEA" w:rsidRDefault="00745FEA" w:rsidP="00745FEA">
      <w:pPr>
        <w:pStyle w:val="ListBullet"/>
      </w:pPr>
      <w:r>
        <w:t>R&amp;D measures, including that undertaken by CSIRO, Cooperative Research Centres and rural R&amp;D corporations, as well as R&amp;D taxation concessions.</w:t>
      </w:r>
    </w:p>
    <w:p w:rsidR="00745FEA" w:rsidRDefault="00745FEA" w:rsidP="00745FEA">
      <w:pPr>
        <w:pStyle w:val="ListBullet"/>
      </w:pPr>
      <w:r>
        <w:t>Export measures, including through Export Market Development Grants, import duty drawback, TRADEX and Austrade.</w:t>
      </w:r>
    </w:p>
    <w:p w:rsidR="00745FEA" w:rsidRDefault="00745FEA" w:rsidP="00745FEA">
      <w:pPr>
        <w:pStyle w:val="ListBullet"/>
      </w:pPr>
      <w:r>
        <w:t>Investment measures, including development allowances and several former investment attraction packages.</w:t>
      </w:r>
    </w:p>
    <w:p w:rsidR="00745FEA" w:rsidRDefault="00745FEA" w:rsidP="00745FEA">
      <w:pPr>
        <w:pStyle w:val="ListBullet"/>
      </w:pPr>
      <w:r>
        <w:t>Industry specific measures, including the Automotive Transformation Scheme, Film industry offsets scheme and the Offshore Banking Unit Taxation Concession.</w:t>
      </w:r>
    </w:p>
    <w:p w:rsidR="00745FEA" w:rsidRDefault="00745FEA" w:rsidP="00745FEA">
      <w:pPr>
        <w:pStyle w:val="ListBullet"/>
      </w:pPr>
      <w:r>
        <w:t>Sector wide measures, such as drought relief assistance and the tax concessions under the Farm Management Deposits Scheme, in the case of the primary sector.</w:t>
      </w:r>
    </w:p>
    <w:p w:rsidR="00745FEA" w:rsidRDefault="00745FEA" w:rsidP="00745FEA">
      <w:pPr>
        <w:pStyle w:val="ListBullet"/>
      </w:pPr>
      <w:r>
        <w:t>Small business programs, such as the small business capital gains tax concessions, the Small Business Simplified depreciation rules scheme and concessional company taxation for small business.</w:t>
      </w:r>
    </w:p>
    <w:p w:rsidR="00745FEA" w:rsidRDefault="00745FEA" w:rsidP="00745FEA">
      <w:pPr>
        <w:pStyle w:val="ListBullet"/>
      </w:pPr>
      <w:r>
        <w:t>Regional assistance, including the Tasmanian Freight Equalisation Scheme, Tasmanian Jobs and Investment Fund and various structural adjustment programs with a regional focus.</w:t>
      </w:r>
    </w:p>
    <w:p w:rsidR="00745FEA" w:rsidRDefault="00745FEA" w:rsidP="00745FEA">
      <w:pPr>
        <w:pStyle w:val="ListBullet"/>
      </w:pPr>
      <w:r>
        <w:t xml:space="preserve">a residual ‘Other’ category, including the Textiles, Leather, Clothing and Footwear Corporate Wear Program, the Pooled Development Funds initiative, and the Enterprise Connect Innovation Centres Initiative. </w:t>
      </w:r>
    </w:p>
    <w:p w:rsidR="00745FEA" w:rsidRDefault="00745FEA" w:rsidP="00745FEA">
      <w:pPr>
        <w:pStyle w:val="BodyText"/>
      </w:pPr>
      <w:r>
        <w:t>The majority of budgetary assistance in 2016</w:t>
      </w:r>
      <w:r>
        <w:noBreakHyphen/>
        <w:t>17 was directed to:</w:t>
      </w:r>
    </w:p>
    <w:p w:rsidR="00745FEA" w:rsidRDefault="00745FEA" w:rsidP="00745FEA">
      <w:pPr>
        <w:pStyle w:val="ListBullet"/>
      </w:pPr>
      <w:r>
        <w:t xml:space="preserve">small business ($4.7 billion or 38 per cent) — including $2 billion for the Small Business Capital Gains Tax schemes, where over 30 per cent of the concessions are claimed by the services sector with the </w:t>
      </w:r>
      <w:r w:rsidRPr="00283B08">
        <w:rPr>
          <w:i/>
        </w:rPr>
        <w:t>Property, professional and administrative services</w:t>
      </w:r>
      <w:r>
        <w:t xml:space="preserve"> industry being the single largest recipient of the schemes ($208 million), and $1.1 billion each for the Concessional taxation for small business and Small business simplified depreciation schemes </w:t>
      </w:r>
    </w:p>
    <w:p w:rsidR="00745FEA" w:rsidRDefault="00745FEA" w:rsidP="00745FEA">
      <w:pPr>
        <w:pStyle w:val="ListBullet"/>
      </w:pPr>
      <w:r>
        <w:t xml:space="preserve">R&amp;D ($4.4 billion or 36 per cent) — including $3.3 billion via the R&amp;D Tax Incentive, $544 million for CSIRO research with most assistance going to the primary production sector ($170 million) (of which around half of this allocated to the </w:t>
      </w:r>
      <w:r w:rsidRPr="00A04D78">
        <w:rPr>
          <w:i/>
        </w:rPr>
        <w:t>Sheep, beef cattle and grain farming</w:t>
      </w:r>
      <w:r>
        <w:t xml:space="preserve"> industry) followed by the services sector ($167 million), and $110 million for the Cooperative Research Centres program where around half was directed towards services </w:t>
      </w:r>
    </w:p>
    <w:p w:rsidR="00745FEA" w:rsidRDefault="00745FEA" w:rsidP="00745FEA">
      <w:pPr>
        <w:pStyle w:val="ListBullet"/>
      </w:pPr>
      <w:r>
        <w:t xml:space="preserve">specific industries ($1.3 billion or 11 per cent) — including $325 million for the Offshore Banking Unit Tax Concession (allocated to </w:t>
      </w:r>
      <w:r w:rsidRPr="00283B08">
        <w:rPr>
          <w:i/>
        </w:rPr>
        <w:t>Financial and insurance services</w:t>
      </w:r>
      <w:r>
        <w:t xml:space="preserve">), $280 million for the Film industry offsets scheme (allocated to </w:t>
      </w:r>
      <w:r w:rsidRPr="00283B08">
        <w:rPr>
          <w:i/>
        </w:rPr>
        <w:t>Arts and recreation services</w:t>
      </w:r>
      <w:r>
        <w:t xml:space="preserve">), $168 million for the Automotive Transformation Scheme (allocated to </w:t>
      </w:r>
      <w:r w:rsidRPr="00283B08">
        <w:rPr>
          <w:i/>
        </w:rPr>
        <w:t>Motor vehicles and parts</w:t>
      </w:r>
      <w:r>
        <w:t>) (figure 2.5).</w:t>
      </w:r>
    </w:p>
    <w:p w:rsidR="00745FEA" w:rsidRDefault="00745FEA" w:rsidP="00745FEA">
      <w:pPr>
        <w:pStyle w:val="BodyText"/>
      </w:pPr>
      <w:r>
        <w:t>Over the six year period 2011</w:t>
      </w:r>
      <w:r>
        <w:noBreakHyphen/>
        <w:t>12 to 2016</w:t>
      </w:r>
      <w:r>
        <w:noBreakHyphen/>
        <w:t xml:space="preserve">17, changes in the shares of budgetary assistance to different activities are largely accounted for by: </w:t>
      </w:r>
    </w:p>
    <w:p w:rsidR="00745FEA" w:rsidRDefault="00745FEA" w:rsidP="00745FEA">
      <w:pPr>
        <w:pStyle w:val="ListBullet"/>
      </w:pPr>
      <w:r>
        <w:t>significant decreases in concessions under the Small Business and General Business Tax Break up to 2011</w:t>
      </w:r>
      <w:r>
        <w:noBreakHyphen/>
        <w:t>12 followed by significant increases in concessions under the Small Business – Simplified Depreciation Rules and Concessional taxation for small business schemes in 2016</w:t>
      </w:r>
      <w:r>
        <w:noBreakHyphen/>
        <w:t>17</w:t>
      </w:r>
    </w:p>
    <w:p w:rsidR="00745FEA" w:rsidRDefault="00745FEA" w:rsidP="00745FEA">
      <w:pPr>
        <w:pStyle w:val="ListBullet"/>
      </w:pPr>
      <w:r>
        <w:t>an overall reduction in assistance from drought related programs over the period to 2012</w:t>
      </w:r>
      <w:r>
        <w:noBreakHyphen/>
        <w:t>13 following an easing in drought conditions, although in February 2014 the Government announced an expanded drought assistance package leading to an increase in drought related assistance from 2013</w:t>
      </w:r>
      <w:r>
        <w:noBreakHyphen/>
        <w:t>14</w:t>
      </w:r>
      <w:r w:rsidRPr="00B76C5B">
        <w:rPr>
          <w:rStyle w:val="FootnoteReference"/>
        </w:rPr>
        <w:footnoteReference w:id="9"/>
      </w:r>
      <w:r>
        <w:t xml:space="preserv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2.</w:t>
            </w:r>
            <w:r>
              <w:rPr>
                <w:b w:val="0"/>
                <w:noProof/>
              </w:rPr>
              <w:t>5</w:t>
            </w:r>
            <w:r>
              <w:tab/>
              <w:t>Budgetary assistance by category, 2011</w:t>
            </w:r>
            <w:r>
              <w:noBreakHyphen/>
              <w:t>12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5000" w:type="pct"/>
                  <w:tcBorders>
                    <w:top w:val="nil"/>
                    <w:bottom w:val="nil"/>
                  </w:tcBorders>
                </w:tcPr>
                <w:p w:rsidR="00745FEA" w:rsidRPr="00B1465D" w:rsidRDefault="004C15F1" w:rsidP="00745FEA">
                  <w:pPr>
                    <w:pStyle w:val="Figure"/>
                    <w:spacing w:before="60" w:after="60"/>
                    <w:rPr>
                      <w:rFonts w:ascii="Arial" w:hAnsi="Arial" w:cs="Arial"/>
                      <w:sz w:val="18"/>
                      <w:szCs w:val="18"/>
                    </w:rPr>
                  </w:pPr>
                  <w:r w:rsidRPr="004C15F1">
                    <w:rPr>
                      <w:rFonts w:ascii="Arial" w:hAnsi="Arial" w:cs="Arial"/>
                      <w:noProof/>
                      <w:sz w:val="18"/>
                      <w:szCs w:val="18"/>
                    </w:rPr>
                    <w:drawing>
                      <wp:inline distT="0" distB="0" distL="0" distR="0" wp14:anchorId="7479D03C" wp14:editId="003679D9">
                        <wp:extent cx="5220335" cy="3200400"/>
                        <wp:effectExtent l="0" t="0" r="0" b="0"/>
                        <wp:docPr id="36" name="Picture 36" descr="This figure shows budgetary assistance allocated to targeted activities, expressed in dollar values. The majority of budgetary assistance in 2016 17 was directed to small business ($4.7 billion or 38 per cent), while the next biggest category was R&amp;D ($4.4 billion or 36 per cent). More details can be found within the text adjacent to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20335" cy="3200400"/>
                                </a:xfrm>
                                <a:prstGeom prst="rect">
                                  <a:avLst/>
                                </a:prstGeom>
                                <a:noFill/>
                                <a:ln>
                                  <a:noFill/>
                                </a:ln>
                              </pic:spPr>
                            </pic:pic>
                          </a:graphicData>
                        </a:graphic>
                      </wp:inline>
                    </w:drawing>
                  </w:r>
                </w:p>
              </w:tc>
            </w:tr>
          </w:tbl>
          <w:p w:rsidR="00745FEA" w:rsidRDefault="00745FEA" w:rsidP="00745FEA">
            <w:pPr>
              <w:pStyle w:val="Figure"/>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ListBullet"/>
      </w:pPr>
      <w:r>
        <w:t>a significant increase in transitional assistance in relation to the carbon pricing mechanism in 2011</w:t>
      </w:r>
      <w:r>
        <w:noBreakHyphen/>
        <w:t>12 and its subsequent winding down in 2012</w:t>
      </w:r>
      <w:r>
        <w:noBreakHyphen/>
        <w:t xml:space="preserve">13 </w:t>
      </w:r>
    </w:p>
    <w:p w:rsidR="00745FEA" w:rsidRDefault="00745FEA" w:rsidP="00745FEA">
      <w:pPr>
        <w:pStyle w:val="ListBullet"/>
      </w:pPr>
      <w:r>
        <w:t xml:space="preserve">an expansion in funding for R&amp;D activities over the period while funding for the other significant categories including industry specific have fallen </w:t>
      </w:r>
    </w:p>
    <w:p w:rsidR="00745FEA" w:rsidRDefault="00745FEA" w:rsidP="00745FEA">
      <w:pPr>
        <w:pStyle w:val="ListBullet"/>
      </w:pPr>
      <w:r>
        <w:t xml:space="preserve">an increase in concessions provided under the </w:t>
      </w:r>
      <w:r w:rsidRPr="002E6BF2">
        <w:t xml:space="preserve">Small Business – Simplified Depreciation Rules </w:t>
      </w:r>
      <w:r>
        <w:t>scheme in 2013</w:t>
      </w:r>
      <w:r>
        <w:noBreakHyphen/>
        <w:t>14, followed by a subsequent fall in concessions in 2014</w:t>
      </w:r>
      <w:r>
        <w:noBreakHyphen/>
        <w:t>15 and 2015</w:t>
      </w:r>
      <w:r>
        <w:noBreakHyphen/>
        <w:t>16, followed once again by a significant increase in concessions in 2016</w:t>
      </w:r>
      <w:r>
        <w:noBreakHyphen/>
        <w:t xml:space="preserve">17. </w:t>
      </w:r>
    </w:p>
    <w:p w:rsidR="00745FEA" w:rsidRDefault="00745FEA" w:rsidP="00745FEA">
      <w:pPr>
        <w:pStyle w:val="BodyText"/>
      </w:pPr>
      <w:r>
        <w:t xml:space="preserve">Some caution is required when comparing categories over time as changing shares do not necessarily reflect a conscious effort on the part of government to emphasis or increase one category relative to any other. While assistance programs have been allocated to the industry to which the assistance first accrues based on the nature of the support and main activities assessed as receiving that support (the ‘initial benefiting industry’), some have characteristics that relate to more than one category. For example, the R&amp;D category includes rural R&amp;D, which could also be considered sector specific as it relates to agriculture or agricultural product processing activities. </w:t>
      </w:r>
    </w:p>
    <w:p w:rsidR="00745FEA" w:rsidRDefault="00745FEA" w:rsidP="00745FEA">
      <w:pPr>
        <w:pStyle w:val="BodyText"/>
      </w:pPr>
      <w:r>
        <w:t>Although there is no separate category, a number of budgetary measures included in the estimates also relate to carbon emissions reduction, renewable energy, and energy supply and use goals. These measures support a range of activities that span R&amp;D, industry specific, sector specific and other measures. These measures amounted to $229 million (1.8 per cent) of estimated budgetary assistance in 2016</w:t>
      </w:r>
      <w:r>
        <w:noBreakHyphen/>
        <w:t>17, up from $199 million in 2015</w:t>
      </w:r>
      <w:r>
        <w:noBreakHyphen/>
        <w:t xml:space="preserve">16. </w:t>
      </w:r>
    </w:p>
    <w:p w:rsidR="00745FEA" w:rsidRDefault="00745FEA" w:rsidP="00745FEA">
      <w:pPr>
        <w:pStyle w:val="Heading2"/>
      </w:pPr>
      <w:bookmarkStart w:id="29" w:name="_Toc511745365"/>
      <w:r>
        <w:t>2.</w:t>
      </w:r>
      <w:r>
        <w:rPr>
          <w:noProof/>
        </w:rPr>
        <w:t>3</w:t>
      </w:r>
      <w:r>
        <w:tab/>
        <w:t>Combined assistance and effective rates of assistance</w:t>
      </w:r>
      <w:bookmarkEnd w:id="29"/>
    </w:p>
    <w:p w:rsidR="00745FEA" w:rsidRPr="006412FA" w:rsidRDefault="00745FEA" w:rsidP="00745FEA">
      <w:pPr>
        <w:pStyle w:val="BodyText"/>
      </w:pPr>
      <w:r w:rsidRPr="005F4512">
        <w:t>This section presents the results for combined tariff</w:t>
      </w:r>
      <w:r>
        <w:t xml:space="preserve"> and </w:t>
      </w:r>
      <w:r w:rsidRPr="005F4512">
        <w:t>budgetary assistance by industry group. Combined assistance is reported in terms of the net value of assistance and its components (reported for broad industries in figure</w:t>
      </w:r>
      <w:r>
        <w:t> </w:t>
      </w:r>
      <w:r w:rsidRPr="005F4512">
        <w:t>2.1) and the effective rate of assistance.</w:t>
      </w:r>
      <w:r>
        <w:t xml:space="preserve"> </w:t>
      </w:r>
    </w:p>
    <w:p w:rsidR="00745FEA" w:rsidRDefault="00745FEA" w:rsidP="00745FEA">
      <w:pPr>
        <w:pStyle w:val="Heading3"/>
      </w:pPr>
      <w:r>
        <w:t>Food, beverages and tobacco and Metal and fabricated products receive to most combined assistance</w:t>
      </w:r>
    </w:p>
    <w:p w:rsidR="00745FEA" w:rsidRDefault="00745FEA" w:rsidP="00745FEA">
      <w:pPr>
        <w:pStyle w:val="BodyText"/>
      </w:pPr>
      <w:r w:rsidRPr="005F4512">
        <w:t>Table</w:t>
      </w:r>
      <w:r>
        <w:t> </w:t>
      </w:r>
      <w:r w:rsidRPr="005F4512">
        <w:t>2.5 summarises tariff and budgetary assistance at the industry level for 201</w:t>
      </w:r>
      <w:r>
        <w:t>6</w:t>
      </w:r>
      <w:r>
        <w:noBreakHyphen/>
      </w:r>
      <w:r w:rsidRPr="005F4512">
        <w:t>1</w:t>
      </w:r>
      <w:r>
        <w:t>7</w:t>
      </w:r>
      <w:r w:rsidRPr="005F4512">
        <w:t>. The manufacturing division receives the highest level of net combined assistance because of tariff assistance on its outputs. Although services industries receive the most budgetary assistance (around $</w:t>
      </w:r>
      <w:r>
        <w:t>5.5</w:t>
      </w:r>
      <w:r w:rsidRPr="005F4512">
        <w:t xml:space="preserve"> billion in identifiable support</w:t>
      </w:r>
      <w:r>
        <w:t xml:space="preserve"> including tax concessions</w:t>
      </w:r>
      <w:r w:rsidRPr="005F4512">
        <w:t xml:space="preserve">), such assistance is </w:t>
      </w:r>
      <w:r>
        <w:t xml:space="preserve">reduced significantly by </w:t>
      </w:r>
      <w:r w:rsidRPr="005F4512">
        <w:t>the estimated input tariff penalty (around $3.8 billion). The primary production division received the majority of its support from budgetary assistance, although some tariff protection continues to be afforded to a range of horticultural, crop and forestry products. By value, the highest level of combined assistance is afforded to the manufacturing industr</w:t>
      </w:r>
      <w:r>
        <w:t xml:space="preserve">y </w:t>
      </w:r>
      <w:r w:rsidRPr="006D61CB">
        <w:rPr>
          <w:i/>
        </w:rPr>
        <w:t>Food, beverages and tobacco</w:t>
      </w:r>
      <w:r w:rsidRPr="005F4512">
        <w:t xml:space="preserve"> mainly due to tariff assistance</w:t>
      </w:r>
      <w:r>
        <w:t xml:space="preserve">. The services industry, </w:t>
      </w:r>
      <w:r w:rsidRPr="006D61CB">
        <w:rPr>
          <w:i/>
        </w:rPr>
        <w:t>Property, professional and administration</w:t>
      </w:r>
      <w:r w:rsidRPr="005F4512">
        <w:t xml:space="preserve"> </w:t>
      </w:r>
      <w:r>
        <w:t>also receives a high level of combined assistance mainly in the form of tax concessions. T</w:t>
      </w:r>
      <w:r w:rsidRPr="005F4512">
        <w:t xml:space="preserve">he highest tariff penalty on inputs is born by the </w:t>
      </w:r>
      <w:r w:rsidRPr="006D61CB">
        <w:rPr>
          <w:i/>
        </w:rPr>
        <w:t>Construction</w:t>
      </w:r>
      <w:r w:rsidRPr="005F4512">
        <w:t xml:space="preserve"> and </w:t>
      </w:r>
      <w:r w:rsidRPr="006D61CB">
        <w:rPr>
          <w:i/>
        </w:rPr>
        <w:t>Property, professional and administration</w:t>
      </w:r>
      <w:r w:rsidRPr="005F4512">
        <w:t xml:space="preserve"> industries. A time series of net combined assistance (table</w:t>
      </w:r>
      <w:r>
        <w:t> </w:t>
      </w:r>
      <w:r w:rsidRPr="005F4512">
        <w:t>2.5, right hand column) by industry grouping for the period 201</w:t>
      </w:r>
      <w:r>
        <w:t>1</w:t>
      </w:r>
      <w:r>
        <w:noBreakHyphen/>
        <w:t>12</w:t>
      </w:r>
      <w:r w:rsidRPr="005F4512">
        <w:t xml:space="preserve"> to 201</w:t>
      </w:r>
      <w:r>
        <w:t>6</w:t>
      </w:r>
      <w:r>
        <w:noBreakHyphen/>
      </w:r>
      <w:r w:rsidRPr="005F4512">
        <w:t>1</w:t>
      </w:r>
      <w:r>
        <w:t>7</w:t>
      </w:r>
      <w:r w:rsidRPr="005F4512">
        <w:t xml:space="preserve"> is presented in appendix</w:t>
      </w:r>
      <w:r>
        <w:t> </w:t>
      </w:r>
      <w:r w:rsidRPr="005F4512">
        <w:t>A.</w:t>
      </w:r>
      <w:r>
        <w:t xml:space="preserve"> </w:t>
      </w:r>
    </w:p>
    <w:p w:rsidR="00745FEA" w:rsidRDefault="00745FEA" w:rsidP="00745FEA">
      <w:pPr>
        <w:pStyle w:val="Heading3"/>
      </w:pPr>
      <w:r>
        <w:t xml:space="preserve">The effective rates of combined assistance has continued </w:t>
      </w:r>
      <w:r w:rsidRPr="00B37ECD">
        <w:rPr>
          <w:rStyle w:val="BodyTextChar"/>
        </w:rPr>
        <w:t>to fall for</w:t>
      </w:r>
      <w:r>
        <w:t xml:space="preserve"> most industries</w:t>
      </w:r>
    </w:p>
    <w:p w:rsidR="00745FEA" w:rsidRDefault="00745FEA" w:rsidP="00745FEA">
      <w:pPr>
        <w:pStyle w:val="BodyText"/>
      </w:pPr>
      <w:r>
        <w:t xml:space="preserve">As noted, the effective rate of assistance (ERA) measures the net combined assistance to a particular industry in proportion to that industry’s unassisted net output (value added). It provides an indication of the extent to which assistance to an industry enables it to attract and hold economic resources relative to other sectors. </w:t>
      </w:r>
    </w:p>
    <w:p w:rsidR="00745FEA" w:rsidRDefault="00745FEA" w:rsidP="00745FEA">
      <w:pPr>
        <w:pStyle w:val="BodyText"/>
      </w:pPr>
      <w:r>
        <w:t>For the manufacturing sector, the estimated effective rate of assistance was 3.9 per cent in 2016</w:t>
      </w:r>
      <w:r>
        <w:noBreakHyphen/>
        <w:t>17, unchanged since 2014</w:t>
      </w:r>
      <w:r>
        <w:noBreakHyphen/>
        <w:t>15 which was slightly down on earlier years (table 2.6). The effective rate for the primary sector in 2016</w:t>
      </w:r>
      <w:r>
        <w:noBreakHyphen/>
        <w:t>17 was 2.8 per cent, down from 3.7 per cent in 2011</w:t>
      </w:r>
      <w:r>
        <w:noBreakHyphen/>
        <w:t>12 — largely reflecting the decline in drought assistance afforded through Exceptional Circumstances payments. The estimated effective rate of assistance from tariff and budgetary assistance for mining is negligible.</w:t>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2.</w:t>
            </w:r>
            <w:r>
              <w:rPr>
                <w:b w:val="0"/>
                <w:noProof/>
              </w:rPr>
              <w:t>5</w:t>
            </w:r>
            <w:r>
              <w:tab/>
              <w:t>Combined assistance by industry grouping, 2016</w:t>
            </w:r>
            <w:r>
              <w:noBreakHyphen/>
              <w:t>17</w:t>
            </w:r>
            <w:r w:rsidRPr="006F5C2A">
              <w:rPr>
                <w:rStyle w:val="NoteLabel"/>
              </w:rPr>
              <w:t>a</w:t>
            </w:r>
          </w:p>
          <w:p w:rsidR="00745FEA" w:rsidRPr="00784A05" w:rsidRDefault="00745FEA" w:rsidP="00745FEA">
            <w:pPr>
              <w:pStyle w:val="Subtitle"/>
            </w:pPr>
            <w:r>
              <w:t>$ million (nominal)</w:t>
            </w:r>
          </w:p>
        </w:tc>
      </w:tr>
      <w:tr w:rsidR="00745FEA" w:rsidTr="00745FEA">
        <w:tc>
          <w:tcPr>
            <w:tcW w:w="5000" w:type="pct"/>
            <w:tcBorders>
              <w:top w:val="nil"/>
              <w:left w:val="nil"/>
              <w:bottom w:val="nil"/>
              <w:right w:val="nil"/>
            </w:tcBorders>
            <w:shd w:val="clear" w:color="auto" w:fill="auto"/>
          </w:tcPr>
          <w:tbl>
            <w:tblPr>
              <w:tblW w:w="8553" w:type="dxa"/>
              <w:tblCellMar>
                <w:top w:w="28" w:type="dxa"/>
                <w:left w:w="0" w:type="dxa"/>
                <w:right w:w="0" w:type="dxa"/>
              </w:tblCellMar>
              <w:tblLook w:val="0000" w:firstRow="0" w:lastRow="0" w:firstColumn="0" w:lastColumn="0" w:noHBand="0" w:noVBand="0"/>
            </w:tblPr>
            <w:tblGrid>
              <w:gridCol w:w="2834"/>
              <w:gridCol w:w="973"/>
              <w:gridCol w:w="924"/>
              <w:gridCol w:w="975"/>
              <w:gridCol w:w="941"/>
              <w:gridCol w:w="936"/>
              <w:gridCol w:w="970"/>
            </w:tblGrid>
            <w:tr w:rsidR="00745FEA" w:rsidTr="00745FEA">
              <w:trPr>
                <w:tblHeader/>
              </w:trPr>
              <w:tc>
                <w:tcPr>
                  <w:tcW w:w="165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569" w:type="pct"/>
                  <w:tcBorders>
                    <w:top w:val="single" w:sz="6" w:space="0" w:color="BFBFBF"/>
                    <w:bottom w:val="single" w:sz="6" w:space="0" w:color="BFBFBF"/>
                  </w:tcBorders>
                  <w:vAlign w:val="bottom"/>
                </w:tcPr>
                <w:p w:rsidR="00745FEA" w:rsidRDefault="00745FEA" w:rsidP="00745FEA">
                  <w:pPr>
                    <w:pStyle w:val="TableColumnHeading"/>
                  </w:pPr>
                  <w:r>
                    <w:t>Tariff output assistance</w:t>
                  </w:r>
                </w:p>
              </w:tc>
              <w:tc>
                <w:tcPr>
                  <w:tcW w:w="540" w:type="pct"/>
                  <w:tcBorders>
                    <w:top w:val="single" w:sz="6" w:space="0" w:color="BFBFBF"/>
                    <w:bottom w:val="single" w:sz="6" w:space="0" w:color="BFBFBF"/>
                  </w:tcBorders>
                  <w:shd w:val="clear" w:color="auto" w:fill="auto"/>
                  <w:tcMar>
                    <w:top w:w="28" w:type="dxa"/>
                  </w:tcMar>
                  <w:vAlign w:val="bottom"/>
                </w:tcPr>
                <w:p w:rsidR="00745FEA" w:rsidRDefault="00745FEA" w:rsidP="00745FEA">
                  <w:pPr>
                    <w:pStyle w:val="TableColumnHeading"/>
                  </w:pPr>
                  <w:r>
                    <w:t>Tariff input penalty</w:t>
                  </w:r>
                </w:p>
              </w:tc>
              <w:tc>
                <w:tcPr>
                  <w:tcW w:w="570" w:type="pct"/>
                  <w:tcBorders>
                    <w:top w:val="single" w:sz="6" w:space="0" w:color="BFBFBF"/>
                    <w:bottom w:val="single" w:sz="6" w:space="0" w:color="BFBFBF"/>
                  </w:tcBorders>
                  <w:shd w:val="clear" w:color="auto" w:fill="F2F2F2" w:themeFill="background1" w:themeFillShade="F2"/>
                  <w:vAlign w:val="bottom"/>
                </w:tcPr>
                <w:p w:rsidR="00745FEA" w:rsidRDefault="00745FEA" w:rsidP="00745FEA">
                  <w:pPr>
                    <w:pStyle w:val="TableColumnHeading"/>
                    <w:jc w:val="center"/>
                  </w:pPr>
                  <w:r>
                    <w:t>Net tariff assistance</w:t>
                  </w:r>
                </w:p>
              </w:tc>
              <w:tc>
                <w:tcPr>
                  <w:tcW w:w="550" w:type="pct"/>
                  <w:tcBorders>
                    <w:top w:val="single" w:sz="6" w:space="0" w:color="BFBFBF"/>
                    <w:bottom w:val="single" w:sz="6" w:space="0" w:color="BFBFBF"/>
                  </w:tcBorders>
                  <w:vAlign w:val="bottom"/>
                </w:tcPr>
                <w:p w:rsidR="00745FEA" w:rsidRDefault="00745FEA" w:rsidP="00745FEA">
                  <w:pPr>
                    <w:pStyle w:val="TableColumnHeading"/>
                  </w:pPr>
                  <w:r>
                    <w:t>Budgetary outlays</w:t>
                  </w:r>
                </w:p>
              </w:tc>
              <w:tc>
                <w:tcPr>
                  <w:tcW w:w="547" w:type="pct"/>
                  <w:tcBorders>
                    <w:top w:val="single" w:sz="6" w:space="0" w:color="BFBFBF"/>
                    <w:bottom w:val="single" w:sz="6" w:space="0" w:color="BFBFBF"/>
                  </w:tcBorders>
                  <w:vAlign w:val="bottom"/>
                </w:tcPr>
                <w:p w:rsidR="00745FEA" w:rsidRDefault="00745FEA" w:rsidP="00745FEA">
                  <w:pPr>
                    <w:pStyle w:val="TableColumnHeading"/>
                  </w:pPr>
                  <w:r>
                    <w:t>Tax concess.</w:t>
                  </w:r>
                </w:p>
              </w:tc>
              <w:tc>
                <w:tcPr>
                  <w:tcW w:w="567" w:type="pct"/>
                  <w:tcBorders>
                    <w:top w:val="single" w:sz="6" w:space="0" w:color="BFBFBF"/>
                    <w:bottom w:val="single" w:sz="6" w:space="0" w:color="BFBFBF"/>
                  </w:tcBorders>
                  <w:shd w:val="clear" w:color="auto" w:fill="F2F2F2" w:themeFill="background1" w:themeFillShade="F2"/>
                  <w:tcMar>
                    <w:top w:w="28" w:type="dxa"/>
                  </w:tcMar>
                  <w:vAlign w:val="bottom"/>
                </w:tcPr>
                <w:p w:rsidR="00745FEA" w:rsidRDefault="00745FEA" w:rsidP="00745FEA">
                  <w:pPr>
                    <w:pStyle w:val="TableColumnHeading"/>
                    <w:ind w:right="28"/>
                    <w:jc w:val="center"/>
                  </w:pPr>
                  <w:r>
                    <w:t>Net combined assistance</w:t>
                  </w:r>
                </w:p>
              </w:tc>
            </w:tr>
            <w:tr w:rsidR="00745FEA" w:rsidRPr="00035962" w:rsidTr="00745FEA">
              <w:tc>
                <w:tcPr>
                  <w:tcW w:w="1657" w:type="pct"/>
                  <w:tcBorders>
                    <w:top w:val="single" w:sz="6" w:space="0" w:color="BFBFBF"/>
                  </w:tcBorders>
                </w:tcPr>
                <w:p w:rsidR="00745FEA" w:rsidRPr="00035962" w:rsidRDefault="00745FEA" w:rsidP="00745FEA">
                  <w:pPr>
                    <w:pStyle w:val="TableBodyText"/>
                    <w:jc w:val="left"/>
                    <w:rPr>
                      <w:b/>
                    </w:rPr>
                  </w:pPr>
                  <w:r w:rsidRPr="00035962">
                    <w:rPr>
                      <w:b/>
                    </w:rPr>
                    <w:t>Primary production</w:t>
                  </w:r>
                </w:p>
              </w:tc>
              <w:tc>
                <w:tcPr>
                  <w:tcW w:w="569" w:type="pct"/>
                  <w:tcBorders>
                    <w:top w:val="single" w:sz="6" w:space="0" w:color="BFBFBF"/>
                  </w:tcBorders>
                </w:tcPr>
                <w:p w:rsidR="00745FEA" w:rsidRPr="00035962" w:rsidRDefault="00745FEA" w:rsidP="00745FEA">
                  <w:pPr>
                    <w:pStyle w:val="TableBodyText"/>
                    <w:rPr>
                      <w:b/>
                    </w:rPr>
                  </w:pPr>
                  <w:r w:rsidRPr="00035962">
                    <w:rPr>
                      <w:b/>
                    </w:rPr>
                    <w:t>488.5</w:t>
                  </w:r>
                </w:p>
              </w:tc>
              <w:tc>
                <w:tcPr>
                  <w:tcW w:w="540" w:type="pct"/>
                  <w:tcBorders>
                    <w:top w:val="single" w:sz="6" w:space="0" w:color="BFBFBF"/>
                  </w:tcBorders>
                </w:tcPr>
                <w:p w:rsidR="00745FEA" w:rsidRPr="00035962" w:rsidRDefault="00745FEA" w:rsidP="00745FEA">
                  <w:pPr>
                    <w:pStyle w:val="TableBodyText"/>
                    <w:rPr>
                      <w:b/>
                    </w:rPr>
                  </w:pPr>
                  <w:r w:rsidRPr="00035962">
                    <w:rPr>
                      <w:b/>
                    </w:rPr>
                    <w:t>-197.7</w:t>
                  </w:r>
                </w:p>
              </w:tc>
              <w:tc>
                <w:tcPr>
                  <w:tcW w:w="570" w:type="pct"/>
                  <w:tcBorders>
                    <w:top w:val="single" w:sz="6" w:space="0" w:color="BFBFBF"/>
                  </w:tcBorders>
                  <w:shd w:val="clear" w:color="auto" w:fill="F2F2F2" w:themeFill="background1" w:themeFillShade="F2"/>
                </w:tcPr>
                <w:p w:rsidR="00745FEA" w:rsidRPr="00035962" w:rsidRDefault="00745FEA" w:rsidP="00745FEA">
                  <w:pPr>
                    <w:pStyle w:val="TableBodyText"/>
                    <w:rPr>
                      <w:b/>
                    </w:rPr>
                  </w:pPr>
                  <w:r w:rsidRPr="00035962">
                    <w:rPr>
                      <w:b/>
                    </w:rPr>
                    <w:t>290.8</w:t>
                  </w:r>
                </w:p>
              </w:tc>
              <w:tc>
                <w:tcPr>
                  <w:tcW w:w="550" w:type="pct"/>
                  <w:tcBorders>
                    <w:top w:val="single" w:sz="6" w:space="0" w:color="BFBFBF"/>
                  </w:tcBorders>
                </w:tcPr>
                <w:p w:rsidR="00745FEA" w:rsidRPr="00035962" w:rsidRDefault="00745FEA" w:rsidP="00745FEA">
                  <w:pPr>
                    <w:pStyle w:val="TableBodyText"/>
                    <w:rPr>
                      <w:b/>
                    </w:rPr>
                  </w:pPr>
                  <w:r w:rsidRPr="00035962">
                    <w:rPr>
                      <w:b/>
                    </w:rPr>
                    <w:t>879.9</w:t>
                  </w:r>
                </w:p>
              </w:tc>
              <w:tc>
                <w:tcPr>
                  <w:tcW w:w="547" w:type="pct"/>
                  <w:tcBorders>
                    <w:top w:val="single" w:sz="6" w:space="0" w:color="BFBFBF"/>
                  </w:tcBorders>
                </w:tcPr>
                <w:p w:rsidR="00745FEA" w:rsidRPr="00035962" w:rsidRDefault="00745FEA" w:rsidP="00745FEA">
                  <w:pPr>
                    <w:pStyle w:val="TableBodyText"/>
                    <w:rPr>
                      <w:b/>
                    </w:rPr>
                  </w:pPr>
                  <w:r w:rsidRPr="00035962">
                    <w:rPr>
                      <w:b/>
                    </w:rPr>
                    <w:t>759.9</w:t>
                  </w:r>
                </w:p>
              </w:tc>
              <w:tc>
                <w:tcPr>
                  <w:tcW w:w="567" w:type="pct"/>
                  <w:tcBorders>
                    <w:top w:val="single" w:sz="6" w:space="0" w:color="BFBFBF"/>
                  </w:tcBorders>
                  <w:shd w:val="clear" w:color="auto" w:fill="F2F2F2" w:themeFill="background1" w:themeFillShade="F2"/>
                </w:tcPr>
                <w:p w:rsidR="00745FEA" w:rsidRPr="00035962" w:rsidRDefault="00745FEA" w:rsidP="00745FEA">
                  <w:pPr>
                    <w:pStyle w:val="TableBodyText"/>
                    <w:ind w:right="28"/>
                    <w:rPr>
                      <w:b/>
                    </w:rPr>
                  </w:pPr>
                  <w:r w:rsidRPr="00035962">
                    <w:rPr>
                      <w:b/>
                    </w:rPr>
                    <w:t>1930.6</w:t>
                  </w:r>
                </w:p>
              </w:tc>
            </w:tr>
            <w:tr w:rsidR="00745FEA" w:rsidTr="00745FEA">
              <w:tc>
                <w:tcPr>
                  <w:tcW w:w="1657" w:type="pct"/>
                </w:tcPr>
                <w:p w:rsidR="00745FEA" w:rsidRPr="007A67BF" w:rsidRDefault="00745FEA" w:rsidP="00745FEA">
                  <w:pPr>
                    <w:pStyle w:val="TableBodyText"/>
                    <w:spacing w:after="20"/>
                    <w:jc w:val="left"/>
                  </w:pPr>
                  <w:r w:rsidRPr="007A67BF">
                    <w:t>Horticulture and fruit growing</w:t>
                  </w:r>
                </w:p>
              </w:tc>
              <w:tc>
                <w:tcPr>
                  <w:tcW w:w="569" w:type="pct"/>
                </w:tcPr>
                <w:p w:rsidR="00745FEA" w:rsidRPr="00B9083B" w:rsidRDefault="00745FEA" w:rsidP="00745FEA">
                  <w:pPr>
                    <w:pStyle w:val="TableBodyText"/>
                    <w:spacing w:after="20"/>
                  </w:pPr>
                  <w:r w:rsidRPr="00212227">
                    <w:t>179.8</w:t>
                  </w:r>
                </w:p>
              </w:tc>
              <w:tc>
                <w:tcPr>
                  <w:tcW w:w="540" w:type="pct"/>
                </w:tcPr>
                <w:p w:rsidR="00745FEA" w:rsidRPr="00B9083B" w:rsidRDefault="00745FEA" w:rsidP="00745FEA">
                  <w:pPr>
                    <w:pStyle w:val="TableBodyText"/>
                    <w:spacing w:after="20"/>
                  </w:pPr>
                  <w:r w:rsidRPr="00212227">
                    <w:t>-12.3</w:t>
                  </w:r>
                </w:p>
              </w:tc>
              <w:tc>
                <w:tcPr>
                  <w:tcW w:w="570" w:type="pct"/>
                  <w:shd w:val="clear" w:color="auto" w:fill="F2F2F2" w:themeFill="background1" w:themeFillShade="F2"/>
                </w:tcPr>
                <w:p w:rsidR="00745FEA" w:rsidRPr="00B9083B" w:rsidRDefault="00745FEA" w:rsidP="00745FEA">
                  <w:pPr>
                    <w:pStyle w:val="TableBodyText"/>
                    <w:spacing w:after="20"/>
                  </w:pPr>
                  <w:r w:rsidRPr="00212227">
                    <w:t>167.6</w:t>
                  </w:r>
                </w:p>
              </w:tc>
              <w:tc>
                <w:tcPr>
                  <w:tcW w:w="550" w:type="pct"/>
                </w:tcPr>
                <w:p w:rsidR="00745FEA" w:rsidRPr="00B9083B" w:rsidRDefault="00745FEA" w:rsidP="00745FEA">
                  <w:pPr>
                    <w:pStyle w:val="TableBodyText"/>
                    <w:spacing w:after="20"/>
                  </w:pPr>
                  <w:r w:rsidRPr="00212227">
                    <w:t>95.5</w:t>
                  </w:r>
                </w:p>
              </w:tc>
              <w:tc>
                <w:tcPr>
                  <w:tcW w:w="547" w:type="pct"/>
                </w:tcPr>
                <w:p w:rsidR="00745FEA" w:rsidRPr="00B9083B" w:rsidRDefault="00745FEA" w:rsidP="00745FEA">
                  <w:pPr>
                    <w:pStyle w:val="TableBodyText"/>
                    <w:spacing w:after="20"/>
                  </w:pPr>
                  <w:r w:rsidRPr="00212227">
                    <w:t>79.5</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342.6</w:t>
                  </w:r>
                </w:p>
              </w:tc>
            </w:tr>
            <w:tr w:rsidR="00745FEA" w:rsidTr="00745FEA">
              <w:tc>
                <w:tcPr>
                  <w:tcW w:w="1657" w:type="pct"/>
                </w:tcPr>
                <w:p w:rsidR="00745FEA" w:rsidRPr="007A67BF" w:rsidRDefault="00745FEA" w:rsidP="00745FEA">
                  <w:pPr>
                    <w:pStyle w:val="TableBodyText"/>
                    <w:spacing w:after="20"/>
                    <w:jc w:val="left"/>
                  </w:pPr>
                  <w:r w:rsidRPr="007A67BF">
                    <w:t>Sheep, cattle and grain farming</w:t>
                  </w:r>
                </w:p>
              </w:tc>
              <w:tc>
                <w:tcPr>
                  <w:tcW w:w="569" w:type="pct"/>
                </w:tcPr>
                <w:p w:rsidR="00745FEA" w:rsidRPr="00B9083B" w:rsidRDefault="00745FEA" w:rsidP="00745FEA">
                  <w:pPr>
                    <w:pStyle w:val="TableBodyText"/>
                    <w:spacing w:after="20"/>
                  </w:pPr>
                  <w:r w:rsidRPr="00212227">
                    <w:t>256.8</w:t>
                  </w:r>
                </w:p>
              </w:tc>
              <w:tc>
                <w:tcPr>
                  <w:tcW w:w="540" w:type="pct"/>
                </w:tcPr>
                <w:p w:rsidR="00745FEA" w:rsidRPr="00B9083B" w:rsidRDefault="00745FEA" w:rsidP="00745FEA">
                  <w:pPr>
                    <w:pStyle w:val="TableBodyText"/>
                    <w:spacing w:after="20"/>
                  </w:pPr>
                  <w:r w:rsidRPr="00212227">
                    <w:t>-72.6</w:t>
                  </w:r>
                </w:p>
              </w:tc>
              <w:tc>
                <w:tcPr>
                  <w:tcW w:w="570" w:type="pct"/>
                  <w:shd w:val="clear" w:color="auto" w:fill="F2F2F2" w:themeFill="background1" w:themeFillShade="F2"/>
                </w:tcPr>
                <w:p w:rsidR="00745FEA" w:rsidRPr="00B9083B" w:rsidRDefault="00745FEA" w:rsidP="00745FEA">
                  <w:pPr>
                    <w:pStyle w:val="TableBodyText"/>
                    <w:spacing w:after="20"/>
                  </w:pPr>
                  <w:r w:rsidRPr="00212227">
                    <w:t>184.1</w:t>
                  </w:r>
                </w:p>
              </w:tc>
              <w:tc>
                <w:tcPr>
                  <w:tcW w:w="550" w:type="pct"/>
                </w:tcPr>
                <w:p w:rsidR="00745FEA" w:rsidRPr="00B9083B" w:rsidRDefault="00745FEA" w:rsidP="00745FEA">
                  <w:pPr>
                    <w:pStyle w:val="TableBodyText"/>
                    <w:spacing w:after="20"/>
                  </w:pPr>
                  <w:r w:rsidRPr="00212227">
                    <w:t>249.2</w:t>
                  </w:r>
                </w:p>
              </w:tc>
              <w:tc>
                <w:tcPr>
                  <w:tcW w:w="547" w:type="pct"/>
                </w:tcPr>
                <w:p w:rsidR="00745FEA" w:rsidRPr="00B9083B" w:rsidRDefault="00745FEA" w:rsidP="00745FEA">
                  <w:pPr>
                    <w:pStyle w:val="TableBodyText"/>
                    <w:spacing w:after="20"/>
                  </w:pPr>
                  <w:r w:rsidRPr="00212227">
                    <w:t>509.2</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942.5</w:t>
                  </w:r>
                </w:p>
              </w:tc>
            </w:tr>
            <w:tr w:rsidR="00745FEA" w:rsidTr="00745FEA">
              <w:tc>
                <w:tcPr>
                  <w:tcW w:w="1657" w:type="pct"/>
                </w:tcPr>
                <w:p w:rsidR="00745FEA" w:rsidRPr="007A67BF" w:rsidRDefault="00745FEA" w:rsidP="00745FEA">
                  <w:pPr>
                    <w:pStyle w:val="TableBodyText"/>
                    <w:spacing w:after="20"/>
                    <w:jc w:val="left"/>
                  </w:pPr>
                  <w:r w:rsidRPr="007A67BF">
                    <w:t>Other crop growing</w:t>
                  </w:r>
                </w:p>
              </w:tc>
              <w:tc>
                <w:tcPr>
                  <w:tcW w:w="569" w:type="pct"/>
                </w:tcPr>
                <w:p w:rsidR="00745FEA" w:rsidRPr="00B9083B" w:rsidRDefault="00745FEA" w:rsidP="00745FEA">
                  <w:pPr>
                    <w:pStyle w:val="TableBodyText"/>
                    <w:spacing w:after="20"/>
                  </w:pPr>
                  <w:r w:rsidRPr="00212227">
                    <w:t>2.2</w:t>
                  </w:r>
                </w:p>
              </w:tc>
              <w:tc>
                <w:tcPr>
                  <w:tcW w:w="540" w:type="pct"/>
                </w:tcPr>
                <w:p w:rsidR="00745FEA" w:rsidRPr="00B9083B" w:rsidRDefault="00745FEA" w:rsidP="00745FEA">
                  <w:pPr>
                    <w:pStyle w:val="TableBodyText"/>
                    <w:spacing w:after="20"/>
                  </w:pPr>
                  <w:r w:rsidRPr="00212227">
                    <w:t>-9.0</w:t>
                  </w:r>
                </w:p>
              </w:tc>
              <w:tc>
                <w:tcPr>
                  <w:tcW w:w="570" w:type="pct"/>
                  <w:shd w:val="clear" w:color="auto" w:fill="F2F2F2" w:themeFill="background1" w:themeFillShade="F2"/>
                </w:tcPr>
                <w:p w:rsidR="00745FEA" w:rsidRPr="00B9083B" w:rsidRDefault="00745FEA" w:rsidP="00745FEA">
                  <w:pPr>
                    <w:pStyle w:val="TableBodyText"/>
                    <w:spacing w:after="20"/>
                  </w:pPr>
                  <w:r w:rsidRPr="00212227">
                    <w:t>-6.7</w:t>
                  </w:r>
                </w:p>
              </w:tc>
              <w:tc>
                <w:tcPr>
                  <w:tcW w:w="550" w:type="pct"/>
                </w:tcPr>
                <w:p w:rsidR="00745FEA" w:rsidRPr="00B9083B" w:rsidRDefault="00745FEA" w:rsidP="00745FEA">
                  <w:pPr>
                    <w:pStyle w:val="TableBodyText"/>
                    <w:spacing w:after="20"/>
                  </w:pPr>
                  <w:r w:rsidRPr="00212227">
                    <w:t>52.4</w:t>
                  </w:r>
                </w:p>
              </w:tc>
              <w:tc>
                <w:tcPr>
                  <w:tcW w:w="547" w:type="pct"/>
                </w:tcPr>
                <w:p w:rsidR="00745FEA" w:rsidRPr="00B9083B" w:rsidRDefault="00745FEA" w:rsidP="00745FEA">
                  <w:pPr>
                    <w:pStyle w:val="TableBodyText"/>
                    <w:spacing w:after="20"/>
                  </w:pPr>
                  <w:r w:rsidRPr="00212227">
                    <w:t>43.5</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89.1</w:t>
                  </w:r>
                </w:p>
              </w:tc>
            </w:tr>
            <w:tr w:rsidR="00745FEA" w:rsidTr="00745FEA">
              <w:tc>
                <w:tcPr>
                  <w:tcW w:w="1657" w:type="pct"/>
                </w:tcPr>
                <w:p w:rsidR="00745FEA" w:rsidRPr="007A67BF" w:rsidRDefault="00745FEA" w:rsidP="00745FEA">
                  <w:pPr>
                    <w:pStyle w:val="TableBodyText"/>
                    <w:spacing w:after="20"/>
                    <w:jc w:val="left"/>
                  </w:pPr>
                  <w:r w:rsidRPr="007A67BF">
                    <w:t>Dairy cattle farming</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-12.4</w:t>
                  </w:r>
                </w:p>
              </w:tc>
              <w:tc>
                <w:tcPr>
                  <w:tcW w:w="570" w:type="pct"/>
                  <w:shd w:val="clear" w:color="auto" w:fill="F2F2F2" w:themeFill="background1" w:themeFillShade="F2"/>
                </w:tcPr>
                <w:p w:rsidR="00745FEA" w:rsidRPr="00B9083B" w:rsidRDefault="00745FEA" w:rsidP="00745FEA">
                  <w:pPr>
                    <w:pStyle w:val="TableBodyText"/>
                    <w:spacing w:after="20"/>
                  </w:pPr>
                  <w:r w:rsidRPr="00212227">
                    <w:t>-12.4</w:t>
                  </w:r>
                </w:p>
              </w:tc>
              <w:tc>
                <w:tcPr>
                  <w:tcW w:w="550" w:type="pct"/>
                </w:tcPr>
                <w:p w:rsidR="00745FEA" w:rsidRPr="00B9083B" w:rsidRDefault="00745FEA" w:rsidP="00745FEA">
                  <w:pPr>
                    <w:pStyle w:val="TableBodyText"/>
                    <w:spacing w:after="20"/>
                  </w:pPr>
                  <w:r w:rsidRPr="00212227">
                    <w:t>31.9</w:t>
                  </w:r>
                </w:p>
              </w:tc>
              <w:tc>
                <w:tcPr>
                  <w:tcW w:w="547" w:type="pct"/>
                </w:tcPr>
                <w:p w:rsidR="00745FEA" w:rsidRPr="00B9083B" w:rsidRDefault="00745FEA" w:rsidP="00745FEA">
                  <w:pPr>
                    <w:pStyle w:val="TableBodyText"/>
                    <w:spacing w:after="20"/>
                  </w:pPr>
                  <w:r w:rsidRPr="00212227">
                    <w:t>33.6</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53.1</w:t>
                  </w:r>
                </w:p>
              </w:tc>
            </w:tr>
            <w:tr w:rsidR="00745FEA" w:rsidTr="00745FEA">
              <w:tc>
                <w:tcPr>
                  <w:tcW w:w="1657" w:type="pct"/>
                </w:tcPr>
                <w:p w:rsidR="00745FEA" w:rsidRPr="007A67BF" w:rsidRDefault="00745FEA" w:rsidP="00745FEA">
                  <w:pPr>
                    <w:pStyle w:val="TableBodyText"/>
                    <w:spacing w:after="20"/>
                    <w:jc w:val="left"/>
                  </w:pPr>
                  <w:r w:rsidRPr="007A67BF">
                    <w:t>Other livestock farming</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-25.2</w:t>
                  </w:r>
                </w:p>
              </w:tc>
              <w:tc>
                <w:tcPr>
                  <w:tcW w:w="570" w:type="pct"/>
                  <w:shd w:val="clear" w:color="auto" w:fill="F2F2F2" w:themeFill="background1" w:themeFillShade="F2"/>
                </w:tcPr>
                <w:p w:rsidR="00745FEA" w:rsidRPr="00B9083B" w:rsidRDefault="00745FEA" w:rsidP="00745FEA">
                  <w:pPr>
                    <w:pStyle w:val="TableBodyText"/>
                    <w:spacing w:after="20"/>
                  </w:pPr>
                  <w:r w:rsidRPr="00212227">
                    <w:t>-25.2</w:t>
                  </w:r>
                </w:p>
              </w:tc>
              <w:tc>
                <w:tcPr>
                  <w:tcW w:w="550" w:type="pct"/>
                </w:tcPr>
                <w:p w:rsidR="00745FEA" w:rsidRPr="00B9083B" w:rsidRDefault="00745FEA" w:rsidP="00745FEA">
                  <w:pPr>
                    <w:pStyle w:val="TableBodyText"/>
                    <w:spacing w:after="20"/>
                  </w:pPr>
                  <w:r w:rsidRPr="00212227">
                    <w:t>38.2</w:t>
                  </w:r>
                </w:p>
              </w:tc>
              <w:tc>
                <w:tcPr>
                  <w:tcW w:w="547" w:type="pct"/>
                </w:tcPr>
                <w:p w:rsidR="00745FEA" w:rsidRPr="00B9083B" w:rsidRDefault="00745FEA" w:rsidP="00745FEA">
                  <w:pPr>
                    <w:pStyle w:val="TableBodyText"/>
                    <w:spacing w:after="20"/>
                  </w:pPr>
                  <w:r w:rsidRPr="00212227">
                    <w:t>24.9</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37.9</w:t>
                  </w:r>
                </w:p>
              </w:tc>
            </w:tr>
            <w:tr w:rsidR="00745FEA" w:rsidTr="00745FEA">
              <w:tc>
                <w:tcPr>
                  <w:tcW w:w="1657" w:type="pct"/>
                </w:tcPr>
                <w:p w:rsidR="00745FEA" w:rsidRPr="007A67BF" w:rsidRDefault="00745FEA" w:rsidP="00745FEA">
                  <w:pPr>
                    <w:pStyle w:val="TableBodyText"/>
                    <w:spacing w:after="20"/>
                    <w:jc w:val="left"/>
                  </w:pPr>
                  <w:r w:rsidRPr="007A67BF">
                    <w:t>Aquaculture and fishing</w:t>
                  </w:r>
                </w:p>
              </w:tc>
              <w:tc>
                <w:tcPr>
                  <w:tcW w:w="569" w:type="pct"/>
                </w:tcPr>
                <w:p w:rsidR="00745FEA" w:rsidRPr="00B9083B" w:rsidRDefault="00745FEA" w:rsidP="00745FEA">
                  <w:pPr>
                    <w:pStyle w:val="TableBodyText"/>
                    <w:spacing w:after="20"/>
                  </w:pPr>
                  <w:r w:rsidRPr="00212227">
                    <w:t>2.8</w:t>
                  </w:r>
                </w:p>
              </w:tc>
              <w:tc>
                <w:tcPr>
                  <w:tcW w:w="540" w:type="pct"/>
                </w:tcPr>
                <w:p w:rsidR="00745FEA" w:rsidRPr="00B9083B" w:rsidRDefault="00745FEA" w:rsidP="00745FEA">
                  <w:pPr>
                    <w:pStyle w:val="TableBodyText"/>
                    <w:spacing w:after="20"/>
                  </w:pPr>
                  <w:r w:rsidRPr="00212227">
                    <w:t>-10.9</w:t>
                  </w:r>
                </w:p>
              </w:tc>
              <w:tc>
                <w:tcPr>
                  <w:tcW w:w="570" w:type="pct"/>
                  <w:shd w:val="clear" w:color="auto" w:fill="F2F2F2" w:themeFill="background1" w:themeFillShade="F2"/>
                </w:tcPr>
                <w:p w:rsidR="00745FEA" w:rsidRPr="00B9083B" w:rsidRDefault="00745FEA" w:rsidP="00745FEA">
                  <w:pPr>
                    <w:pStyle w:val="TableBodyText"/>
                    <w:spacing w:after="20"/>
                  </w:pPr>
                  <w:r w:rsidRPr="00212227">
                    <w:t>-8.2</w:t>
                  </w:r>
                </w:p>
              </w:tc>
              <w:tc>
                <w:tcPr>
                  <w:tcW w:w="550" w:type="pct"/>
                </w:tcPr>
                <w:p w:rsidR="00745FEA" w:rsidRPr="00B9083B" w:rsidRDefault="00745FEA" w:rsidP="00745FEA">
                  <w:pPr>
                    <w:pStyle w:val="TableBodyText"/>
                    <w:spacing w:after="20"/>
                  </w:pPr>
                  <w:r w:rsidRPr="00212227">
                    <w:t>77.5</w:t>
                  </w:r>
                </w:p>
              </w:tc>
              <w:tc>
                <w:tcPr>
                  <w:tcW w:w="547" w:type="pct"/>
                </w:tcPr>
                <w:p w:rsidR="00745FEA" w:rsidRPr="00B9083B" w:rsidRDefault="00745FEA" w:rsidP="00745FEA">
                  <w:pPr>
                    <w:pStyle w:val="TableBodyText"/>
                    <w:spacing w:after="20"/>
                  </w:pPr>
                  <w:r w:rsidRPr="00212227">
                    <w:t>18.6</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87.9</w:t>
                  </w:r>
                </w:p>
              </w:tc>
            </w:tr>
            <w:tr w:rsidR="00745FEA" w:rsidTr="00745FEA">
              <w:tc>
                <w:tcPr>
                  <w:tcW w:w="1657" w:type="pct"/>
                </w:tcPr>
                <w:p w:rsidR="00745FEA" w:rsidRPr="007A67BF" w:rsidRDefault="00745FEA" w:rsidP="00745FEA">
                  <w:pPr>
                    <w:pStyle w:val="TableBodyText"/>
                    <w:spacing w:after="20"/>
                    <w:jc w:val="left"/>
                  </w:pPr>
                  <w:r w:rsidRPr="007A67BF">
                    <w:t>Forestry and logging</w:t>
                  </w:r>
                </w:p>
              </w:tc>
              <w:tc>
                <w:tcPr>
                  <w:tcW w:w="569" w:type="pct"/>
                </w:tcPr>
                <w:p w:rsidR="00745FEA" w:rsidRPr="00B9083B" w:rsidRDefault="00745FEA" w:rsidP="00745FEA">
                  <w:pPr>
                    <w:pStyle w:val="TableBodyText"/>
                    <w:spacing w:after="20"/>
                  </w:pPr>
                  <w:r w:rsidRPr="00212227">
                    <w:t>19.5</w:t>
                  </w:r>
                </w:p>
              </w:tc>
              <w:tc>
                <w:tcPr>
                  <w:tcW w:w="540" w:type="pct"/>
                </w:tcPr>
                <w:p w:rsidR="00745FEA" w:rsidRPr="00B9083B" w:rsidRDefault="00745FEA" w:rsidP="00745FEA">
                  <w:pPr>
                    <w:pStyle w:val="TableBodyText"/>
                    <w:spacing w:after="20"/>
                  </w:pPr>
                  <w:r w:rsidRPr="00212227">
                    <w:t>-2.2</w:t>
                  </w:r>
                </w:p>
              </w:tc>
              <w:tc>
                <w:tcPr>
                  <w:tcW w:w="570" w:type="pct"/>
                  <w:shd w:val="clear" w:color="auto" w:fill="F2F2F2" w:themeFill="background1" w:themeFillShade="F2"/>
                </w:tcPr>
                <w:p w:rsidR="00745FEA" w:rsidRPr="00B9083B" w:rsidRDefault="00745FEA" w:rsidP="00745FEA">
                  <w:pPr>
                    <w:pStyle w:val="TableBodyText"/>
                    <w:spacing w:after="20"/>
                  </w:pPr>
                  <w:r w:rsidRPr="00212227">
                    <w:t>17.3</w:t>
                  </w:r>
                </w:p>
              </w:tc>
              <w:tc>
                <w:tcPr>
                  <w:tcW w:w="550" w:type="pct"/>
                </w:tcPr>
                <w:p w:rsidR="00745FEA" w:rsidRPr="00B9083B" w:rsidRDefault="00745FEA" w:rsidP="00745FEA">
                  <w:pPr>
                    <w:pStyle w:val="TableBodyText"/>
                    <w:spacing w:after="20"/>
                  </w:pPr>
                  <w:r w:rsidRPr="00212227">
                    <w:t>16.0</w:t>
                  </w:r>
                </w:p>
              </w:tc>
              <w:tc>
                <w:tcPr>
                  <w:tcW w:w="547" w:type="pct"/>
                </w:tcPr>
                <w:p w:rsidR="00745FEA" w:rsidRPr="00B9083B" w:rsidRDefault="00745FEA" w:rsidP="00745FEA">
                  <w:pPr>
                    <w:pStyle w:val="TableBodyText"/>
                    <w:spacing w:after="20"/>
                  </w:pPr>
                  <w:r w:rsidRPr="00212227">
                    <w:t>18.4</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51.6</w:t>
                  </w:r>
                </w:p>
              </w:tc>
            </w:tr>
            <w:tr w:rsidR="00745FEA" w:rsidTr="00745FEA">
              <w:tc>
                <w:tcPr>
                  <w:tcW w:w="1657" w:type="pct"/>
                </w:tcPr>
                <w:p w:rsidR="00745FEA" w:rsidRPr="007A67BF" w:rsidRDefault="00745FEA" w:rsidP="00745FEA">
                  <w:pPr>
                    <w:pStyle w:val="TableBodyText"/>
                    <w:spacing w:after="20"/>
                    <w:jc w:val="left"/>
                  </w:pPr>
                  <w:r w:rsidRPr="007A67BF">
                    <w:t>Primary production services</w:t>
                  </w:r>
                </w:p>
              </w:tc>
              <w:tc>
                <w:tcPr>
                  <w:tcW w:w="569" w:type="pct"/>
                </w:tcPr>
                <w:p w:rsidR="00745FEA" w:rsidRPr="00B9083B" w:rsidRDefault="00745FEA" w:rsidP="00745FEA">
                  <w:pPr>
                    <w:pStyle w:val="TableBodyText"/>
                    <w:spacing w:after="20"/>
                  </w:pPr>
                  <w:r w:rsidRPr="00212227">
                    <w:t>27.4</w:t>
                  </w:r>
                </w:p>
              </w:tc>
              <w:tc>
                <w:tcPr>
                  <w:tcW w:w="540" w:type="pct"/>
                </w:tcPr>
                <w:p w:rsidR="00745FEA" w:rsidRPr="00B9083B" w:rsidRDefault="00745FEA" w:rsidP="00745FEA">
                  <w:pPr>
                    <w:pStyle w:val="TableBodyText"/>
                    <w:spacing w:after="20"/>
                  </w:pPr>
                  <w:r w:rsidRPr="00212227">
                    <w:t>-53.0</w:t>
                  </w:r>
                </w:p>
              </w:tc>
              <w:tc>
                <w:tcPr>
                  <w:tcW w:w="570" w:type="pct"/>
                  <w:shd w:val="clear" w:color="auto" w:fill="F2F2F2" w:themeFill="background1" w:themeFillShade="F2"/>
                </w:tcPr>
                <w:p w:rsidR="00745FEA" w:rsidRPr="00B9083B" w:rsidRDefault="00745FEA" w:rsidP="00745FEA">
                  <w:pPr>
                    <w:pStyle w:val="TableBodyText"/>
                    <w:spacing w:after="20"/>
                  </w:pPr>
                  <w:r w:rsidRPr="00212227">
                    <w:t>-25.6</w:t>
                  </w:r>
                </w:p>
              </w:tc>
              <w:tc>
                <w:tcPr>
                  <w:tcW w:w="550" w:type="pct"/>
                </w:tcPr>
                <w:p w:rsidR="00745FEA" w:rsidRPr="00B9083B" w:rsidRDefault="00745FEA" w:rsidP="00745FEA">
                  <w:pPr>
                    <w:pStyle w:val="TableBodyText"/>
                    <w:spacing w:after="20"/>
                  </w:pPr>
                  <w:r w:rsidRPr="00212227">
                    <w:t>8.7</w:t>
                  </w:r>
                </w:p>
              </w:tc>
              <w:tc>
                <w:tcPr>
                  <w:tcW w:w="547" w:type="pct"/>
                </w:tcPr>
                <w:p w:rsidR="00745FEA" w:rsidRPr="00B9083B" w:rsidRDefault="00745FEA" w:rsidP="00745FEA">
                  <w:pPr>
                    <w:pStyle w:val="TableBodyText"/>
                    <w:spacing w:after="20"/>
                  </w:pPr>
                  <w:r w:rsidRPr="00212227">
                    <w:t>28.0</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11.1</w:t>
                  </w:r>
                </w:p>
              </w:tc>
            </w:tr>
            <w:tr w:rsidR="00745FEA" w:rsidTr="00745FEA">
              <w:tc>
                <w:tcPr>
                  <w:tcW w:w="1657" w:type="pct"/>
                </w:tcPr>
                <w:p w:rsidR="00745FEA" w:rsidRPr="007A67BF" w:rsidRDefault="00745FEA" w:rsidP="00745FEA">
                  <w:pPr>
                    <w:pStyle w:val="TableBodyText"/>
                    <w:spacing w:after="20"/>
                    <w:jc w:val="left"/>
                  </w:pPr>
                  <w:r w:rsidRPr="007A67BF">
                    <w:t>Unallocated primary production</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w:t>
                  </w:r>
                </w:p>
              </w:tc>
              <w:tc>
                <w:tcPr>
                  <w:tcW w:w="570" w:type="pct"/>
                  <w:shd w:val="clear" w:color="auto" w:fill="F2F2F2" w:themeFill="background1" w:themeFillShade="F2"/>
                </w:tcPr>
                <w:p w:rsidR="00745FEA" w:rsidRPr="00B9083B" w:rsidRDefault="00745FEA" w:rsidP="00745FEA">
                  <w:pPr>
                    <w:pStyle w:val="TableBodyText"/>
                    <w:spacing w:after="20"/>
                  </w:pPr>
                  <w:r w:rsidRPr="00212227">
                    <w:t>–</w:t>
                  </w:r>
                </w:p>
              </w:tc>
              <w:tc>
                <w:tcPr>
                  <w:tcW w:w="550" w:type="pct"/>
                </w:tcPr>
                <w:p w:rsidR="00745FEA" w:rsidRPr="00B9083B" w:rsidRDefault="00745FEA" w:rsidP="00745FEA">
                  <w:pPr>
                    <w:pStyle w:val="TableBodyText"/>
                    <w:spacing w:after="20"/>
                  </w:pPr>
                  <w:r w:rsidRPr="00212227">
                    <w:t>310.6</w:t>
                  </w:r>
                </w:p>
              </w:tc>
              <w:tc>
                <w:tcPr>
                  <w:tcW w:w="547" w:type="pct"/>
                </w:tcPr>
                <w:p w:rsidR="00745FEA" w:rsidRPr="00B9083B" w:rsidRDefault="00745FEA" w:rsidP="00745FEA">
                  <w:pPr>
                    <w:pStyle w:val="TableBodyText"/>
                    <w:spacing w:after="20"/>
                  </w:pPr>
                  <w:r w:rsidRPr="00212227">
                    <w:t>4.1</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314.7</w:t>
                  </w:r>
                </w:p>
              </w:tc>
            </w:tr>
            <w:tr w:rsidR="00745FEA" w:rsidRPr="00035962" w:rsidTr="00745FEA">
              <w:tc>
                <w:tcPr>
                  <w:tcW w:w="1657" w:type="pct"/>
                </w:tcPr>
                <w:p w:rsidR="00745FEA" w:rsidRPr="00035962" w:rsidRDefault="00745FEA" w:rsidP="00745FEA">
                  <w:pPr>
                    <w:pStyle w:val="TableBodyText"/>
                    <w:jc w:val="left"/>
                    <w:rPr>
                      <w:b/>
                    </w:rPr>
                  </w:pPr>
                  <w:r w:rsidRPr="00035962">
                    <w:rPr>
                      <w:b/>
                    </w:rPr>
                    <w:t>Mining</w:t>
                  </w:r>
                </w:p>
              </w:tc>
              <w:tc>
                <w:tcPr>
                  <w:tcW w:w="569" w:type="pct"/>
                </w:tcPr>
                <w:p w:rsidR="00745FEA" w:rsidRPr="00035962" w:rsidRDefault="00745FEA" w:rsidP="00745FEA">
                  <w:pPr>
                    <w:pStyle w:val="TableBodyText"/>
                    <w:rPr>
                      <w:b/>
                    </w:rPr>
                  </w:pPr>
                  <w:r w:rsidRPr="00035962">
                    <w:rPr>
                      <w:b/>
                    </w:rPr>
                    <w:t>1.6</w:t>
                  </w:r>
                </w:p>
              </w:tc>
              <w:tc>
                <w:tcPr>
                  <w:tcW w:w="540" w:type="pct"/>
                </w:tcPr>
                <w:p w:rsidR="00745FEA" w:rsidRPr="00035962" w:rsidRDefault="00745FEA" w:rsidP="00745FEA">
                  <w:pPr>
                    <w:pStyle w:val="TableBodyText"/>
                    <w:rPr>
                      <w:b/>
                    </w:rPr>
                  </w:pPr>
                  <w:r w:rsidRPr="00035962">
                    <w:rPr>
                      <w:b/>
                    </w:rPr>
                    <w:t>-309.4</w:t>
                  </w:r>
                </w:p>
              </w:tc>
              <w:tc>
                <w:tcPr>
                  <w:tcW w:w="570" w:type="pct"/>
                  <w:shd w:val="clear" w:color="auto" w:fill="F2F2F2" w:themeFill="background1" w:themeFillShade="F2"/>
                </w:tcPr>
                <w:p w:rsidR="00745FEA" w:rsidRPr="00035962" w:rsidRDefault="00745FEA" w:rsidP="00745FEA">
                  <w:pPr>
                    <w:pStyle w:val="TableBodyText"/>
                    <w:rPr>
                      <w:b/>
                    </w:rPr>
                  </w:pPr>
                  <w:r w:rsidRPr="00035962">
                    <w:rPr>
                      <w:b/>
                    </w:rPr>
                    <w:t>-307.8</w:t>
                  </w:r>
                </w:p>
              </w:tc>
              <w:tc>
                <w:tcPr>
                  <w:tcW w:w="550" w:type="pct"/>
                </w:tcPr>
                <w:p w:rsidR="00745FEA" w:rsidRPr="00035962" w:rsidRDefault="00745FEA" w:rsidP="00745FEA">
                  <w:pPr>
                    <w:pStyle w:val="TableBodyText"/>
                    <w:rPr>
                      <w:b/>
                    </w:rPr>
                  </w:pPr>
                  <w:r w:rsidRPr="00035962">
                    <w:rPr>
                      <w:b/>
                    </w:rPr>
                    <w:t>238.9</w:t>
                  </w:r>
                </w:p>
              </w:tc>
              <w:tc>
                <w:tcPr>
                  <w:tcW w:w="547" w:type="pct"/>
                </w:tcPr>
                <w:p w:rsidR="00745FEA" w:rsidRPr="00035962" w:rsidRDefault="00745FEA" w:rsidP="00745FEA">
                  <w:pPr>
                    <w:pStyle w:val="TableBodyText"/>
                    <w:rPr>
                      <w:b/>
                    </w:rPr>
                  </w:pPr>
                  <w:r w:rsidRPr="00035962">
                    <w:rPr>
                      <w:b/>
                    </w:rPr>
                    <w:t>282.9</w:t>
                  </w:r>
                </w:p>
              </w:tc>
              <w:tc>
                <w:tcPr>
                  <w:tcW w:w="567" w:type="pct"/>
                  <w:shd w:val="clear" w:color="auto" w:fill="F2F2F2" w:themeFill="background1" w:themeFillShade="F2"/>
                </w:tcPr>
                <w:p w:rsidR="00745FEA" w:rsidRPr="00035962" w:rsidRDefault="00745FEA" w:rsidP="00745FEA">
                  <w:pPr>
                    <w:pStyle w:val="TableBodyText"/>
                    <w:ind w:right="28"/>
                    <w:rPr>
                      <w:b/>
                    </w:rPr>
                  </w:pPr>
                  <w:r w:rsidRPr="00035962">
                    <w:rPr>
                      <w:b/>
                    </w:rPr>
                    <w:t>214.1</w:t>
                  </w:r>
                </w:p>
              </w:tc>
            </w:tr>
            <w:tr w:rsidR="00745FEA" w:rsidRPr="00035962" w:rsidTr="00745FEA">
              <w:tc>
                <w:tcPr>
                  <w:tcW w:w="1657" w:type="pct"/>
                </w:tcPr>
                <w:p w:rsidR="00745FEA" w:rsidRPr="00035962" w:rsidRDefault="00745FEA" w:rsidP="00745FEA">
                  <w:pPr>
                    <w:pStyle w:val="TableBodyText"/>
                    <w:jc w:val="left"/>
                    <w:rPr>
                      <w:b/>
                    </w:rPr>
                  </w:pPr>
                  <w:r w:rsidRPr="00035962">
                    <w:rPr>
                      <w:b/>
                    </w:rPr>
                    <w:t>Manufacturing</w:t>
                  </w:r>
                </w:p>
              </w:tc>
              <w:tc>
                <w:tcPr>
                  <w:tcW w:w="569" w:type="pct"/>
                </w:tcPr>
                <w:p w:rsidR="00745FEA" w:rsidRPr="00035962" w:rsidRDefault="00745FEA" w:rsidP="00745FEA">
                  <w:pPr>
                    <w:pStyle w:val="TableBodyText"/>
                    <w:rPr>
                      <w:b/>
                    </w:rPr>
                  </w:pPr>
                  <w:r w:rsidRPr="00035962">
                    <w:rPr>
                      <w:b/>
                    </w:rPr>
                    <w:t>6299.0</w:t>
                  </w:r>
                </w:p>
              </w:tc>
              <w:tc>
                <w:tcPr>
                  <w:tcW w:w="540" w:type="pct"/>
                </w:tcPr>
                <w:p w:rsidR="00745FEA" w:rsidRPr="00035962" w:rsidRDefault="00745FEA" w:rsidP="00745FEA">
                  <w:pPr>
                    <w:pStyle w:val="TableBodyText"/>
                    <w:rPr>
                      <w:b/>
                    </w:rPr>
                  </w:pPr>
                  <w:r w:rsidRPr="00035962">
                    <w:rPr>
                      <w:b/>
                    </w:rPr>
                    <w:t>-1649.9</w:t>
                  </w:r>
                </w:p>
              </w:tc>
              <w:tc>
                <w:tcPr>
                  <w:tcW w:w="570" w:type="pct"/>
                  <w:shd w:val="clear" w:color="auto" w:fill="F2F2F2" w:themeFill="background1" w:themeFillShade="F2"/>
                </w:tcPr>
                <w:p w:rsidR="00745FEA" w:rsidRPr="00035962" w:rsidRDefault="00745FEA" w:rsidP="00745FEA">
                  <w:pPr>
                    <w:pStyle w:val="TableBodyText"/>
                    <w:rPr>
                      <w:b/>
                    </w:rPr>
                  </w:pPr>
                  <w:r w:rsidRPr="00035962">
                    <w:rPr>
                      <w:b/>
                    </w:rPr>
                    <w:t>4649.1</w:t>
                  </w:r>
                </w:p>
              </w:tc>
              <w:tc>
                <w:tcPr>
                  <w:tcW w:w="550" w:type="pct"/>
                </w:tcPr>
                <w:p w:rsidR="00745FEA" w:rsidRPr="00035962" w:rsidRDefault="00745FEA" w:rsidP="00745FEA">
                  <w:pPr>
                    <w:pStyle w:val="TableBodyText"/>
                    <w:rPr>
                      <w:b/>
                    </w:rPr>
                  </w:pPr>
                  <w:r w:rsidRPr="00035962">
                    <w:rPr>
                      <w:b/>
                    </w:rPr>
                    <w:t>1179.2</w:t>
                  </w:r>
                </w:p>
              </w:tc>
              <w:tc>
                <w:tcPr>
                  <w:tcW w:w="547" w:type="pct"/>
                </w:tcPr>
                <w:p w:rsidR="00745FEA" w:rsidRPr="00035962" w:rsidRDefault="00745FEA" w:rsidP="00745FEA">
                  <w:pPr>
                    <w:pStyle w:val="TableBodyText"/>
                    <w:rPr>
                      <w:b/>
                    </w:rPr>
                  </w:pPr>
                  <w:r w:rsidRPr="00035962">
                    <w:rPr>
                      <w:b/>
                    </w:rPr>
                    <w:t>550.5</w:t>
                  </w:r>
                </w:p>
              </w:tc>
              <w:tc>
                <w:tcPr>
                  <w:tcW w:w="567" w:type="pct"/>
                  <w:shd w:val="clear" w:color="auto" w:fill="F2F2F2" w:themeFill="background1" w:themeFillShade="F2"/>
                </w:tcPr>
                <w:p w:rsidR="00745FEA" w:rsidRPr="00035962" w:rsidRDefault="00745FEA" w:rsidP="00745FEA">
                  <w:pPr>
                    <w:pStyle w:val="TableBodyText"/>
                    <w:ind w:right="28"/>
                    <w:rPr>
                      <w:b/>
                    </w:rPr>
                  </w:pPr>
                  <w:r w:rsidRPr="00035962">
                    <w:rPr>
                      <w:b/>
                    </w:rPr>
                    <w:t>6378.9</w:t>
                  </w:r>
                </w:p>
              </w:tc>
            </w:tr>
            <w:tr w:rsidR="00745FEA" w:rsidTr="00745FEA">
              <w:tc>
                <w:tcPr>
                  <w:tcW w:w="1657" w:type="pct"/>
                </w:tcPr>
                <w:p w:rsidR="00745FEA" w:rsidRPr="007A67BF" w:rsidRDefault="00745FEA" w:rsidP="00745FEA">
                  <w:pPr>
                    <w:pStyle w:val="TableBodyText"/>
                    <w:spacing w:after="20"/>
                    <w:jc w:val="left"/>
                  </w:pPr>
                  <w:r w:rsidRPr="007A67BF">
                    <w:t>Food, beverages and tobacco</w:t>
                  </w:r>
                </w:p>
              </w:tc>
              <w:tc>
                <w:tcPr>
                  <w:tcW w:w="569" w:type="pct"/>
                </w:tcPr>
                <w:p w:rsidR="00745FEA" w:rsidRPr="00B9083B" w:rsidRDefault="00745FEA" w:rsidP="00745FEA">
                  <w:pPr>
                    <w:pStyle w:val="TableBodyText"/>
                    <w:spacing w:after="20"/>
                  </w:pPr>
                  <w:r w:rsidRPr="00212227">
                    <w:t>2108.6</w:t>
                  </w:r>
                </w:p>
              </w:tc>
              <w:tc>
                <w:tcPr>
                  <w:tcW w:w="540" w:type="pct"/>
                </w:tcPr>
                <w:p w:rsidR="00745FEA" w:rsidRPr="00B9083B" w:rsidRDefault="00745FEA" w:rsidP="00745FEA">
                  <w:pPr>
                    <w:pStyle w:val="TableBodyText"/>
                    <w:spacing w:after="20"/>
                  </w:pPr>
                  <w:r w:rsidRPr="00212227">
                    <w:t>-732.2</w:t>
                  </w:r>
                </w:p>
              </w:tc>
              <w:tc>
                <w:tcPr>
                  <w:tcW w:w="570" w:type="pct"/>
                  <w:shd w:val="clear" w:color="auto" w:fill="F2F2F2" w:themeFill="background1" w:themeFillShade="F2"/>
                </w:tcPr>
                <w:p w:rsidR="00745FEA" w:rsidRPr="00B9083B" w:rsidRDefault="00745FEA" w:rsidP="00745FEA">
                  <w:pPr>
                    <w:pStyle w:val="TableBodyText"/>
                    <w:spacing w:after="20"/>
                  </w:pPr>
                  <w:r w:rsidRPr="00212227">
                    <w:t>1376.4</w:t>
                  </w:r>
                </w:p>
              </w:tc>
              <w:tc>
                <w:tcPr>
                  <w:tcW w:w="550" w:type="pct"/>
                </w:tcPr>
                <w:p w:rsidR="00745FEA" w:rsidRPr="00B9083B" w:rsidRDefault="00745FEA" w:rsidP="00745FEA">
                  <w:pPr>
                    <w:pStyle w:val="TableBodyText"/>
                    <w:spacing w:after="20"/>
                  </w:pPr>
                  <w:r w:rsidRPr="00212227">
                    <w:t>83.0</w:t>
                  </w:r>
                </w:p>
              </w:tc>
              <w:tc>
                <w:tcPr>
                  <w:tcW w:w="547" w:type="pct"/>
                </w:tcPr>
                <w:p w:rsidR="00745FEA" w:rsidRPr="00B9083B" w:rsidRDefault="00745FEA" w:rsidP="00745FEA">
                  <w:pPr>
                    <w:pStyle w:val="TableBodyText"/>
                    <w:spacing w:after="20"/>
                  </w:pPr>
                  <w:r w:rsidRPr="00212227">
                    <w:t>51.7</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1511.1</w:t>
                  </w:r>
                </w:p>
              </w:tc>
            </w:tr>
            <w:tr w:rsidR="00745FEA" w:rsidTr="00745FEA">
              <w:tc>
                <w:tcPr>
                  <w:tcW w:w="1657" w:type="pct"/>
                </w:tcPr>
                <w:p w:rsidR="00745FEA" w:rsidRPr="007A67BF" w:rsidRDefault="00745FEA" w:rsidP="00745FEA">
                  <w:pPr>
                    <w:pStyle w:val="TableBodyText"/>
                    <w:spacing w:after="20"/>
                    <w:jc w:val="left"/>
                  </w:pPr>
                  <w:r w:rsidRPr="007A67BF">
                    <w:t>Textiles, clothing and footwear</w:t>
                  </w:r>
                </w:p>
              </w:tc>
              <w:tc>
                <w:tcPr>
                  <w:tcW w:w="569" w:type="pct"/>
                </w:tcPr>
                <w:p w:rsidR="00745FEA" w:rsidRPr="00B9083B" w:rsidRDefault="00745FEA" w:rsidP="00745FEA">
                  <w:pPr>
                    <w:pStyle w:val="TableBodyText"/>
                    <w:spacing w:after="20"/>
                  </w:pPr>
                  <w:r w:rsidRPr="00212227">
                    <w:t>111.4</w:t>
                  </w:r>
                </w:p>
              </w:tc>
              <w:tc>
                <w:tcPr>
                  <w:tcW w:w="540" w:type="pct"/>
                </w:tcPr>
                <w:p w:rsidR="00745FEA" w:rsidRPr="00B9083B" w:rsidRDefault="00745FEA" w:rsidP="00745FEA">
                  <w:pPr>
                    <w:pStyle w:val="TableBodyText"/>
                    <w:spacing w:after="20"/>
                  </w:pPr>
                  <w:r w:rsidRPr="00212227">
                    <w:t>-29.3</w:t>
                  </w:r>
                </w:p>
              </w:tc>
              <w:tc>
                <w:tcPr>
                  <w:tcW w:w="570" w:type="pct"/>
                  <w:shd w:val="clear" w:color="auto" w:fill="F2F2F2" w:themeFill="background1" w:themeFillShade="F2"/>
                </w:tcPr>
                <w:p w:rsidR="00745FEA" w:rsidRPr="00B9083B" w:rsidRDefault="00745FEA" w:rsidP="00745FEA">
                  <w:pPr>
                    <w:pStyle w:val="TableBodyText"/>
                    <w:spacing w:after="20"/>
                  </w:pPr>
                  <w:r w:rsidRPr="00212227">
                    <w:t>82.1</w:t>
                  </w:r>
                </w:p>
              </w:tc>
              <w:tc>
                <w:tcPr>
                  <w:tcW w:w="550" w:type="pct"/>
                </w:tcPr>
                <w:p w:rsidR="00745FEA" w:rsidRPr="00B9083B" w:rsidRDefault="00745FEA" w:rsidP="00745FEA">
                  <w:pPr>
                    <w:pStyle w:val="TableBodyText"/>
                    <w:spacing w:after="20"/>
                  </w:pPr>
                  <w:r w:rsidRPr="00212227">
                    <w:t>23.8</w:t>
                  </w:r>
                </w:p>
              </w:tc>
              <w:tc>
                <w:tcPr>
                  <w:tcW w:w="547" w:type="pct"/>
                </w:tcPr>
                <w:p w:rsidR="00745FEA" w:rsidRPr="00B9083B" w:rsidRDefault="00745FEA" w:rsidP="00745FEA">
                  <w:pPr>
                    <w:pStyle w:val="TableBodyText"/>
                    <w:spacing w:after="20"/>
                  </w:pPr>
                  <w:r w:rsidRPr="00212227">
                    <w:t>14.1</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120.0</w:t>
                  </w:r>
                </w:p>
              </w:tc>
            </w:tr>
            <w:tr w:rsidR="00745FEA" w:rsidTr="00745FEA">
              <w:tc>
                <w:tcPr>
                  <w:tcW w:w="1657" w:type="pct"/>
                </w:tcPr>
                <w:p w:rsidR="00745FEA" w:rsidRPr="007A67BF" w:rsidRDefault="00745FEA" w:rsidP="00745FEA">
                  <w:pPr>
                    <w:pStyle w:val="TableBodyText"/>
                    <w:spacing w:after="20"/>
                    <w:jc w:val="left"/>
                  </w:pPr>
                  <w:r w:rsidRPr="007A67BF">
                    <w:t>Wood and paper products</w:t>
                  </w:r>
                </w:p>
              </w:tc>
              <w:tc>
                <w:tcPr>
                  <w:tcW w:w="569" w:type="pct"/>
                </w:tcPr>
                <w:p w:rsidR="00745FEA" w:rsidRPr="00B9083B" w:rsidRDefault="00745FEA" w:rsidP="00745FEA">
                  <w:pPr>
                    <w:pStyle w:val="TableBodyText"/>
                    <w:spacing w:after="20"/>
                  </w:pPr>
                  <w:r w:rsidRPr="00212227">
                    <w:t>673.2</w:t>
                  </w:r>
                </w:p>
              </w:tc>
              <w:tc>
                <w:tcPr>
                  <w:tcW w:w="540" w:type="pct"/>
                </w:tcPr>
                <w:p w:rsidR="00745FEA" w:rsidRPr="00B9083B" w:rsidRDefault="00745FEA" w:rsidP="00745FEA">
                  <w:pPr>
                    <w:pStyle w:val="TableBodyText"/>
                    <w:spacing w:after="20"/>
                  </w:pPr>
                  <w:r w:rsidRPr="00212227">
                    <w:t>-113.6</w:t>
                  </w:r>
                </w:p>
              </w:tc>
              <w:tc>
                <w:tcPr>
                  <w:tcW w:w="570" w:type="pct"/>
                  <w:shd w:val="clear" w:color="auto" w:fill="F2F2F2" w:themeFill="background1" w:themeFillShade="F2"/>
                </w:tcPr>
                <w:p w:rsidR="00745FEA" w:rsidRPr="00B9083B" w:rsidRDefault="00745FEA" w:rsidP="00745FEA">
                  <w:pPr>
                    <w:pStyle w:val="TableBodyText"/>
                    <w:spacing w:after="20"/>
                  </w:pPr>
                  <w:r w:rsidRPr="00212227">
                    <w:t>559.5</w:t>
                  </w:r>
                </w:p>
              </w:tc>
              <w:tc>
                <w:tcPr>
                  <w:tcW w:w="550" w:type="pct"/>
                </w:tcPr>
                <w:p w:rsidR="00745FEA" w:rsidRPr="00B9083B" w:rsidRDefault="00745FEA" w:rsidP="00745FEA">
                  <w:pPr>
                    <w:pStyle w:val="TableBodyText"/>
                    <w:spacing w:after="20"/>
                  </w:pPr>
                  <w:r w:rsidRPr="00212227">
                    <w:t>13.4</w:t>
                  </w:r>
                </w:p>
              </w:tc>
              <w:tc>
                <w:tcPr>
                  <w:tcW w:w="547" w:type="pct"/>
                </w:tcPr>
                <w:p w:rsidR="00745FEA" w:rsidRPr="00B9083B" w:rsidRDefault="00745FEA" w:rsidP="00745FEA">
                  <w:pPr>
                    <w:pStyle w:val="TableBodyText"/>
                    <w:spacing w:after="20"/>
                  </w:pPr>
                  <w:r w:rsidRPr="00212227">
                    <w:t>16.8</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589.7</w:t>
                  </w:r>
                </w:p>
              </w:tc>
            </w:tr>
            <w:tr w:rsidR="00745FEA" w:rsidTr="00745FEA">
              <w:tc>
                <w:tcPr>
                  <w:tcW w:w="1657" w:type="pct"/>
                </w:tcPr>
                <w:p w:rsidR="00745FEA" w:rsidRPr="007A67BF" w:rsidRDefault="00745FEA" w:rsidP="00745FEA">
                  <w:pPr>
                    <w:pStyle w:val="TableBodyText"/>
                    <w:spacing w:after="20"/>
                    <w:jc w:val="left"/>
                  </w:pPr>
                  <w:r w:rsidRPr="007A67BF">
                    <w:t>Printing and recorded media</w:t>
                  </w:r>
                </w:p>
              </w:tc>
              <w:tc>
                <w:tcPr>
                  <w:tcW w:w="569" w:type="pct"/>
                </w:tcPr>
                <w:p w:rsidR="00745FEA" w:rsidRPr="00B9083B" w:rsidRDefault="00745FEA" w:rsidP="00745FEA">
                  <w:pPr>
                    <w:pStyle w:val="TableBodyText"/>
                    <w:spacing w:after="20"/>
                  </w:pPr>
                  <w:r w:rsidRPr="00212227">
                    <w:t>109.4</w:t>
                  </w:r>
                </w:p>
              </w:tc>
              <w:tc>
                <w:tcPr>
                  <w:tcW w:w="540" w:type="pct"/>
                </w:tcPr>
                <w:p w:rsidR="00745FEA" w:rsidRPr="00B9083B" w:rsidRDefault="00745FEA" w:rsidP="00745FEA">
                  <w:pPr>
                    <w:pStyle w:val="TableBodyText"/>
                    <w:spacing w:after="20"/>
                  </w:pPr>
                  <w:r w:rsidRPr="00212227">
                    <w:t>-29.5</w:t>
                  </w:r>
                </w:p>
              </w:tc>
              <w:tc>
                <w:tcPr>
                  <w:tcW w:w="570" w:type="pct"/>
                  <w:shd w:val="clear" w:color="auto" w:fill="F2F2F2" w:themeFill="background1" w:themeFillShade="F2"/>
                </w:tcPr>
                <w:p w:rsidR="00745FEA" w:rsidRPr="00B9083B" w:rsidRDefault="00745FEA" w:rsidP="00745FEA">
                  <w:pPr>
                    <w:pStyle w:val="TableBodyText"/>
                    <w:spacing w:after="20"/>
                  </w:pPr>
                  <w:r w:rsidRPr="00212227">
                    <w:t>79.8</w:t>
                  </w:r>
                </w:p>
              </w:tc>
              <w:tc>
                <w:tcPr>
                  <w:tcW w:w="550" w:type="pct"/>
                </w:tcPr>
                <w:p w:rsidR="00745FEA" w:rsidRPr="00B9083B" w:rsidRDefault="00745FEA" w:rsidP="00745FEA">
                  <w:pPr>
                    <w:pStyle w:val="TableBodyText"/>
                    <w:spacing w:after="20"/>
                  </w:pPr>
                  <w:r w:rsidRPr="00212227">
                    <w:t>58.3</w:t>
                  </w:r>
                </w:p>
              </w:tc>
              <w:tc>
                <w:tcPr>
                  <w:tcW w:w="547" w:type="pct"/>
                </w:tcPr>
                <w:p w:rsidR="00745FEA" w:rsidRPr="00B9083B" w:rsidRDefault="00745FEA" w:rsidP="00745FEA">
                  <w:pPr>
                    <w:pStyle w:val="TableBodyText"/>
                    <w:spacing w:after="20"/>
                  </w:pPr>
                  <w:r w:rsidRPr="00212227">
                    <w:t>15.1</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153.2</w:t>
                  </w:r>
                </w:p>
              </w:tc>
            </w:tr>
            <w:tr w:rsidR="00745FEA" w:rsidTr="00745FEA">
              <w:tc>
                <w:tcPr>
                  <w:tcW w:w="1657" w:type="pct"/>
                </w:tcPr>
                <w:p w:rsidR="00745FEA" w:rsidRPr="007A67BF" w:rsidRDefault="00745FEA" w:rsidP="00745FEA">
                  <w:pPr>
                    <w:pStyle w:val="TableBodyText"/>
                    <w:spacing w:after="20"/>
                    <w:jc w:val="left"/>
                  </w:pPr>
                  <w:r w:rsidRPr="007A67BF">
                    <w:t>Petroleum, coal and chemicals</w:t>
                  </w:r>
                </w:p>
              </w:tc>
              <w:tc>
                <w:tcPr>
                  <w:tcW w:w="569" w:type="pct"/>
                </w:tcPr>
                <w:p w:rsidR="00745FEA" w:rsidRPr="00B9083B" w:rsidRDefault="00745FEA" w:rsidP="00745FEA">
                  <w:pPr>
                    <w:pStyle w:val="TableBodyText"/>
                    <w:spacing w:after="20"/>
                  </w:pPr>
                  <w:r w:rsidRPr="00212227">
                    <w:t>617.0</w:t>
                  </w:r>
                </w:p>
              </w:tc>
              <w:tc>
                <w:tcPr>
                  <w:tcW w:w="540" w:type="pct"/>
                </w:tcPr>
                <w:p w:rsidR="00745FEA" w:rsidRPr="00B9083B" w:rsidRDefault="00745FEA" w:rsidP="00745FEA">
                  <w:pPr>
                    <w:pStyle w:val="TableBodyText"/>
                    <w:spacing w:after="20"/>
                  </w:pPr>
                  <w:r w:rsidRPr="00212227">
                    <w:t>-130.6</w:t>
                  </w:r>
                </w:p>
              </w:tc>
              <w:tc>
                <w:tcPr>
                  <w:tcW w:w="570" w:type="pct"/>
                  <w:shd w:val="clear" w:color="auto" w:fill="F2F2F2" w:themeFill="background1" w:themeFillShade="F2"/>
                </w:tcPr>
                <w:p w:rsidR="00745FEA" w:rsidRPr="00B9083B" w:rsidRDefault="00745FEA" w:rsidP="00745FEA">
                  <w:pPr>
                    <w:pStyle w:val="TableBodyText"/>
                    <w:spacing w:after="20"/>
                  </w:pPr>
                  <w:r w:rsidRPr="00212227">
                    <w:t>486.3</w:t>
                  </w:r>
                </w:p>
              </w:tc>
              <w:tc>
                <w:tcPr>
                  <w:tcW w:w="550" w:type="pct"/>
                </w:tcPr>
                <w:p w:rsidR="00745FEA" w:rsidRPr="00B9083B" w:rsidRDefault="00745FEA" w:rsidP="00745FEA">
                  <w:pPr>
                    <w:pStyle w:val="TableBodyText"/>
                    <w:spacing w:after="20"/>
                  </w:pPr>
                  <w:r w:rsidRPr="00212227">
                    <w:t>203.5</w:t>
                  </w:r>
                </w:p>
              </w:tc>
              <w:tc>
                <w:tcPr>
                  <w:tcW w:w="547" w:type="pct"/>
                </w:tcPr>
                <w:p w:rsidR="00745FEA" w:rsidRPr="00B9083B" w:rsidRDefault="00745FEA" w:rsidP="00745FEA">
                  <w:pPr>
                    <w:pStyle w:val="TableBodyText"/>
                    <w:spacing w:after="20"/>
                  </w:pPr>
                  <w:r w:rsidRPr="00212227">
                    <w:t>35.3</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725.1</w:t>
                  </w:r>
                </w:p>
              </w:tc>
            </w:tr>
            <w:tr w:rsidR="00745FEA" w:rsidTr="00745FEA">
              <w:tc>
                <w:tcPr>
                  <w:tcW w:w="1657" w:type="pct"/>
                </w:tcPr>
                <w:p w:rsidR="00745FEA" w:rsidRPr="007A67BF" w:rsidRDefault="00745FEA" w:rsidP="00745FEA">
                  <w:pPr>
                    <w:pStyle w:val="TableBodyText"/>
                    <w:spacing w:after="20"/>
                    <w:jc w:val="left"/>
                  </w:pPr>
                  <w:r w:rsidRPr="007A67BF">
                    <w:t>Non</w:t>
                  </w:r>
                  <w:r>
                    <w:noBreakHyphen/>
                  </w:r>
                  <w:r w:rsidRPr="007A67BF">
                    <w:t>metallic mineral products</w:t>
                  </w:r>
                </w:p>
              </w:tc>
              <w:tc>
                <w:tcPr>
                  <w:tcW w:w="569" w:type="pct"/>
                </w:tcPr>
                <w:p w:rsidR="00745FEA" w:rsidRPr="00B9083B" w:rsidRDefault="00745FEA" w:rsidP="00745FEA">
                  <w:pPr>
                    <w:pStyle w:val="TableBodyText"/>
                    <w:spacing w:after="20"/>
                  </w:pPr>
                  <w:r w:rsidRPr="00212227">
                    <w:t>319.8</w:t>
                  </w:r>
                </w:p>
              </w:tc>
              <w:tc>
                <w:tcPr>
                  <w:tcW w:w="540" w:type="pct"/>
                </w:tcPr>
                <w:p w:rsidR="00745FEA" w:rsidRPr="00B9083B" w:rsidRDefault="00745FEA" w:rsidP="00745FEA">
                  <w:pPr>
                    <w:pStyle w:val="TableBodyText"/>
                    <w:spacing w:after="20"/>
                  </w:pPr>
                  <w:r w:rsidRPr="00212227">
                    <w:t>-53.8</w:t>
                  </w:r>
                </w:p>
              </w:tc>
              <w:tc>
                <w:tcPr>
                  <w:tcW w:w="570" w:type="pct"/>
                  <w:shd w:val="clear" w:color="auto" w:fill="F2F2F2" w:themeFill="background1" w:themeFillShade="F2"/>
                </w:tcPr>
                <w:p w:rsidR="00745FEA" w:rsidRPr="00B9083B" w:rsidRDefault="00745FEA" w:rsidP="00745FEA">
                  <w:pPr>
                    <w:pStyle w:val="TableBodyText"/>
                    <w:spacing w:after="20"/>
                  </w:pPr>
                  <w:r w:rsidRPr="00212227">
                    <w:t>265.9</w:t>
                  </w:r>
                </w:p>
              </w:tc>
              <w:tc>
                <w:tcPr>
                  <w:tcW w:w="550" w:type="pct"/>
                </w:tcPr>
                <w:p w:rsidR="00745FEA" w:rsidRPr="00B9083B" w:rsidRDefault="00745FEA" w:rsidP="00745FEA">
                  <w:pPr>
                    <w:pStyle w:val="TableBodyText"/>
                    <w:spacing w:after="20"/>
                  </w:pPr>
                  <w:r w:rsidRPr="00212227">
                    <w:t>19.0</w:t>
                  </w:r>
                </w:p>
              </w:tc>
              <w:tc>
                <w:tcPr>
                  <w:tcW w:w="547" w:type="pct"/>
                </w:tcPr>
                <w:p w:rsidR="00745FEA" w:rsidRPr="00B9083B" w:rsidRDefault="00745FEA" w:rsidP="00745FEA">
                  <w:pPr>
                    <w:pStyle w:val="TableBodyText"/>
                    <w:spacing w:after="20"/>
                  </w:pPr>
                  <w:r w:rsidRPr="00212227">
                    <w:t>7.4</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292.4</w:t>
                  </w:r>
                </w:p>
              </w:tc>
            </w:tr>
            <w:tr w:rsidR="00745FEA" w:rsidTr="00745FEA">
              <w:tc>
                <w:tcPr>
                  <w:tcW w:w="1657" w:type="pct"/>
                </w:tcPr>
                <w:p w:rsidR="00745FEA" w:rsidRPr="007A67BF" w:rsidRDefault="00745FEA" w:rsidP="00745FEA">
                  <w:pPr>
                    <w:pStyle w:val="TableBodyText"/>
                    <w:spacing w:after="20"/>
                    <w:jc w:val="left"/>
                  </w:pPr>
                  <w:r w:rsidRPr="007A67BF">
                    <w:t>Metal and fabricated products</w:t>
                  </w:r>
                </w:p>
              </w:tc>
              <w:tc>
                <w:tcPr>
                  <w:tcW w:w="569" w:type="pct"/>
                </w:tcPr>
                <w:p w:rsidR="00745FEA" w:rsidRPr="00B9083B" w:rsidRDefault="00745FEA" w:rsidP="00745FEA">
                  <w:pPr>
                    <w:pStyle w:val="TableBodyText"/>
                    <w:spacing w:after="20"/>
                  </w:pPr>
                  <w:r w:rsidRPr="00212227">
                    <w:t>1045.6</w:t>
                  </w:r>
                </w:p>
              </w:tc>
              <w:tc>
                <w:tcPr>
                  <w:tcW w:w="540" w:type="pct"/>
                </w:tcPr>
                <w:p w:rsidR="00745FEA" w:rsidRPr="00B9083B" w:rsidRDefault="00745FEA" w:rsidP="00745FEA">
                  <w:pPr>
                    <w:pStyle w:val="TableBodyText"/>
                    <w:spacing w:after="20"/>
                  </w:pPr>
                  <w:r w:rsidRPr="00212227">
                    <w:t>-167.8</w:t>
                  </w:r>
                </w:p>
              </w:tc>
              <w:tc>
                <w:tcPr>
                  <w:tcW w:w="570" w:type="pct"/>
                  <w:shd w:val="clear" w:color="auto" w:fill="F2F2F2" w:themeFill="background1" w:themeFillShade="F2"/>
                </w:tcPr>
                <w:p w:rsidR="00745FEA" w:rsidRPr="00B9083B" w:rsidRDefault="00745FEA" w:rsidP="00745FEA">
                  <w:pPr>
                    <w:pStyle w:val="TableBodyText"/>
                    <w:spacing w:after="20"/>
                  </w:pPr>
                  <w:r w:rsidRPr="00212227">
                    <w:t>877.8</w:t>
                  </w:r>
                </w:p>
              </w:tc>
              <w:tc>
                <w:tcPr>
                  <w:tcW w:w="550" w:type="pct"/>
                </w:tcPr>
                <w:p w:rsidR="00745FEA" w:rsidRPr="00B9083B" w:rsidRDefault="00745FEA" w:rsidP="00745FEA">
                  <w:pPr>
                    <w:pStyle w:val="TableBodyText"/>
                    <w:spacing w:after="20"/>
                  </w:pPr>
                  <w:r w:rsidRPr="00212227">
                    <w:t>125.2</w:t>
                  </w:r>
                </w:p>
              </w:tc>
              <w:tc>
                <w:tcPr>
                  <w:tcW w:w="547" w:type="pct"/>
                </w:tcPr>
                <w:p w:rsidR="00745FEA" w:rsidRPr="00B9083B" w:rsidRDefault="00745FEA" w:rsidP="00745FEA">
                  <w:pPr>
                    <w:pStyle w:val="TableBodyText"/>
                    <w:spacing w:after="20"/>
                  </w:pPr>
                  <w:r w:rsidRPr="00212227">
                    <w:t>138.6</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1141.6</w:t>
                  </w:r>
                </w:p>
              </w:tc>
            </w:tr>
            <w:tr w:rsidR="00745FEA" w:rsidTr="00745FEA">
              <w:tc>
                <w:tcPr>
                  <w:tcW w:w="1657" w:type="pct"/>
                </w:tcPr>
                <w:p w:rsidR="00745FEA" w:rsidRPr="007A67BF" w:rsidRDefault="00745FEA" w:rsidP="00745FEA">
                  <w:pPr>
                    <w:pStyle w:val="TableBodyText"/>
                    <w:spacing w:after="20"/>
                    <w:jc w:val="left"/>
                  </w:pPr>
                  <w:r w:rsidRPr="007A67BF">
                    <w:t>Motor vehicles and parts</w:t>
                  </w:r>
                </w:p>
              </w:tc>
              <w:tc>
                <w:tcPr>
                  <w:tcW w:w="569" w:type="pct"/>
                </w:tcPr>
                <w:p w:rsidR="00745FEA" w:rsidRPr="00B9083B" w:rsidRDefault="00745FEA" w:rsidP="00745FEA">
                  <w:pPr>
                    <w:pStyle w:val="TableBodyText"/>
                    <w:spacing w:after="20"/>
                  </w:pPr>
                  <w:r w:rsidRPr="00212227">
                    <w:t>475.1</w:t>
                  </w:r>
                </w:p>
              </w:tc>
              <w:tc>
                <w:tcPr>
                  <w:tcW w:w="540" w:type="pct"/>
                </w:tcPr>
                <w:p w:rsidR="00745FEA" w:rsidRPr="00B9083B" w:rsidRDefault="00745FEA" w:rsidP="00745FEA">
                  <w:pPr>
                    <w:pStyle w:val="TableBodyText"/>
                    <w:spacing w:after="20"/>
                  </w:pPr>
                  <w:r w:rsidRPr="00212227">
                    <w:t>-183.0</w:t>
                  </w:r>
                </w:p>
              </w:tc>
              <w:tc>
                <w:tcPr>
                  <w:tcW w:w="570" w:type="pct"/>
                  <w:shd w:val="clear" w:color="auto" w:fill="F2F2F2" w:themeFill="background1" w:themeFillShade="F2"/>
                </w:tcPr>
                <w:p w:rsidR="00745FEA" w:rsidRPr="00B9083B" w:rsidRDefault="00745FEA" w:rsidP="00745FEA">
                  <w:pPr>
                    <w:pStyle w:val="TableBodyText"/>
                    <w:spacing w:after="20"/>
                  </w:pPr>
                  <w:r w:rsidRPr="00212227">
                    <w:t>292.1</w:t>
                  </w:r>
                </w:p>
              </w:tc>
              <w:tc>
                <w:tcPr>
                  <w:tcW w:w="550" w:type="pct"/>
                </w:tcPr>
                <w:p w:rsidR="00745FEA" w:rsidRPr="00B9083B" w:rsidRDefault="00745FEA" w:rsidP="00745FEA">
                  <w:pPr>
                    <w:pStyle w:val="TableBodyText"/>
                    <w:spacing w:after="20"/>
                  </w:pPr>
                  <w:r w:rsidRPr="00212227">
                    <w:t>207.1</w:t>
                  </w:r>
                </w:p>
              </w:tc>
              <w:tc>
                <w:tcPr>
                  <w:tcW w:w="547" w:type="pct"/>
                </w:tcPr>
                <w:p w:rsidR="00745FEA" w:rsidRPr="00B9083B" w:rsidRDefault="00745FEA" w:rsidP="00745FEA">
                  <w:pPr>
                    <w:pStyle w:val="TableBodyText"/>
                    <w:spacing w:after="20"/>
                  </w:pPr>
                  <w:r w:rsidRPr="00212227">
                    <w:t>36.3</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535.4</w:t>
                  </w:r>
                </w:p>
              </w:tc>
            </w:tr>
            <w:tr w:rsidR="00745FEA" w:rsidTr="00745FEA">
              <w:tc>
                <w:tcPr>
                  <w:tcW w:w="1657" w:type="pct"/>
                </w:tcPr>
                <w:p w:rsidR="00745FEA" w:rsidRPr="007A67BF" w:rsidRDefault="00745FEA" w:rsidP="00745FEA">
                  <w:pPr>
                    <w:pStyle w:val="TableBodyText"/>
                    <w:spacing w:after="20"/>
                    <w:jc w:val="left"/>
                  </w:pPr>
                  <w:r w:rsidRPr="007A67BF">
                    <w:t>Other transport equipment</w:t>
                  </w:r>
                </w:p>
              </w:tc>
              <w:tc>
                <w:tcPr>
                  <w:tcW w:w="569" w:type="pct"/>
                </w:tcPr>
                <w:p w:rsidR="00745FEA" w:rsidRPr="00B9083B" w:rsidRDefault="00745FEA" w:rsidP="00745FEA">
                  <w:pPr>
                    <w:pStyle w:val="TableBodyText"/>
                    <w:spacing w:after="20"/>
                  </w:pPr>
                  <w:r w:rsidRPr="00212227">
                    <w:t>231.4</w:t>
                  </w:r>
                </w:p>
              </w:tc>
              <w:tc>
                <w:tcPr>
                  <w:tcW w:w="540" w:type="pct"/>
                </w:tcPr>
                <w:p w:rsidR="00745FEA" w:rsidRPr="00B9083B" w:rsidRDefault="00745FEA" w:rsidP="00745FEA">
                  <w:pPr>
                    <w:pStyle w:val="TableBodyText"/>
                    <w:spacing w:after="20"/>
                  </w:pPr>
                  <w:r w:rsidRPr="00212227">
                    <w:t>-63.6</w:t>
                  </w:r>
                </w:p>
              </w:tc>
              <w:tc>
                <w:tcPr>
                  <w:tcW w:w="570" w:type="pct"/>
                  <w:shd w:val="clear" w:color="auto" w:fill="F2F2F2" w:themeFill="background1" w:themeFillShade="F2"/>
                </w:tcPr>
                <w:p w:rsidR="00745FEA" w:rsidRPr="00B9083B" w:rsidRDefault="00745FEA" w:rsidP="00745FEA">
                  <w:pPr>
                    <w:pStyle w:val="TableBodyText"/>
                    <w:spacing w:after="20"/>
                  </w:pPr>
                  <w:r w:rsidRPr="00212227">
                    <w:t>167.8</w:t>
                  </w:r>
                </w:p>
              </w:tc>
              <w:tc>
                <w:tcPr>
                  <w:tcW w:w="550" w:type="pct"/>
                </w:tcPr>
                <w:p w:rsidR="00745FEA" w:rsidRPr="00B9083B" w:rsidRDefault="00745FEA" w:rsidP="00745FEA">
                  <w:pPr>
                    <w:pStyle w:val="TableBodyText"/>
                    <w:spacing w:after="20"/>
                  </w:pPr>
                  <w:r w:rsidRPr="00212227">
                    <w:t>26.5</w:t>
                  </w:r>
                </w:p>
              </w:tc>
              <w:tc>
                <w:tcPr>
                  <w:tcW w:w="547" w:type="pct"/>
                </w:tcPr>
                <w:p w:rsidR="00745FEA" w:rsidRPr="00B9083B" w:rsidRDefault="00745FEA" w:rsidP="00745FEA">
                  <w:pPr>
                    <w:pStyle w:val="TableBodyText"/>
                    <w:spacing w:after="20"/>
                  </w:pPr>
                  <w:r w:rsidRPr="00212227">
                    <w:t>9.7</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204.0</w:t>
                  </w:r>
                </w:p>
              </w:tc>
            </w:tr>
            <w:tr w:rsidR="00745FEA" w:rsidTr="00745FEA">
              <w:tc>
                <w:tcPr>
                  <w:tcW w:w="1657" w:type="pct"/>
                </w:tcPr>
                <w:p w:rsidR="00745FEA" w:rsidRPr="007A67BF" w:rsidRDefault="00745FEA" w:rsidP="00745FEA">
                  <w:pPr>
                    <w:pStyle w:val="TableBodyText"/>
                    <w:spacing w:after="20"/>
                    <w:jc w:val="left"/>
                  </w:pPr>
                  <w:r w:rsidRPr="007A67BF">
                    <w:t>Machinery and equipment</w:t>
                  </w:r>
                </w:p>
              </w:tc>
              <w:tc>
                <w:tcPr>
                  <w:tcW w:w="569" w:type="pct"/>
                </w:tcPr>
                <w:p w:rsidR="00745FEA" w:rsidRPr="00B9083B" w:rsidRDefault="00745FEA" w:rsidP="00745FEA">
                  <w:pPr>
                    <w:pStyle w:val="TableBodyText"/>
                    <w:spacing w:after="20"/>
                  </w:pPr>
                  <w:r w:rsidRPr="00212227">
                    <w:t>394.2</w:t>
                  </w:r>
                </w:p>
              </w:tc>
              <w:tc>
                <w:tcPr>
                  <w:tcW w:w="540" w:type="pct"/>
                </w:tcPr>
                <w:p w:rsidR="00745FEA" w:rsidRPr="00B9083B" w:rsidRDefault="00745FEA" w:rsidP="00745FEA">
                  <w:pPr>
                    <w:pStyle w:val="TableBodyText"/>
                    <w:spacing w:after="20"/>
                  </w:pPr>
                  <w:r w:rsidRPr="00212227">
                    <w:t>-98.1</w:t>
                  </w:r>
                </w:p>
              </w:tc>
              <w:tc>
                <w:tcPr>
                  <w:tcW w:w="570" w:type="pct"/>
                  <w:shd w:val="clear" w:color="auto" w:fill="F2F2F2" w:themeFill="background1" w:themeFillShade="F2"/>
                </w:tcPr>
                <w:p w:rsidR="00745FEA" w:rsidRPr="00B9083B" w:rsidRDefault="00745FEA" w:rsidP="00745FEA">
                  <w:pPr>
                    <w:pStyle w:val="TableBodyText"/>
                    <w:spacing w:after="20"/>
                  </w:pPr>
                  <w:r w:rsidRPr="00212227">
                    <w:t>296.1</w:t>
                  </w:r>
                </w:p>
              </w:tc>
              <w:tc>
                <w:tcPr>
                  <w:tcW w:w="550" w:type="pct"/>
                </w:tcPr>
                <w:p w:rsidR="00745FEA" w:rsidRPr="00B9083B" w:rsidRDefault="00745FEA" w:rsidP="00745FEA">
                  <w:pPr>
                    <w:pStyle w:val="TableBodyText"/>
                    <w:spacing w:after="20"/>
                  </w:pPr>
                  <w:r w:rsidRPr="00212227">
                    <w:t>223.6</w:t>
                  </w:r>
                </w:p>
              </w:tc>
              <w:tc>
                <w:tcPr>
                  <w:tcW w:w="547" w:type="pct"/>
                </w:tcPr>
                <w:p w:rsidR="00745FEA" w:rsidRPr="00B9083B" w:rsidRDefault="00745FEA" w:rsidP="00745FEA">
                  <w:pPr>
                    <w:pStyle w:val="TableBodyText"/>
                    <w:spacing w:after="20"/>
                  </w:pPr>
                  <w:r w:rsidRPr="00212227">
                    <w:t>51.8</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571.5</w:t>
                  </w:r>
                </w:p>
              </w:tc>
            </w:tr>
            <w:tr w:rsidR="00745FEA" w:rsidTr="00745FEA">
              <w:tc>
                <w:tcPr>
                  <w:tcW w:w="1657" w:type="pct"/>
                </w:tcPr>
                <w:p w:rsidR="00745FEA" w:rsidRPr="007A67BF" w:rsidRDefault="00745FEA" w:rsidP="00745FEA">
                  <w:pPr>
                    <w:pStyle w:val="TableBodyText"/>
                    <w:spacing w:after="20"/>
                    <w:jc w:val="left"/>
                  </w:pPr>
                  <w:r w:rsidRPr="007A67BF">
                    <w:t>Furniture and other products</w:t>
                  </w:r>
                </w:p>
              </w:tc>
              <w:tc>
                <w:tcPr>
                  <w:tcW w:w="569" w:type="pct"/>
                </w:tcPr>
                <w:p w:rsidR="00745FEA" w:rsidRPr="00B9083B" w:rsidRDefault="00745FEA" w:rsidP="00745FEA">
                  <w:pPr>
                    <w:pStyle w:val="TableBodyText"/>
                    <w:spacing w:after="20"/>
                  </w:pPr>
                  <w:r w:rsidRPr="00212227">
                    <w:t>213.5</w:t>
                  </w:r>
                </w:p>
              </w:tc>
              <w:tc>
                <w:tcPr>
                  <w:tcW w:w="540" w:type="pct"/>
                </w:tcPr>
                <w:p w:rsidR="00745FEA" w:rsidRPr="00B9083B" w:rsidRDefault="00745FEA" w:rsidP="00745FEA">
                  <w:pPr>
                    <w:pStyle w:val="TableBodyText"/>
                    <w:spacing w:after="20"/>
                  </w:pPr>
                  <w:r w:rsidRPr="00212227">
                    <w:t>-48.3</w:t>
                  </w:r>
                </w:p>
              </w:tc>
              <w:tc>
                <w:tcPr>
                  <w:tcW w:w="570" w:type="pct"/>
                  <w:shd w:val="clear" w:color="auto" w:fill="F2F2F2" w:themeFill="background1" w:themeFillShade="F2"/>
                </w:tcPr>
                <w:p w:rsidR="00745FEA" w:rsidRPr="00B9083B" w:rsidRDefault="00745FEA" w:rsidP="00745FEA">
                  <w:pPr>
                    <w:pStyle w:val="TableBodyText"/>
                    <w:spacing w:after="20"/>
                  </w:pPr>
                  <w:r w:rsidRPr="00212227">
                    <w:t>165.2</w:t>
                  </w:r>
                </w:p>
              </w:tc>
              <w:tc>
                <w:tcPr>
                  <w:tcW w:w="550" w:type="pct"/>
                </w:tcPr>
                <w:p w:rsidR="00745FEA" w:rsidRPr="00B9083B" w:rsidRDefault="00745FEA" w:rsidP="00745FEA">
                  <w:pPr>
                    <w:pStyle w:val="TableBodyText"/>
                    <w:spacing w:after="20"/>
                  </w:pPr>
                  <w:r w:rsidRPr="00212227">
                    <w:t>25.4</w:t>
                  </w:r>
                </w:p>
              </w:tc>
              <w:tc>
                <w:tcPr>
                  <w:tcW w:w="547" w:type="pct"/>
                </w:tcPr>
                <w:p w:rsidR="00745FEA" w:rsidRPr="00B9083B" w:rsidRDefault="00745FEA" w:rsidP="00745FEA">
                  <w:pPr>
                    <w:pStyle w:val="TableBodyText"/>
                    <w:spacing w:after="20"/>
                  </w:pPr>
                  <w:r w:rsidRPr="00212227">
                    <w:t>6.4</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197.0</w:t>
                  </w:r>
                </w:p>
              </w:tc>
            </w:tr>
            <w:tr w:rsidR="00745FEA" w:rsidTr="00745FEA">
              <w:tc>
                <w:tcPr>
                  <w:tcW w:w="1657" w:type="pct"/>
                </w:tcPr>
                <w:p w:rsidR="00745FEA" w:rsidRPr="007A67BF" w:rsidRDefault="00745FEA" w:rsidP="00745FEA">
                  <w:pPr>
                    <w:pStyle w:val="TableBodyText"/>
                    <w:spacing w:after="20"/>
                    <w:jc w:val="left"/>
                  </w:pPr>
                  <w:r w:rsidRPr="007A67BF">
                    <w:t>Unallocated manufacturing</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w:t>
                  </w:r>
                </w:p>
              </w:tc>
              <w:tc>
                <w:tcPr>
                  <w:tcW w:w="570" w:type="pct"/>
                  <w:shd w:val="clear" w:color="auto" w:fill="F2F2F2" w:themeFill="background1" w:themeFillShade="F2"/>
                </w:tcPr>
                <w:p w:rsidR="00745FEA" w:rsidRPr="00B9083B" w:rsidRDefault="00745FEA" w:rsidP="00745FEA">
                  <w:pPr>
                    <w:pStyle w:val="TableBodyText"/>
                    <w:spacing w:after="20"/>
                  </w:pPr>
                  <w:r w:rsidRPr="00212227">
                    <w:t>–</w:t>
                  </w:r>
                </w:p>
              </w:tc>
              <w:tc>
                <w:tcPr>
                  <w:tcW w:w="550" w:type="pct"/>
                </w:tcPr>
                <w:p w:rsidR="00745FEA" w:rsidRPr="00B9083B" w:rsidRDefault="00745FEA" w:rsidP="00745FEA">
                  <w:pPr>
                    <w:pStyle w:val="TableBodyText"/>
                    <w:spacing w:after="20"/>
                  </w:pPr>
                  <w:r w:rsidRPr="00212227">
                    <w:t>170.4</w:t>
                  </w:r>
                </w:p>
              </w:tc>
              <w:tc>
                <w:tcPr>
                  <w:tcW w:w="547" w:type="pct"/>
                </w:tcPr>
                <w:p w:rsidR="00745FEA" w:rsidRPr="00B9083B" w:rsidRDefault="00745FEA" w:rsidP="00745FEA">
                  <w:pPr>
                    <w:pStyle w:val="TableBodyText"/>
                    <w:spacing w:after="20"/>
                  </w:pPr>
                  <w:r w:rsidRPr="00212227">
                    <w:t>167.4</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337.8</w:t>
                  </w:r>
                </w:p>
              </w:tc>
            </w:tr>
            <w:tr w:rsidR="00745FEA" w:rsidRPr="00035962" w:rsidTr="00745FEA">
              <w:tc>
                <w:tcPr>
                  <w:tcW w:w="1657" w:type="pct"/>
                </w:tcPr>
                <w:p w:rsidR="00745FEA" w:rsidRPr="00035962" w:rsidRDefault="00745FEA" w:rsidP="00745FEA">
                  <w:pPr>
                    <w:pStyle w:val="TableBodyText"/>
                    <w:jc w:val="left"/>
                    <w:rPr>
                      <w:b/>
                    </w:rPr>
                  </w:pPr>
                  <w:r w:rsidRPr="00035962">
                    <w:rPr>
                      <w:b/>
                    </w:rPr>
                    <w:t>Services</w:t>
                  </w:r>
                </w:p>
              </w:tc>
              <w:tc>
                <w:tcPr>
                  <w:tcW w:w="569" w:type="pct"/>
                </w:tcPr>
                <w:p w:rsidR="00745FEA" w:rsidRPr="00035962" w:rsidRDefault="00745FEA" w:rsidP="00745FEA">
                  <w:pPr>
                    <w:pStyle w:val="TableBodyText"/>
                    <w:rPr>
                      <w:b/>
                    </w:rPr>
                  </w:pPr>
                  <w:r w:rsidRPr="00035962">
                    <w:rPr>
                      <w:b/>
                    </w:rPr>
                    <w:t>–</w:t>
                  </w:r>
                </w:p>
              </w:tc>
              <w:tc>
                <w:tcPr>
                  <w:tcW w:w="540" w:type="pct"/>
                </w:tcPr>
                <w:p w:rsidR="00745FEA" w:rsidRPr="00035962" w:rsidRDefault="00745FEA" w:rsidP="00745FEA">
                  <w:pPr>
                    <w:pStyle w:val="TableBodyText"/>
                    <w:rPr>
                      <w:b/>
                    </w:rPr>
                  </w:pPr>
                  <w:r w:rsidRPr="00035962">
                    <w:rPr>
                      <w:b/>
                    </w:rPr>
                    <w:t>-3767.6</w:t>
                  </w:r>
                </w:p>
              </w:tc>
              <w:tc>
                <w:tcPr>
                  <w:tcW w:w="570" w:type="pct"/>
                  <w:shd w:val="clear" w:color="auto" w:fill="F2F2F2" w:themeFill="background1" w:themeFillShade="F2"/>
                </w:tcPr>
                <w:p w:rsidR="00745FEA" w:rsidRPr="00035962" w:rsidRDefault="00745FEA" w:rsidP="00745FEA">
                  <w:pPr>
                    <w:pStyle w:val="TableBodyText"/>
                    <w:rPr>
                      <w:b/>
                    </w:rPr>
                  </w:pPr>
                  <w:r w:rsidRPr="00035962">
                    <w:rPr>
                      <w:b/>
                    </w:rPr>
                    <w:t>-3767.6</w:t>
                  </w:r>
                </w:p>
              </w:tc>
              <w:tc>
                <w:tcPr>
                  <w:tcW w:w="550" w:type="pct"/>
                </w:tcPr>
                <w:p w:rsidR="00745FEA" w:rsidRPr="00035962" w:rsidRDefault="00745FEA" w:rsidP="00745FEA">
                  <w:pPr>
                    <w:pStyle w:val="TableBodyText"/>
                    <w:rPr>
                      <w:b/>
                    </w:rPr>
                  </w:pPr>
                  <w:r w:rsidRPr="00035962">
                    <w:rPr>
                      <w:b/>
                    </w:rPr>
                    <w:t>2634.1</w:t>
                  </w:r>
                </w:p>
              </w:tc>
              <w:tc>
                <w:tcPr>
                  <w:tcW w:w="547" w:type="pct"/>
                </w:tcPr>
                <w:p w:rsidR="00745FEA" w:rsidRPr="00035962" w:rsidRDefault="00745FEA" w:rsidP="00745FEA">
                  <w:pPr>
                    <w:pStyle w:val="TableBodyText"/>
                    <w:rPr>
                      <w:b/>
                    </w:rPr>
                  </w:pPr>
                  <w:r w:rsidRPr="00035962">
                    <w:rPr>
                      <w:b/>
                    </w:rPr>
                    <w:t>2843.9</w:t>
                  </w:r>
                </w:p>
              </w:tc>
              <w:tc>
                <w:tcPr>
                  <w:tcW w:w="567" w:type="pct"/>
                  <w:shd w:val="clear" w:color="auto" w:fill="F2F2F2" w:themeFill="background1" w:themeFillShade="F2"/>
                </w:tcPr>
                <w:p w:rsidR="00745FEA" w:rsidRPr="00035962" w:rsidRDefault="00745FEA" w:rsidP="00745FEA">
                  <w:pPr>
                    <w:pStyle w:val="TableBodyText"/>
                    <w:ind w:right="28"/>
                    <w:rPr>
                      <w:b/>
                    </w:rPr>
                  </w:pPr>
                  <w:r w:rsidRPr="00035962">
                    <w:rPr>
                      <w:b/>
                    </w:rPr>
                    <w:t>1710.4</w:t>
                  </w:r>
                </w:p>
              </w:tc>
            </w:tr>
            <w:tr w:rsidR="00745FEA" w:rsidTr="00745FEA">
              <w:tc>
                <w:tcPr>
                  <w:tcW w:w="1657" w:type="pct"/>
                </w:tcPr>
                <w:p w:rsidR="00745FEA" w:rsidRPr="007A67BF" w:rsidRDefault="00745FEA" w:rsidP="00745FEA">
                  <w:pPr>
                    <w:pStyle w:val="TableBodyText"/>
                    <w:spacing w:after="20"/>
                    <w:jc w:val="left"/>
                  </w:pPr>
                  <w:r w:rsidRPr="007A67BF">
                    <w:t>Electricity, gas, water and waste</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-69.9</w:t>
                  </w:r>
                </w:p>
              </w:tc>
              <w:tc>
                <w:tcPr>
                  <w:tcW w:w="570" w:type="pct"/>
                  <w:shd w:val="clear" w:color="auto" w:fill="F2F2F2" w:themeFill="background1" w:themeFillShade="F2"/>
                </w:tcPr>
                <w:p w:rsidR="00745FEA" w:rsidRPr="00B9083B" w:rsidRDefault="00745FEA" w:rsidP="00745FEA">
                  <w:pPr>
                    <w:pStyle w:val="TableBodyText"/>
                    <w:spacing w:after="20"/>
                  </w:pPr>
                  <w:r w:rsidRPr="00212227">
                    <w:t>-69.9</w:t>
                  </w:r>
                </w:p>
              </w:tc>
              <w:tc>
                <w:tcPr>
                  <w:tcW w:w="550" w:type="pct"/>
                </w:tcPr>
                <w:p w:rsidR="00745FEA" w:rsidRPr="00B9083B" w:rsidRDefault="00745FEA" w:rsidP="00745FEA">
                  <w:pPr>
                    <w:pStyle w:val="TableBodyText"/>
                    <w:spacing w:after="20"/>
                  </w:pPr>
                  <w:r w:rsidRPr="00212227">
                    <w:t>120.5</w:t>
                  </w:r>
                </w:p>
              </w:tc>
              <w:tc>
                <w:tcPr>
                  <w:tcW w:w="547" w:type="pct"/>
                </w:tcPr>
                <w:p w:rsidR="00745FEA" w:rsidRPr="00B9083B" w:rsidRDefault="00745FEA" w:rsidP="00745FEA">
                  <w:pPr>
                    <w:pStyle w:val="TableBodyText"/>
                    <w:spacing w:after="20"/>
                  </w:pPr>
                  <w:r w:rsidRPr="00212227">
                    <w:t>28.8</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79.4</w:t>
                  </w:r>
                </w:p>
              </w:tc>
            </w:tr>
            <w:tr w:rsidR="00745FEA" w:rsidTr="00745FEA">
              <w:tc>
                <w:tcPr>
                  <w:tcW w:w="1657" w:type="pct"/>
                </w:tcPr>
                <w:p w:rsidR="00745FEA" w:rsidRPr="007A67BF" w:rsidRDefault="00745FEA" w:rsidP="00745FEA">
                  <w:pPr>
                    <w:pStyle w:val="TableBodyText"/>
                    <w:spacing w:after="20"/>
                    <w:jc w:val="left"/>
                  </w:pPr>
                  <w:r w:rsidRPr="007A67BF">
                    <w:t>Construction</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-1505.4</w:t>
                  </w:r>
                </w:p>
              </w:tc>
              <w:tc>
                <w:tcPr>
                  <w:tcW w:w="570" w:type="pct"/>
                  <w:shd w:val="clear" w:color="auto" w:fill="F2F2F2" w:themeFill="background1" w:themeFillShade="F2"/>
                </w:tcPr>
                <w:p w:rsidR="00745FEA" w:rsidRPr="00B9083B" w:rsidRDefault="00745FEA" w:rsidP="00745FEA">
                  <w:pPr>
                    <w:pStyle w:val="TableBodyText"/>
                    <w:spacing w:after="20"/>
                  </w:pPr>
                  <w:r w:rsidRPr="00212227">
                    <w:t>-1505.4</w:t>
                  </w:r>
                </w:p>
              </w:tc>
              <w:tc>
                <w:tcPr>
                  <w:tcW w:w="550" w:type="pct"/>
                </w:tcPr>
                <w:p w:rsidR="00745FEA" w:rsidRPr="00B9083B" w:rsidRDefault="00745FEA" w:rsidP="00745FEA">
                  <w:pPr>
                    <w:pStyle w:val="TableBodyText"/>
                    <w:spacing w:after="20"/>
                  </w:pPr>
                  <w:r w:rsidRPr="00212227">
                    <w:t>81.6</w:t>
                  </w:r>
                </w:p>
              </w:tc>
              <w:tc>
                <w:tcPr>
                  <w:tcW w:w="547" w:type="pct"/>
                </w:tcPr>
                <w:p w:rsidR="00745FEA" w:rsidRPr="00B9083B" w:rsidRDefault="00745FEA" w:rsidP="00745FEA">
                  <w:pPr>
                    <w:pStyle w:val="TableBodyText"/>
                    <w:spacing w:after="20"/>
                  </w:pPr>
                  <w:r w:rsidRPr="00212227">
                    <w:t>247.4</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-1176.4</w:t>
                  </w:r>
                </w:p>
              </w:tc>
            </w:tr>
            <w:tr w:rsidR="00745FEA" w:rsidTr="00745FEA">
              <w:tc>
                <w:tcPr>
                  <w:tcW w:w="1657" w:type="pct"/>
                </w:tcPr>
                <w:p w:rsidR="00745FEA" w:rsidRPr="007A67BF" w:rsidRDefault="00745FEA" w:rsidP="00745FEA">
                  <w:pPr>
                    <w:pStyle w:val="TableBodyText"/>
                    <w:spacing w:after="20"/>
                    <w:jc w:val="left"/>
                  </w:pPr>
                  <w:r w:rsidRPr="007A67BF">
                    <w:t>Wholesale trade</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-228.9</w:t>
                  </w:r>
                </w:p>
              </w:tc>
              <w:tc>
                <w:tcPr>
                  <w:tcW w:w="570" w:type="pct"/>
                  <w:shd w:val="clear" w:color="auto" w:fill="F2F2F2" w:themeFill="background1" w:themeFillShade="F2"/>
                </w:tcPr>
                <w:p w:rsidR="00745FEA" w:rsidRPr="00B9083B" w:rsidRDefault="00745FEA" w:rsidP="00745FEA">
                  <w:pPr>
                    <w:pStyle w:val="TableBodyText"/>
                    <w:spacing w:after="20"/>
                  </w:pPr>
                  <w:r w:rsidRPr="00212227">
                    <w:t>-228.9</w:t>
                  </w:r>
                </w:p>
              </w:tc>
              <w:tc>
                <w:tcPr>
                  <w:tcW w:w="550" w:type="pct"/>
                </w:tcPr>
                <w:p w:rsidR="00745FEA" w:rsidRPr="00B9083B" w:rsidRDefault="00745FEA" w:rsidP="00745FEA">
                  <w:pPr>
                    <w:pStyle w:val="TableBodyText"/>
                    <w:spacing w:after="20"/>
                  </w:pPr>
                  <w:r w:rsidRPr="00212227">
                    <w:t>103.2</w:t>
                  </w:r>
                </w:p>
              </w:tc>
              <w:tc>
                <w:tcPr>
                  <w:tcW w:w="547" w:type="pct"/>
                </w:tcPr>
                <w:p w:rsidR="00745FEA" w:rsidRPr="00B9083B" w:rsidRDefault="00745FEA" w:rsidP="00745FEA">
                  <w:pPr>
                    <w:pStyle w:val="TableBodyText"/>
                    <w:spacing w:after="20"/>
                  </w:pPr>
                  <w:r w:rsidRPr="00212227">
                    <w:t>115.1</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-10.7</w:t>
                  </w:r>
                </w:p>
              </w:tc>
            </w:tr>
            <w:tr w:rsidR="00745FEA" w:rsidTr="00745FEA">
              <w:tc>
                <w:tcPr>
                  <w:tcW w:w="1657" w:type="pct"/>
                </w:tcPr>
                <w:p w:rsidR="00745FEA" w:rsidRPr="007A67BF" w:rsidRDefault="00745FEA" w:rsidP="00745FEA">
                  <w:pPr>
                    <w:pStyle w:val="TableBodyText"/>
                    <w:spacing w:after="20"/>
                    <w:jc w:val="left"/>
                  </w:pPr>
                  <w:r w:rsidRPr="007A67BF">
                    <w:t>Retail trade</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-146.5</w:t>
                  </w:r>
                </w:p>
              </w:tc>
              <w:tc>
                <w:tcPr>
                  <w:tcW w:w="570" w:type="pct"/>
                  <w:shd w:val="clear" w:color="auto" w:fill="F2F2F2" w:themeFill="background1" w:themeFillShade="F2"/>
                </w:tcPr>
                <w:p w:rsidR="00745FEA" w:rsidRPr="00B9083B" w:rsidRDefault="00745FEA" w:rsidP="00745FEA">
                  <w:pPr>
                    <w:pStyle w:val="TableBodyText"/>
                    <w:spacing w:after="20"/>
                  </w:pPr>
                  <w:r w:rsidRPr="00212227">
                    <w:t>-146.5</w:t>
                  </w:r>
                </w:p>
              </w:tc>
              <w:tc>
                <w:tcPr>
                  <w:tcW w:w="550" w:type="pct"/>
                </w:tcPr>
                <w:p w:rsidR="00745FEA" w:rsidRPr="00B9083B" w:rsidRDefault="00745FEA" w:rsidP="00745FEA">
                  <w:pPr>
                    <w:pStyle w:val="TableBodyText"/>
                    <w:spacing w:after="20"/>
                  </w:pPr>
                  <w:r w:rsidRPr="00212227">
                    <w:t>46.6</w:t>
                  </w:r>
                </w:p>
              </w:tc>
              <w:tc>
                <w:tcPr>
                  <w:tcW w:w="547" w:type="pct"/>
                </w:tcPr>
                <w:p w:rsidR="00745FEA" w:rsidRPr="00B9083B" w:rsidRDefault="00745FEA" w:rsidP="00745FEA">
                  <w:pPr>
                    <w:pStyle w:val="TableBodyText"/>
                    <w:spacing w:after="20"/>
                  </w:pPr>
                  <w:r w:rsidRPr="00212227">
                    <w:t>139.3</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39.4</w:t>
                  </w:r>
                </w:p>
              </w:tc>
            </w:tr>
            <w:tr w:rsidR="00745FEA" w:rsidTr="00745FEA">
              <w:tc>
                <w:tcPr>
                  <w:tcW w:w="1657" w:type="pct"/>
                </w:tcPr>
                <w:p w:rsidR="00745FEA" w:rsidRPr="007A67BF" w:rsidRDefault="00745FEA" w:rsidP="00745FEA">
                  <w:pPr>
                    <w:pStyle w:val="TableBodyText"/>
                    <w:spacing w:after="20"/>
                    <w:jc w:val="left"/>
                  </w:pPr>
                  <w:r w:rsidRPr="007A67BF">
                    <w:t>Accommodation &amp; food services</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-293.4</w:t>
                  </w:r>
                </w:p>
              </w:tc>
              <w:tc>
                <w:tcPr>
                  <w:tcW w:w="570" w:type="pct"/>
                  <w:shd w:val="clear" w:color="auto" w:fill="F2F2F2" w:themeFill="background1" w:themeFillShade="F2"/>
                </w:tcPr>
                <w:p w:rsidR="00745FEA" w:rsidRPr="00B9083B" w:rsidRDefault="00745FEA" w:rsidP="00745FEA">
                  <w:pPr>
                    <w:pStyle w:val="TableBodyText"/>
                    <w:spacing w:after="20"/>
                  </w:pPr>
                  <w:r w:rsidRPr="00212227">
                    <w:t>-293.4</w:t>
                  </w:r>
                </w:p>
              </w:tc>
              <w:tc>
                <w:tcPr>
                  <w:tcW w:w="550" w:type="pct"/>
                </w:tcPr>
                <w:p w:rsidR="00745FEA" w:rsidRPr="00B9083B" w:rsidRDefault="00745FEA" w:rsidP="00745FEA">
                  <w:pPr>
                    <w:pStyle w:val="TableBodyText"/>
                    <w:spacing w:after="20"/>
                  </w:pPr>
                  <w:r w:rsidRPr="00212227">
                    <w:t>8.7</w:t>
                  </w:r>
                </w:p>
              </w:tc>
              <w:tc>
                <w:tcPr>
                  <w:tcW w:w="547" w:type="pct"/>
                </w:tcPr>
                <w:p w:rsidR="00745FEA" w:rsidRPr="00B9083B" w:rsidRDefault="00745FEA" w:rsidP="00745FEA">
                  <w:pPr>
                    <w:pStyle w:val="TableBodyText"/>
                    <w:spacing w:after="20"/>
                  </w:pPr>
                  <w:r w:rsidRPr="00212227">
                    <w:t>116.8</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-167.9</w:t>
                  </w:r>
                </w:p>
              </w:tc>
            </w:tr>
            <w:tr w:rsidR="00745FEA" w:rsidTr="00745FEA">
              <w:tc>
                <w:tcPr>
                  <w:tcW w:w="1657" w:type="pct"/>
                </w:tcPr>
                <w:p w:rsidR="00745FEA" w:rsidRPr="007A67BF" w:rsidRDefault="00745FEA" w:rsidP="00745FEA">
                  <w:pPr>
                    <w:pStyle w:val="TableBodyText"/>
                    <w:spacing w:after="20"/>
                    <w:jc w:val="left"/>
                  </w:pPr>
                  <w:r w:rsidRPr="007A67BF">
                    <w:t>Transport, postal &amp; warehousing</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-203.5</w:t>
                  </w:r>
                </w:p>
              </w:tc>
              <w:tc>
                <w:tcPr>
                  <w:tcW w:w="570" w:type="pct"/>
                  <w:shd w:val="clear" w:color="auto" w:fill="F2F2F2" w:themeFill="background1" w:themeFillShade="F2"/>
                </w:tcPr>
                <w:p w:rsidR="00745FEA" w:rsidRPr="00B9083B" w:rsidRDefault="00745FEA" w:rsidP="00745FEA">
                  <w:pPr>
                    <w:pStyle w:val="TableBodyText"/>
                    <w:spacing w:after="20"/>
                  </w:pPr>
                  <w:r w:rsidRPr="00212227">
                    <w:t>-203.5</w:t>
                  </w:r>
                </w:p>
              </w:tc>
              <w:tc>
                <w:tcPr>
                  <w:tcW w:w="550" w:type="pct"/>
                </w:tcPr>
                <w:p w:rsidR="00745FEA" w:rsidRPr="00B9083B" w:rsidRDefault="00745FEA" w:rsidP="00745FEA">
                  <w:pPr>
                    <w:pStyle w:val="TableBodyText"/>
                    <w:spacing w:after="20"/>
                  </w:pPr>
                  <w:r w:rsidRPr="00212227">
                    <w:t>79.8</w:t>
                  </w:r>
                </w:p>
              </w:tc>
              <w:tc>
                <w:tcPr>
                  <w:tcW w:w="547" w:type="pct"/>
                </w:tcPr>
                <w:p w:rsidR="00745FEA" w:rsidRPr="00B9083B" w:rsidRDefault="00745FEA" w:rsidP="00745FEA">
                  <w:pPr>
                    <w:pStyle w:val="TableBodyText"/>
                    <w:spacing w:after="20"/>
                  </w:pPr>
                  <w:r w:rsidRPr="00212227">
                    <w:t>108.6</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-15.1</w:t>
                  </w:r>
                </w:p>
              </w:tc>
            </w:tr>
            <w:tr w:rsidR="00745FEA" w:rsidTr="00745FEA">
              <w:tc>
                <w:tcPr>
                  <w:tcW w:w="1657" w:type="pct"/>
                </w:tcPr>
                <w:p w:rsidR="00745FEA" w:rsidRPr="007A67BF" w:rsidRDefault="00745FEA" w:rsidP="00745FEA">
                  <w:pPr>
                    <w:pStyle w:val="TableBodyText"/>
                    <w:spacing w:after="20"/>
                    <w:jc w:val="left"/>
                  </w:pPr>
                  <w:r w:rsidRPr="007A67BF">
                    <w:t>Information &amp; communications</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-71.3</w:t>
                  </w:r>
                </w:p>
              </w:tc>
              <w:tc>
                <w:tcPr>
                  <w:tcW w:w="570" w:type="pct"/>
                  <w:shd w:val="clear" w:color="auto" w:fill="F2F2F2" w:themeFill="background1" w:themeFillShade="F2"/>
                </w:tcPr>
                <w:p w:rsidR="00745FEA" w:rsidRPr="00B9083B" w:rsidRDefault="00745FEA" w:rsidP="00745FEA">
                  <w:pPr>
                    <w:pStyle w:val="TableBodyText"/>
                    <w:spacing w:after="20"/>
                  </w:pPr>
                  <w:r w:rsidRPr="00212227">
                    <w:t>-71.3</w:t>
                  </w:r>
                </w:p>
              </w:tc>
              <w:tc>
                <w:tcPr>
                  <w:tcW w:w="550" w:type="pct"/>
                </w:tcPr>
                <w:p w:rsidR="00745FEA" w:rsidRPr="00B9083B" w:rsidRDefault="00745FEA" w:rsidP="00745FEA">
                  <w:pPr>
                    <w:pStyle w:val="TableBodyText"/>
                    <w:spacing w:after="20"/>
                  </w:pPr>
                  <w:r w:rsidRPr="00212227">
                    <w:t>350.9</w:t>
                  </w:r>
                </w:p>
              </w:tc>
              <w:tc>
                <w:tcPr>
                  <w:tcW w:w="547" w:type="pct"/>
                </w:tcPr>
                <w:p w:rsidR="00745FEA" w:rsidRPr="00B9083B" w:rsidRDefault="00745FEA" w:rsidP="00745FEA">
                  <w:pPr>
                    <w:pStyle w:val="TableBodyText"/>
                    <w:spacing w:after="20"/>
                  </w:pPr>
                  <w:r w:rsidRPr="00212227">
                    <w:t>52.9</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332.4</w:t>
                  </w:r>
                </w:p>
              </w:tc>
            </w:tr>
            <w:tr w:rsidR="00745FEA" w:rsidTr="00745FEA">
              <w:tc>
                <w:tcPr>
                  <w:tcW w:w="1657" w:type="pct"/>
                </w:tcPr>
                <w:p w:rsidR="00745FEA" w:rsidRPr="007A67BF" w:rsidRDefault="00745FEA" w:rsidP="00745FEA">
                  <w:pPr>
                    <w:pStyle w:val="TableBodyText"/>
                    <w:spacing w:after="20"/>
                    <w:jc w:val="left"/>
                  </w:pPr>
                  <w:r w:rsidRPr="007A67BF">
                    <w:t>Financial &amp; insurance services</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-16.0</w:t>
                  </w:r>
                </w:p>
              </w:tc>
              <w:tc>
                <w:tcPr>
                  <w:tcW w:w="570" w:type="pct"/>
                  <w:shd w:val="clear" w:color="auto" w:fill="F2F2F2" w:themeFill="background1" w:themeFillShade="F2"/>
                </w:tcPr>
                <w:p w:rsidR="00745FEA" w:rsidRPr="00B9083B" w:rsidRDefault="00745FEA" w:rsidP="00745FEA">
                  <w:pPr>
                    <w:pStyle w:val="TableBodyText"/>
                    <w:spacing w:after="20"/>
                  </w:pPr>
                  <w:r w:rsidRPr="00212227">
                    <w:t>-16.0</w:t>
                  </w:r>
                </w:p>
              </w:tc>
              <w:tc>
                <w:tcPr>
                  <w:tcW w:w="550" w:type="pct"/>
                </w:tcPr>
                <w:p w:rsidR="00745FEA" w:rsidRPr="00B9083B" w:rsidRDefault="00745FEA" w:rsidP="00745FEA">
                  <w:pPr>
                    <w:pStyle w:val="TableBodyText"/>
                    <w:spacing w:after="20"/>
                  </w:pPr>
                  <w:r w:rsidRPr="00212227">
                    <w:t>135.4</w:t>
                  </w:r>
                </w:p>
              </w:tc>
              <w:tc>
                <w:tcPr>
                  <w:tcW w:w="547" w:type="pct"/>
                </w:tcPr>
                <w:p w:rsidR="00745FEA" w:rsidRPr="00B9083B" w:rsidRDefault="00745FEA" w:rsidP="00745FEA">
                  <w:pPr>
                    <w:pStyle w:val="TableBodyText"/>
                    <w:spacing w:after="20"/>
                  </w:pPr>
                  <w:r w:rsidRPr="00212227">
                    <w:t>820.0</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939.4</w:t>
                  </w:r>
                </w:p>
              </w:tc>
            </w:tr>
            <w:tr w:rsidR="00745FEA" w:rsidTr="00745FEA">
              <w:tc>
                <w:tcPr>
                  <w:tcW w:w="1657" w:type="pct"/>
                </w:tcPr>
                <w:p w:rsidR="00745FEA" w:rsidRPr="007A67BF" w:rsidRDefault="00745FEA" w:rsidP="00745FEA">
                  <w:pPr>
                    <w:pStyle w:val="TableBodyText"/>
                    <w:spacing w:after="20"/>
                    <w:jc w:val="left"/>
                  </w:pPr>
                  <w:r w:rsidRPr="007A67BF">
                    <w:t xml:space="preserve">Property, professional &amp; admin. </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-406.1</w:t>
                  </w:r>
                </w:p>
              </w:tc>
              <w:tc>
                <w:tcPr>
                  <w:tcW w:w="570" w:type="pct"/>
                  <w:shd w:val="clear" w:color="auto" w:fill="F2F2F2" w:themeFill="background1" w:themeFillShade="F2"/>
                </w:tcPr>
                <w:p w:rsidR="00745FEA" w:rsidRPr="00B9083B" w:rsidRDefault="00745FEA" w:rsidP="00745FEA">
                  <w:pPr>
                    <w:pStyle w:val="TableBodyText"/>
                    <w:spacing w:after="20"/>
                  </w:pPr>
                  <w:r w:rsidRPr="00212227">
                    <w:t>-406.1</w:t>
                  </w:r>
                </w:p>
              </w:tc>
              <w:tc>
                <w:tcPr>
                  <w:tcW w:w="550" w:type="pct"/>
                </w:tcPr>
                <w:p w:rsidR="00745FEA" w:rsidRPr="00B9083B" w:rsidRDefault="00745FEA" w:rsidP="00745FEA">
                  <w:pPr>
                    <w:pStyle w:val="TableBodyText"/>
                    <w:spacing w:after="20"/>
                  </w:pPr>
                  <w:r w:rsidRPr="00212227">
                    <w:t>1234.4</w:t>
                  </w:r>
                </w:p>
              </w:tc>
              <w:tc>
                <w:tcPr>
                  <w:tcW w:w="547" w:type="pct"/>
                </w:tcPr>
                <w:p w:rsidR="00745FEA" w:rsidRPr="00B9083B" w:rsidRDefault="00745FEA" w:rsidP="00745FEA">
                  <w:pPr>
                    <w:pStyle w:val="TableBodyText"/>
                    <w:spacing w:after="20"/>
                  </w:pPr>
                  <w:r w:rsidRPr="00212227">
                    <w:t>613.5</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1441.9</w:t>
                  </w:r>
                </w:p>
              </w:tc>
            </w:tr>
            <w:tr w:rsidR="00745FEA" w:rsidTr="00745FEA">
              <w:tc>
                <w:tcPr>
                  <w:tcW w:w="1657" w:type="pct"/>
                </w:tcPr>
                <w:p w:rsidR="00745FEA" w:rsidRPr="007A67BF" w:rsidRDefault="00745FEA" w:rsidP="00745FEA">
                  <w:pPr>
                    <w:pStyle w:val="TableBodyText"/>
                    <w:spacing w:after="20"/>
                    <w:jc w:val="left"/>
                  </w:pPr>
                  <w:r w:rsidRPr="007A67BF">
                    <w:t>Public administration and safety</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-144.9</w:t>
                  </w:r>
                </w:p>
              </w:tc>
              <w:tc>
                <w:tcPr>
                  <w:tcW w:w="570" w:type="pct"/>
                  <w:shd w:val="clear" w:color="auto" w:fill="F2F2F2" w:themeFill="background1" w:themeFillShade="F2"/>
                </w:tcPr>
                <w:p w:rsidR="00745FEA" w:rsidRPr="00B9083B" w:rsidRDefault="00745FEA" w:rsidP="00745FEA">
                  <w:pPr>
                    <w:pStyle w:val="TableBodyText"/>
                    <w:spacing w:after="20"/>
                  </w:pPr>
                  <w:r w:rsidRPr="00212227">
                    <w:t>-144.9</w:t>
                  </w:r>
                </w:p>
              </w:tc>
              <w:tc>
                <w:tcPr>
                  <w:tcW w:w="550" w:type="pct"/>
                </w:tcPr>
                <w:p w:rsidR="00745FEA" w:rsidRPr="00B9083B" w:rsidRDefault="00745FEA" w:rsidP="00745FEA">
                  <w:pPr>
                    <w:pStyle w:val="TableBodyText"/>
                    <w:spacing w:after="20"/>
                  </w:pPr>
                  <w:r w:rsidRPr="00212227">
                    <w:t>21.6</w:t>
                  </w:r>
                </w:p>
              </w:tc>
              <w:tc>
                <w:tcPr>
                  <w:tcW w:w="547" w:type="pct"/>
                </w:tcPr>
                <w:p w:rsidR="00745FEA" w:rsidRPr="00B9083B" w:rsidRDefault="00745FEA" w:rsidP="00745FEA">
                  <w:pPr>
                    <w:pStyle w:val="TableBodyText"/>
                    <w:spacing w:after="20"/>
                  </w:pPr>
                  <w:r w:rsidRPr="00212227">
                    <w:t>7.9</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-115.4</w:t>
                  </w:r>
                </w:p>
              </w:tc>
            </w:tr>
            <w:tr w:rsidR="00745FEA" w:rsidTr="00745FEA">
              <w:tc>
                <w:tcPr>
                  <w:tcW w:w="1657" w:type="pct"/>
                </w:tcPr>
                <w:p w:rsidR="00745FEA" w:rsidRPr="007A67BF" w:rsidRDefault="00745FEA" w:rsidP="00745FEA">
                  <w:pPr>
                    <w:pStyle w:val="TableBodyText"/>
                    <w:spacing w:after="20"/>
                    <w:jc w:val="left"/>
                  </w:pPr>
                  <w:r w:rsidRPr="007A67BF">
                    <w:t>Education and training</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-51.5</w:t>
                  </w:r>
                </w:p>
              </w:tc>
              <w:tc>
                <w:tcPr>
                  <w:tcW w:w="570" w:type="pct"/>
                  <w:shd w:val="clear" w:color="auto" w:fill="F2F2F2" w:themeFill="background1" w:themeFillShade="F2"/>
                </w:tcPr>
                <w:p w:rsidR="00745FEA" w:rsidRPr="00B9083B" w:rsidRDefault="00745FEA" w:rsidP="00745FEA">
                  <w:pPr>
                    <w:pStyle w:val="TableBodyText"/>
                    <w:spacing w:after="20"/>
                  </w:pPr>
                  <w:r w:rsidRPr="00212227">
                    <w:t>-51.5</w:t>
                  </w:r>
                </w:p>
              </w:tc>
              <w:tc>
                <w:tcPr>
                  <w:tcW w:w="550" w:type="pct"/>
                </w:tcPr>
                <w:p w:rsidR="00745FEA" w:rsidRPr="00B9083B" w:rsidRDefault="00745FEA" w:rsidP="00745FEA">
                  <w:pPr>
                    <w:pStyle w:val="TableBodyText"/>
                    <w:spacing w:after="20"/>
                  </w:pPr>
                  <w:r w:rsidRPr="00212227">
                    <w:t>26.8</w:t>
                  </w:r>
                </w:p>
              </w:tc>
              <w:tc>
                <w:tcPr>
                  <w:tcW w:w="547" w:type="pct"/>
                </w:tcPr>
                <w:p w:rsidR="00745FEA" w:rsidRPr="00B9083B" w:rsidRDefault="00745FEA" w:rsidP="00745FEA">
                  <w:pPr>
                    <w:pStyle w:val="TableBodyText"/>
                    <w:spacing w:after="20"/>
                  </w:pPr>
                  <w:r w:rsidRPr="00212227">
                    <w:t>19.9</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-4.8</w:t>
                  </w:r>
                </w:p>
              </w:tc>
            </w:tr>
            <w:tr w:rsidR="00745FEA" w:rsidTr="00745FEA">
              <w:tc>
                <w:tcPr>
                  <w:tcW w:w="1657" w:type="pct"/>
                </w:tcPr>
                <w:p w:rsidR="00745FEA" w:rsidRPr="007A67BF" w:rsidRDefault="00745FEA" w:rsidP="00745FEA">
                  <w:pPr>
                    <w:pStyle w:val="TableBodyText"/>
                    <w:spacing w:after="20"/>
                    <w:jc w:val="left"/>
                  </w:pPr>
                  <w:r w:rsidRPr="007A67BF">
                    <w:t>Health care &amp; social assistance</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-228.5</w:t>
                  </w:r>
                </w:p>
              </w:tc>
              <w:tc>
                <w:tcPr>
                  <w:tcW w:w="570" w:type="pct"/>
                  <w:shd w:val="clear" w:color="auto" w:fill="F2F2F2" w:themeFill="background1" w:themeFillShade="F2"/>
                </w:tcPr>
                <w:p w:rsidR="00745FEA" w:rsidRPr="00B9083B" w:rsidRDefault="00745FEA" w:rsidP="00745FEA">
                  <w:pPr>
                    <w:pStyle w:val="TableBodyText"/>
                    <w:spacing w:after="20"/>
                  </w:pPr>
                  <w:r w:rsidRPr="00212227">
                    <w:t>-228.5</w:t>
                  </w:r>
                </w:p>
              </w:tc>
              <w:tc>
                <w:tcPr>
                  <w:tcW w:w="550" w:type="pct"/>
                </w:tcPr>
                <w:p w:rsidR="00745FEA" w:rsidRPr="00B9083B" w:rsidRDefault="00745FEA" w:rsidP="00745FEA">
                  <w:pPr>
                    <w:pStyle w:val="TableBodyText"/>
                    <w:spacing w:after="20"/>
                  </w:pPr>
                  <w:r w:rsidRPr="00212227">
                    <w:t>109.6</w:t>
                  </w:r>
                </w:p>
              </w:tc>
              <w:tc>
                <w:tcPr>
                  <w:tcW w:w="547" w:type="pct"/>
                </w:tcPr>
                <w:p w:rsidR="00745FEA" w:rsidRPr="00B9083B" w:rsidRDefault="00745FEA" w:rsidP="00745FEA">
                  <w:pPr>
                    <w:pStyle w:val="TableBodyText"/>
                    <w:spacing w:after="20"/>
                  </w:pPr>
                  <w:r w:rsidRPr="00212227">
                    <w:t>135.3</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16.4</w:t>
                  </w:r>
                </w:p>
              </w:tc>
            </w:tr>
            <w:tr w:rsidR="00745FEA" w:rsidTr="00745FEA">
              <w:tc>
                <w:tcPr>
                  <w:tcW w:w="1657" w:type="pct"/>
                </w:tcPr>
                <w:p w:rsidR="00745FEA" w:rsidRPr="007A67BF" w:rsidRDefault="00745FEA" w:rsidP="00745FEA">
                  <w:pPr>
                    <w:pStyle w:val="TableBodyText"/>
                    <w:spacing w:after="20"/>
                    <w:jc w:val="left"/>
                  </w:pPr>
                  <w:r w:rsidRPr="007A67BF">
                    <w:t>Arts and recreation services</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-74.7</w:t>
                  </w:r>
                </w:p>
              </w:tc>
              <w:tc>
                <w:tcPr>
                  <w:tcW w:w="570" w:type="pct"/>
                  <w:shd w:val="clear" w:color="auto" w:fill="F2F2F2" w:themeFill="background1" w:themeFillShade="F2"/>
                </w:tcPr>
                <w:p w:rsidR="00745FEA" w:rsidRPr="00B9083B" w:rsidRDefault="00745FEA" w:rsidP="00745FEA">
                  <w:pPr>
                    <w:pStyle w:val="TableBodyText"/>
                    <w:spacing w:after="20"/>
                  </w:pPr>
                  <w:r w:rsidRPr="00212227">
                    <w:t>-74.7</w:t>
                  </w:r>
                </w:p>
              </w:tc>
              <w:tc>
                <w:tcPr>
                  <w:tcW w:w="550" w:type="pct"/>
                </w:tcPr>
                <w:p w:rsidR="00745FEA" w:rsidRPr="00B9083B" w:rsidRDefault="00745FEA" w:rsidP="00745FEA">
                  <w:pPr>
                    <w:pStyle w:val="TableBodyText"/>
                    <w:spacing w:after="20"/>
                  </w:pPr>
                  <w:r w:rsidRPr="00212227">
                    <w:t>149.7</w:t>
                  </w:r>
                </w:p>
              </w:tc>
              <w:tc>
                <w:tcPr>
                  <w:tcW w:w="547" w:type="pct"/>
                </w:tcPr>
                <w:p w:rsidR="00745FEA" w:rsidRPr="00B9083B" w:rsidRDefault="00745FEA" w:rsidP="00745FEA">
                  <w:pPr>
                    <w:pStyle w:val="TableBodyText"/>
                    <w:spacing w:after="20"/>
                  </w:pPr>
                  <w:r w:rsidRPr="00212227">
                    <w:t>365.7</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440.8</w:t>
                  </w:r>
                </w:p>
              </w:tc>
            </w:tr>
            <w:tr w:rsidR="00745FEA" w:rsidTr="00745FEA">
              <w:tc>
                <w:tcPr>
                  <w:tcW w:w="1657" w:type="pct"/>
                </w:tcPr>
                <w:p w:rsidR="00745FEA" w:rsidRPr="007A67BF" w:rsidRDefault="00745FEA" w:rsidP="00745FEA">
                  <w:pPr>
                    <w:pStyle w:val="TableBodyText"/>
                    <w:spacing w:after="20"/>
                    <w:jc w:val="left"/>
                  </w:pPr>
                  <w:r w:rsidRPr="007A67BF">
                    <w:t>Other services</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-327.1</w:t>
                  </w:r>
                </w:p>
              </w:tc>
              <w:tc>
                <w:tcPr>
                  <w:tcW w:w="570" w:type="pct"/>
                  <w:shd w:val="clear" w:color="auto" w:fill="F2F2F2" w:themeFill="background1" w:themeFillShade="F2"/>
                </w:tcPr>
                <w:p w:rsidR="00745FEA" w:rsidRPr="00B9083B" w:rsidRDefault="00745FEA" w:rsidP="00745FEA">
                  <w:pPr>
                    <w:pStyle w:val="TableBodyText"/>
                    <w:spacing w:after="20"/>
                  </w:pPr>
                  <w:r w:rsidRPr="00212227">
                    <w:t>-327.1</w:t>
                  </w:r>
                </w:p>
              </w:tc>
              <w:tc>
                <w:tcPr>
                  <w:tcW w:w="550" w:type="pct"/>
                </w:tcPr>
                <w:p w:rsidR="00745FEA" w:rsidRPr="00B9083B" w:rsidRDefault="00745FEA" w:rsidP="00745FEA">
                  <w:pPr>
                    <w:pStyle w:val="TableBodyText"/>
                    <w:spacing w:after="20"/>
                  </w:pPr>
                  <w:r w:rsidRPr="00212227">
                    <w:t>22.9</w:t>
                  </w:r>
                </w:p>
              </w:tc>
              <w:tc>
                <w:tcPr>
                  <w:tcW w:w="547" w:type="pct"/>
                </w:tcPr>
                <w:p w:rsidR="00745FEA" w:rsidRPr="00B9083B" w:rsidRDefault="00745FEA" w:rsidP="00745FEA">
                  <w:pPr>
                    <w:pStyle w:val="TableBodyText"/>
                    <w:spacing w:after="20"/>
                  </w:pPr>
                  <w:r w:rsidRPr="00212227">
                    <w:t>72.7</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-231.5</w:t>
                  </w:r>
                </w:p>
              </w:tc>
            </w:tr>
            <w:tr w:rsidR="00745FEA" w:rsidTr="00745FEA">
              <w:tc>
                <w:tcPr>
                  <w:tcW w:w="1657" w:type="pct"/>
                </w:tcPr>
                <w:p w:rsidR="00745FEA" w:rsidRPr="007A67BF" w:rsidRDefault="00745FEA" w:rsidP="00745FEA">
                  <w:pPr>
                    <w:pStyle w:val="TableBodyText"/>
                    <w:spacing w:after="20"/>
                    <w:jc w:val="left"/>
                  </w:pPr>
                  <w:r w:rsidRPr="007A67BF">
                    <w:t>Unallocated services</w:t>
                  </w:r>
                </w:p>
              </w:tc>
              <w:tc>
                <w:tcPr>
                  <w:tcW w:w="569" w:type="pct"/>
                </w:tcPr>
                <w:p w:rsidR="00745FEA" w:rsidRPr="00B9083B" w:rsidRDefault="00745FEA" w:rsidP="00745FEA">
                  <w:pPr>
                    <w:pStyle w:val="TableBodyText"/>
                    <w:spacing w:after="20"/>
                  </w:pPr>
                  <w:r w:rsidRPr="00212227">
                    <w:t>–</w:t>
                  </w:r>
                </w:p>
              </w:tc>
              <w:tc>
                <w:tcPr>
                  <w:tcW w:w="540" w:type="pct"/>
                </w:tcPr>
                <w:p w:rsidR="00745FEA" w:rsidRPr="00B9083B" w:rsidRDefault="00745FEA" w:rsidP="00745FEA">
                  <w:pPr>
                    <w:pStyle w:val="TableBodyText"/>
                    <w:spacing w:after="20"/>
                  </w:pPr>
                  <w:r w:rsidRPr="00212227">
                    <w:t>–</w:t>
                  </w:r>
                </w:p>
              </w:tc>
              <w:tc>
                <w:tcPr>
                  <w:tcW w:w="570" w:type="pct"/>
                  <w:shd w:val="clear" w:color="auto" w:fill="F2F2F2" w:themeFill="background1" w:themeFillShade="F2"/>
                </w:tcPr>
                <w:p w:rsidR="00745FEA" w:rsidRPr="00B9083B" w:rsidRDefault="00745FEA" w:rsidP="00745FEA">
                  <w:pPr>
                    <w:pStyle w:val="TableBodyText"/>
                    <w:spacing w:after="20"/>
                  </w:pPr>
                  <w:r w:rsidRPr="00212227">
                    <w:t>–</w:t>
                  </w:r>
                </w:p>
              </w:tc>
              <w:tc>
                <w:tcPr>
                  <w:tcW w:w="550" w:type="pct"/>
                </w:tcPr>
                <w:p w:rsidR="00745FEA" w:rsidRPr="00B9083B" w:rsidRDefault="00745FEA" w:rsidP="00745FEA">
                  <w:pPr>
                    <w:pStyle w:val="TableBodyText"/>
                    <w:spacing w:after="20"/>
                  </w:pPr>
                  <w:r w:rsidRPr="00212227">
                    <w:t>142.4</w:t>
                  </w:r>
                </w:p>
              </w:tc>
              <w:tc>
                <w:tcPr>
                  <w:tcW w:w="547" w:type="pct"/>
                </w:tcPr>
                <w:p w:rsidR="00745FEA" w:rsidRPr="00B9083B" w:rsidRDefault="00745FEA" w:rsidP="00745FEA">
                  <w:pPr>
                    <w:pStyle w:val="TableBodyText"/>
                    <w:spacing w:after="20"/>
                  </w:pPr>
                  <w:r w:rsidRPr="00212227">
                    <w:t>–</w:t>
                  </w:r>
                </w:p>
              </w:tc>
              <w:tc>
                <w:tcPr>
                  <w:tcW w:w="567" w:type="pct"/>
                  <w:shd w:val="clear" w:color="auto" w:fill="F2F2F2" w:themeFill="background1" w:themeFillShade="F2"/>
                </w:tcPr>
                <w:p w:rsidR="00745FEA" w:rsidRPr="00B9083B" w:rsidRDefault="00745FEA" w:rsidP="00745FEA">
                  <w:pPr>
                    <w:pStyle w:val="TableBodyText"/>
                    <w:spacing w:after="20"/>
                    <w:ind w:right="28"/>
                  </w:pPr>
                  <w:r w:rsidRPr="00212227">
                    <w:t>142.4</w:t>
                  </w:r>
                </w:p>
              </w:tc>
            </w:tr>
            <w:tr w:rsidR="00745FEA" w:rsidRPr="00035962" w:rsidTr="00745FEA">
              <w:tc>
                <w:tcPr>
                  <w:tcW w:w="1657" w:type="pct"/>
                </w:tcPr>
                <w:p w:rsidR="00745FEA" w:rsidRPr="00035962" w:rsidRDefault="00745FEA" w:rsidP="00745FEA">
                  <w:pPr>
                    <w:pStyle w:val="TableBodyText"/>
                    <w:jc w:val="left"/>
                    <w:rPr>
                      <w:b/>
                    </w:rPr>
                  </w:pPr>
                  <w:r w:rsidRPr="00035962">
                    <w:rPr>
                      <w:b/>
                    </w:rPr>
                    <w:t>Unallocated other</w:t>
                  </w:r>
                </w:p>
              </w:tc>
              <w:tc>
                <w:tcPr>
                  <w:tcW w:w="569" w:type="pct"/>
                </w:tcPr>
                <w:p w:rsidR="00745FEA" w:rsidRPr="00035962" w:rsidRDefault="00745FEA" w:rsidP="00745FEA">
                  <w:pPr>
                    <w:pStyle w:val="TableBodyText"/>
                    <w:rPr>
                      <w:b/>
                    </w:rPr>
                  </w:pPr>
                  <w:r w:rsidRPr="00035962">
                    <w:rPr>
                      <w:b/>
                    </w:rPr>
                    <w:t>–</w:t>
                  </w:r>
                </w:p>
              </w:tc>
              <w:tc>
                <w:tcPr>
                  <w:tcW w:w="540" w:type="pct"/>
                </w:tcPr>
                <w:p w:rsidR="00745FEA" w:rsidRPr="00035962" w:rsidRDefault="00745FEA" w:rsidP="00745FEA">
                  <w:pPr>
                    <w:pStyle w:val="TableBodyText"/>
                    <w:rPr>
                      <w:b/>
                    </w:rPr>
                  </w:pPr>
                  <w:r w:rsidRPr="00035962">
                    <w:rPr>
                      <w:b/>
                    </w:rPr>
                    <w:t>–</w:t>
                  </w:r>
                </w:p>
              </w:tc>
              <w:tc>
                <w:tcPr>
                  <w:tcW w:w="570" w:type="pct"/>
                  <w:shd w:val="clear" w:color="auto" w:fill="F2F2F2" w:themeFill="background1" w:themeFillShade="F2"/>
                </w:tcPr>
                <w:p w:rsidR="00745FEA" w:rsidRPr="00035962" w:rsidRDefault="00745FEA" w:rsidP="00745FEA">
                  <w:pPr>
                    <w:pStyle w:val="TableBodyText"/>
                    <w:rPr>
                      <w:b/>
                    </w:rPr>
                  </w:pPr>
                  <w:r w:rsidRPr="00035962">
                    <w:rPr>
                      <w:b/>
                    </w:rPr>
                    <w:t>–</w:t>
                  </w:r>
                </w:p>
              </w:tc>
              <w:tc>
                <w:tcPr>
                  <w:tcW w:w="550" w:type="pct"/>
                </w:tcPr>
                <w:p w:rsidR="00745FEA" w:rsidRPr="00035962" w:rsidRDefault="00745FEA" w:rsidP="00745FEA">
                  <w:pPr>
                    <w:pStyle w:val="TableBodyText"/>
                    <w:rPr>
                      <w:b/>
                    </w:rPr>
                  </w:pPr>
                  <w:r w:rsidRPr="00035962">
                    <w:rPr>
                      <w:b/>
                    </w:rPr>
                    <w:t>359.1</w:t>
                  </w:r>
                </w:p>
              </w:tc>
              <w:tc>
                <w:tcPr>
                  <w:tcW w:w="547" w:type="pct"/>
                </w:tcPr>
                <w:p w:rsidR="00745FEA" w:rsidRPr="00035962" w:rsidRDefault="00745FEA" w:rsidP="00745FEA">
                  <w:pPr>
                    <w:pStyle w:val="TableBodyText"/>
                    <w:rPr>
                      <w:b/>
                    </w:rPr>
                  </w:pPr>
                  <w:r w:rsidRPr="00035962">
                    <w:rPr>
                      <w:b/>
                    </w:rPr>
                    <w:t>2775.0</w:t>
                  </w:r>
                </w:p>
              </w:tc>
              <w:tc>
                <w:tcPr>
                  <w:tcW w:w="567" w:type="pct"/>
                  <w:shd w:val="clear" w:color="auto" w:fill="F2F2F2" w:themeFill="background1" w:themeFillShade="F2"/>
                </w:tcPr>
                <w:p w:rsidR="00745FEA" w:rsidRPr="00035962" w:rsidRDefault="00745FEA" w:rsidP="00745FEA">
                  <w:pPr>
                    <w:pStyle w:val="TableBodyText"/>
                    <w:ind w:right="28"/>
                    <w:rPr>
                      <w:b/>
                    </w:rPr>
                  </w:pPr>
                  <w:r w:rsidRPr="00035962">
                    <w:rPr>
                      <w:b/>
                    </w:rPr>
                    <w:t>3134.1</w:t>
                  </w:r>
                </w:p>
              </w:tc>
            </w:tr>
            <w:tr w:rsidR="00745FEA" w:rsidRPr="00035962" w:rsidTr="00745FEA">
              <w:tc>
                <w:tcPr>
                  <w:tcW w:w="1657" w:type="pct"/>
                  <w:tcBorders>
                    <w:bottom w:val="single" w:sz="6" w:space="0" w:color="BFBFBF"/>
                  </w:tcBorders>
                  <w:shd w:val="clear" w:color="auto" w:fill="auto"/>
                </w:tcPr>
                <w:p w:rsidR="00745FEA" w:rsidRPr="00035962" w:rsidRDefault="00745FEA" w:rsidP="00745FEA">
                  <w:pPr>
                    <w:pStyle w:val="TableBodyText"/>
                    <w:jc w:val="left"/>
                    <w:rPr>
                      <w:b/>
                    </w:rPr>
                  </w:pPr>
                  <w:r w:rsidRPr="00035962">
                    <w:rPr>
                      <w:b/>
                    </w:rPr>
                    <w:t>Total</w:t>
                  </w:r>
                </w:p>
              </w:tc>
              <w:tc>
                <w:tcPr>
                  <w:tcW w:w="569" w:type="pct"/>
                  <w:tcBorders>
                    <w:bottom w:val="single" w:sz="6" w:space="0" w:color="BFBFBF"/>
                  </w:tcBorders>
                </w:tcPr>
                <w:p w:rsidR="00745FEA" w:rsidRPr="00035962" w:rsidRDefault="00745FEA" w:rsidP="00745FEA">
                  <w:pPr>
                    <w:pStyle w:val="TableBodyText"/>
                    <w:rPr>
                      <w:b/>
                    </w:rPr>
                  </w:pPr>
                  <w:r w:rsidRPr="00035962">
                    <w:rPr>
                      <w:b/>
                    </w:rPr>
                    <w:t>6789.1</w:t>
                  </w:r>
                </w:p>
              </w:tc>
              <w:tc>
                <w:tcPr>
                  <w:tcW w:w="540" w:type="pct"/>
                  <w:tcBorders>
                    <w:bottom w:val="single" w:sz="6" w:space="0" w:color="BFBFBF"/>
                  </w:tcBorders>
                  <w:shd w:val="clear" w:color="auto" w:fill="auto"/>
                </w:tcPr>
                <w:p w:rsidR="00745FEA" w:rsidRPr="00035962" w:rsidRDefault="00745FEA" w:rsidP="00745FEA">
                  <w:pPr>
                    <w:pStyle w:val="TableBodyText"/>
                    <w:rPr>
                      <w:b/>
                    </w:rPr>
                  </w:pPr>
                  <w:r w:rsidRPr="00035962">
                    <w:rPr>
                      <w:b/>
                    </w:rPr>
                    <w:t>-5924.5</w:t>
                  </w:r>
                </w:p>
              </w:tc>
              <w:tc>
                <w:tcPr>
                  <w:tcW w:w="570" w:type="pct"/>
                  <w:tcBorders>
                    <w:bottom w:val="single" w:sz="6" w:space="0" w:color="BFBFBF"/>
                  </w:tcBorders>
                  <w:shd w:val="clear" w:color="auto" w:fill="F2F2F2" w:themeFill="background1" w:themeFillShade="F2"/>
                </w:tcPr>
                <w:p w:rsidR="00745FEA" w:rsidRPr="00035962" w:rsidRDefault="00745FEA" w:rsidP="00745FEA">
                  <w:pPr>
                    <w:pStyle w:val="TableBodyText"/>
                    <w:rPr>
                      <w:b/>
                    </w:rPr>
                  </w:pPr>
                  <w:r w:rsidRPr="00035962">
                    <w:rPr>
                      <w:b/>
                    </w:rPr>
                    <w:t>864.6</w:t>
                  </w:r>
                </w:p>
              </w:tc>
              <w:tc>
                <w:tcPr>
                  <w:tcW w:w="550" w:type="pct"/>
                  <w:tcBorders>
                    <w:bottom w:val="single" w:sz="6" w:space="0" w:color="BFBFBF"/>
                  </w:tcBorders>
                </w:tcPr>
                <w:p w:rsidR="00745FEA" w:rsidRPr="00035962" w:rsidRDefault="00745FEA" w:rsidP="00745FEA">
                  <w:pPr>
                    <w:pStyle w:val="TableBodyText"/>
                    <w:rPr>
                      <w:b/>
                    </w:rPr>
                  </w:pPr>
                  <w:r w:rsidRPr="00035962">
                    <w:rPr>
                      <w:b/>
                    </w:rPr>
                    <w:t>5291.3</w:t>
                  </w:r>
                </w:p>
              </w:tc>
              <w:tc>
                <w:tcPr>
                  <w:tcW w:w="547" w:type="pct"/>
                  <w:tcBorders>
                    <w:bottom w:val="single" w:sz="6" w:space="0" w:color="BFBFBF"/>
                  </w:tcBorders>
                </w:tcPr>
                <w:p w:rsidR="00745FEA" w:rsidRPr="00035962" w:rsidRDefault="00745FEA" w:rsidP="00745FEA">
                  <w:pPr>
                    <w:pStyle w:val="TableBodyText"/>
                    <w:rPr>
                      <w:b/>
                    </w:rPr>
                  </w:pPr>
                  <w:r w:rsidRPr="00035962">
                    <w:rPr>
                      <w:b/>
                    </w:rPr>
                    <w:t>7212.2</w:t>
                  </w:r>
                </w:p>
              </w:tc>
              <w:tc>
                <w:tcPr>
                  <w:tcW w:w="567" w:type="pct"/>
                  <w:tcBorders>
                    <w:bottom w:val="single" w:sz="6" w:space="0" w:color="BFBFBF"/>
                  </w:tcBorders>
                  <w:shd w:val="clear" w:color="auto" w:fill="F2F2F2" w:themeFill="background1" w:themeFillShade="F2"/>
                </w:tcPr>
                <w:p w:rsidR="00745FEA" w:rsidRPr="00035962" w:rsidRDefault="00745FEA" w:rsidP="00745FEA">
                  <w:pPr>
                    <w:pStyle w:val="TableBodyText"/>
                    <w:ind w:right="28"/>
                    <w:rPr>
                      <w:b/>
                    </w:rPr>
                  </w:pPr>
                  <w:r w:rsidRPr="00035962">
                    <w:rPr>
                      <w:b/>
                    </w:rPr>
                    <w:t>13368.1</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Note"/>
              <w:rPr>
                <w:i/>
              </w:rPr>
            </w:pPr>
            <w:r>
              <w:t xml:space="preserve">– Nil. </w:t>
            </w:r>
            <w:r w:rsidRPr="008E77FE">
              <w:rPr>
                <w:rStyle w:val="NoteLabel"/>
              </w:rPr>
              <w:t>a</w:t>
            </w:r>
            <w:r>
              <w:t xml:space="preserve"> Read in conjunction with notes to tables 2.1 and 2.4. </w:t>
            </w: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 xml:space="preserve">Commission estimates. </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2.</w:t>
            </w:r>
            <w:r>
              <w:rPr>
                <w:b w:val="0"/>
                <w:noProof/>
              </w:rPr>
              <w:t>6</w:t>
            </w:r>
            <w:r>
              <w:tab/>
              <w:t>Effective rate of combined assistance by industry grouping, 2011</w:t>
            </w:r>
            <w:r>
              <w:noBreakHyphen/>
              <w:t>12 to 2016</w:t>
            </w:r>
            <w:r>
              <w:noBreakHyphen/>
              <w:t>17</w:t>
            </w:r>
            <w:r w:rsidRPr="0082333C">
              <w:rPr>
                <w:rStyle w:val="NoteLabel"/>
                <w:b/>
              </w:rPr>
              <w:t>a</w:t>
            </w:r>
            <w:r>
              <w:rPr>
                <w:rStyle w:val="NoteLabel"/>
                <w:b/>
              </w:rPr>
              <w:t>,b</w:t>
            </w:r>
          </w:p>
          <w:p w:rsidR="00745FEA" w:rsidRPr="00784A05" w:rsidRDefault="0055201A" w:rsidP="00745FEA">
            <w:pPr>
              <w:pStyle w:val="Subtitle"/>
            </w:pPr>
            <w:r>
              <w:t>Per</w:t>
            </w:r>
            <w:r w:rsidR="00745FEA">
              <w:t xml:space="preserve"> cent</w:t>
            </w:r>
          </w:p>
        </w:tc>
      </w:tr>
      <w:tr w:rsidR="00745FEA" w:rsidTr="00745FEA">
        <w:tc>
          <w:tcPr>
            <w:tcW w:w="5000" w:type="pct"/>
            <w:tcBorders>
              <w:top w:val="nil"/>
              <w:left w:val="nil"/>
              <w:bottom w:val="nil"/>
              <w:right w:val="nil"/>
            </w:tcBorders>
            <w:shd w:val="clear" w:color="auto" w:fill="auto"/>
          </w:tcPr>
          <w:tbl>
            <w:tblPr>
              <w:tblW w:w="8496" w:type="dxa"/>
              <w:tblCellMar>
                <w:top w:w="28" w:type="dxa"/>
                <w:left w:w="0" w:type="dxa"/>
                <w:right w:w="0" w:type="dxa"/>
              </w:tblCellMar>
              <w:tblLook w:val="0000" w:firstRow="0" w:lastRow="0" w:firstColumn="0" w:lastColumn="0" w:noHBand="0" w:noVBand="0"/>
            </w:tblPr>
            <w:tblGrid>
              <w:gridCol w:w="2721"/>
              <w:gridCol w:w="971"/>
              <w:gridCol w:w="965"/>
              <w:gridCol w:w="963"/>
              <w:gridCol w:w="963"/>
              <w:gridCol w:w="958"/>
              <w:gridCol w:w="955"/>
            </w:tblGrid>
            <w:tr w:rsidR="00745FEA" w:rsidTr="00745FEA">
              <w:trPr>
                <w:tblHeader/>
              </w:trPr>
              <w:tc>
                <w:tcPr>
                  <w:tcW w:w="1601"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571" w:type="pct"/>
                  <w:tcBorders>
                    <w:top w:val="single" w:sz="6" w:space="0" w:color="BFBFBF"/>
                    <w:bottom w:val="single" w:sz="6" w:space="0" w:color="BFBFBF"/>
                  </w:tcBorders>
                </w:tcPr>
                <w:p w:rsidR="00745FEA" w:rsidRDefault="00745FEA" w:rsidP="00745FEA">
                  <w:pPr>
                    <w:pStyle w:val="TableColumnHeading"/>
                  </w:pPr>
                  <w:r>
                    <w:t>2011</w:t>
                  </w:r>
                  <w:r>
                    <w:noBreakHyphen/>
                    <w:t>12</w:t>
                  </w:r>
                </w:p>
              </w:tc>
              <w:tc>
                <w:tcPr>
                  <w:tcW w:w="56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pPr>
                  <w:r>
                    <w:t>2012</w:t>
                  </w:r>
                  <w:r>
                    <w:noBreakHyphen/>
                    <w:t>13</w:t>
                  </w:r>
                </w:p>
              </w:tc>
              <w:tc>
                <w:tcPr>
                  <w:tcW w:w="567" w:type="pct"/>
                  <w:tcBorders>
                    <w:top w:val="single" w:sz="6" w:space="0" w:color="BFBFBF"/>
                    <w:bottom w:val="single" w:sz="6" w:space="0" w:color="BFBFBF"/>
                  </w:tcBorders>
                </w:tcPr>
                <w:p w:rsidR="00745FEA" w:rsidRDefault="00745FEA" w:rsidP="00745FEA">
                  <w:pPr>
                    <w:pStyle w:val="TableColumnHeading"/>
                    <w:ind w:right="28"/>
                  </w:pPr>
                  <w:r>
                    <w:t>2013</w:t>
                  </w:r>
                  <w:r>
                    <w:noBreakHyphen/>
                    <w:t>14</w:t>
                  </w:r>
                </w:p>
              </w:tc>
              <w:tc>
                <w:tcPr>
                  <w:tcW w:w="567" w:type="pct"/>
                  <w:tcBorders>
                    <w:top w:val="single" w:sz="6" w:space="0" w:color="BFBFBF"/>
                    <w:bottom w:val="single" w:sz="6" w:space="0" w:color="BFBFBF"/>
                  </w:tcBorders>
                </w:tcPr>
                <w:p w:rsidR="00745FEA" w:rsidRDefault="00745FEA" w:rsidP="00745FEA">
                  <w:pPr>
                    <w:pStyle w:val="TableColumnHeading"/>
                    <w:ind w:right="28"/>
                  </w:pPr>
                  <w:r>
                    <w:t>2014</w:t>
                  </w:r>
                  <w:r>
                    <w:noBreakHyphen/>
                    <w:t>15</w:t>
                  </w:r>
                </w:p>
              </w:tc>
              <w:tc>
                <w:tcPr>
                  <w:tcW w:w="564" w:type="pct"/>
                  <w:tcBorders>
                    <w:top w:val="single" w:sz="6" w:space="0" w:color="BFBFBF"/>
                    <w:bottom w:val="single" w:sz="6" w:space="0" w:color="BFBFBF"/>
                  </w:tcBorders>
                </w:tcPr>
                <w:p w:rsidR="00745FEA" w:rsidRDefault="00745FEA" w:rsidP="00745FEA">
                  <w:pPr>
                    <w:pStyle w:val="TableColumnHeading"/>
                    <w:ind w:right="28"/>
                  </w:pPr>
                  <w:r>
                    <w:t>2015</w:t>
                  </w:r>
                  <w:r>
                    <w:noBreakHyphen/>
                    <w:t>16</w:t>
                  </w:r>
                </w:p>
              </w:tc>
              <w:tc>
                <w:tcPr>
                  <w:tcW w:w="562"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ind w:right="28"/>
                  </w:pPr>
                  <w:r>
                    <w:t>2016</w:t>
                  </w:r>
                  <w:r>
                    <w:noBreakHyphen/>
                    <w:t>17</w:t>
                  </w:r>
                </w:p>
              </w:tc>
            </w:tr>
            <w:tr w:rsidR="00745FEA" w:rsidRPr="00783BE8" w:rsidTr="00745FEA">
              <w:tc>
                <w:tcPr>
                  <w:tcW w:w="1601" w:type="pct"/>
                  <w:tcBorders>
                    <w:top w:val="single" w:sz="6" w:space="0" w:color="BFBFBF"/>
                  </w:tcBorders>
                </w:tcPr>
                <w:p w:rsidR="00745FEA" w:rsidRPr="00783BE8" w:rsidRDefault="00745FEA" w:rsidP="00745FEA">
                  <w:pPr>
                    <w:pStyle w:val="TableBodyText"/>
                    <w:jc w:val="left"/>
                    <w:rPr>
                      <w:b/>
                    </w:rPr>
                  </w:pPr>
                  <w:r w:rsidRPr="00783BE8">
                    <w:rPr>
                      <w:b/>
                    </w:rPr>
                    <w:t>Primary production</w:t>
                  </w:r>
                  <w:r w:rsidRPr="0082333C">
                    <w:rPr>
                      <w:rStyle w:val="NoteLabel"/>
                    </w:rPr>
                    <w:t>b</w:t>
                  </w:r>
                </w:p>
              </w:tc>
              <w:tc>
                <w:tcPr>
                  <w:tcW w:w="571" w:type="pct"/>
                  <w:tcBorders>
                    <w:top w:val="single" w:sz="6" w:space="0" w:color="BFBFBF"/>
                  </w:tcBorders>
                  <w:vAlign w:val="bottom"/>
                </w:tcPr>
                <w:p w:rsidR="00745FEA" w:rsidRPr="00C75B72" w:rsidRDefault="00745FEA" w:rsidP="00745FEA">
                  <w:pPr>
                    <w:pStyle w:val="TableBodyText"/>
                    <w:spacing w:after="20"/>
                    <w:rPr>
                      <w:b/>
                    </w:rPr>
                  </w:pPr>
                  <w:r w:rsidRPr="00C75B72">
                    <w:rPr>
                      <w:b/>
                    </w:rPr>
                    <w:t>3.7</w:t>
                  </w:r>
                </w:p>
              </w:tc>
              <w:tc>
                <w:tcPr>
                  <w:tcW w:w="568" w:type="pct"/>
                  <w:tcBorders>
                    <w:top w:val="single" w:sz="6" w:space="0" w:color="BFBFBF"/>
                  </w:tcBorders>
                  <w:vAlign w:val="bottom"/>
                </w:tcPr>
                <w:p w:rsidR="00745FEA" w:rsidRPr="00C75B72" w:rsidRDefault="00745FEA" w:rsidP="00745FEA">
                  <w:pPr>
                    <w:pStyle w:val="TableBodyText"/>
                    <w:spacing w:after="20"/>
                    <w:rPr>
                      <w:b/>
                    </w:rPr>
                  </w:pPr>
                  <w:r w:rsidRPr="00C75B72">
                    <w:rPr>
                      <w:b/>
                    </w:rPr>
                    <w:t>3.0</w:t>
                  </w:r>
                </w:p>
              </w:tc>
              <w:tc>
                <w:tcPr>
                  <w:tcW w:w="567" w:type="pct"/>
                  <w:tcBorders>
                    <w:top w:val="single" w:sz="6" w:space="0" w:color="BFBFBF"/>
                  </w:tcBorders>
                  <w:vAlign w:val="bottom"/>
                </w:tcPr>
                <w:p w:rsidR="00745FEA" w:rsidRPr="00C75B72" w:rsidRDefault="00745FEA" w:rsidP="00745FEA">
                  <w:pPr>
                    <w:pStyle w:val="TableBodyText"/>
                    <w:spacing w:after="20"/>
                    <w:rPr>
                      <w:b/>
                    </w:rPr>
                  </w:pPr>
                  <w:r w:rsidRPr="00C75B72">
                    <w:rPr>
                      <w:b/>
                    </w:rPr>
                    <w:t>3.0</w:t>
                  </w:r>
                </w:p>
              </w:tc>
              <w:tc>
                <w:tcPr>
                  <w:tcW w:w="567" w:type="pct"/>
                  <w:tcBorders>
                    <w:top w:val="single" w:sz="6" w:space="0" w:color="BFBFBF"/>
                  </w:tcBorders>
                  <w:vAlign w:val="bottom"/>
                </w:tcPr>
                <w:p w:rsidR="00745FEA" w:rsidRPr="00C75B72" w:rsidRDefault="00745FEA" w:rsidP="00745FEA">
                  <w:pPr>
                    <w:pStyle w:val="TableBodyText"/>
                    <w:spacing w:after="20"/>
                    <w:rPr>
                      <w:b/>
                    </w:rPr>
                  </w:pPr>
                  <w:r w:rsidRPr="00C75B72">
                    <w:rPr>
                      <w:b/>
                    </w:rPr>
                    <w:t>2.9</w:t>
                  </w:r>
                </w:p>
              </w:tc>
              <w:tc>
                <w:tcPr>
                  <w:tcW w:w="564" w:type="pct"/>
                  <w:tcBorders>
                    <w:top w:val="single" w:sz="6" w:space="0" w:color="BFBFBF"/>
                  </w:tcBorders>
                  <w:vAlign w:val="bottom"/>
                </w:tcPr>
                <w:p w:rsidR="00745FEA" w:rsidRPr="00C75B72" w:rsidRDefault="00745FEA" w:rsidP="00745FEA">
                  <w:pPr>
                    <w:pStyle w:val="TableBodyText"/>
                    <w:spacing w:after="20"/>
                    <w:rPr>
                      <w:b/>
                    </w:rPr>
                  </w:pPr>
                  <w:r w:rsidRPr="00C75B72">
                    <w:rPr>
                      <w:b/>
                    </w:rPr>
                    <w:t>2.9</w:t>
                  </w:r>
                </w:p>
              </w:tc>
              <w:tc>
                <w:tcPr>
                  <w:tcW w:w="562" w:type="pct"/>
                  <w:tcBorders>
                    <w:top w:val="single" w:sz="6" w:space="0" w:color="BFBFBF"/>
                  </w:tcBorders>
                  <w:vAlign w:val="bottom"/>
                </w:tcPr>
                <w:p w:rsidR="00745FEA" w:rsidRPr="00C75B72" w:rsidRDefault="00745FEA" w:rsidP="00745FEA">
                  <w:pPr>
                    <w:pStyle w:val="TableBodyText"/>
                    <w:spacing w:after="20"/>
                    <w:ind w:right="28"/>
                    <w:rPr>
                      <w:b/>
                    </w:rPr>
                  </w:pPr>
                  <w:r w:rsidRPr="00C75B72">
                    <w:rPr>
                      <w:b/>
                    </w:rPr>
                    <w:t>2.8</w:t>
                  </w:r>
                </w:p>
              </w:tc>
            </w:tr>
            <w:tr w:rsidR="00745FEA" w:rsidTr="00745FEA">
              <w:tc>
                <w:tcPr>
                  <w:tcW w:w="1601" w:type="pct"/>
                </w:tcPr>
                <w:p w:rsidR="00745FEA" w:rsidRPr="00E60DC4" w:rsidRDefault="00745FEA" w:rsidP="00745FEA">
                  <w:pPr>
                    <w:pStyle w:val="TableBodyText"/>
                    <w:jc w:val="left"/>
                  </w:pPr>
                  <w:r w:rsidRPr="00E60DC4">
                    <w:t>Horticulture and fruit growing</w:t>
                  </w:r>
                </w:p>
              </w:tc>
              <w:tc>
                <w:tcPr>
                  <w:tcW w:w="571" w:type="pct"/>
                </w:tcPr>
                <w:p w:rsidR="00745FEA" w:rsidRPr="00144344" w:rsidRDefault="00745FEA" w:rsidP="00745FEA">
                  <w:pPr>
                    <w:pStyle w:val="TableBodyText"/>
                  </w:pPr>
                  <w:r w:rsidRPr="004F7FF8">
                    <w:t>2.1</w:t>
                  </w:r>
                </w:p>
              </w:tc>
              <w:tc>
                <w:tcPr>
                  <w:tcW w:w="568" w:type="pct"/>
                </w:tcPr>
                <w:p w:rsidR="00745FEA" w:rsidRPr="00144344" w:rsidRDefault="00745FEA" w:rsidP="00745FEA">
                  <w:pPr>
                    <w:pStyle w:val="TableBodyText"/>
                  </w:pPr>
                  <w:r w:rsidRPr="004F7FF8">
                    <w:t>2.3</w:t>
                  </w:r>
                </w:p>
              </w:tc>
              <w:tc>
                <w:tcPr>
                  <w:tcW w:w="567" w:type="pct"/>
                </w:tcPr>
                <w:p w:rsidR="00745FEA" w:rsidRPr="00144344" w:rsidRDefault="00745FEA" w:rsidP="00745FEA">
                  <w:pPr>
                    <w:pStyle w:val="TableBodyText"/>
                  </w:pPr>
                  <w:r w:rsidRPr="004F7FF8">
                    <w:t>2.6</w:t>
                  </w:r>
                </w:p>
              </w:tc>
              <w:tc>
                <w:tcPr>
                  <w:tcW w:w="567" w:type="pct"/>
                </w:tcPr>
                <w:p w:rsidR="00745FEA" w:rsidRPr="00144344" w:rsidRDefault="00745FEA" w:rsidP="00745FEA">
                  <w:pPr>
                    <w:pStyle w:val="TableBodyText"/>
                  </w:pPr>
                  <w:r w:rsidRPr="004F7FF8">
                    <w:t>2.5</w:t>
                  </w:r>
                </w:p>
              </w:tc>
              <w:tc>
                <w:tcPr>
                  <w:tcW w:w="564" w:type="pct"/>
                </w:tcPr>
                <w:p w:rsidR="00745FEA" w:rsidRPr="00144344" w:rsidRDefault="00745FEA" w:rsidP="00745FEA">
                  <w:pPr>
                    <w:pStyle w:val="TableBodyText"/>
                  </w:pPr>
                  <w:r w:rsidRPr="004F7FF8">
                    <w:t>2.6</w:t>
                  </w:r>
                </w:p>
              </w:tc>
              <w:tc>
                <w:tcPr>
                  <w:tcW w:w="562" w:type="pct"/>
                </w:tcPr>
                <w:p w:rsidR="00745FEA" w:rsidRPr="00144344" w:rsidRDefault="00745FEA" w:rsidP="00745FEA">
                  <w:pPr>
                    <w:pStyle w:val="TableBodyText"/>
                    <w:ind w:right="28"/>
                  </w:pPr>
                  <w:r w:rsidRPr="004F7FF8">
                    <w:t>2.6</w:t>
                  </w:r>
                </w:p>
              </w:tc>
            </w:tr>
            <w:tr w:rsidR="00745FEA" w:rsidTr="00745FEA">
              <w:tc>
                <w:tcPr>
                  <w:tcW w:w="1601" w:type="pct"/>
                </w:tcPr>
                <w:p w:rsidR="00745FEA" w:rsidRPr="00E60DC4" w:rsidRDefault="00745FEA" w:rsidP="00745FEA">
                  <w:pPr>
                    <w:pStyle w:val="TableBodyText"/>
                    <w:jc w:val="left"/>
                  </w:pPr>
                  <w:r w:rsidRPr="00E60DC4">
                    <w:t>Sheep, cattle and grain farming</w:t>
                  </w:r>
                </w:p>
              </w:tc>
              <w:tc>
                <w:tcPr>
                  <w:tcW w:w="571" w:type="pct"/>
                </w:tcPr>
                <w:p w:rsidR="00745FEA" w:rsidRPr="00144344" w:rsidRDefault="00745FEA" w:rsidP="00745FEA">
                  <w:pPr>
                    <w:pStyle w:val="TableBodyText"/>
                  </w:pPr>
                  <w:r w:rsidRPr="004F7FF8">
                    <w:t>4.2</w:t>
                  </w:r>
                </w:p>
              </w:tc>
              <w:tc>
                <w:tcPr>
                  <w:tcW w:w="568" w:type="pct"/>
                </w:tcPr>
                <w:p w:rsidR="00745FEA" w:rsidRPr="00144344" w:rsidRDefault="00745FEA" w:rsidP="00745FEA">
                  <w:pPr>
                    <w:pStyle w:val="TableBodyText"/>
                  </w:pPr>
                  <w:r w:rsidRPr="004F7FF8">
                    <w:t>3.3</w:t>
                  </w:r>
                </w:p>
              </w:tc>
              <w:tc>
                <w:tcPr>
                  <w:tcW w:w="567" w:type="pct"/>
                </w:tcPr>
                <w:p w:rsidR="00745FEA" w:rsidRPr="00144344" w:rsidRDefault="00745FEA" w:rsidP="00745FEA">
                  <w:pPr>
                    <w:pStyle w:val="TableBodyText"/>
                  </w:pPr>
                  <w:r w:rsidRPr="004F7FF8">
                    <w:t>4.0</w:t>
                  </w:r>
                </w:p>
              </w:tc>
              <w:tc>
                <w:tcPr>
                  <w:tcW w:w="567" w:type="pct"/>
                </w:tcPr>
                <w:p w:rsidR="00745FEA" w:rsidRPr="00144344" w:rsidRDefault="00745FEA" w:rsidP="00745FEA">
                  <w:pPr>
                    <w:pStyle w:val="TableBodyText"/>
                  </w:pPr>
                  <w:r w:rsidRPr="004F7FF8">
                    <w:t>3.8</w:t>
                  </w:r>
                </w:p>
              </w:tc>
              <w:tc>
                <w:tcPr>
                  <w:tcW w:w="564" w:type="pct"/>
                </w:tcPr>
                <w:p w:rsidR="00745FEA" w:rsidRPr="00144344" w:rsidRDefault="00745FEA" w:rsidP="00745FEA">
                  <w:pPr>
                    <w:pStyle w:val="TableBodyText"/>
                  </w:pPr>
                  <w:r w:rsidRPr="004F7FF8">
                    <w:t>4.0</w:t>
                  </w:r>
                </w:p>
              </w:tc>
              <w:tc>
                <w:tcPr>
                  <w:tcW w:w="562" w:type="pct"/>
                </w:tcPr>
                <w:p w:rsidR="00745FEA" w:rsidRPr="00144344" w:rsidRDefault="00745FEA" w:rsidP="00745FEA">
                  <w:pPr>
                    <w:pStyle w:val="TableBodyText"/>
                    <w:ind w:right="28"/>
                  </w:pPr>
                  <w:r w:rsidRPr="004F7FF8">
                    <w:t>4.2</w:t>
                  </w:r>
                </w:p>
              </w:tc>
            </w:tr>
            <w:tr w:rsidR="00745FEA" w:rsidTr="00745FEA">
              <w:tc>
                <w:tcPr>
                  <w:tcW w:w="1601" w:type="pct"/>
                </w:tcPr>
                <w:p w:rsidR="00745FEA" w:rsidRPr="00E60DC4" w:rsidRDefault="00745FEA" w:rsidP="00745FEA">
                  <w:pPr>
                    <w:pStyle w:val="TableBodyText"/>
                    <w:jc w:val="left"/>
                  </w:pPr>
                  <w:r w:rsidRPr="00E60DC4">
                    <w:t>Other crop growing</w:t>
                  </w:r>
                </w:p>
              </w:tc>
              <w:tc>
                <w:tcPr>
                  <w:tcW w:w="571" w:type="pct"/>
                </w:tcPr>
                <w:p w:rsidR="00745FEA" w:rsidRPr="00144344" w:rsidRDefault="00745FEA" w:rsidP="00745FEA">
                  <w:pPr>
                    <w:pStyle w:val="TableBodyText"/>
                  </w:pPr>
                  <w:r w:rsidRPr="004F7FF8">
                    <w:t>1.8</w:t>
                  </w:r>
                </w:p>
              </w:tc>
              <w:tc>
                <w:tcPr>
                  <w:tcW w:w="568" w:type="pct"/>
                </w:tcPr>
                <w:p w:rsidR="00745FEA" w:rsidRPr="00144344" w:rsidRDefault="00745FEA" w:rsidP="00745FEA">
                  <w:pPr>
                    <w:pStyle w:val="TableBodyText"/>
                  </w:pPr>
                  <w:r w:rsidRPr="004F7FF8">
                    <w:t>1.6</w:t>
                  </w:r>
                </w:p>
              </w:tc>
              <w:tc>
                <w:tcPr>
                  <w:tcW w:w="567" w:type="pct"/>
                </w:tcPr>
                <w:p w:rsidR="00745FEA" w:rsidRPr="00144344" w:rsidRDefault="00745FEA" w:rsidP="00745FEA">
                  <w:pPr>
                    <w:pStyle w:val="TableBodyText"/>
                  </w:pPr>
                  <w:r w:rsidRPr="004F7FF8">
                    <w:t>1.8</w:t>
                  </w:r>
                </w:p>
              </w:tc>
              <w:tc>
                <w:tcPr>
                  <w:tcW w:w="567" w:type="pct"/>
                </w:tcPr>
                <w:p w:rsidR="00745FEA" w:rsidRPr="00144344" w:rsidRDefault="00745FEA" w:rsidP="00745FEA">
                  <w:pPr>
                    <w:pStyle w:val="TableBodyText"/>
                  </w:pPr>
                  <w:r w:rsidRPr="004F7FF8">
                    <w:t>1.3</w:t>
                  </w:r>
                </w:p>
              </w:tc>
              <w:tc>
                <w:tcPr>
                  <w:tcW w:w="564" w:type="pct"/>
                </w:tcPr>
                <w:p w:rsidR="00745FEA" w:rsidRPr="00144344" w:rsidRDefault="00745FEA" w:rsidP="00745FEA">
                  <w:pPr>
                    <w:pStyle w:val="TableBodyText"/>
                  </w:pPr>
                  <w:r w:rsidRPr="004F7FF8">
                    <w:t>1.2</w:t>
                  </w:r>
                </w:p>
              </w:tc>
              <w:tc>
                <w:tcPr>
                  <w:tcW w:w="562" w:type="pct"/>
                </w:tcPr>
                <w:p w:rsidR="00745FEA" w:rsidRPr="00144344" w:rsidRDefault="00745FEA" w:rsidP="00745FEA">
                  <w:pPr>
                    <w:pStyle w:val="TableBodyText"/>
                    <w:ind w:right="28"/>
                  </w:pPr>
                  <w:r w:rsidRPr="004F7FF8">
                    <w:t>0.9</w:t>
                  </w:r>
                </w:p>
              </w:tc>
            </w:tr>
            <w:tr w:rsidR="00745FEA" w:rsidTr="00745FEA">
              <w:tc>
                <w:tcPr>
                  <w:tcW w:w="1601" w:type="pct"/>
                </w:tcPr>
                <w:p w:rsidR="00745FEA" w:rsidRPr="00E60DC4" w:rsidRDefault="00745FEA" w:rsidP="00745FEA">
                  <w:pPr>
                    <w:pStyle w:val="TableBodyText"/>
                    <w:jc w:val="left"/>
                  </w:pPr>
                  <w:r w:rsidRPr="00E60DC4">
                    <w:t>Dairy cattle farming</w:t>
                  </w:r>
                </w:p>
              </w:tc>
              <w:tc>
                <w:tcPr>
                  <w:tcW w:w="571" w:type="pct"/>
                </w:tcPr>
                <w:p w:rsidR="00745FEA" w:rsidRPr="00144344" w:rsidRDefault="00745FEA" w:rsidP="00745FEA">
                  <w:pPr>
                    <w:pStyle w:val="TableBodyText"/>
                  </w:pPr>
                  <w:r w:rsidRPr="004F7FF8">
                    <w:t>3.3</w:t>
                  </w:r>
                </w:p>
              </w:tc>
              <w:tc>
                <w:tcPr>
                  <w:tcW w:w="568" w:type="pct"/>
                </w:tcPr>
                <w:p w:rsidR="00745FEA" w:rsidRPr="00144344" w:rsidRDefault="00745FEA" w:rsidP="00745FEA">
                  <w:pPr>
                    <w:pStyle w:val="TableBodyText"/>
                  </w:pPr>
                  <w:r w:rsidRPr="004F7FF8">
                    <w:t>1.1</w:t>
                  </w:r>
                </w:p>
              </w:tc>
              <w:tc>
                <w:tcPr>
                  <w:tcW w:w="567" w:type="pct"/>
                </w:tcPr>
                <w:p w:rsidR="00745FEA" w:rsidRPr="00144344" w:rsidRDefault="00745FEA" w:rsidP="00745FEA">
                  <w:pPr>
                    <w:pStyle w:val="TableBodyText"/>
                  </w:pPr>
                  <w:r w:rsidRPr="004F7FF8">
                    <w:t>1.2</w:t>
                  </w:r>
                </w:p>
              </w:tc>
              <w:tc>
                <w:tcPr>
                  <w:tcW w:w="567" w:type="pct"/>
                </w:tcPr>
                <w:p w:rsidR="00745FEA" w:rsidRPr="00144344" w:rsidRDefault="00745FEA" w:rsidP="00745FEA">
                  <w:pPr>
                    <w:pStyle w:val="TableBodyText"/>
                  </w:pPr>
                  <w:r w:rsidRPr="004F7FF8">
                    <w:t>1.4</w:t>
                  </w:r>
                </w:p>
              </w:tc>
              <w:tc>
                <w:tcPr>
                  <w:tcW w:w="564" w:type="pct"/>
                </w:tcPr>
                <w:p w:rsidR="00745FEA" w:rsidRPr="00144344" w:rsidRDefault="00745FEA" w:rsidP="00745FEA">
                  <w:pPr>
                    <w:pStyle w:val="TableBodyText"/>
                  </w:pPr>
                  <w:r w:rsidRPr="004F7FF8">
                    <w:t>1.7</w:t>
                  </w:r>
                </w:p>
              </w:tc>
              <w:tc>
                <w:tcPr>
                  <w:tcW w:w="562" w:type="pct"/>
                </w:tcPr>
                <w:p w:rsidR="00745FEA" w:rsidRPr="00144344" w:rsidRDefault="00745FEA" w:rsidP="00745FEA">
                  <w:pPr>
                    <w:pStyle w:val="TableBodyText"/>
                    <w:ind w:right="28"/>
                  </w:pPr>
                  <w:r w:rsidRPr="004F7FF8">
                    <w:t>1.4</w:t>
                  </w:r>
                </w:p>
              </w:tc>
            </w:tr>
            <w:tr w:rsidR="00745FEA" w:rsidTr="00745FEA">
              <w:tc>
                <w:tcPr>
                  <w:tcW w:w="1601" w:type="pct"/>
                </w:tcPr>
                <w:p w:rsidR="00745FEA" w:rsidRPr="00E60DC4" w:rsidRDefault="00745FEA" w:rsidP="00745FEA">
                  <w:pPr>
                    <w:pStyle w:val="TableBodyText"/>
                    <w:jc w:val="left"/>
                  </w:pPr>
                  <w:r w:rsidRPr="00E60DC4">
                    <w:t>Other livestock farming</w:t>
                  </w:r>
                </w:p>
              </w:tc>
              <w:tc>
                <w:tcPr>
                  <w:tcW w:w="571" w:type="pct"/>
                </w:tcPr>
                <w:p w:rsidR="00745FEA" w:rsidRPr="00144344" w:rsidRDefault="00745FEA" w:rsidP="00745FEA">
                  <w:pPr>
                    <w:pStyle w:val="TableBodyText"/>
                  </w:pPr>
                  <w:r w:rsidRPr="004F7FF8">
                    <w:t>1.1</w:t>
                  </w:r>
                </w:p>
              </w:tc>
              <w:tc>
                <w:tcPr>
                  <w:tcW w:w="568" w:type="pct"/>
                </w:tcPr>
                <w:p w:rsidR="00745FEA" w:rsidRPr="00144344" w:rsidRDefault="00745FEA" w:rsidP="00745FEA">
                  <w:pPr>
                    <w:pStyle w:val="TableBodyText"/>
                  </w:pPr>
                  <w:r w:rsidRPr="004F7FF8">
                    <w:t>0.8</w:t>
                  </w:r>
                </w:p>
              </w:tc>
              <w:tc>
                <w:tcPr>
                  <w:tcW w:w="567" w:type="pct"/>
                </w:tcPr>
                <w:p w:rsidR="00745FEA" w:rsidRPr="00144344" w:rsidRDefault="00745FEA" w:rsidP="00745FEA">
                  <w:pPr>
                    <w:pStyle w:val="TableBodyText"/>
                  </w:pPr>
                  <w:r w:rsidRPr="004F7FF8">
                    <w:t>0.7</w:t>
                  </w:r>
                </w:p>
              </w:tc>
              <w:tc>
                <w:tcPr>
                  <w:tcW w:w="567" w:type="pct"/>
                </w:tcPr>
                <w:p w:rsidR="00745FEA" w:rsidRPr="00144344" w:rsidRDefault="00745FEA" w:rsidP="00745FEA">
                  <w:pPr>
                    <w:pStyle w:val="TableBodyText"/>
                  </w:pPr>
                  <w:r w:rsidRPr="004F7FF8">
                    <w:t>0.7</w:t>
                  </w:r>
                </w:p>
              </w:tc>
              <w:tc>
                <w:tcPr>
                  <w:tcW w:w="564" w:type="pct"/>
                </w:tcPr>
                <w:p w:rsidR="00745FEA" w:rsidRPr="00144344" w:rsidRDefault="00745FEA" w:rsidP="00745FEA">
                  <w:pPr>
                    <w:pStyle w:val="TableBodyText"/>
                  </w:pPr>
                  <w:r w:rsidRPr="004F7FF8">
                    <w:t>0.7</w:t>
                  </w:r>
                </w:p>
              </w:tc>
              <w:tc>
                <w:tcPr>
                  <w:tcW w:w="562" w:type="pct"/>
                </w:tcPr>
                <w:p w:rsidR="00745FEA" w:rsidRPr="00144344" w:rsidRDefault="00745FEA" w:rsidP="00745FEA">
                  <w:pPr>
                    <w:pStyle w:val="TableBodyText"/>
                    <w:ind w:right="28"/>
                  </w:pPr>
                  <w:r w:rsidRPr="004F7FF8">
                    <w:t>0.5</w:t>
                  </w:r>
                </w:p>
              </w:tc>
            </w:tr>
            <w:tr w:rsidR="00745FEA" w:rsidTr="00745FEA">
              <w:tc>
                <w:tcPr>
                  <w:tcW w:w="1601" w:type="pct"/>
                </w:tcPr>
                <w:p w:rsidR="00745FEA" w:rsidRPr="00E60DC4" w:rsidRDefault="00745FEA" w:rsidP="00745FEA">
                  <w:pPr>
                    <w:pStyle w:val="TableBodyText"/>
                    <w:jc w:val="left"/>
                  </w:pPr>
                  <w:r w:rsidRPr="00E60DC4">
                    <w:t>Aquaculture and fishing</w:t>
                  </w:r>
                </w:p>
              </w:tc>
              <w:tc>
                <w:tcPr>
                  <w:tcW w:w="571" w:type="pct"/>
                </w:tcPr>
                <w:p w:rsidR="00745FEA" w:rsidRPr="00144344" w:rsidRDefault="00745FEA" w:rsidP="00745FEA">
                  <w:pPr>
                    <w:pStyle w:val="TableBodyText"/>
                  </w:pPr>
                  <w:r w:rsidRPr="004F7FF8">
                    <w:t>3.5</w:t>
                  </w:r>
                </w:p>
              </w:tc>
              <w:tc>
                <w:tcPr>
                  <w:tcW w:w="568" w:type="pct"/>
                </w:tcPr>
                <w:p w:rsidR="00745FEA" w:rsidRPr="00144344" w:rsidRDefault="00745FEA" w:rsidP="00745FEA">
                  <w:pPr>
                    <w:pStyle w:val="TableBodyText"/>
                  </w:pPr>
                  <w:r w:rsidRPr="004F7FF8">
                    <w:t>2.8</w:t>
                  </w:r>
                </w:p>
              </w:tc>
              <w:tc>
                <w:tcPr>
                  <w:tcW w:w="567" w:type="pct"/>
                </w:tcPr>
                <w:p w:rsidR="00745FEA" w:rsidRPr="00144344" w:rsidRDefault="00745FEA" w:rsidP="00745FEA">
                  <w:pPr>
                    <w:pStyle w:val="TableBodyText"/>
                  </w:pPr>
                  <w:r w:rsidRPr="004F7FF8">
                    <w:t>3.0</w:t>
                  </w:r>
                </w:p>
              </w:tc>
              <w:tc>
                <w:tcPr>
                  <w:tcW w:w="567" w:type="pct"/>
                </w:tcPr>
                <w:p w:rsidR="00745FEA" w:rsidRPr="00144344" w:rsidRDefault="00745FEA" w:rsidP="00745FEA">
                  <w:pPr>
                    <w:pStyle w:val="TableBodyText"/>
                  </w:pPr>
                  <w:r w:rsidRPr="004F7FF8">
                    <w:t>3.1</w:t>
                  </w:r>
                </w:p>
              </w:tc>
              <w:tc>
                <w:tcPr>
                  <w:tcW w:w="564" w:type="pct"/>
                </w:tcPr>
                <w:p w:rsidR="00745FEA" w:rsidRPr="00144344" w:rsidRDefault="00745FEA" w:rsidP="00745FEA">
                  <w:pPr>
                    <w:pStyle w:val="TableBodyText"/>
                  </w:pPr>
                  <w:r w:rsidRPr="004F7FF8">
                    <w:t>2.8</w:t>
                  </w:r>
                </w:p>
              </w:tc>
              <w:tc>
                <w:tcPr>
                  <w:tcW w:w="562" w:type="pct"/>
                </w:tcPr>
                <w:p w:rsidR="00745FEA" w:rsidRPr="00144344" w:rsidRDefault="00745FEA" w:rsidP="00745FEA">
                  <w:pPr>
                    <w:pStyle w:val="TableBodyText"/>
                    <w:ind w:right="28"/>
                  </w:pPr>
                  <w:r w:rsidRPr="004F7FF8">
                    <w:t>2.8</w:t>
                  </w:r>
                </w:p>
              </w:tc>
            </w:tr>
            <w:tr w:rsidR="00745FEA" w:rsidTr="00745FEA">
              <w:tc>
                <w:tcPr>
                  <w:tcW w:w="1601" w:type="pct"/>
                </w:tcPr>
                <w:p w:rsidR="00745FEA" w:rsidRPr="00E60DC4" w:rsidRDefault="00745FEA" w:rsidP="00745FEA">
                  <w:pPr>
                    <w:pStyle w:val="TableBodyText"/>
                    <w:jc w:val="left"/>
                  </w:pPr>
                  <w:r w:rsidRPr="00E60DC4">
                    <w:t>Forestry and logging</w:t>
                  </w:r>
                </w:p>
              </w:tc>
              <w:tc>
                <w:tcPr>
                  <w:tcW w:w="571" w:type="pct"/>
                </w:tcPr>
                <w:p w:rsidR="00745FEA" w:rsidRPr="00144344" w:rsidRDefault="00745FEA" w:rsidP="00745FEA">
                  <w:pPr>
                    <w:pStyle w:val="TableBodyText"/>
                  </w:pPr>
                  <w:r w:rsidRPr="004F7FF8">
                    <w:t>4.3</w:t>
                  </w:r>
                </w:p>
              </w:tc>
              <w:tc>
                <w:tcPr>
                  <w:tcW w:w="568" w:type="pct"/>
                </w:tcPr>
                <w:p w:rsidR="00745FEA" w:rsidRPr="00144344" w:rsidRDefault="00745FEA" w:rsidP="00745FEA">
                  <w:pPr>
                    <w:pStyle w:val="TableBodyText"/>
                  </w:pPr>
                  <w:r w:rsidRPr="004F7FF8">
                    <w:t>3.3</w:t>
                  </w:r>
                </w:p>
              </w:tc>
              <w:tc>
                <w:tcPr>
                  <w:tcW w:w="567" w:type="pct"/>
                </w:tcPr>
                <w:p w:rsidR="00745FEA" w:rsidRPr="00144344" w:rsidRDefault="00745FEA" w:rsidP="00745FEA">
                  <w:pPr>
                    <w:pStyle w:val="TableBodyText"/>
                  </w:pPr>
                  <w:r w:rsidRPr="004F7FF8">
                    <w:t>2.4</w:t>
                  </w:r>
                </w:p>
              </w:tc>
              <w:tc>
                <w:tcPr>
                  <w:tcW w:w="567" w:type="pct"/>
                </w:tcPr>
                <w:p w:rsidR="00745FEA" w:rsidRPr="00144344" w:rsidRDefault="00745FEA" w:rsidP="00745FEA">
                  <w:pPr>
                    <w:pStyle w:val="TableBodyText"/>
                  </w:pPr>
                  <w:r w:rsidRPr="004F7FF8">
                    <w:t>2.4</w:t>
                  </w:r>
                </w:p>
              </w:tc>
              <w:tc>
                <w:tcPr>
                  <w:tcW w:w="564" w:type="pct"/>
                </w:tcPr>
                <w:p w:rsidR="00745FEA" w:rsidRPr="00144344" w:rsidRDefault="00745FEA" w:rsidP="00745FEA">
                  <w:pPr>
                    <w:pStyle w:val="TableBodyText"/>
                  </w:pPr>
                  <w:r w:rsidRPr="004F7FF8">
                    <w:t>2.2</w:t>
                  </w:r>
                </w:p>
              </w:tc>
              <w:tc>
                <w:tcPr>
                  <w:tcW w:w="562" w:type="pct"/>
                </w:tcPr>
                <w:p w:rsidR="00745FEA" w:rsidRPr="00144344" w:rsidRDefault="00745FEA" w:rsidP="00745FEA">
                  <w:pPr>
                    <w:pStyle w:val="TableBodyText"/>
                    <w:ind w:right="28"/>
                  </w:pPr>
                  <w:r w:rsidRPr="004F7FF8">
                    <w:t>2.4</w:t>
                  </w:r>
                </w:p>
              </w:tc>
            </w:tr>
            <w:tr w:rsidR="00745FEA" w:rsidTr="00745FEA">
              <w:tc>
                <w:tcPr>
                  <w:tcW w:w="1601" w:type="pct"/>
                </w:tcPr>
                <w:p w:rsidR="00745FEA" w:rsidRPr="00E60DC4" w:rsidRDefault="00745FEA" w:rsidP="00745FEA">
                  <w:pPr>
                    <w:pStyle w:val="TableBodyText"/>
                    <w:jc w:val="left"/>
                  </w:pPr>
                  <w:r w:rsidRPr="00E60DC4">
                    <w:t>Primary production services</w:t>
                  </w:r>
                </w:p>
              </w:tc>
              <w:tc>
                <w:tcPr>
                  <w:tcW w:w="571" w:type="pct"/>
                </w:tcPr>
                <w:p w:rsidR="00745FEA" w:rsidRPr="00144344" w:rsidRDefault="00745FEA" w:rsidP="00745FEA">
                  <w:pPr>
                    <w:pStyle w:val="TableBodyText"/>
                  </w:pPr>
                  <w:r w:rsidRPr="004F7FF8">
                    <w:t>0.4</w:t>
                  </w:r>
                </w:p>
              </w:tc>
              <w:tc>
                <w:tcPr>
                  <w:tcW w:w="568" w:type="pct"/>
                </w:tcPr>
                <w:p w:rsidR="00745FEA" w:rsidRPr="00144344" w:rsidRDefault="00745FEA" w:rsidP="00745FEA">
                  <w:pPr>
                    <w:pStyle w:val="TableBodyText"/>
                  </w:pPr>
                  <w:r w:rsidRPr="004F7FF8">
                    <w:t>1.4</w:t>
                  </w:r>
                </w:p>
              </w:tc>
              <w:tc>
                <w:tcPr>
                  <w:tcW w:w="567" w:type="pct"/>
                </w:tcPr>
                <w:p w:rsidR="00745FEA" w:rsidRPr="00144344" w:rsidRDefault="00745FEA" w:rsidP="00745FEA">
                  <w:pPr>
                    <w:pStyle w:val="TableBodyText"/>
                  </w:pPr>
                  <w:r w:rsidRPr="004F7FF8">
                    <w:t>0.2</w:t>
                  </w:r>
                </w:p>
              </w:tc>
              <w:tc>
                <w:tcPr>
                  <w:tcW w:w="567" w:type="pct"/>
                </w:tcPr>
                <w:p w:rsidR="00745FEA" w:rsidRPr="00144344" w:rsidRDefault="00745FEA" w:rsidP="00745FEA">
                  <w:pPr>
                    <w:pStyle w:val="TableBodyText"/>
                  </w:pPr>
                  <w:r w:rsidRPr="004F7FF8">
                    <w:t>0.1</w:t>
                  </w:r>
                </w:p>
              </w:tc>
              <w:tc>
                <w:tcPr>
                  <w:tcW w:w="564" w:type="pct"/>
                </w:tcPr>
                <w:p w:rsidR="00745FEA" w:rsidRPr="00144344" w:rsidRDefault="00745FEA" w:rsidP="00745FEA">
                  <w:pPr>
                    <w:pStyle w:val="TableBodyText"/>
                  </w:pPr>
                  <w:r w:rsidRPr="004F7FF8">
                    <w:t>0.1</w:t>
                  </w:r>
                </w:p>
              </w:tc>
              <w:tc>
                <w:tcPr>
                  <w:tcW w:w="562" w:type="pct"/>
                </w:tcPr>
                <w:p w:rsidR="00745FEA" w:rsidRPr="00144344" w:rsidRDefault="00745FEA" w:rsidP="00745FEA">
                  <w:pPr>
                    <w:pStyle w:val="TableBodyText"/>
                    <w:ind w:right="28"/>
                  </w:pPr>
                  <w:r w:rsidRPr="004F7FF8">
                    <w:t>0.2</w:t>
                  </w:r>
                </w:p>
              </w:tc>
            </w:tr>
            <w:tr w:rsidR="00745FEA" w:rsidTr="00745FEA">
              <w:tc>
                <w:tcPr>
                  <w:tcW w:w="1601" w:type="pct"/>
                </w:tcPr>
                <w:p w:rsidR="00745FEA" w:rsidRPr="00C75B72" w:rsidRDefault="00745FEA" w:rsidP="00745FEA">
                  <w:pPr>
                    <w:pStyle w:val="TableBodyText"/>
                    <w:jc w:val="left"/>
                    <w:rPr>
                      <w:b/>
                    </w:rPr>
                  </w:pPr>
                  <w:r w:rsidRPr="00C75B72">
                    <w:rPr>
                      <w:b/>
                    </w:rPr>
                    <w:t>Mining</w:t>
                  </w:r>
                </w:p>
              </w:tc>
              <w:tc>
                <w:tcPr>
                  <w:tcW w:w="571" w:type="pct"/>
                </w:tcPr>
                <w:p w:rsidR="00745FEA" w:rsidRPr="00C75B72" w:rsidRDefault="00745FEA" w:rsidP="00745FEA">
                  <w:pPr>
                    <w:pStyle w:val="TableBodyText"/>
                    <w:rPr>
                      <w:b/>
                    </w:rPr>
                  </w:pPr>
                  <w:r w:rsidRPr="00C75B72">
                    <w:rPr>
                      <w:b/>
                    </w:rPr>
                    <w:t>0.4</w:t>
                  </w:r>
                </w:p>
              </w:tc>
              <w:tc>
                <w:tcPr>
                  <w:tcW w:w="568" w:type="pct"/>
                </w:tcPr>
                <w:p w:rsidR="00745FEA" w:rsidRPr="00C75B72" w:rsidRDefault="00745FEA" w:rsidP="00745FEA">
                  <w:pPr>
                    <w:pStyle w:val="TableBodyText"/>
                    <w:rPr>
                      <w:b/>
                    </w:rPr>
                  </w:pPr>
                  <w:r w:rsidRPr="00C75B72">
                    <w:rPr>
                      <w:b/>
                    </w:rPr>
                    <w:t>0.2</w:t>
                  </w:r>
                </w:p>
              </w:tc>
              <w:tc>
                <w:tcPr>
                  <w:tcW w:w="567" w:type="pct"/>
                </w:tcPr>
                <w:p w:rsidR="00745FEA" w:rsidRPr="00C75B72" w:rsidRDefault="00745FEA" w:rsidP="00745FEA">
                  <w:pPr>
                    <w:pStyle w:val="TableBodyText"/>
                    <w:rPr>
                      <w:b/>
                    </w:rPr>
                  </w:pPr>
                  <w:r w:rsidRPr="00C75B72">
                    <w:rPr>
                      <w:b/>
                    </w:rPr>
                    <w:t>0.1</w:t>
                  </w:r>
                </w:p>
              </w:tc>
              <w:tc>
                <w:tcPr>
                  <w:tcW w:w="567" w:type="pct"/>
                </w:tcPr>
                <w:p w:rsidR="00745FEA" w:rsidRPr="00C75B72" w:rsidRDefault="00745FEA" w:rsidP="00745FEA">
                  <w:pPr>
                    <w:pStyle w:val="TableBodyText"/>
                    <w:rPr>
                      <w:b/>
                    </w:rPr>
                  </w:pPr>
                  <w:r w:rsidRPr="00C75B72">
                    <w:rPr>
                      <w:b/>
                    </w:rPr>
                    <w:t>0.1</w:t>
                  </w:r>
                </w:p>
              </w:tc>
              <w:tc>
                <w:tcPr>
                  <w:tcW w:w="564" w:type="pct"/>
                </w:tcPr>
                <w:p w:rsidR="00745FEA" w:rsidRPr="00C75B72" w:rsidRDefault="00745FEA" w:rsidP="00745FEA">
                  <w:pPr>
                    <w:pStyle w:val="TableBodyText"/>
                    <w:rPr>
                      <w:b/>
                    </w:rPr>
                  </w:pPr>
                  <w:r w:rsidRPr="00C75B72">
                    <w:rPr>
                      <w:b/>
                    </w:rPr>
                    <w:t>0.1</w:t>
                  </w:r>
                </w:p>
              </w:tc>
              <w:tc>
                <w:tcPr>
                  <w:tcW w:w="562" w:type="pct"/>
                </w:tcPr>
                <w:p w:rsidR="00745FEA" w:rsidRPr="00C75B72" w:rsidRDefault="00745FEA" w:rsidP="00745FEA">
                  <w:pPr>
                    <w:pStyle w:val="TableBodyText"/>
                    <w:ind w:right="28"/>
                    <w:rPr>
                      <w:b/>
                    </w:rPr>
                  </w:pPr>
                  <w:r w:rsidRPr="00C75B72">
                    <w:rPr>
                      <w:b/>
                    </w:rPr>
                    <w:t>0.1</w:t>
                  </w:r>
                </w:p>
              </w:tc>
            </w:tr>
            <w:tr w:rsidR="00745FEA" w:rsidRPr="00783BE8" w:rsidTr="00745FEA">
              <w:tc>
                <w:tcPr>
                  <w:tcW w:w="1601" w:type="pct"/>
                </w:tcPr>
                <w:p w:rsidR="00745FEA" w:rsidRPr="00783BE8" w:rsidRDefault="00745FEA" w:rsidP="00745FEA">
                  <w:pPr>
                    <w:pStyle w:val="TableBodyText"/>
                    <w:jc w:val="left"/>
                    <w:rPr>
                      <w:b/>
                    </w:rPr>
                  </w:pPr>
                  <w:r w:rsidRPr="00783BE8">
                    <w:rPr>
                      <w:b/>
                    </w:rPr>
                    <w:t>Manufacturing</w:t>
                  </w:r>
                  <w:r w:rsidRPr="0082333C">
                    <w:rPr>
                      <w:rStyle w:val="NoteLabel"/>
                    </w:rPr>
                    <w:t>b</w:t>
                  </w:r>
                </w:p>
              </w:tc>
              <w:tc>
                <w:tcPr>
                  <w:tcW w:w="571" w:type="pct"/>
                  <w:vAlign w:val="bottom"/>
                </w:tcPr>
                <w:p w:rsidR="00745FEA" w:rsidRPr="00C75B72" w:rsidRDefault="00745FEA" w:rsidP="00745FEA">
                  <w:pPr>
                    <w:pStyle w:val="TableBodyText"/>
                    <w:spacing w:after="20"/>
                    <w:rPr>
                      <w:b/>
                    </w:rPr>
                  </w:pPr>
                  <w:r w:rsidRPr="00C75B72">
                    <w:rPr>
                      <w:b/>
                    </w:rPr>
                    <w:t>4.1</w:t>
                  </w:r>
                </w:p>
              </w:tc>
              <w:tc>
                <w:tcPr>
                  <w:tcW w:w="568" w:type="pct"/>
                  <w:vAlign w:val="bottom"/>
                </w:tcPr>
                <w:p w:rsidR="00745FEA" w:rsidRPr="00C75B72" w:rsidRDefault="00745FEA" w:rsidP="00745FEA">
                  <w:pPr>
                    <w:pStyle w:val="TableBodyText"/>
                    <w:spacing w:after="20"/>
                    <w:rPr>
                      <w:b/>
                    </w:rPr>
                  </w:pPr>
                  <w:r w:rsidRPr="00C75B72">
                    <w:rPr>
                      <w:b/>
                    </w:rPr>
                    <w:t>4.3</w:t>
                  </w:r>
                </w:p>
              </w:tc>
              <w:tc>
                <w:tcPr>
                  <w:tcW w:w="567" w:type="pct"/>
                  <w:vAlign w:val="bottom"/>
                </w:tcPr>
                <w:p w:rsidR="00745FEA" w:rsidRPr="00C75B72" w:rsidRDefault="00745FEA" w:rsidP="00745FEA">
                  <w:pPr>
                    <w:pStyle w:val="TableBodyText"/>
                    <w:spacing w:after="20"/>
                    <w:rPr>
                      <w:b/>
                    </w:rPr>
                  </w:pPr>
                  <w:r w:rsidRPr="00C75B72">
                    <w:rPr>
                      <w:b/>
                    </w:rPr>
                    <w:t>4.0</w:t>
                  </w:r>
                </w:p>
              </w:tc>
              <w:tc>
                <w:tcPr>
                  <w:tcW w:w="567" w:type="pct"/>
                  <w:vAlign w:val="bottom"/>
                </w:tcPr>
                <w:p w:rsidR="00745FEA" w:rsidRPr="00C75B72" w:rsidRDefault="00745FEA" w:rsidP="00745FEA">
                  <w:pPr>
                    <w:pStyle w:val="TableBodyText"/>
                    <w:spacing w:after="20"/>
                    <w:rPr>
                      <w:b/>
                    </w:rPr>
                  </w:pPr>
                  <w:r w:rsidRPr="00C75B72">
                    <w:rPr>
                      <w:b/>
                    </w:rPr>
                    <w:t>3.9</w:t>
                  </w:r>
                </w:p>
              </w:tc>
              <w:tc>
                <w:tcPr>
                  <w:tcW w:w="564" w:type="pct"/>
                  <w:vAlign w:val="bottom"/>
                </w:tcPr>
                <w:p w:rsidR="00745FEA" w:rsidRPr="00C75B72" w:rsidRDefault="00745FEA" w:rsidP="00745FEA">
                  <w:pPr>
                    <w:pStyle w:val="TableBodyText"/>
                    <w:spacing w:after="20"/>
                    <w:rPr>
                      <w:b/>
                    </w:rPr>
                  </w:pPr>
                  <w:r w:rsidRPr="00C75B72">
                    <w:rPr>
                      <w:b/>
                    </w:rPr>
                    <w:t>3.9</w:t>
                  </w:r>
                </w:p>
              </w:tc>
              <w:tc>
                <w:tcPr>
                  <w:tcW w:w="562" w:type="pct"/>
                  <w:vAlign w:val="bottom"/>
                </w:tcPr>
                <w:p w:rsidR="00745FEA" w:rsidRPr="00C75B72" w:rsidRDefault="00745FEA" w:rsidP="00745FEA">
                  <w:pPr>
                    <w:pStyle w:val="TableBodyText"/>
                    <w:spacing w:after="20"/>
                    <w:ind w:right="28"/>
                    <w:rPr>
                      <w:b/>
                    </w:rPr>
                  </w:pPr>
                  <w:r w:rsidRPr="00C75B72">
                    <w:rPr>
                      <w:b/>
                    </w:rPr>
                    <w:t>3.9</w:t>
                  </w:r>
                </w:p>
              </w:tc>
            </w:tr>
            <w:tr w:rsidR="00745FEA" w:rsidTr="00745FEA">
              <w:tc>
                <w:tcPr>
                  <w:tcW w:w="1601" w:type="pct"/>
                </w:tcPr>
                <w:p w:rsidR="00745FEA" w:rsidRPr="00E60DC4" w:rsidRDefault="00745FEA" w:rsidP="00745FEA">
                  <w:pPr>
                    <w:pStyle w:val="TableBodyText"/>
                    <w:jc w:val="left"/>
                  </w:pPr>
                  <w:r w:rsidRPr="00E60DC4">
                    <w:t>Food, beverages and tobacco</w:t>
                  </w:r>
                </w:p>
              </w:tc>
              <w:tc>
                <w:tcPr>
                  <w:tcW w:w="571" w:type="pct"/>
                </w:tcPr>
                <w:p w:rsidR="00745FEA" w:rsidRPr="00144344" w:rsidRDefault="00745FEA" w:rsidP="00745FEA">
                  <w:pPr>
                    <w:pStyle w:val="TableBodyText"/>
                  </w:pPr>
                  <w:r w:rsidRPr="004F7FF8">
                    <w:t>3.3</w:t>
                  </w:r>
                </w:p>
              </w:tc>
              <w:tc>
                <w:tcPr>
                  <w:tcW w:w="568" w:type="pct"/>
                </w:tcPr>
                <w:p w:rsidR="00745FEA" w:rsidRPr="00144344" w:rsidRDefault="00745FEA" w:rsidP="00745FEA">
                  <w:pPr>
                    <w:pStyle w:val="TableBodyText"/>
                  </w:pPr>
                  <w:r w:rsidRPr="004F7FF8">
                    <w:t>3.3</w:t>
                  </w:r>
                </w:p>
              </w:tc>
              <w:tc>
                <w:tcPr>
                  <w:tcW w:w="567" w:type="pct"/>
                </w:tcPr>
                <w:p w:rsidR="00745FEA" w:rsidRPr="00144344" w:rsidRDefault="00745FEA" w:rsidP="00745FEA">
                  <w:pPr>
                    <w:pStyle w:val="TableBodyText"/>
                  </w:pPr>
                  <w:r w:rsidRPr="004F7FF8">
                    <w:t>3.5</w:t>
                  </w:r>
                </w:p>
              </w:tc>
              <w:tc>
                <w:tcPr>
                  <w:tcW w:w="567" w:type="pct"/>
                </w:tcPr>
                <w:p w:rsidR="00745FEA" w:rsidRPr="00144344" w:rsidRDefault="00745FEA" w:rsidP="00745FEA">
                  <w:pPr>
                    <w:pStyle w:val="TableBodyText"/>
                  </w:pPr>
                  <w:r w:rsidRPr="004F7FF8">
                    <w:t>3.5</w:t>
                  </w:r>
                </w:p>
              </w:tc>
              <w:tc>
                <w:tcPr>
                  <w:tcW w:w="564" w:type="pct"/>
                </w:tcPr>
                <w:p w:rsidR="00745FEA" w:rsidRPr="00144344" w:rsidRDefault="00745FEA" w:rsidP="00745FEA">
                  <w:pPr>
                    <w:pStyle w:val="TableBodyText"/>
                  </w:pPr>
                  <w:r w:rsidRPr="004F7FF8">
                    <w:t>3.4</w:t>
                  </w:r>
                </w:p>
              </w:tc>
              <w:tc>
                <w:tcPr>
                  <w:tcW w:w="562" w:type="pct"/>
                </w:tcPr>
                <w:p w:rsidR="00745FEA" w:rsidRPr="00144344" w:rsidRDefault="00745FEA" w:rsidP="00745FEA">
                  <w:pPr>
                    <w:pStyle w:val="TableBodyText"/>
                    <w:ind w:right="28"/>
                  </w:pPr>
                  <w:r w:rsidRPr="004F7FF8">
                    <w:t>3.4</w:t>
                  </w:r>
                </w:p>
              </w:tc>
            </w:tr>
            <w:tr w:rsidR="00745FEA" w:rsidTr="00745FEA">
              <w:tc>
                <w:tcPr>
                  <w:tcW w:w="1601" w:type="pct"/>
                </w:tcPr>
                <w:p w:rsidR="00745FEA" w:rsidRPr="00E60DC4" w:rsidRDefault="00745FEA" w:rsidP="00745FEA">
                  <w:pPr>
                    <w:pStyle w:val="TableBodyText"/>
                    <w:jc w:val="left"/>
                  </w:pPr>
                  <w:r w:rsidRPr="00E60DC4">
                    <w:t>Textiles, clothing and footwear</w:t>
                  </w:r>
                </w:p>
              </w:tc>
              <w:tc>
                <w:tcPr>
                  <w:tcW w:w="571" w:type="pct"/>
                </w:tcPr>
                <w:p w:rsidR="00745FEA" w:rsidRPr="00144344" w:rsidRDefault="00745FEA" w:rsidP="00745FEA">
                  <w:pPr>
                    <w:pStyle w:val="TableBodyText"/>
                  </w:pPr>
                  <w:r w:rsidRPr="004F7FF8">
                    <w:t>5.4</w:t>
                  </w:r>
                </w:p>
              </w:tc>
              <w:tc>
                <w:tcPr>
                  <w:tcW w:w="568" w:type="pct"/>
                </w:tcPr>
                <w:p w:rsidR="00745FEA" w:rsidRPr="00144344" w:rsidRDefault="00745FEA" w:rsidP="00745FEA">
                  <w:pPr>
                    <w:pStyle w:val="TableBodyText"/>
                  </w:pPr>
                  <w:r w:rsidRPr="004F7FF8">
                    <w:t>5.3</w:t>
                  </w:r>
                </w:p>
              </w:tc>
              <w:tc>
                <w:tcPr>
                  <w:tcW w:w="567" w:type="pct"/>
                </w:tcPr>
                <w:p w:rsidR="00745FEA" w:rsidRPr="00144344" w:rsidRDefault="00745FEA" w:rsidP="00745FEA">
                  <w:pPr>
                    <w:pStyle w:val="TableBodyText"/>
                  </w:pPr>
                  <w:r w:rsidRPr="004F7FF8">
                    <w:t>5.4</w:t>
                  </w:r>
                </w:p>
              </w:tc>
              <w:tc>
                <w:tcPr>
                  <w:tcW w:w="567" w:type="pct"/>
                </w:tcPr>
                <w:p w:rsidR="00745FEA" w:rsidRPr="00144344" w:rsidRDefault="00745FEA" w:rsidP="00745FEA">
                  <w:pPr>
                    <w:pStyle w:val="TableBodyText"/>
                  </w:pPr>
                  <w:r w:rsidRPr="004F7FF8">
                    <w:t>4.7</w:t>
                  </w:r>
                </w:p>
              </w:tc>
              <w:tc>
                <w:tcPr>
                  <w:tcW w:w="564" w:type="pct"/>
                </w:tcPr>
                <w:p w:rsidR="00745FEA" w:rsidRPr="00144344" w:rsidRDefault="00745FEA" w:rsidP="00745FEA">
                  <w:pPr>
                    <w:pStyle w:val="TableBodyText"/>
                  </w:pPr>
                  <w:r w:rsidRPr="004F7FF8">
                    <w:t>4.0</w:t>
                  </w:r>
                </w:p>
              </w:tc>
              <w:tc>
                <w:tcPr>
                  <w:tcW w:w="562" w:type="pct"/>
                </w:tcPr>
                <w:p w:rsidR="00745FEA" w:rsidRPr="00144344" w:rsidRDefault="00745FEA" w:rsidP="00745FEA">
                  <w:pPr>
                    <w:pStyle w:val="TableBodyText"/>
                    <w:ind w:right="28"/>
                  </w:pPr>
                  <w:r w:rsidRPr="004F7FF8">
                    <w:t>3.6</w:t>
                  </w:r>
                </w:p>
              </w:tc>
            </w:tr>
            <w:tr w:rsidR="00745FEA" w:rsidTr="00745FEA">
              <w:tc>
                <w:tcPr>
                  <w:tcW w:w="1601" w:type="pct"/>
                </w:tcPr>
                <w:p w:rsidR="00745FEA" w:rsidRPr="00E60DC4" w:rsidRDefault="00745FEA" w:rsidP="00745FEA">
                  <w:pPr>
                    <w:pStyle w:val="TableBodyText"/>
                    <w:jc w:val="left"/>
                  </w:pPr>
                  <w:r w:rsidRPr="00E60DC4">
                    <w:t>Wood and paper products</w:t>
                  </w:r>
                </w:p>
              </w:tc>
              <w:tc>
                <w:tcPr>
                  <w:tcW w:w="571" w:type="pct"/>
                </w:tcPr>
                <w:p w:rsidR="00745FEA" w:rsidRPr="00144344" w:rsidRDefault="00745FEA" w:rsidP="00745FEA">
                  <w:pPr>
                    <w:pStyle w:val="TableBodyText"/>
                  </w:pPr>
                  <w:r w:rsidRPr="004F7FF8">
                    <w:t>5.0</w:t>
                  </w:r>
                </w:p>
              </w:tc>
              <w:tc>
                <w:tcPr>
                  <w:tcW w:w="568" w:type="pct"/>
                </w:tcPr>
                <w:p w:rsidR="00745FEA" w:rsidRPr="00144344" w:rsidRDefault="00745FEA" w:rsidP="00745FEA">
                  <w:pPr>
                    <w:pStyle w:val="TableBodyText"/>
                  </w:pPr>
                  <w:r w:rsidRPr="004F7FF8">
                    <w:t>5.1</w:t>
                  </w:r>
                </w:p>
              </w:tc>
              <w:tc>
                <w:tcPr>
                  <w:tcW w:w="567" w:type="pct"/>
                </w:tcPr>
                <w:p w:rsidR="00745FEA" w:rsidRPr="00144344" w:rsidRDefault="00745FEA" w:rsidP="00745FEA">
                  <w:pPr>
                    <w:pStyle w:val="TableBodyText"/>
                  </w:pPr>
                  <w:r w:rsidRPr="004F7FF8">
                    <w:t>5.0</w:t>
                  </w:r>
                </w:p>
              </w:tc>
              <w:tc>
                <w:tcPr>
                  <w:tcW w:w="567" w:type="pct"/>
                </w:tcPr>
                <w:p w:rsidR="00745FEA" w:rsidRPr="00144344" w:rsidRDefault="00745FEA" w:rsidP="00745FEA">
                  <w:pPr>
                    <w:pStyle w:val="TableBodyText"/>
                  </w:pPr>
                  <w:r w:rsidRPr="004F7FF8">
                    <w:t>5.0</w:t>
                  </w:r>
                </w:p>
              </w:tc>
              <w:tc>
                <w:tcPr>
                  <w:tcW w:w="564" w:type="pct"/>
                </w:tcPr>
                <w:p w:rsidR="00745FEA" w:rsidRPr="00144344" w:rsidRDefault="00745FEA" w:rsidP="00745FEA">
                  <w:pPr>
                    <w:pStyle w:val="TableBodyText"/>
                  </w:pPr>
                  <w:r w:rsidRPr="004F7FF8">
                    <w:t>5.0</w:t>
                  </w:r>
                </w:p>
              </w:tc>
              <w:tc>
                <w:tcPr>
                  <w:tcW w:w="562" w:type="pct"/>
                </w:tcPr>
                <w:p w:rsidR="00745FEA" w:rsidRPr="00144344" w:rsidRDefault="00745FEA" w:rsidP="00745FEA">
                  <w:pPr>
                    <w:pStyle w:val="TableBodyText"/>
                    <w:ind w:right="28"/>
                  </w:pPr>
                  <w:r w:rsidRPr="004F7FF8">
                    <w:t>5.1</w:t>
                  </w:r>
                </w:p>
              </w:tc>
            </w:tr>
            <w:tr w:rsidR="00745FEA" w:rsidTr="00745FEA">
              <w:tc>
                <w:tcPr>
                  <w:tcW w:w="1601" w:type="pct"/>
                </w:tcPr>
                <w:p w:rsidR="00745FEA" w:rsidRPr="00E60DC4" w:rsidRDefault="00745FEA" w:rsidP="00745FEA">
                  <w:pPr>
                    <w:pStyle w:val="TableBodyText"/>
                    <w:jc w:val="left"/>
                  </w:pPr>
                  <w:r w:rsidRPr="00E60DC4">
                    <w:t>Printing and recorded media</w:t>
                  </w:r>
                </w:p>
              </w:tc>
              <w:tc>
                <w:tcPr>
                  <w:tcW w:w="571" w:type="pct"/>
                </w:tcPr>
                <w:p w:rsidR="00745FEA" w:rsidRPr="00144344" w:rsidRDefault="00745FEA" w:rsidP="00745FEA">
                  <w:pPr>
                    <w:pStyle w:val="TableBodyText"/>
                  </w:pPr>
                  <w:r w:rsidRPr="004F7FF8">
                    <w:t>2.1</w:t>
                  </w:r>
                </w:p>
              </w:tc>
              <w:tc>
                <w:tcPr>
                  <w:tcW w:w="568" w:type="pct"/>
                </w:tcPr>
                <w:p w:rsidR="00745FEA" w:rsidRPr="00144344" w:rsidRDefault="00745FEA" w:rsidP="00745FEA">
                  <w:pPr>
                    <w:pStyle w:val="TableBodyText"/>
                  </w:pPr>
                  <w:r w:rsidRPr="004F7FF8">
                    <w:t>2.8</w:t>
                  </w:r>
                </w:p>
              </w:tc>
              <w:tc>
                <w:tcPr>
                  <w:tcW w:w="567" w:type="pct"/>
                </w:tcPr>
                <w:p w:rsidR="00745FEA" w:rsidRPr="00144344" w:rsidRDefault="00745FEA" w:rsidP="00745FEA">
                  <w:pPr>
                    <w:pStyle w:val="TableBodyText"/>
                  </w:pPr>
                  <w:r w:rsidRPr="004F7FF8">
                    <w:t>2.8</w:t>
                  </w:r>
                </w:p>
              </w:tc>
              <w:tc>
                <w:tcPr>
                  <w:tcW w:w="567" w:type="pct"/>
                </w:tcPr>
                <w:p w:rsidR="00745FEA" w:rsidRPr="00144344" w:rsidRDefault="00745FEA" w:rsidP="00745FEA">
                  <w:pPr>
                    <w:pStyle w:val="TableBodyText"/>
                  </w:pPr>
                  <w:r w:rsidRPr="004F7FF8">
                    <w:t>2.9</w:t>
                  </w:r>
                </w:p>
              </w:tc>
              <w:tc>
                <w:tcPr>
                  <w:tcW w:w="564" w:type="pct"/>
                </w:tcPr>
                <w:p w:rsidR="00745FEA" w:rsidRPr="00144344" w:rsidRDefault="00745FEA" w:rsidP="00745FEA">
                  <w:pPr>
                    <w:pStyle w:val="TableBodyText"/>
                  </w:pPr>
                  <w:r w:rsidRPr="004F7FF8">
                    <w:t>3.1</w:t>
                  </w:r>
                </w:p>
              </w:tc>
              <w:tc>
                <w:tcPr>
                  <w:tcW w:w="562" w:type="pct"/>
                </w:tcPr>
                <w:p w:rsidR="00745FEA" w:rsidRPr="00144344" w:rsidRDefault="00745FEA" w:rsidP="00745FEA">
                  <w:pPr>
                    <w:pStyle w:val="TableBodyText"/>
                    <w:ind w:right="28"/>
                  </w:pPr>
                  <w:r w:rsidRPr="004F7FF8">
                    <w:t>3.4</w:t>
                  </w:r>
                </w:p>
              </w:tc>
            </w:tr>
            <w:tr w:rsidR="00745FEA" w:rsidTr="00745FEA">
              <w:tc>
                <w:tcPr>
                  <w:tcW w:w="1601" w:type="pct"/>
                </w:tcPr>
                <w:p w:rsidR="00745FEA" w:rsidRPr="00E60DC4" w:rsidRDefault="00745FEA" w:rsidP="00745FEA">
                  <w:pPr>
                    <w:pStyle w:val="TableBodyText"/>
                    <w:jc w:val="left"/>
                  </w:pPr>
                  <w:r w:rsidRPr="00E60DC4">
                    <w:t>Petroleum, coal, &amp; chemicals</w:t>
                  </w:r>
                </w:p>
              </w:tc>
              <w:tc>
                <w:tcPr>
                  <w:tcW w:w="571" w:type="pct"/>
                </w:tcPr>
                <w:p w:rsidR="00745FEA" w:rsidRPr="00144344" w:rsidRDefault="00745FEA" w:rsidP="00745FEA">
                  <w:pPr>
                    <w:pStyle w:val="TableBodyText"/>
                  </w:pPr>
                  <w:r w:rsidRPr="004F7FF8">
                    <w:t>3.3</w:t>
                  </w:r>
                </w:p>
              </w:tc>
              <w:tc>
                <w:tcPr>
                  <w:tcW w:w="568" w:type="pct"/>
                </w:tcPr>
                <w:p w:rsidR="00745FEA" w:rsidRPr="00144344" w:rsidRDefault="00745FEA" w:rsidP="00745FEA">
                  <w:pPr>
                    <w:pStyle w:val="TableBodyText"/>
                  </w:pPr>
                  <w:r w:rsidRPr="004F7FF8">
                    <w:t>3.3</w:t>
                  </w:r>
                </w:p>
              </w:tc>
              <w:tc>
                <w:tcPr>
                  <w:tcW w:w="567" w:type="pct"/>
                </w:tcPr>
                <w:p w:rsidR="00745FEA" w:rsidRPr="00144344" w:rsidRDefault="00745FEA" w:rsidP="00745FEA">
                  <w:pPr>
                    <w:pStyle w:val="TableBodyText"/>
                  </w:pPr>
                  <w:r w:rsidRPr="004F7FF8">
                    <w:t>2.9</w:t>
                  </w:r>
                </w:p>
              </w:tc>
              <w:tc>
                <w:tcPr>
                  <w:tcW w:w="567" w:type="pct"/>
                </w:tcPr>
                <w:p w:rsidR="00745FEA" w:rsidRPr="00144344" w:rsidRDefault="00745FEA" w:rsidP="00745FEA">
                  <w:pPr>
                    <w:pStyle w:val="TableBodyText"/>
                  </w:pPr>
                  <w:r w:rsidRPr="004F7FF8">
                    <w:t>2.8</w:t>
                  </w:r>
                </w:p>
              </w:tc>
              <w:tc>
                <w:tcPr>
                  <w:tcW w:w="564" w:type="pct"/>
                </w:tcPr>
                <w:p w:rsidR="00745FEA" w:rsidRPr="00144344" w:rsidRDefault="00745FEA" w:rsidP="00745FEA">
                  <w:pPr>
                    <w:pStyle w:val="TableBodyText"/>
                  </w:pPr>
                  <w:r w:rsidRPr="004F7FF8">
                    <w:t>2.5</w:t>
                  </w:r>
                </w:p>
              </w:tc>
              <w:tc>
                <w:tcPr>
                  <w:tcW w:w="562" w:type="pct"/>
                </w:tcPr>
                <w:p w:rsidR="00745FEA" w:rsidRPr="00144344" w:rsidRDefault="00745FEA" w:rsidP="00745FEA">
                  <w:pPr>
                    <w:pStyle w:val="TableBodyText"/>
                    <w:ind w:right="28"/>
                  </w:pPr>
                  <w:r w:rsidRPr="004F7FF8">
                    <w:t>2.5</w:t>
                  </w:r>
                </w:p>
              </w:tc>
            </w:tr>
            <w:tr w:rsidR="00745FEA" w:rsidTr="00745FEA">
              <w:tc>
                <w:tcPr>
                  <w:tcW w:w="1601" w:type="pct"/>
                </w:tcPr>
                <w:p w:rsidR="00745FEA" w:rsidRPr="00E60DC4" w:rsidRDefault="00745FEA" w:rsidP="00745FEA">
                  <w:pPr>
                    <w:pStyle w:val="TableBodyText"/>
                    <w:jc w:val="left"/>
                  </w:pPr>
                  <w:r w:rsidRPr="00E60DC4">
                    <w:t>Non</w:t>
                  </w:r>
                  <w:r>
                    <w:noBreakHyphen/>
                  </w:r>
                  <w:r w:rsidRPr="00E60DC4">
                    <w:t>metallic mineral products</w:t>
                  </w:r>
                </w:p>
              </w:tc>
              <w:tc>
                <w:tcPr>
                  <w:tcW w:w="571" w:type="pct"/>
                </w:tcPr>
                <w:p w:rsidR="00745FEA" w:rsidRPr="00144344" w:rsidRDefault="00745FEA" w:rsidP="00745FEA">
                  <w:pPr>
                    <w:pStyle w:val="TableBodyText"/>
                  </w:pPr>
                  <w:r w:rsidRPr="004F7FF8">
                    <w:t>2.9</w:t>
                  </w:r>
                </w:p>
              </w:tc>
              <w:tc>
                <w:tcPr>
                  <w:tcW w:w="568" w:type="pct"/>
                </w:tcPr>
                <w:p w:rsidR="00745FEA" w:rsidRPr="00144344" w:rsidRDefault="00745FEA" w:rsidP="00745FEA">
                  <w:pPr>
                    <w:pStyle w:val="TableBodyText"/>
                  </w:pPr>
                  <w:r w:rsidRPr="004F7FF8">
                    <w:t>2.9</w:t>
                  </w:r>
                </w:p>
              </w:tc>
              <w:tc>
                <w:tcPr>
                  <w:tcW w:w="567" w:type="pct"/>
                </w:tcPr>
                <w:p w:rsidR="00745FEA" w:rsidRPr="00144344" w:rsidRDefault="00745FEA" w:rsidP="00745FEA">
                  <w:pPr>
                    <w:pStyle w:val="TableBodyText"/>
                  </w:pPr>
                  <w:r w:rsidRPr="004F7FF8">
                    <w:t>3.1</w:t>
                  </w:r>
                </w:p>
              </w:tc>
              <w:tc>
                <w:tcPr>
                  <w:tcW w:w="567" w:type="pct"/>
                </w:tcPr>
                <w:p w:rsidR="00745FEA" w:rsidRPr="00144344" w:rsidRDefault="00745FEA" w:rsidP="00745FEA">
                  <w:pPr>
                    <w:pStyle w:val="TableBodyText"/>
                  </w:pPr>
                  <w:r w:rsidRPr="004F7FF8">
                    <w:t>3.0</w:t>
                  </w:r>
                </w:p>
              </w:tc>
              <w:tc>
                <w:tcPr>
                  <w:tcW w:w="564" w:type="pct"/>
                </w:tcPr>
                <w:p w:rsidR="00745FEA" w:rsidRPr="00144344" w:rsidRDefault="00745FEA" w:rsidP="00745FEA">
                  <w:pPr>
                    <w:pStyle w:val="TableBodyText"/>
                  </w:pPr>
                  <w:r w:rsidRPr="004F7FF8">
                    <w:t>2.9</w:t>
                  </w:r>
                </w:p>
              </w:tc>
              <w:tc>
                <w:tcPr>
                  <w:tcW w:w="562" w:type="pct"/>
                </w:tcPr>
                <w:p w:rsidR="00745FEA" w:rsidRPr="00144344" w:rsidRDefault="00745FEA" w:rsidP="00745FEA">
                  <w:pPr>
                    <w:pStyle w:val="TableBodyText"/>
                    <w:ind w:right="28"/>
                  </w:pPr>
                  <w:r w:rsidRPr="004F7FF8">
                    <w:t>3.0</w:t>
                  </w:r>
                </w:p>
              </w:tc>
            </w:tr>
            <w:tr w:rsidR="00745FEA" w:rsidTr="00745FEA">
              <w:tc>
                <w:tcPr>
                  <w:tcW w:w="1601" w:type="pct"/>
                </w:tcPr>
                <w:p w:rsidR="00745FEA" w:rsidRPr="00E60DC4" w:rsidRDefault="00745FEA" w:rsidP="00745FEA">
                  <w:pPr>
                    <w:pStyle w:val="TableBodyText"/>
                    <w:jc w:val="left"/>
                  </w:pPr>
                  <w:r w:rsidRPr="00E60DC4">
                    <w:t>Metal and fabricated products</w:t>
                  </w:r>
                </w:p>
              </w:tc>
              <w:tc>
                <w:tcPr>
                  <w:tcW w:w="571" w:type="pct"/>
                </w:tcPr>
                <w:p w:rsidR="00745FEA" w:rsidRPr="00144344" w:rsidRDefault="00745FEA" w:rsidP="00745FEA">
                  <w:pPr>
                    <w:pStyle w:val="TableBodyText"/>
                  </w:pPr>
                  <w:r w:rsidRPr="004F7FF8">
                    <w:t>4.0</w:t>
                  </w:r>
                </w:p>
              </w:tc>
              <w:tc>
                <w:tcPr>
                  <w:tcW w:w="568" w:type="pct"/>
                </w:tcPr>
                <w:p w:rsidR="00745FEA" w:rsidRPr="00144344" w:rsidRDefault="00745FEA" w:rsidP="00745FEA">
                  <w:pPr>
                    <w:pStyle w:val="TableBodyText"/>
                  </w:pPr>
                  <w:r w:rsidRPr="004F7FF8">
                    <w:t>5.5</w:t>
                  </w:r>
                </w:p>
              </w:tc>
              <w:tc>
                <w:tcPr>
                  <w:tcW w:w="567" w:type="pct"/>
                </w:tcPr>
                <w:p w:rsidR="00745FEA" w:rsidRPr="00144344" w:rsidRDefault="00745FEA" w:rsidP="00745FEA">
                  <w:pPr>
                    <w:pStyle w:val="TableBodyText"/>
                  </w:pPr>
                  <w:r w:rsidRPr="004F7FF8">
                    <w:t>4.2</w:t>
                  </w:r>
                </w:p>
              </w:tc>
              <w:tc>
                <w:tcPr>
                  <w:tcW w:w="567" w:type="pct"/>
                </w:tcPr>
                <w:p w:rsidR="00745FEA" w:rsidRPr="00144344" w:rsidRDefault="00745FEA" w:rsidP="00745FEA">
                  <w:pPr>
                    <w:pStyle w:val="TableBodyText"/>
                  </w:pPr>
                  <w:r w:rsidRPr="004F7FF8">
                    <w:t>4.2</w:t>
                  </w:r>
                </w:p>
              </w:tc>
              <w:tc>
                <w:tcPr>
                  <w:tcW w:w="564" w:type="pct"/>
                </w:tcPr>
                <w:p w:rsidR="00745FEA" w:rsidRPr="00144344" w:rsidRDefault="00745FEA" w:rsidP="00745FEA">
                  <w:pPr>
                    <w:pStyle w:val="TableBodyText"/>
                  </w:pPr>
                  <w:r w:rsidRPr="004F7FF8">
                    <w:t>4.1</w:t>
                  </w:r>
                </w:p>
              </w:tc>
              <w:tc>
                <w:tcPr>
                  <w:tcW w:w="562" w:type="pct"/>
                </w:tcPr>
                <w:p w:rsidR="00745FEA" w:rsidRPr="00144344" w:rsidRDefault="00745FEA" w:rsidP="00745FEA">
                  <w:pPr>
                    <w:pStyle w:val="TableBodyText"/>
                    <w:ind w:right="28"/>
                  </w:pPr>
                  <w:r w:rsidRPr="004F7FF8">
                    <w:t>4.3</w:t>
                  </w:r>
                </w:p>
              </w:tc>
            </w:tr>
            <w:tr w:rsidR="00745FEA" w:rsidTr="00745FEA">
              <w:tc>
                <w:tcPr>
                  <w:tcW w:w="1601" w:type="pct"/>
                </w:tcPr>
                <w:p w:rsidR="00745FEA" w:rsidRPr="00E60DC4" w:rsidRDefault="00745FEA" w:rsidP="00745FEA">
                  <w:pPr>
                    <w:pStyle w:val="TableBodyText"/>
                    <w:jc w:val="left"/>
                  </w:pPr>
                  <w:r w:rsidRPr="00E60DC4">
                    <w:t>Motor vehicles and parts</w:t>
                  </w:r>
                </w:p>
              </w:tc>
              <w:tc>
                <w:tcPr>
                  <w:tcW w:w="571" w:type="pct"/>
                </w:tcPr>
                <w:p w:rsidR="00745FEA" w:rsidRPr="00144344" w:rsidRDefault="00745FEA" w:rsidP="00745FEA">
                  <w:pPr>
                    <w:pStyle w:val="TableBodyText"/>
                  </w:pPr>
                  <w:r w:rsidRPr="004F7FF8">
                    <w:t>12.1</w:t>
                  </w:r>
                </w:p>
              </w:tc>
              <w:tc>
                <w:tcPr>
                  <w:tcW w:w="568" w:type="pct"/>
                </w:tcPr>
                <w:p w:rsidR="00745FEA" w:rsidRPr="00144344" w:rsidRDefault="00745FEA" w:rsidP="00745FEA">
                  <w:pPr>
                    <w:pStyle w:val="TableBodyText"/>
                  </w:pPr>
                  <w:r w:rsidRPr="004F7FF8">
                    <w:t>13.2</w:t>
                  </w:r>
                </w:p>
              </w:tc>
              <w:tc>
                <w:tcPr>
                  <w:tcW w:w="567" w:type="pct"/>
                </w:tcPr>
                <w:p w:rsidR="00745FEA" w:rsidRPr="00144344" w:rsidRDefault="00745FEA" w:rsidP="00745FEA">
                  <w:pPr>
                    <w:pStyle w:val="TableBodyText"/>
                  </w:pPr>
                  <w:r w:rsidRPr="004F7FF8">
                    <w:t>11.1</w:t>
                  </w:r>
                </w:p>
              </w:tc>
              <w:tc>
                <w:tcPr>
                  <w:tcW w:w="567" w:type="pct"/>
                </w:tcPr>
                <w:p w:rsidR="00745FEA" w:rsidRPr="00144344" w:rsidRDefault="00745FEA" w:rsidP="00745FEA">
                  <w:pPr>
                    <w:pStyle w:val="TableBodyText"/>
                  </w:pPr>
                  <w:r w:rsidRPr="004F7FF8">
                    <w:t>10.9</w:t>
                  </w:r>
                </w:p>
              </w:tc>
              <w:tc>
                <w:tcPr>
                  <w:tcW w:w="564" w:type="pct"/>
                </w:tcPr>
                <w:p w:rsidR="00745FEA" w:rsidRPr="00144344" w:rsidRDefault="00745FEA" w:rsidP="00745FEA">
                  <w:pPr>
                    <w:pStyle w:val="TableBodyText"/>
                  </w:pPr>
                  <w:r w:rsidRPr="004F7FF8">
                    <w:t>10.2</w:t>
                  </w:r>
                </w:p>
              </w:tc>
              <w:tc>
                <w:tcPr>
                  <w:tcW w:w="562" w:type="pct"/>
                </w:tcPr>
                <w:p w:rsidR="00745FEA" w:rsidRPr="00144344" w:rsidRDefault="00745FEA" w:rsidP="00745FEA">
                  <w:pPr>
                    <w:pStyle w:val="TableBodyText"/>
                    <w:ind w:right="28"/>
                  </w:pPr>
                  <w:r w:rsidRPr="004F7FF8">
                    <w:t>9.4</w:t>
                  </w:r>
                </w:p>
              </w:tc>
            </w:tr>
            <w:tr w:rsidR="00745FEA" w:rsidTr="00745FEA">
              <w:tc>
                <w:tcPr>
                  <w:tcW w:w="1601" w:type="pct"/>
                </w:tcPr>
                <w:p w:rsidR="00745FEA" w:rsidRPr="00E60DC4" w:rsidRDefault="00745FEA" w:rsidP="00745FEA">
                  <w:pPr>
                    <w:pStyle w:val="TableBodyText"/>
                    <w:jc w:val="left"/>
                  </w:pPr>
                  <w:r w:rsidRPr="00E60DC4">
                    <w:t>Other transport equipment</w:t>
                  </w:r>
                </w:p>
              </w:tc>
              <w:tc>
                <w:tcPr>
                  <w:tcW w:w="571" w:type="pct"/>
                </w:tcPr>
                <w:p w:rsidR="00745FEA" w:rsidRPr="00144344" w:rsidRDefault="00745FEA" w:rsidP="00745FEA">
                  <w:pPr>
                    <w:pStyle w:val="TableBodyText"/>
                  </w:pPr>
                  <w:r w:rsidRPr="004F7FF8">
                    <w:t>3.1</w:t>
                  </w:r>
                </w:p>
              </w:tc>
              <w:tc>
                <w:tcPr>
                  <w:tcW w:w="568" w:type="pct"/>
                </w:tcPr>
                <w:p w:rsidR="00745FEA" w:rsidRPr="00144344" w:rsidRDefault="00745FEA" w:rsidP="00745FEA">
                  <w:pPr>
                    <w:pStyle w:val="TableBodyText"/>
                  </w:pPr>
                  <w:r w:rsidRPr="004F7FF8">
                    <w:t>3.1</w:t>
                  </w:r>
                </w:p>
              </w:tc>
              <w:tc>
                <w:tcPr>
                  <w:tcW w:w="567" w:type="pct"/>
                </w:tcPr>
                <w:p w:rsidR="00745FEA" w:rsidRPr="00144344" w:rsidRDefault="00745FEA" w:rsidP="00745FEA">
                  <w:pPr>
                    <w:pStyle w:val="TableBodyText"/>
                  </w:pPr>
                  <w:r w:rsidRPr="004F7FF8">
                    <w:t>3.2</w:t>
                  </w:r>
                </w:p>
              </w:tc>
              <w:tc>
                <w:tcPr>
                  <w:tcW w:w="567" w:type="pct"/>
                </w:tcPr>
                <w:p w:rsidR="00745FEA" w:rsidRPr="00144344" w:rsidRDefault="00745FEA" w:rsidP="00745FEA">
                  <w:pPr>
                    <w:pStyle w:val="TableBodyText"/>
                  </w:pPr>
                  <w:r w:rsidRPr="004F7FF8">
                    <w:t>3.3</w:t>
                  </w:r>
                </w:p>
              </w:tc>
              <w:tc>
                <w:tcPr>
                  <w:tcW w:w="564" w:type="pct"/>
                </w:tcPr>
                <w:p w:rsidR="00745FEA" w:rsidRPr="00144344" w:rsidRDefault="00745FEA" w:rsidP="00745FEA">
                  <w:pPr>
                    <w:pStyle w:val="TableBodyText"/>
                  </w:pPr>
                  <w:r w:rsidRPr="004F7FF8">
                    <w:t>3.5</w:t>
                  </w:r>
                </w:p>
              </w:tc>
              <w:tc>
                <w:tcPr>
                  <w:tcW w:w="562" w:type="pct"/>
                </w:tcPr>
                <w:p w:rsidR="00745FEA" w:rsidRPr="00144344" w:rsidRDefault="00745FEA" w:rsidP="00745FEA">
                  <w:pPr>
                    <w:pStyle w:val="TableBodyText"/>
                    <w:ind w:right="28"/>
                  </w:pPr>
                  <w:r w:rsidRPr="004F7FF8">
                    <w:t>3.4</w:t>
                  </w:r>
                </w:p>
              </w:tc>
            </w:tr>
            <w:tr w:rsidR="00745FEA" w:rsidTr="00745FEA">
              <w:tc>
                <w:tcPr>
                  <w:tcW w:w="1601" w:type="pct"/>
                </w:tcPr>
                <w:p w:rsidR="00745FEA" w:rsidRPr="00E60DC4" w:rsidRDefault="00745FEA" w:rsidP="00745FEA">
                  <w:pPr>
                    <w:pStyle w:val="TableBodyText"/>
                    <w:jc w:val="left"/>
                  </w:pPr>
                  <w:r w:rsidRPr="00E60DC4">
                    <w:t>Machinery and equipment</w:t>
                  </w:r>
                </w:p>
              </w:tc>
              <w:tc>
                <w:tcPr>
                  <w:tcW w:w="571" w:type="pct"/>
                </w:tcPr>
                <w:p w:rsidR="00745FEA" w:rsidRPr="00144344" w:rsidRDefault="00745FEA" w:rsidP="00745FEA">
                  <w:pPr>
                    <w:pStyle w:val="TableBodyText"/>
                  </w:pPr>
                  <w:r w:rsidRPr="004F7FF8">
                    <w:t>2.5</w:t>
                  </w:r>
                </w:p>
              </w:tc>
              <w:tc>
                <w:tcPr>
                  <w:tcW w:w="568" w:type="pct"/>
                </w:tcPr>
                <w:p w:rsidR="00745FEA" w:rsidRPr="00144344" w:rsidRDefault="00745FEA" w:rsidP="00745FEA">
                  <w:pPr>
                    <w:pStyle w:val="TableBodyText"/>
                  </w:pPr>
                  <w:r w:rsidRPr="004F7FF8">
                    <w:t>2.9</w:t>
                  </w:r>
                </w:p>
              </w:tc>
              <w:tc>
                <w:tcPr>
                  <w:tcW w:w="567" w:type="pct"/>
                </w:tcPr>
                <w:p w:rsidR="00745FEA" w:rsidRPr="00144344" w:rsidRDefault="00745FEA" w:rsidP="00745FEA">
                  <w:pPr>
                    <w:pStyle w:val="TableBodyText"/>
                  </w:pPr>
                  <w:r w:rsidRPr="004F7FF8">
                    <w:t>2.8</w:t>
                  </w:r>
                </w:p>
              </w:tc>
              <w:tc>
                <w:tcPr>
                  <w:tcW w:w="567" w:type="pct"/>
                </w:tcPr>
                <w:p w:rsidR="00745FEA" w:rsidRPr="00144344" w:rsidRDefault="00745FEA" w:rsidP="00745FEA">
                  <w:pPr>
                    <w:pStyle w:val="TableBodyText"/>
                  </w:pPr>
                  <w:r w:rsidRPr="004F7FF8">
                    <w:t>3.0</w:t>
                  </w:r>
                </w:p>
              </w:tc>
              <w:tc>
                <w:tcPr>
                  <w:tcW w:w="564" w:type="pct"/>
                </w:tcPr>
                <w:p w:rsidR="00745FEA" w:rsidRPr="00144344" w:rsidRDefault="00745FEA" w:rsidP="00745FEA">
                  <w:pPr>
                    <w:pStyle w:val="TableBodyText"/>
                  </w:pPr>
                  <w:r w:rsidRPr="004F7FF8">
                    <w:t>3.1</w:t>
                  </w:r>
                </w:p>
              </w:tc>
              <w:tc>
                <w:tcPr>
                  <w:tcW w:w="562" w:type="pct"/>
                </w:tcPr>
                <w:p w:rsidR="00745FEA" w:rsidRPr="00144344" w:rsidRDefault="00745FEA" w:rsidP="00745FEA">
                  <w:pPr>
                    <w:pStyle w:val="TableBodyText"/>
                    <w:ind w:right="28"/>
                  </w:pPr>
                  <w:r w:rsidRPr="004F7FF8">
                    <w:t>3.3</w:t>
                  </w:r>
                </w:p>
              </w:tc>
            </w:tr>
            <w:tr w:rsidR="00745FEA" w:rsidTr="00745FEA">
              <w:tc>
                <w:tcPr>
                  <w:tcW w:w="1601" w:type="pct"/>
                  <w:tcBorders>
                    <w:bottom w:val="single" w:sz="6" w:space="0" w:color="BFBFBF"/>
                  </w:tcBorders>
                  <w:shd w:val="clear" w:color="auto" w:fill="auto"/>
                </w:tcPr>
                <w:p w:rsidR="00745FEA" w:rsidRDefault="00745FEA" w:rsidP="00745FEA">
                  <w:pPr>
                    <w:pStyle w:val="TableBodyText"/>
                    <w:jc w:val="left"/>
                  </w:pPr>
                  <w:r w:rsidRPr="00E60DC4">
                    <w:t>Furniture and other products</w:t>
                  </w:r>
                </w:p>
              </w:tc>
              <w:tc>
                <w:tcPr>
                  <w:tcW w:w="571" w:type="pct"/>
                  <w:tcBorders>
                    <w:bottom w:val="single" w:sz="6" w:space="0" w:color="BFBFBF"/>
                  </w:tcBorders>
                </w:tcPr>
                <w:p w:rsidR="00745FEA" w:rsidRPr="00144344" w:rsidRDefault="00745FEA" w:rsidP="00745FEA">
                  <w:pPr>
                    <w:pStyle w:val="TableBodyText"/>
                  </w:pPr>
                  <w:r w:rsidRPr="004F7FF8">
                    <w:t>4.8</w:t>
                  </w:r>
                </w:p>
              </w:tc>
              <w:tc>
                <w:tcPr>
                  <w:tcW w:w="568" w:type="pct"/>
                  <w:tcBorders>
                    <w:bottom w:val="single" w:sz="6" w:space="0" w:color="BFBFBF"/>
                  </w:tcBorders>
                  <w:shd w:val="clear" w:color="auto" w:fill="auto"/>
                </w:tcPr>
                <w:p w:rsidR="00745FEA" w:rsidRPr="00144344" w:rsidRDefault="00745FEA" w:rsidP="00745FEA">
                  <w:pPr>
                    <w:pStyle w:val="TableBodyText"/>
                  </w:pPr>
                  <w:r w:rsidRPr="004F7FF8">
                    <w:t>5.0</w:t>
                  </w:r>
                </w:p>
              </w:tc>
              <w:tc>
                <w:tcPr>
                  <w:tcW w:w="567" w:type="pct"/>
                  <w:tcBorders>
                    <w:bottom w:val="single" w:sz="6" w:space="0" w:color="BFBFBF"/>
                  </w:tcBorders>
                </w:tcPr>
                <w:p w:rsidR="00745FEA" w:rsidRPr="00144344" w:rsidRDefault="00745FEA" w:rsidP="00745FEA">
                  <w:pPr>
                    <w:pStyle w:val="TableBodyText"/>
                  </w:pPr>
                  <w:r w:rsidRPr="004F7FF8">
                    <w:t>4.8</w:t>
                  </w:r>
                </w:p>
              </w:tc>
              <w:tc>
                <w:tcPr>
                  <w:tcW w:w="567" w:type="pct"/>
                  <w:tcBorders>
                    <w:bottom w:val="single" w:sz="6" w:space="0" w:color="BFBFBF"/>
                  </w:tcBorders>
                </w:tcPr>
                <w:p w:rsidR="00745FEA" w:rsidRPr="00144344" w:rsidRDefault="00745FEA" w:rsidP="00745FEA">
                  <w:pPr>
                    <w:pStyle w:val="TableBodyText"/>
                  </w:pPr>
                  <w:r w:rsidRPr="004F7FF8">
                    <w:t>4.6</w:t>
                  </w:r>
                </w:p>
              </w:tc>
              <w:tc>
                <w:tcPr>
                  <w:tcW w:w="564" w:type="pct"/>
                  <w:tcBorders>
                    <w:bottom w:val="single" w:sz="6" w:space="0" w:color="BFBFBF"/>
                  </w:tcBorders>
                </w:tcPr>
                <w:p w:rsidR="00745FEA" w:rsidRPr="00144344" w:rsidRDefault="00745FEA" w:rsidP="00745FEA">
                  <w:pPr>
                    <w:pStyle w:val="TableBodyText"/>
                  </w:pPr>
                  <w:r w:rsidRPr="004F7FF8">
                    <w:t>4.7</w:t>
                  </w:r>
                </w:p>
              </w:tc>
              <w:tc>
                <w:tcPr>
                  <w:tcW w:w="562" w:type="pct"/>
                  <w:tcBorders>
                    <w:bottom w:val="single" w:sz="6" w:space="0" w:color="BFBFBF"/>
                  </w:tcBorders>
                  <w:shd w:val="clear" w:color="auto" w:fill="auto"/>
                </w:tcPr>
                <w:p w:rsidR="00745FEA" w:rsidRDefault="00745FEA" w:rsidP="00745FEA">
                  <w:pPr>
                    <w:pStyle w:val="TableBodyText"/>
                    <w:ind w:right="28"/>
                  </w:pPr>
                  <w:r w:rsidRPr="004F7FF8">
                    <w:t>4.9</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Note"/>
              <w:rPr>
                <w:i/>
              </w:rPr>
            </w:pPr>
            <w:r w:rsidRPr="008E77FE">
              <w:rPr>
                <w:rStyle w:val="NoteLabel"/>
              </w:rPr>
              <w:t>a</w:t>
            </w:r>
            <w:r>
              <w:t xml:space="preserve"> </w:t>
            </w:r>
            <w:r w:rsidRPr="00783BE8">
              <w:t xml:space="preserve">Combined assistance comprises tariff, budgetary, and </w:t>
            </w:r>
            <w:r>
              <w:t xml:space="preserve">agricultural pricing assistance. </w:t>
            </w:r>
            <w:r>
              <w:rPr>
                <w:rStyle w:val="NoteLabel"/>
              </w:rPr>
              <w:t>b</w:t>
            </w:r>
            <w:r>
              <w:t xml:space="preserve"> </w:t>
            </w:r>
            <w:r w:rsidRPr="00783BE8">
              <w:t>Sectoral estimates include assistance to the sector that has not been allocated to specific industry groupings.</w:t>
            </w:r>
            <w:r>
              <w:t xml:space="preserve"> </w:t>
            </w: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4"/>
        <w:spacing w:before="240"/>
      </w:pPr>
      <w:r>
        <w:t>Higher rates continue in motor vehicles and parts but have fallen in Textiles, leather, clothing and footwear</w:t>
      </w:r>
    </w:p>
    <w:p w:rsidR="00745FEA" w:rsidRDefault="00745FEA" w:rsidP="00745FEA">
      <w:pPr>
        <w:pStyle w:val="BodyText"/>
      </w:pPr>
      <w:r>
        <w:t xml:space="preserve">The </w:t>
      </w:r>
      <w:r w:rsidRPr="00B616DF">
        <w:rPr>
          <w:i/>
        </w:rPr>
        <w:t>Motor vehicles and parts</w:t>
      </w:r>
      <w:r>
        <w:t xml:space="preserve"> industry group continues to have higher effective rates of combined assistance than other manufacturing activities. The effective rate of assistance for the Motor vehicles and parts industry in 2016</w:t>
      </w:r>
      <w:r>
        <w:noBreakHyphen/>
        <w:t>17 was 9.4 per cent.</w:t>
      </w:r>
    </w:p>
    <w:p w:rsidR="00745FEA" w:rsidRDefault="00745FEA" w:rsidP="00745FEA">
      <w:pPr>
        <w:pStyle w:val="BodyText"/>
      </w:pPr>
      <w:r>
        <w:t xml:space="preserve">In contrast, assistance for the </w:t>
      </w:r>
      <w:r w:rsidRPr="00B616DF">
        <w:rPr>
          <w:i/>
        </w:rPr>
        <w:t>Textiles, leather, clothing and footwear</w:t>
      </w:r>
      <w:r>
        <w:t xml:space="preserve"> industry fell to 3.6 per cent in 2016</w:t>
      </w:r>
      <w:r>
        <w:noBreakHyphen/>
        <w:t>17 following the reduction of remaining textiles, leather, clothing and footwear tariffs from 10 to 5 per cent in January 2015. Effective assistance for the industry has now declined to below the manufacturing average.</w:t>
      </w:r>
    </w:p>
    <w:p w:rsidR="00745FEA" w:rsidRDefault="00745FEA" w:rsidP="00745FEA">
      <w:pPr>
        <w:pStyle w:val="BodyText"/>
      </w:pPr>
      <w:r>
        <w:t>The estimated effective rates of assistance to both industry groups have fallen significantly over recent decades following substantial reductions in tariff rates and the removal of import quotas.</w:t>
      </w:r>
      <w:r w:rsidRPr="00B76C5B">
        <w:rPr>
          <w:rStyle w:val="FootnoteReference"/>
        </w:rPr>
        <w:footnoteReference w:id="10"/>
      </w:r>
      <w:r>
        <w:t xml:space="preserve"> More recently, effective rates of assistance for these industries have fallen significantly, from 12.1 per cent for </w:t>
      </w:r>
      <w:r w:rsidRPr="00962A45">
        <w:rPr>
          <w:i/>
        </w:rPr>
        <w:t>Motor vehicles and parts</w:t>
      </w:r>
      <w:r>
        <w:t xml:space="preserve"> and 5.4 per cent for </w:t>
      </w:r>
      <w:r w:rsidRPr="00962A45">
        <w:rPr>
          <w:i/>
        </w:rPr>
        <w:t>Textiles, leather, clothing and footwear</w:t>
      </w:r>
      <w:r>
        <w:t xml:space="preserve"> in 2011</w:t>
      </w:r>
      <w:r>
        <w:noBreakHyphen/>
        <w:t xml:space="preserve">12, following the legislated tariff cuts in January 2010 and for </w:t>
      </w:r>
      <w:r w:rsidRPr="00962A45">
        <w:rPr>
          <w:i/>
        </w:rPr>
        <w:t>Textiles, leather, clothing and footwear</w:t>
      </w:r>
      <w:r>
        <w:t xml:space="preserve"> in 2015 </w:t>
      </w:r>
      <w:r w:rsidRPr="004F3E67">
        <w:t xml:space="preserve">and </w:t>
      </w:r>
      <w:r w:rsidRPr="00B37ECD">
        <w:t>net reductions in budgetary assistance for both industries</w:t>
      </w:r>
      <w:r w:rsidRPr="004F3E67">
        <w:t xml:space="preserve">. </w:t>
      </w:r>
    </w:p>
    <w:p w:rsidR="00745FEA" w:rsidRDefault="00745FEA" w:rsidP="00745FEA">
      <w:pPr>
        <w:pStyle w:val="Heading4"/>
        <w:spacing w:before="360"/>
      </w:pPr>
      <w:r w:rsidRPr="004C320D">
        <w:t>Rates have fallen for the Dairy cattle farming</w:t>
      </w:r>
    </w:p>
    <w:p w:rsidR="00745FEA" w:rsidRDefault="00745FEA" w:rsidP="00745FEA">
      <w:pPr>
        <w:pStyle w:val="BodyText"/>
      </w:pPr>
      <w:r>
        <w:t xml:space="preserve">The estimated effective rate of assistance for </w:t>
      </w:r>
      <w:r w:rsidRPr="00962A45">
        <w:rPr>
          <w:i/>
        </w:rPr>
        <w:t>Dairy cattle farming</w:t>
      </w:r>
      <w:r>
        <w:t xml:space="preserve"> fell from 2011</w:t>
      </w:r>
      <w:r>
        <w:noBreakHyphen/>
        <w:t>12 to 2016</w:t>
      </w:r>
      <w:r>
        <w:noBreakHyphen/>
        <w:t xml:space="preserve">17 — from 3.3 per cent to 1.4 per cent. This largely reflects a decline in Exceptional Circumstances drought support. Prior to the dairy industry’s deregulation in July 2000, the effective rate of combined assistance was estimated to exceed 30 per cent. </w:t>
      </w:r>
    </w:p>
    <w:p w:rsidR="00745FEA" w:rsidRDefault="00745FEA" w:rsidP="00745FEA">
      <w:pPr>
        <w:pStyle w:val="Heading4"/>
        <w:spacing w:before="360"/>
      </w:pPr>
      <w:r>
        <w:t xml:space="preserve">Rates have returned to earlier levels for </w:t>
      </w:r>
      <w:r w:rsidRPr="004C320D">
        <w:t>Sheep, beef cattle and grain farming</w:t>
      </w:r>
    </w:p>
    <w:p w:rsidR="00745FEA" w:rsidRPr="00F42EC2" w:rsidRDefault="00745FEA" w:rsidP="00745FEA">
      <w:pPr>
        <w:pStyle w:val="BodyText"/>
      </w:pPr>
      <w:r>
        <w:t>Reflecting lower claims for Exceptional Circumstances drought support largely following the easing of drought conditions to 2012</w:t>
      </w:r>
      <w:r>
        <w:noBreakHyphen/>
        <w:t xml:space="preserve">13, together with lower assistance afforded through the Farm Management Deposits and the Small Business and General Business Tax Break schemes, the effective rate of assistance for the </w:t>
      </w:r>
      <w:r w:rsidRPr="007233E8">
        <w:rPr>
          <w:i/>
        </w:rPr>
        <w:t>Sheep, beef cattle and grain farming</w:t>
      </w:r>
      <w:r>
        <w:t xml:space="preserve"> group declined from 4.2 per cent in 2011</w:t>
      </w:r>
      <w:r>
        <w:noBreakHyphen/>
        <w:t>12 to 3.3 per cent in 2012</w:t>
      </w:r>
      <w:r>
        <w:noBreakHyphen/>
        <w:t xml:space="preserve">13. This decline in effective assistance has been moderated by increased support from the Farm Management Deposits </w:t>
      </w:r>
      <w:r w:rsidRPr="00F42EC2">
        <w:t>Scheme (an additional $576 million since 2012</w:t>
      </w:r>
      <w:r w:rsidRPr="00F42EC2">
        <w:noBreakHyphen/>
        <w:t xml:space="preserve">13) and income tax averaging provisions (an additional $458 million). </w:t>
      </w:r>
    </w:p>
    <w:p w:rsidR="00745FEA" w:rsidRDefault="00745FEA" w:rsidP="00745FEA">
      <w:pPr>
        <w:pStyle w:val="BodyText"/>
      </w:pPr>
      <w:r>
        <w:t xml:space="preserve">Declines were also estimated over the period for some other agricultural industry groupings because of lower claims for drought support. </w:t>
      </w:r>
    </w:p>
    <w:p w:rsidR="00745FEA" w:rsidRDefault="00745FEA" w:rsidP="00745FEA">
      <w:pPr>
        <w:pStyle w:val="Heading4"/>
        <w:spacing w:before="360"/>
      </w:pPr>
      <w:r w:rsidRPr="004C320D">
        <w:t>Rates have stabilised in forestry and logging</w:t>
      </w:r>
    </w:p>
    <w:p w:rsidR="00745FEA" w:rsidRDefault="00745FEA" w:rsidP="00745FEA">
      <w:pPr>
        <w:pStyle w:val="BodyText"/>
      </w:pPr>
      <w:r>
        <w:t xml:space="preserve">Effective rates of assistance to </w:t>
      </w:r>
      <w:r w:rsidRPr="00363794">
        <w:rPr>
          <w:i/>
        </w:rPr>
        <w:t>Forestry and logging</w:t>
      </w:r>
      <w:r>
        <w:t xml:space="preserve"> have stabilised in more recent years at around 2.4 per cent. This reflects more stable levels of assistance provided through programs like, the small business capital gains tax concessions schemes, income tax averaging provisions and net tariff assistance to forestry and logging. </w:t>
      </w:r>
    </w:p>
    <w:p w:rsidR="00745FEA" w:rsidRDefault="00745FEA" w:rsidP="00745FEA">
      <w:pPr>
        <w:pStyle w:val="BodyText"/>
      </w:pPr>
      <w:r>
        <w:t>This contrasts with effective rates of assistance to the industry prior to 2010</w:t>
      </w:r>
      <w:r>
        <w:noBreakHyphen/>
        <w:t>11 where assistance levels changed markedly from year to year. The effective rate of assistance for Forestry and logging was 6.9 per cent in 2007</w:t>
      </w:r>
      <w:r>
        <w:noBreakHyphen/>
        <w:t>08, negative 1.3 per cent in 2008</w:t>
      </w:r>
      <w:r>
        <w:noBreakHyphen/>
        <w:t>09 and then back to 4.7 per cent in 2009</w:t>
      </w:r>
      <w:r>
        <w:noBreakHyphen/>
        <w:t>10. This volatility resulted from changes in the direction of accelerated write offs on forestry managed investments from positive assistance in 2007</w:t>
      </w:r>
      <w:r>
        <w:noBreakHyphen/>
        <w:t>08 (the acceleration stage) to increased taxation in 2008</w:t>
      </w:r>
      <w:r>
        <w:noBreakHyphen/>
        <w:t xml:space="preserve">09 (the pay back stage). The Forestry Managed Investment Scheme was terminated on 30 June 2008. </w:t>
      </w:r>
    </w:p>
    <w:p w:rsidR="00745FEA" w:rsidRDefault="00745FEA" w:rsidP="00745FEA">
      <w:pPr>
        <w:pStyle w:val="Heading3"/>
      </w:pPr>
      <w:r>
        <w:t>Higher effective rates at finer levels of analysis</w:t>
      </w:r>
    </w:p>
    <w:p w:rsidR="00745FEA" w:rsidRDefault="00745FEA" w:rsidP="00745FEA">
      <w:pPr>
        <w:pStyle w:val="BodyText"/>
      </w:pPr>
      <w:r w:rsidRPr="00A14EB4">
        <w:t>While present effective rates for agriculture and manufacturing industries are at a historic low, the effective rate of assistance for an individual company or project can be substantial. This arises when a grant program is targeted at particular goods producing and services activities and provides a subsidy equivalent for the supported projects well above the industry average (box</w:t>
      </w:r>
      <w:r>
        <w:t> 2.3</w:t>
      </w:r>
      <w:r w:rsidRPr="00A14EB4">
        <w:t>). Advantage conferred to a specific firm or activity in this way can be quite distortionary, both within an industry as well as at the economy</w:t>
      </w:r>
      <w:r>
        <w:noBreakHyphen/>
      </w:r>
      <w:r w:rsidRPr="00A14EB4">
        <w:t>wide level.</w:t>
      </w:r>
      <w:r>
        <w:t xml:space="preserv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rsidP="00745FEA">
            <w:pPr>
              <w:pStyle w:val="BoxTitle"/>
            </w:pPr>
            <w:r>
              <w:rPr>
                <w:b w:val="0"/>
              </w:rPr>
              <w:t>Box 2.</w:t>
            </w:r>
            <w:r>
              <w:rPr>
                <w:b w:val="0"/>
                <w:noProof/>
              </w:rPr>
              <w:t>3</w:t>
            </w:r>
            <w:r>
              <w:tab/>
              <w:t>Assistance measures that provide above average levels of support</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The level of effective assistance that accrues to a company or project from a grant program is an empirical question. Unless all companies produce the same products using the same input mix, some will receive effective assistance above and some below average. So the key empirical question is how variable the rates of assistance are to companies and products within an industry. Unfortunately, the information on output, value added and inputs required to estimate effective assistance at the company level is not available on a consistent basis. However, all else equal, grant programs that afford matched funding or which target one or a small range of firms (or projects) will potentially confer higher levels of relative assistance. Some examples of government support with the potential to provide above industry average assistance levels include the following.</w:t>
            </w:r>
          </w:p>
          <w:p w:rsidR="00745FEA" w:rsidRDefault="00745FEA" w:rsidP="00745FEA">
            <w:pPr>
              <w:pStyle w:val="BoxListBullet"/>
            </w:pPr>
            <w:r>
              <w:t>Film industry offsets — government support provided by the producer tax offset (part of the Australian Screen Production Incentive) amounted to $280 million in 2016</w:t>
            </w:r>
            <w:r>
              <w:noBreakHyphen/>
              <w:t xml:space="preserve">17. This assistance provided $1509 million for production budgets for the Australian film and television industry which amounted to nearly 20 per cent of production costs </w:t>
            </w:r>
            <w:r w:rsidRPr="003B712E">
              <w:rPr>
                <w:rFonts w:cs="Arial"/>
                <w:szCs w:val="24"/>
              </w:rPr>
              <w:t>(SA 2017)</w:t>
            </w:r>
            <w:r>
              <w:t>. (The comparable rates for 2013</w:t>
            </w:r>
            <w:r>
              <w:noBreakHyphen/>
              <w:t>14, 2014</w:t>
            </w:r>
            <w:r>
              <w:noBreakHyphen/>
              <w:t>15 and 2015</w:t>
            </w:r>
            <w:r>
              <w:noBreakHyphen/>
              <w:t>16 were 24 per cent, 16 per cent, and 29 per cent, respectively). The film industry also receives assistance from the state and territory government film support programs and Screen Australia.</w:t>
            </w:r>
          </w:p>
          <w:p w:rsidR="00745FEA" w:rsidRDefault="00745FEA" w:rsidP="00745FEA">
            <w:pPr>
              <w:pStyle w:val="BoxListBullet"/>
            </w:pPr>
            <w:r>
              <w:t xml:space="preserve">Tasmanian Freight Equalisation Scheme (TFES) — around 50 per cent of the total amount claimed goes to 10 recipients </w:t>
            </w:r>
            <w:r w:rsidRPr="003B712E">
              <w:rPr>
                <w:rFonts w:cs="Arial"/>
                <w:szCs w:val="24"/>
              </w:rPr>
              <w:t>(PC 2014)</w:t>
            </w:r>
            <w:r>
              <w:t xml:space="preserve">. </w:t>
            </w:r>
          </w:p>
          <w:p w:rsidR="00745FEA" w:rsidRDefault="00745FEA" w:rsidP="00745FEA">
            <w:pPr>
              <w:pStyle w:val="BoxListBullet"/>
            </w:pPr>
            <w:r>
              <w:t>Ethanol production subsidy — between 2003</w:t>
            </w:r>
            <w:r>
              <w:noBreakHyphen/>
              <w:t>04 and 2013</w:t>
            </w:r>
            <w:r>
              <w:noBreakHyphen/>
              <w:t xml:space="preserve">14, participants in the program ranged from between 1 and 5 firms, with a single firm receiving over 70 per cent of funding over the life of the program </w:t>
            </w:r>
            <w:r w:rsidRPr="003B712E">
              <w:rPr>
                <w:rFonts w:cs="Arial"/>
                <w:szCs w:val="24"/>
              </w:rPr>
              <w:t>(ANAO 2015)</w:t>
            </w:r>
            <w:r>
              <w:t xml:space="preserve">. </w:t>
            </w:r>
          </w:p>
          <w:p w:rsidR="00745FEA" w:rsidRDefault="00745FEA" w:rsidP="00745FEA">
            <w:pPr>
              <w:pStyle w:val="BoxListBullet"/>
            </w:pPr>
            <w:r>
              <w:t>Co</w:t>
            </w:r>
            <w:r>
              <w:noBreakHyphen/>
              <w:t>investment grants — over the three years to 2013</w:t>
            </w:r>
            <w:r>
              <w:noBreakHyphen/>
              <w:t>14, nearly $50 million in co</w:t>
            </w:r>
            <w:r>
              <w:noBreakHyphen/>
              <w:t xml:space="preserve">investment grants was paid to four firms by the Australian Government. These payments can confer high levels of assistance at the individual firm or project level </w:t>
            </w:r>
            <w:r w:rsidRPr="003B712E">
              <w:rPr>
                <w:rFonts w:cs="Arial"/>
                <w:szCs w:val="24"/>
              </w:rPr>
              <w:t>(PC 2015)</w:t>
            </w:r>
            <w:r>
              <w:t xml:space="preserve">. </w:t>
            </w:r>
          </w:p>
          <w:p w:rsidR="00745FEA" w:rsidRDefault="00745FEA" w:rsidP="00745FEA">
            <w:pPr>
              <w:pStyle w:val="BoxListBullet"/>
            </w:pPr>
            <w:r>
              <w:t xml:space="preserve">Regional business investment grants — payments have typically been up to 50 per cent of the project costs, conferring high effective rates of assistance to recipients. </w:t>
            </w:r>
          </w:p>
          <w:p w:rsidR="00745FEA" w:rsidRDefault="00745FEA" w:rsidP="00745FEA">
            <w:pPr>
              <w:pStyle w:val="BoxListBullet"/>
            </w:pPr>
            <w:r>
              <w:t xml:space="preserve">Local submarine assembly — the effective rate of assistance for building the proposed submarines locally, at a reported premium of around 30 per cent more than an overseas assembly, has been estimated to be around 300 per cent, perhaps a record high </w:t>
            </w:r>
            <w:r w:rsidRPr="003B712E">
              <w:rPr>
                <w:rFonts w:cs="Arial"/>
                <w:szCs w:val="24"/>
              </w:rPr>
              <w:t>(PC 2016)</w:t>
            </w:r>
            <w:r>
              <w:t>.</w:t>
            </w:r>
          </w:p>
        </w:tc>
      </w:tr>
      <w:tr w:rsidR="00745FEA" w:rsidTr="00745FEA">
        <w:tc>
          <w:tcPr>
            <w:tcW w:w="5000" w:type="pct"/>
            <w:tcBorders>
              <w:top w:val="nil"/>
              <w:left w:val="nil"/>
              <w:bottom w:val="single" w:sz="6" w:space="0" w:color="78A22F"/>
              <w:right w:val="nil"/>
            </w:tcBorders>
            <w:shd w:val="clear" w:color="auto" w:fill="F2F2F2"/>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2"/>
      </w:pPr>
      <w:bookmarkStart w:id="30" w:name="_Toc511745366"/>
      <w:r>
        <w:t>2.</w:t>
      </w:r>
      <w:r>
        <w:rPr>
          <w:noProof/>
        </w:rPr>
        <w:t>4</w:t>
      </w:r>
      <w:r>
        <w:tab/>
        <w:t>Effective rates of assistance since 1970</w:t>
      </w:r>
      <w:bookmarkEnd w:id="30"/>
    </w:p>
    <w:p w:rsidR="00745FEA" w:rsidRDefault="00745FEA" w:rsidP="00745FEA">
      <w:pPr>
        <w:pStyle w:val="BodyText"/>
      </w:pPr>
      <w:r>
        <w:t xml:space="preserve">The Commission has estimated effective rates of assistance to the manufacturing and agricultural sectors since the early 1970s. The estimates have been derived in several ‘series’, each spanning a number of consecutive years, with each series retaining a common methodology, coverage of measures and data sources across those years. While methodologies and data sources have changed between series, taken together, the series provide a broad indication of directions and trends in assistance at the sectoral level. </w:t>
      </w:r>
    </w:p>
    <w:p w:rsidR="00745FEA" w:rsidRDefault="00745FEA" w:rsidP="00745FEA">
      <w:pPr>
        <w:pStyle w:val="BodyText"/>
      </w:pPr>
      <w:r>
        <w:t>Figure 2.6 presents effective rate of assistance estimates from the different series from 1970</w:t>
      </w:r>
      <w:r>
        <w:noBreakHyphen/>
        <w:t>71 to the present. Breaks in the series are represented by gaps in the chart, and overlaps are included to show the effects of the methodological and data changes made in moving between series. In figure 2.6, estimates of the effective rate of assistance for the previous 2008</w:t>
      </w:r>
      <w:r>
        <w:noBreakHyphen/>
        <w:t>09 benchmarked series are reported for the years 2006</w:t>
      </w:r>
      <w:r>
        <w:noBreakHyphen/>
        <w:t>07 to 2012</w:t>
      </w:r>
      <w:r>
        <w:noBreakHyphen/>
        <w:t>13. Estimates for the current 2013</w:t>
      </w:r>
      <w:r>
        <w:noBreakHyphen/>
        <w:t>14 benchmark series are reported for the years 2010</w:t>
      </w:r>
      <w:r>
        <w:noBreakHyphen/>
        <w:t>11 to 2016</w:t>
      </w:r>
      <w:r>
        <w:noBreakHyphen/>
        <w:t xml:space="preserve">17.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2.</w:t>
            </w:r>
            <w:r>
              <w:rPr>
                <w:b w:val="0"/>
                <w:noProof/>
              </w:rPr>
              <w:t>6</w:t>
            </w:r>
            <w:r>
              <w:tab/>
              <w:t>Effective rates of assistance to manufacturing and agriculture,</w:t>
            </w:r>
            <w:r w:rsidRPr="005C7CAC">
              <w:rPr>
                <w:rStyle w:val="NoteLabel"/>
                <w:b/>
                <w:position w:val="10"/>
              </w:rPr>
              <w:t>a</w:t>
            </w:r>
            <w:r>
              <w:t xml:space="preserve"> 1970</w:t>
            </w:r>
            <w:r>
              <w:noBreakHyphen/>
              <w:t>71 to 2016</w:t>
            </w:r>
            <w:r>
              <w:noBreakHyphen/>
              <w:t>17</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5000" w:type="pct"/>
                  <w:tcBorders>
                    <w:top w:val="nil"/>
                    <w:bottom w:val="nil"/>
                  </w:tcBorders>
                </w:tcPr>
                <w:p w:rsidR="00745FEA" w:rsidRPr="00B1465D" w:rsidRDefault="004C15F1" w:rsidP="00745FEA">
                  <w:pPr>
                    <w:pStyle w:val="Figure"/>
                    <w:spacing w:before="60" w:after="60"/>
                    <w:rPr>
                      <w:rFonts w:ascii="Arial" w:hAnsi="Arial" w:cs="Arial"/>
                      <w:sz w:val="18"/>
                      <w:szCs w:val="18"/>
                    </w:rPr>
                  </w:pPr>
                  <w:r w:rsidRPr="004C15F1">
                    <w:rPr>
                      <w:rFonts w:ascii="Arial" w:hAnsi="Arial" w:cs="Arial"/>
                      <w:noProof/>
                      <w:sz w:val="18"/>
                      <w:szCs w:val="18"/>
                    </w:rPr>
                    <w:drawing>
                      <wp:inline distT="0" distB="0" distL="0" distR="0" wp14:anchorId="2A462DAC" wp14:editId="6152F4E7">
                        <wp:extent cx="5231130" cy="3157855"/>
                        <wp:effectExtent l="0" t="0" r="7620" b="4445"/>
                        <wp:docPr id="37" name="Picture 37" descr="This figure shows the effective rate of assistance for manufacturing and agriculture have both declined from around 30 per cent in 1970 to around 5 per cent by 2000 with some minor further reduction to 2016 17. The figure highlights significant milestones over the period: the 1973 across the board cut in tariffs; commencement of phasing out of TCF quotas in 1987; tariff cuts in the May 1988 Economic Statement; tariff cuts in the 1991 Building Competitive Australia initiative; the end of TCF quotas in 1993; setting the maximum automotive tariff at 5 per cent in 2010 and setting the maximum TCF tariff at 5 per cent in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31130" cy="3157855"/>
                                </a:xfrm>
                                <a:prstGeom prst="rect">
                                  <a:avLst/>
                                </a:prstGeom>
                                <a:noFill/>
                                <a:ln>
                                  <a:noFill/>
                                </a:ln>
                              </pic:spPr>
                            </pic:pic>
                          </a:graphicData>
                        </a:graphic>
                      </wp:inline>
                    </w:drawing>
                  </w:r>
                </w:p>
              </w:tc>
            </w:tr>
          </w:tbl>
          <w:p w:rsidR="00745FEA" w:rsidRDefault="00745FEA" w:rsidP="00745FEA">
            <w:pPr>
              <w:pStyle w:val="Figure"/>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Note"/>
            </w:pPr>
            <w:r>
              <w:rPr>
                <w:rStyle w:val="NoteLabel"/>
              </w:rPr>
              <w:t>a</w:t>
            </w:r>
            <w:r>
              <w:t xml:space="preserve"> Refers to selected agriculture activities </w:t>
            </w:r>
            <w:r w:rsidRPr="00862C9A">
              <w:t>up to and including the year 2000</w:t>
            </w:r>
            <w:r>
              <w:noBreakHyphen/>
            </w:r>
            <w:r w:rsidRPr="00862C9A">
              <w:t>01. From 2001</w:t>
            </w:r>
            <w:r>
              <w:noBreakHyphen/>
            </w:r>
            <w:r w:rsidRPr="00862C9A">
              <w:t xml:space="preserve">02, estimates refer to division A of the Australian and New Zealand Standard Industrial Classification which covers agriculture, forestry, fishing and hunting activities </w:t>
            </w:r>
            <w:r w:rsidRPr="00DE0576">
              <w:rPr>
                <w:rFonts w:cs="Arial"/>
                <w:szCs w:val="24"/>
              </w:rPr>
              <w:t>(ABS 2013)</w:t>
            </w:r>
            <w:r>
              <w:t>.</w:t>
            </w: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w:t>
            </w:r>
            <w:r w:rsidRPr="00784A05">
              <w:rPr>
                <w:i/>
              </w:rPr>
              <w:t>ource</w:t>
            </w:r>
            <w:r w:rsidRPr="00176D3F">
              <w:t xml:space="preserve">: </w:t>
            </w:r>
            <w:r>
              <w:t>Commission estimate.</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195AC4" w:rsidRDefault="00745FEA" w:rsidP="00745FEA">
      <w:pPr>
        <w:pStyle w:val="Heading3"/>
        <w:rPr>
          <w:rFonts w:ascii="Arial Bold" w:hAnsi="Arial Bold"/>
          <w:spacing w:val="2"/>
        </w:rPr>
      </w:pPr>
      <w:r w:rsidRPr="00195AC4">
        <w:rPr>
          <w:rFonts w:ascii="Arial Bold" w:hAnsi="Arial Bold"/>
          <w:spacing w:val="2"/>
        </w:rPr>
        <w:t>Assistance to manufacturing has fallen dramatically over the past 45</w:t>
      </w:r>
      <w:r>
        <w:rPr>
          <w:rFonts w:ascii="Arial Bold" w:hAnsi="Arial Bold" w:hint="eastAsia"/>
          <w:spacing w:val="2"/>
        </w:rPr>
        <w:t> </w:t>
      </w:r>
      <w:r w:rsidRPr="00195AC4">
        <w:rPr>
          <w:rFonts w:ascii="Arial Bold" w:hAnsi="Arial Bold"/>
          <w:spacing w:val="2"/>
        </w:rPr>
        <w:t>years</w:t>
      </w:r>
    </w:p>
    <w:p w:rsidR="00745FEA" w:rsidRDefault="00745FEA" w:rsidP="00745FEA">
      <w:pPr>
        <w:pStyle w:val="BodyText"/>
      </w:pPr>
      <w:r>
        <w:t>The estimates indicate a marked fall in measured assistance to the manufacturing sector over the past 45 years. The estimated effective rate of assistance for manufacturing as a whole (as calculated in the first series) was around 35 per cent in 1970</w:t>
      </w:r>
      <w:r>
        <w:noBreakHyphen/>
        <w:t xml:space="preserve">71. Since 2000, the rate has been around 5 per cent, declining to 3.9 per cent in more recent years. </w:t>
      </w:r>
    </w:p>
    <w:p w:rsidR="00745FEA" w:rsidRDefault="00745FEA" w:rsidP="00745FEA">
      <w:pPr>
        <w:pStyle w:val="BodyText"/>
      </w:pPr>
      <w:r>
        <w:t xml:space="preserve">Major influences on this fall over the past four decades have been the 25 per cent across the board tariff cut of 1973, the removal of all quantitative import restrictions (except for textiles, clothing and footwear) by 1988, and the broad programs of tariff reductions that commenced in the late 1980s. Under the May 1988 </w:t>
      </w:r>
      <w:r w:rsidRPr="000B369E">
        <w:rPr>
          <w:i/>
        </w:rPr>
        <w:t>Economic Statement</w:t>
      </w:r>
      <w:r>
        <w:t xml:space="preserve"> the Government introduced an across the board program to phase down all tariffs (except for passenger motor vehicles and textiles, clothing and footwear activities which had their own tariff reduction programs) to either 10 per cent or 15 per cent by 1992. </w:t>
      </w:r>
    </w:p>
    <w:p w:rsidR="00745FEA" w:rsidRDefault="00745FEA" w:rsidP="00745FEA">
      <w:pPr>
        <w:pStyle w:val="BodyText"/>
      </w:pPr>
      <w:r>
        <w:t xml:space="preserve">Reductions in general tariff rates were continued with the 1991 </w:t>
      </w:r>
      <w:r w:rsidRPr="000B369E">
        <w:rPr>
          <w:i/>
        </w:rPr>
        <w:t>Building a Competitive Australia</w:t>
      </w:r>
      <w:r>
        <w:t xml:space="preserve"> initiative which reduced general tariff rates from 15 and 10 per cent to a single rate of 5 per cent over the four years from 1992 to 1996. As part of the initiative, tariffs on passenger motor vehicles were reduced to 15 per cent by 2000. For textiles, clothing and footwear activities import quotas were abolished by 1993 and tariffs phased down to a maximum of 25 per cent by 2000. </w:t>
      </w:r>
    </w:p>
    <w:p w:rsidR="00745FEA" w:rsidRDefault="00745FEA" w:rsidP="00745FEA">
      <w:pPr>
        <w:pStyle w:val="BodyText"/>
      </w:pPr>
      <w:r>
        <w:t xml:space="preserve">Subsequent falls in effective assistance to manufacturing have been associated mainly with reductions in tariff assistance to the textile, clothing and footwear, and passenger motor vehicle industries. Tariffs on passenger motor vehicles were further reduced from the 15 per cent set in January 2000 to 10 per cent in January 2005 and 5 per cent in January 2010. After the termination of tariff quotas in 1993 and the phasing of tariffs to a maximum of 25 per cent by the year 2000, maximum TCF tariffs were reduced to 17.5 per cent in January 2005, 10 per cent in January 2010, and 5 per cent in January 2015. </w:t>
      </w:r>
    </w:p>
    <w:p w:rsidR="00745FEA" w:rsidRPr="006412FA" w:rsidRDefault="00745FEA" w:rsidP="00745FEA">
      <w:pPr>
        <w:pStyle w:val="BodyText"/>
      </w:pPr>
      <w:r>
        <w:t xml:space="preserve">Australia’s tariff schedule, which lists a 5 per cent general tariff for about 50 per cent of products (at the HS 8 digit level), continues to provide assistance (border protection) to many manufacturing activities, and an associated cost impost on consumers, input use and government administration. The Commission has long considered that the 5 per cent general tariff rate should be eliminated </w:t>
      </w:r>
      <w:r w:rsidRPr="003B712E">
        <w:rPr>
          <w:szCs w:val="24"/>
        </w:rPr>
        <w:t>(PC 2000, 2017)</w:t>
      </w:r>
      <w:r>
        <w:t xml:space="preserve">. In practice, the protective effect and cost impost of the remaining tariffs depends upon the pattern of imports and the operation of certain tariff concessions. For instance, the industry assistance effects of tariff reduction preferences under Australia’s preferential bilateral and regional trade agreements depends upon the degree to which tariff preferences flow through to reduced import prices or are ‘pocketed’ by the exporter/importer (box 2.5). Moreover, potential trade agreement tariff preferences may not be utilised because, to be eligible, the imports need to satisfy complex rules of origin </w:t>
      </w:r>
      <w:r w:rsidRPr="003B712E">
        <w:rPr>
          <w:szCs w:val="24"/>
        </w:rPr>
        <w:t>(Crook and Gordon 2017)</w:t>
      </w:r>
      <w:r>
        <w:t>.</w:t>
      </w:r>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pPr>
              <w:pStyle w:val="BoxTitle"/>
            </w:pPr>
            <w:r>
              <w:rPr>
                <w:b w:val="0"/>
              </w:rPr>
              <w:t>Box 2.</w:t>
            </w:r>
            <w:r>
              <w:rPr>
                <w:b w:val="0"/>
                <w:noProof/>
              </w:rPr>
              <w:t>4</w:t>
            </w:r>
            <w:r>
              <w:tab/>
              <w:t>Treatment of trade agreement tariff preferences in assistance estimates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 xml:space="preserve">The tariff preferences provided under Australia’s preferential trading agreements (PTAs) need not result in any change in prices in the domestic market and, thus, in assistance to Australian industry provided by the general (Most Favoured Nation or MFN) tariff regime. This would be the case if producers in the partner country effectively ‘pocketed’ the tariff concessions, rather than reduced their prices below the prevailing (tariff inflated) price of rival imports. </w:t>
            </w:r>
          </w:p>
          <w:p w:rsidR="00745FEA" w:rsidRDefault="00745FEA" w:rsidP="00745FEA">
            <w:pPr>
              <w:pStyle w:val="Box"/>
            </w:pPr>
            <w:r>
              <w:t>However, to the extent that tariff concessions provided by PTAs reduce the prices of imported products in the Australian market, assistance to the relevant industry’s outputs would be lower than that implied by the MFN rate. At the same time though, where the price of imported inputs falls as a result of PTA preferences, the penalties (or negative assistance) on the industry’s inputs will also be lower than implied by the MFN rate. Whether this leads to a net overstatement or understatement of assistance to the Australian industry in question would depend on trade patterns with the PTA partner countries, which products are subject to price reductions, and their relative magnitudes.</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3"/>
      </w:pPr>
      <w:r w:rsidRPr="001C7A30">
        <w:t>Assistance to the agricultural sector hides significant disparities across agricultural activities</w:t>
      </w:r>
    </w:p>
    <w:p w:rsidR="00745FEA" w:rsidRDefault="00745FEA" w:rsidP="00745FEA">
      <w:pPr>
        <w:pStyle w:val="BodyText"/>
      </w:pPr>
      <w:r>
        <w:t>For agriculture, the estimated effective rate of assistance (as calculated in the first series) was over 25 per cent in 1970</w:t>
      </w:r>
      <w:r>
        <w:noBreakHyphen/>
        <w:t>71. By 1974</w:t>
      </w:r>
      <w:r>
        <w:noBreakHyphen/>
        <w:t xml:space="preserve">75 it had fallen to about 8 per cent. The subsequent volatility in the agricultural estimates, particularly through the 1970s and 1980s, reflects variation in domestic support prices and world prices (used for assistance benchmarks) as well as the impact of drought and other factors on output. </w:t>
      </w:r>
    </w:p>
    <w:p w:rsidR="00745FEA" w:rsidRDefault="00745FEA" w:rsidP="00745FEA">
      <w:pPr>
        <w:pStyle w:val="BodyText"/>
      </w:pPr>
      <w:r>
        <w:t>The agricultural sector average, however, hides enormous disparity across agricultural activities. For example, effective rates of assistance to tobacco growing exceeded 250 per cent in the early 1970s, subsequently falling to 24 per cent in 1986</w:t>
      </w:r>
      <w:r>
        <w:noBreakHyphen/>
        <w:t>87 and then increasing again to over 250 per cent between 1992</w:t>
      </w:r>
      <w:r>
        <w:noBreakHyphen/>
        <w:t>93 and 1994</w:t>
      </w:r>
      <w:r>
        <w:noBreakHyphen/>
        <w:t>95. Effective rates to eggs also exceeded 250 per cent through much of the 1970s and early 1980s, while effective rates to the dairy industry were over 200 per cent in 1986</w:t>
      </w:r>
      <w:r>
        <w:noBreakHyphen/>
        <w:t xml:space="preserve">87. In contrast, extensive cropping, excluding wheat, recorded relatively low effective rates of assistance over the entire period. </w:t>
      </w:r>
    </w:p>
    <w:p w:rsidR="00745FEA" w:rsidRDefault="00745FEA" w:rsidP="00745FEA">
      <w:pPr>
        <w:sectPr w:rsidR="00745FEA" w:rsidSect="00745FEA">
          <w:headerReference w:type="even" r:id="rId47"/>
          <w:headerReference w:type="default" r:id="rId48"/>
          <w:footerReference w:type="even" r:id="rId49"/>
          <w:footerReference w:type="default" r:id="rId50"/>
          <w:type w:val="oddPage"/>
          <w:pgSz w:w="11907" w:h="16840" w:code="9"/>
          <w:pgMar w:top="1985" w:right="1304" w:bottom="1247" w:left="1814" w:header="1701" w:footer="397" w:gutter="0"/>
          <w:pgNumType w:chapSep="period"/>
          <w:cols w:space="720"/>
          <w:docGrid w:linePitch="326"/>
        </w:sectPr>
      </w:pPr>
    </w:p>
    <w:p w:rsidR="00745FEA" w:rsidRPr="000B540D" w:rsidRDefault="00745FEA" w:rsidP="00745FEA">
      <w:pPr>
        <w:pStyle w:val="Heading1"/>
      </w:pPr>
      <w:bookmarkStart w:id="31" w:name="_Toc511745367"/>
      <w:r>
        <w:t>3</w:t>
      </w:r>
      <w:r>
        <w:tab/>
        <w:t>National security measures: some trade and assistance implications</w:t>
      </w:r>
      <w:bookmarkEnd w:id="31"/>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Pr="00C02132" w:rsidRDefault="00745FEA">
            <w:pPr>
              <w:pStyle w:val="BoxTitle"/>
            </w:pPr>
            <w:r w:rsidRPr="00C02132">
              <w:t>Key points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ListBullet"/>
            </w:pPr>
            <w:r>
              <w:t>Australian governments have undertaken major spending and regulatory initiatives aimed at reducing terrorism and other national security risks over the past decade and a half in response to mounting concerns.</w:t>
            </w:r>
          </w:p>
          <w:p w:rsidR="00745FEA" w:rsidRDefault="00745FEA" w:rsidP="00745FEA">
            <w:pPr>
              <w:pStyle w:val="BoxListBullet"/>
            </w:pPr>
            <w:r>
              <w:t xml:space="preserve">There is little question of the need for governments to reduce such risks. But a key challenge is to find the most effective measures and to balance the social, personal and economic benefits of mitigating such risks against the costs. Like any area of government regulation, measures should be designed to reduce harm at least cost. </w:t>
            </w:r>
          </w:p>
          <w:p w:rsidR="00745FEA" w:rsidRDefault="00745FEA" w:rsidP="00745FEA">
            <w:pPr>
              <w:pStyle w:val="BoxListBullet"/>
            </w:pPr>
            <w:r>
              <w:t>As additional security measures are imposed, greater consideration of the national security regulations that are no longer required — the kind of trade</w:t>
            </w:r>
            <w:r>
              <w:noBreakHyphen/>
              <w:t>off that was once well</w:t>
            </w:r>
            <w:r>
              <w:noBreakHyphen/>
              <w:t xml:space="preserve">respected in regulation reform — would be a positive step. </w:t>
            </w:r>
          </w:p>
          <w:p w:rsidR="00745FEA" w:rsidRDefault="00745FEA" w:rsidP="00745FEA">
            <w:pPr>
              <w:pStyle w:val="BoxListBullet"/>
            </w:pPr>
            <w:r>
              <w:t xml:space="preserve">In some cases, policies can act as a barrier to trade or skew investment. For example: </w:t>
            </w:r>
          </w:p>
          <w:p w:rsidR="00745FEA" w:rsidRDefault="00745FEA" w:rsidP="00745FEA">
            <w:pPr>
              <w:pStyle w:val="BoxListBullet2"/>
            </w:pPr>
            <w:r>
              <w:t>While data localisation regulations in Australia are currently narrowly applied, the international trend is towards tougher regimes. These restrictions limit the global transfer of digital information, somewhat indiscriminately. They can undermine the global use of new platforms, and force businesses to use costly local data centres when lower cost alternatives exist elsewhere. The lesson for Australia is to avoid data nationalism and, instead, help craft higher confidence via international agreements and cooperation that address security and concerns, while making full use of data.</w:t>
            </w:r>
          </w:p>
          <w:p w:rsidR="00745FEA" w:rsidRDefault="00745FEA" w:rsidP="00745FEA">
            <w:pPr>
              <w:pStyle w:val="BoxListBullet2"/>
            </w:pPr>
            <w:r>
              <w:t>Airport security regulations and government outlays that help promote aviation security are critical. However, such measures raise the costs of passenger travel and accordingly affect trade in services (such as tourism),</w:t>
            </w:r>
            <w:r w:rsidDel="00DB6374">
              <w:t xml:space="preserve"> </w:t>
            </w:r>
            <w:r>
              <w:t xml:space="preserve">and impose inconvenience — impacts that governments should consider when introducing security measures. </w:t>
            </w:r>
          </w:p>
          <w:p w:rsidR="00745FEA" w:rsidRDefault="00745FEA" w:rsidP="00745FEA">
            <w:pPr>
              <w:pStyle w:val="BoxListBullet"/>
            </w:pPr>
            <w:r>
              <w:t xml:space="preserve">Unlike many other major areas of government activity, there is very little visibility of the costs created by national security measures. </w:t>
            </w:r>
          </w:p>
          <w:p w:rsidR="00745FEA" w:rsidRDefault="00745FEA" w:rsidP="00745FEA">
            <w:pPr>
              <w:pStyle w:val="BoxListBullet"/>
            </w:pPr>
            <w:r>
              <w:t>Governments have no clear framework for deciding whether the costs of security should be directly met by taxpayers, businesses, or consumers, with significant variations across industries and activities.</w:t>
            </w:r>
          </w:p>
          <w:p w:rsidR="00745FEA" w:rsidRDefault="00745FEA" w:rsidP="00745FEA">
            <w:pPr>
              <w:pStyle w:val="BoxListBullet"/>
            </w:pPr>
            <w:r>
              <w:t>The area would benefit from periodic systemic review by an agency without active involvement in security policy and with appropriate security clearance. Setting out a robust framework would guide decisions, whether made in response to a contemporary security event, or to better manage systemic risks, and foster public understanding and support.</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br w:type="page"/>
      </w:r>
    </w:p>
    <w:p w:rsidR="00745FEA" w:rsidRDefault="00745FEA" w:rsidP="00745FEA">
      <w:pPr>
        <w:pStyle w:val="BodyText"/>
      </w:pPr>
      <w:r>
        <w:t>National security — the safety of a country from war, espionage, serious and organised crime, biosecurity threats, terrorism and cyber attacks — is of great value to the Australian people, with the threats of the latter two particularly attracting recent public and policy attention. Public concern about the risks of terrorism incidents has risen over the past two decades, though actual incidents have fortunately been rare (box 3.1). High</w:t>
      </w:r>
      <w:r>
        <w:noBreakHyphen/>
        <w:t>profile cyber attacks against both government and corporate targets have become a regular occurrence globally.</w:t>
      </w:r>
    </w:p>
    <w:p w:rsidR="00745FEA" w:rsidRDefault="00745FEA" w:rsidP="00745FEA">
      <w:pPr>
        <w:pStyle w:val="BodyText"/>
      </w:pPr>
      <w:r>
        <w:t>In recent years, there has been an expansion of Australian regulations and laws, for example, in relation to data retention and transport security. By some assessments, there has also been an increase in overall counter</w:t>
      </w:r>
      <w:r>
        <w:noBreakHyphen/>
        <w:t xml:space="preserve">terrorism resourcing </w:t>
      </w:r>
      <w:r w:rsidRPr="00BE236D">
        <w:rPr>
          <w:szCs w:val="24"/>
        </w:rPr>
        <w:t>(Barker 2016; Bergin 2015)</w:t>
      </w:r>
      <w:r>
        <w:t>, though funding that is reported to be specifically dedicated to counter</w:t>
      </w:r>
      <w:r>
        <w:noBreakHyphen/>
        <w:t>terrorism increased from very little twenty years ago to a peak of around $800 million in 2008, before falling to just above $500 million in 2013</w:t>
      </w:r>
      <w:r>
        <w:noBreakHyphen/>
        <w:t xml:space="preserve">14 </w:t>
      </w:r>
      <w:r w:rsidRPr="00BE236D">
        <w:rPr>
          <w:szCs w:val="24"/>
        </w:rPr>
        <w:t>(PMC 2015, p. 9)</w:t>
      </w:r>
      <w:r>
        <w:t xml:space="preserve">. The growth in spending up to 2008 reflected investments in new capabilities following greater awareness of security risks in Australia stemming from a series of major global incidents — 9/11 and bombings in Bali, Madrid and London. </w:t>
      </w:r>
    </w:p>
    <w:p w:rsidR="00745FEA" w:rsidRDefault="00745FEA" w:rsidP="00745FEA">
      <w:pPr>
        <w:pStyle w:val="BodyText"/>
      </w:pPr>
      <w:r>
        <w:t xml:space="preserve">There is little question of the need for government action to reduce national security risks. And, like any area of regulation, governments need to design the measures to be effective in reducing harm, efficient in their use of government funds, and minimise compliance and other costs. Governments act to protect human life in many fields — including health care, workplace health and safety and road safety — and are obliged to design policies carefully to achieve the best outcomes for the community at the lowest overall cost. National security should be no different. </w:t>
      </w:r>
    </w:p>
    <w:p w:rsidR="00745FEA" w:rsidRDefault="00745FEA" w:rsidP="00745FEA">
      <w:pPr>
        <w:pStyle w:val="BodyText"/>
      </w:pPr>
      <w:r>
        <w:t>Security measures often necessitate secrecy. This should not preclude careful assessment of governments’ spending and regulatory measures aimed at averting terrorism or mitigating its effects. Secrecy may mean they are subject to a lower level of transparency and external scrutiny. Some have questioned whether there is adequate consideration of costs of security measures:</w:t>
      </w:r>
    </w:p>
    <w:p w:rsidR="00745FEA" w:rsidRDefault="00745FEA" w:rsidP="00745FEA">
      <w:pPr>
        <w:pStyle w:val="Quote"/>
      </w:pPr>
      <w:r>
        <w:t>The term ‘security’ has increasingly been appended or invoked in other policy areas — for example, water</w:t>
      </w:r>
      <w:r>
        <w:noBreakHyphen/>
        <w:t>security, energy</w:t>
      </w:r>
      <w:r>
        <w:noBreakHyphen/>
        <w:t>security, food</w:t>
      </w:r>
      <w:r>
        <w:noBreakHyphen/>
        <w:t>security and bio</w:t>
      </w:r>
      <w:r>
        <w:noBreakHyphen/>
        <w:t xml:space="preserve">security. There is a danger that the costs of policy proposals in these areas escape sufficient scrutiny because of the safety blanket of ‘security’. </w:t>
      </w:r>
      <w:r w:rsidRPr="00BE236D">
        <w:rPr>
          <w:szCs w:val="24"/>
        </w:rPr>
        <w:t>(Eslake 2016)</w:t>
      </w:r>
    </w:p>
    <w:p w:rsidR="00745FEA" w:rsidRDefault="00745FEA" w:rsidP="00745FEA">
      <w:pPr>
        <w:pStyle w:val="BodyText"/>
      </w:pPr>
      <w:r>
        <w:t>Others have queried whether the overall system of counter</w:t>
      </w:r>
      <w:r>
        <w:noBreakHyphen/>
        <w:t xml:space="preserve">terrorism measures, having grown over time in response to incidents and emerging threats, should be redesigned to achieve its objectives at lower cost to the community: </w:t>
      </w:r>
    </w:p>
    <w:p w:rsidR="00745FEA" w:rsidRDefault="00745FEA" w:rsidP="00745FEA">
      <w:pPr>
        <w:pStyle w:val="Quote"/>
      </w:pPr>
      <w:r>
        <w:t>Australian departments and agencies were already very well</w:t>
      </w:r>
      <w:r>
        <w:noBreakHyphen/>
        <w:t>funded by Western standards, taking into account the level of terrorism threat, and there must be some doubt that all the additional funding put towards counterterrorism (CT) since 9/11 has been well utilised. … What Australia requires at this point is a thorough review of our CT efforts by someone from outside the system that would focus on desired outcomes and better</w:t>
      </w:r>
      <w:r>
        <w:noBreakHyphen/>
        <w:t xml:space="preserve">structured resourcing. </w:t>
      </w:r>
      <w:r w:rsidRPr="00BE236D">
        <w:rPr>
          <w:szCs w:val="24"/>
        </w:rPr>
        <w:t>(Williams 2017)</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hideMark/>
          </w:tcPr>
          <w:p w:rsidR="00745FEA" w:rsidRDefault="00745FEA" w:rsidP="00745FEA">
            <w:pPr>
              <w:pStyle w:val="BoxTitle"/>
            </w:pPr>
            <w:r>
              <w:rPr>
                <w:b w:val="0"/>
              </w:rPr>
              <w:t>Box 3.</w:t>
            </w:r>
            <w:r>
              <w:rPr>
                <w:b w:val="0"/>
                <w:noProof/>
              </w:rPr>
              <w:t>1</w:t>
            </w:r>
            <w:r>
              <w:tab/>
              <w:t>Terrorism in Australia</w:t>
            </w:r>
          </w:p>
        </w:tc>
      </w:tr>
      <w:tr w:rsidR="00745FEA" w:rsidTr="00745FEA">
        <w:tc>
          <w:tcPr>
            <w:tcW w:w="5000" w:type="pct"/>
            <w:tcBorders>
              <w:top w:val="nil"/>
              <w:left w:val="nil"/>
              <w:bottom w:val="nil"/>
              <w:right w:val="nil"/>
            </w:tcBorders>
            <w:shd w:val="clear" w:color="auto" w:fill="F2F2F2"/>
            <w:hideMark/>
          </w:tcPr>
          <w:p w:rsidR="00745FEA" w:rsidRPr="00C02132" w:rsidRDefault="00745FEA" w:rsidP="00745FEA">
            <w:pPr>
              <w:pStyle w:val="Box"/>
              <w:spacing w:before="100"/>
              <w:rPr>
                <w:spacing w:val="-2"/>
              </w:rPr>
            </w:pPr>
            <w:r w:rsidRPr="00C02132">
              <w:rPr>
                <w:spacing w:val="-2"/>
              </w:rPr>
              <w:t xml:space="preserve">Public concern about the risk of terrorism incidents has risen over the past two decades. Recent national survey evidence suggests that around 16 per cent of Australians were personally ‘very concerned’ about the prospect that they or their family would be a victim of terrorism and a further 29 per cent ‘somewhat concerned’ </w:t>
            </w:r>
            <w:r w:rsidRPr="00C02132">
              <w:rPr>
                <w:rFonts w:cs="Arial"/>
                <w:spacing w:val="-2"/>
                <w:szCs w:val="24"/>
              </w:rPr>
              <w:t>(Sheppard 2016, p. 5)</w:t>
            </w:r>
            <w:r w:rsidRPr="00C02132">
              <w:rPr>
                <w:spacing w:val="-2"/>
              </w:rPr>
              <w:t xml:space="preserve">. More Australians say that terrorism is the ‘most important problem facing Australia today’ than other issues such as housing affordability, social services, alcohol and drug use and taxation (ibid, p. 17). In 2017, 49 per cent considered that terrorism represented the biggest threat to global stability and peace, significantly higher than any other threat </w:t>
            </w:r>
            <w:r w:rsidRPr="00C02132">
              <w:rPr>
                <w:rFonts w:cs="Arial"/>
                <w:spacing w:val="-2"/>
                <w:szCs w:val="24"/>
              </w:rPr>
              <w:t>(Essential Research 2017)</w:t>
            </w:r>
            <w:r w:rsidRPr="00C02132">
              <w:rPr>
                <w:spacing w:val="-2"/>
              </w:rPr>
              <w:t>. And over the two year period from 2014 to 2016, nearly three quarters of Australians considered that the threat of terrorism had increased in Australia. However, depending on the survey,</w:t>
            </w:r>
            <w:r w:rsidRPr="00C02132" w:rsidDel="00EB44E7">
              <w:rPr>
                <w:spacing w:val="-2"/>
              </w:rPr>
              <w:t xml:space="preserve"> </w:t>
            </w:r>
            <w:r w:rsidRPr="00C02132">
              <w:rPr>
                <w:spacing w:val="-2"/>
              </w:rPr>
              <w:t>between half and three</w:t>
            </w:r>
            <w:r w:rsidRPr="00C02132">
              <w:rPr>
                <w:spacing w:val="-2"/>
              </w:rPr>
              <w:noBreakHyphen/>
              <w:t>quarters of Australians did not say that governments should spend more money</w:t>
            </w:r>
            <w:r w:rsidRPr="00C02132" w:rsidDel="00EB44E7">
              <w:rPr>
                <w:spacing w:val="-2"/>
              </w:rPr>
              <w:t xml:space="preserve"> </w:t>
            </w:r>
            <w:r w:rsidRPr="00C02132">
              <w:rPr>
                <w:rFonts w:cs="Arial"/>
                <w:spacing w:val="-2"/>
              </w:rPr>
              <w:t>(Essential Research 2017a; Sheppard 2016)</w:t>
            </w:r>
            <w:r w:rsidRPr="00C02132">
              <w:rPr>
                <w:spacing w:val="-2"/>
              </w:rPr>
              <w:t>.</w:t>
            </w:r>
          </w:p>
          <w:p w:rsidR="00745FEA" w:rsidRDefault="00745FEA" w:rsidP="00745FEA">
            <w:pPr>
              <w:pStyle w:val="Box"/>
              <w:spacing w:before="100"/>
            </w:pPr>
            <w:r>
              <w:t xml:space="preserve">The existence of terrorist threat is clear, though the number of terrorist incidents and arrests in Australia remains limited. </w:t>
            </w:r>
            <w:r w:rsidRPr="00B424C1">
              <w:t xml:space="preserve">From January 2014 to June 2017, there </w:t>
            </w:r>
            <w:r>
              <w:t>were</w:t>
            </w:r>
            <w:r w:rsidRPr="00B424C1">
              <w:t xml:space="preserve"> eight people killed in Australia </w:t>
            </w:r>
            <w:r>
              <w:t>in</w:t>
            </w:r>
            <w:r w:rsidRPr="00B424C1">
              <w:t xml:space="preserve"> terrorism activities</w:t>
            </w:r>
            <w:r>
              <w:t>,</w:t>
            </w:r>
            <w:r w:rsidRPr="00B424C1">
              <w:t xml:space="preserve"> three of which were the perpetrators</w:t>
            </w:r>
            <w:r>
              <w:t>.</w:t>
            </w:r>
            <w:r w:rsidRPr="00573624">
              <w:t xml:space="preserve"> </w:t>
            </w:r>
            <w:r>
              <w:t>T</w:t>
            </w:r>
            <w:r w:rsidRPr="00573624">
              <w:t>he</w:t>
            </w:r>
            <w:r>
              <w:t>re have been few</w:t>
            </w:r>
            <w:r w:rsidRPr="00573624">
              <w:t xml:space="preserve"> prosecutions and convictions for planning or undertaking terrorist acts — </w:t>
            </w:r>
            <w:r>
              <w:t xml:space="preserve">with </w:t>
            </w:r>
            <w:r w:rsidRPr="00573624">
              <w:t xml:space="preserve">35 prosecutions and 26 convictions </w:t>
            </w:r>
            <w:r>
              <w:t xml:space="preserve">over the period from September 2001 </w:t>
            </w:r>
            <w:r w:rsidRPr="00573624">
              <w:t xml:space="preserve">up to 2015 </w:t>
            </w:r>
            <w:r w:rsidRPr="00BE236D">
              <w:rPr>
                <w:rFonts w:cs="Arial"/>
                <w:szCs w:val="24"/>
              </w:rPr>
              <w:t>(PMC 2015, p. iv)</w:t>
            </w:r>
            <w:r w:rsidRPr="00573624">
              <w:t xml:space="preserve">. </w:t>
            </w:r>
            <w:r>
              <w:t>The implementation of additional security measures by Australian governments may have contributed to the small scale of terrorist activities, though it is hard to know the counterfactual with any confidence</w:t>
            </w:r>
            <w:r w:rsidRPr="00573624">
              <w:t>.</w:t>
            </w:r>
          </w:p>
          <w:p w:rsidR="00745FEA" w:rsidRDefault="00745FEA" w:rsidP="00745FEA">
            <w:pPr>
              <w:pStyle w:val="Box"/>
              <w:spacing w:before="100"/>
            </w:pPr>
            <w:r w:rsidRPr="00B424C1">
              <w:t>It can be difficult to separate</w:t>
            </w:r>
            <w:r>
              <w:t>ly identify genuinely increasing</w:t>
            </w:r>
            <w:r w:rsidRPr="00B424C1">
              <w:t xml:space="preserve"> risk </w:t>
            </w:r>
            <w:r>
              <w:t xml:space="preserve">and </w:t>
            </w:r>
            <w:r w:rsidRPr="00B424C1">
              <w:t xml:space="preserve">a rise in detection </w:t>
            </w:r>
            <w:r>
              <w:t xml:space="preserve">associated with </w:t>
            </w:r>
            <w:r w:rsidRPr="00B424C1">
              <w:t>greater resourcing</w:t>
            </w:r>
            <w:r>
              <w:t>. This is partly a consequence of the necessary secrecy that surrounds intelligence on such risks. Nevertheless,</w:t>
            </w:r>
            <w:r w:rsidRPr="00B424C1">
              <w:t xml:space="preserve"> </w:t>
            </w:r>
            <w:r>
              <w:t>there are</w:t>
            </w:r>
            <w:r w:rsidRPr="00B424C1">
              <w:t xml:space="preserve"> indicators </w:t>
            </w:r>
            <w:r>
              <w:t>that</w:t>
            </w:r>
            <w:r w:rsidRPr="00B424C1">
              <w:t xml:space="preserve"> suggest terrorism risks</w:t>
            </w:r>
            <w:r>
              <w:t xml:space="preserve"> in Australia may be growing</w:t>
            </w:r>
            <w:r w:rsidRPr="00B424C1">
              <w:t xml:space="preserve">. </w:t>
            </w:r>
            <w:r>
              <w:t xml:space="preserve">For example, </w:t>
            </w:r>
            <w:r w:rsidRPr="00B424C1">
              <w:t>Suspicious Matter Reports assessed by AUSTRAC as related to terrorism financing increased from 31 in 2008</w:t>
            </w:r>
            <w:r w:rsidRPr="00B424C1">
              <w:noBreakHyphen/>
              <w:t>09 to 134 in 2013</w:t>
            </w:r>
            <w:r w:rsidRPr="00B424C1">
              <w:noBreakHyphen/>
              <w:t xml:space="preserve">14. Passport cancellations related to people who may engage in terrorist activities increased from 4 in 2011 to 65 in 2014 </w:t>
            </w:r>
            <w:r w:rsidRPr="00BE236D">
              <w:rPr>
                <w:rFonts w:cs="Arial"/>
                <w:szCs w:val="24"/>
              </w:rPr>
              <w:t>(PMC 2015, p. 18)</w:t>
            </w:r>
            <w:r w:rsidRPr="00B424C1">
              <w:t>.</w:t>
            </w:r>
          </w:p>
        </w:tc>
      </w:tr>
      <w:tr w:rsidR="00745FEA" w:rsidTr="00745FEA">
        <w:tc>
          <w:tcPr>
            <w:tcW w:w="5000" w:type="pct"/>
            <w:tcBorders>
              <w:top w:val="nil"/>
              <w:left w:val="nil"/>
              <w:bottom w:val="single" w:sz="6" w:space="0" w:color="78A22F"/>
              <w:right w:val="nil"/>
            </w:tcBorders>
            <w:shd w:val="clear" w:color="auto" w:fill="F2F2F2"/>
          </w:tcPr>
          <w:p w:rsidR="00745FEA" w:rsidRDefault="00745FEA" w:rsidP="00745FEA">
            <w:pPr>
              <w:pStyle w:val="Box"/>
              <w:spacing w:before="0" w:line="120" w:lineRule="exact"/>
            </w:pPr>
          </w:p>
        </w:tc>
      </w:tr>
      <w:tr w:rsidR="00745FEA" w:rsidTr="00745FEA">
        <w:tc>
          <w:tcPr>
            <w:tcW w:w="5000" w:type="pct"/>
            <w:tcBorders>
              <w:top w:val="single" w:sz="6" w:space="0" w:color="78A22F"/>
              <w:left w:val="nil"/>
              <w:bottom w:val="nil"/>
              <w:right w:val="nil"/>
            </w:tcBorders>
            <w:hideMark/>
          </w:tcPr>
          <w:p w:rsidR="00745FEA" w:rsidRDefault="00745FEA" w:rsidP="00745FEA">
            <w:pPr>
              <w:pStyle w:val="BoxSpaceBelow"/>
            </w:pPr>
          </w:p>
        </w:tc>
      </w:tr>
    </w:tbl>
    <w:p w:rsidR="00745FEA" w:rsidRDefault="00745FEA" w:rsidP="00745FEA">
      <w:pPr>
        <w:pStyle w:val="BodyText"/>
        <w:keepNext/>
      </w:pPr>
      <w:r>
        <w:t>This chapter considers four recent developments in the trade and assistance arena that relate to national security:</w:t>
      </w:r>
    </w:p>
    <w:p w:rsidR="00745FEA" w:rsidRDefault="00745FEA" w:rsidP="00745FEA">
      <w:pPr>
        <w:pStyle w:val="ListBullet"/>
      </w:pPr>
      <w:r>
        <w:t>mandatory meta</w:t>
      </w:r>
      <w:r>
        <w:noBreakHyphen/>
        <w:t>data retention requirements for certain telecommunication businesses and the provision of $128 million industry assistance towards defraying the compliance costs</w:t>
      </w:r>
    </w:p>
    <w:p w:rsidR="00745FEA" w:rsidRDefault="00745FEA" w:rsidP="00745FEA">
      <w:pPr>
        <w:pStyle w:val="ListBullet"/>
      </w:pPr>
      <w:r>
        <w:t>restrictions on the cross</w:t>
      </w:r>
      <w:r>
        <w:noBreakHyphen/>
        <w:t>border flow of data, for security</w:t>
      </w:r>
      <w:r>
        <w:noBreakHyphen/>
        <w:t>related purposes, and the inclusion in trade agreements, notably the Trans</w:t>
      </w:r>
      <w:r>
        <w:noBreakHyphen/>
        <w:t>Pacific Partnership, of provisions seeking to discipline unnecessary restrictions</w:t>
      </w:r>
    </w:p>
    <w:p w:rsidR="00745FEA" w:rsidRDefault="00745FEA" w:rsidP="00745FEA">
      <w:pPr>
        <w:pStyle w:val="ListBullet"/>
      </w:pPr>
      <w:r>
        <w:t>aviation security regulation, which has involved significant costs to airport and airline operators and the travelling public. These have affected trade in services and involved various kinds of budgetary outlays to Australian airport operators</w:t>
      </w:r>
    </w:p>
    <w:p w:rsidR="00745FEA" w:rsidRDefault="00745FEA" w:rsidP="00745FEA">
      <w:pPr>
        <w:pStyle w:val="ListBullet"/>
      </w:pPr>
      <w:r>
        <w:t>cost recovery of screening parcels. While not yet implemented, the Australian Government has released a discussion paper on charging the importers of low</w:t>
      </w:r>
      <w:r>
        <w:noBreakHyphen/>
        <w:t>value parcels for the cost of security screening. (Currently, a range of screening costs are funded by charges only on high</w:t>
      </w:r>
      <w:r>
        <w:noBreakHyphen/>
        <w:t>value parcels). Any charges would add to the cost of importing such parcels, with associated impacts on international trade. Whether this comprises assistance depends on the nature and level of the charge.</w:t>
      </w:r>
    </w:p>
    <w:p w:rsidR="00745FEA" w:rsidRDefault="00745FEA" w:rsidP="00745FEA">
      <w:pPr>
        <w:pStyle w:val="BodyText"/>
      </w:pPr>
      <w:r>
        <w:t>These developments illustrate some of the broader questions that should be addressed in the national security area. For instance, are the objectives of, and risks associated with, security measures adequately specified and assessed? Are the full range of economic costs of security measures recognised, measured and given weight in making decisions? Do businesses have the scope to identify and adopt the most cost</w:t>
      </w:r>
      <w:r>
        <w:noBreakHyphen/>
        <w:t xml:space="preserve">effective and innovative approaches to meeting security objectives? Are the benefits and costs of security measures periodically reviewed? Which parties should bear any costs? </w:t>
      </w:r>
    </w:p>
    <w:p w:rsidR="00745FEA" w:rsidRDefault="00745FEA" w:rsidP="00745FEA">
      <w:pPr>
        <w:pStyle w:val="BodyText"/>
      </w:pPr>
      <w:r>
        <w:t>Failing to ask these questions through a considered and evidence</w:t>
      </w:r>
      <w:r>
        <w:noBreakHyphen/>
        <w:t>based process risks unproductive expenditure by businesses and others, potentially new forms of barriers to trade, and imposts on consumers and citizens.</w:t>
      </w:r>
    </w:p>
    <w:p w:rsidR="00745FEA" w:rsidRDefault="00745FEA" w:rsidP="00745FEA">
      <w:pPr>
        <w:pStyle w:val="Heading2"/>
      </w:pPr>
      <w:bookmarkStart w:id="32" w:name="_Toc511745368"/>
      <w:r>
        <w:t>3.</w:t>
      </w:r>
      <w:r>
        <w:rPr>
          <w:noProof/>
        </w:rPr>
        <w:t>1</w:t>
      </w:r>
      <w:r>
        <w:tab/>
        <w:t>Industry assistance for mandatory data retention</w:t>
      </w:r>
      <w:bookmarkEnd w:id="32"/>
    </w:p>
    <w:p w:rsidR="00745FEA" w:rsidRDefault="00745FEA" w:rsidP="00745FEA">
      <w:pPr>
        <w:pStyle w:val="BodyText"/>
      </w:pPr>
      <w:r>
        <w:t xml:space="preserve">This case study focusses on the compliance costs to industry of mandatory data retention and the financial assistance provided to help defray these costs. The </w:t>
      </w:r>
      <w:r w:rsidRPr="005F2A18">
        <w:t xml:space="preserve">potential </w:t>
      </w:r>
      <w:r>
        <w:t>security benefits of these measures and the privacy risks (costs) are not assessed.</w:t>
      </w:r>
      <w:r w:rsidRPr="008C5BEE">
        <w:rPr>
          <w:rStyle w:val="FootnoteReference"/>
        </w:rPr>
        <w:footnoteReference w:id="11"/>
      </w:r>
      <w:r>
        <w:t xml:space="preserve"> </w:t>
      </w:r>
    </w:p>
    <w:p w:rsidR="00745FEA" w:rsidRDefault="00745FEA" w:rsidP="00745FEA">
      <w:pPr>
        <w:pStyle w:val="BodyText"/>
      </w:pPr>
      <w:r>
        <w:t xml:space="preserve">Since October 2015, almost all </w:t>
      </w:r>
      <w:r w:rsidRPr="005251C7">
        <w:t xml:space="preserve">telecommunications </w:t>
      </w:r>
      <w:r>
        <w:t>service providers</w:t>
      </w:r>
      <w:r w:rsidRPr="005251C7">
        <w:t xml:space="preserve"> </w:t>
      </w:r>
      <w:r>
        <w:t xml:space="preserve">have been required under the </w:t>
      </w:r>
      <w:r w:rsidRPr="007700EF">
        <w:rPr>
          <w:i/>
        </w:rPr>
        <w:t>Telecommunications (Interception and Access) Act 1979</w:t>
      </w:r>
      <w:r>
        <w:rPr>
          <w:i/>
        </w:rPr>
        <w:t xml:space="preserve"> (TIA Act 1979)</w:t>
      </w:r>
      <w:r>
        <w:t xml:space="preserve"> </w:t>
      </w:r>
      <w:r w:rsidRPr="005251C7">
        <w:t xml:space="preserve">to retain </w:t>
      </w:r>
      <w:r>
        <w:t xml:space="preserve">certain </w:t>
      </w:r>
      <w:r w:rsidRPr="005251C7">
        <w:t>telecommunications data for at least two years</w:t>
      </w:r>
      <w:r>
        <w:t>.</w:t>
      </w:r>
      <w:r w:rsidRPr="008C5BEE">
        <w:rPr>
          <w:rStyle w:val="FootnoteReference"/>
        </w:rPr>
        <w:footnoteReference w:id="12"/>
      </w:r>
      <w:r>
        <w:t xml:space="preserve"> The retained data can be requested by designated law enforcement and security agencies for investigation of serious criminal offences (which includes terrorism).</w:t>
      </w:r>
    </w:p>
    <w:p w:rsidR="00745FEA" w:rsidRDefault="00745FEA" w:rsidP="00745FEA">
      <w:pPr>
        <w:pStyle w:val="BodyText"/>
      </w:pPr>
      <w:r>
        <w:t>Prior to mandatory data retention, telecommunications companies voluntarily retained some data for commercial reasons. However, enforcement and security agencies argued that their investigation powers were being eroded as companies moved towards retaining less data and for shorter periods (PJCIS 2015, para. 2.63</w:t>
      </w:r>
      <w:r>
        <w:noBreakHyphen/>
        <w:t>2.77). In addition, commercially retained data was inconsistent — carriers retained different types of data and for different periods — and this was considered to impede the effectiveness of investigations (para. 2.78</w:t>
      </w:r>
      <w:r>
        <w:noBreakHyphen/>
        <w:t>2.86).</w:t>
      </w:r>
    </w:p>
    <w:p w:rsidR="00745FEA" w:rsidRDefault="00745FEA" w:rsidP="00745FEA">
      <w:pPr>
        <w:pStyle w:val="BodyText"/>
      </w:pPr>
      <w:r>
        <w:t>Analysis undertaken for the Australian Government in 2014</w:t>
      </w:r>
      <w:r>
        <w:noBreakHyphen/>
        <w:t>15 suggested that the initial cost of complying with data retention rules would be between $188.8 million and $319.1 million.</w:t>
      </w:r>
      <w:r>
        <w:rPr>
          <w:rStyle w:val="FootnoteReference"/>
        </w:rPr>
        <w:footnoteReference w:id="13"/>
      </w:r>
      <w:r>
        <w:t xml:space="preserve"> This estimate strongly influenced the amount of industry assistance offered. The Parliamentary Joint Committee on Intelligence and Security in their 2015 report recommended that ‘the government make a substantial contribution to the up</w:t>
      </w:r>
      <w:r>
        <w:noBreakHyphen/>
        <w:t xml:space="preserve">front capital costs of service providers’ and provided guidance on the design of the assistance </w:t>
      </w:r>
      <w:r w:rsidRPr="00333894">
        <w:t>(recommendation</w:t>
      </w:r>
      <w:r>
        <w:t> 1</w:t>
      </w:r>
      <w:r w:rsidRPr="00333894">
        <w:t>6,</w:t>
      </w:r>
      <w:r>
        <w:t> </w:t>
      </w:r>
      <w:r w:rsidRPr="00333894">
        <w:t>PJCIS 2015)</w:t>
      </w:r>
      <w:r>
        <w:t>. It called for a particular focus on smaller service providers, which were seen at risk of struggling financially to implement data retention. It also explained why full compensation should not be provided:</w:t>
      </w:r>
      <w:r w:rsidDel="00A83C12">
        <w:t xml:space="preserve"> </w:t>
      </w:r>
    </w:p>
    <w:p w:rsidR="00745FEA" w:rsidRDefault="00745FEA" w:rsidP="00745FEA">
      <w:pPr>
        <w:pStyle w:val="ListBullet"/>
      </w:pPr>
      <w:r>
        <w:t>complete re</w:t>
      </w:r>
      <w:r>
        <w:noBreakHyphen/>
        <w:t>imbursement for costs would provide an incentive for firms to gold plate their compliance activities</w:t>
      </w:r>
    </w:p>
    <w:p w:rsidR="00745FEA" w:rsidRDefault="00745FEA" w:rsidP="00745FEA">
      <w:pPr>
        <w:pStyle w:val="ListBullet"/>
      </w:pPr>
      <w:r>
        <w:t>service providers should bear some of the costs associated with the harms that could arise from their services being used to ‘enable and facilitate serious criminal activity and threats to national security’ (para 5.124) (an issue explored further below).</w:t>
      </w:r>
    </w:p>
    <w:p w:rsidR="00745FEA" w:rsidRDefault="00745FEA" w:rsidP="00745FEA">
      <w:pPr>
        <w:pStyle w:val="BodyText"/>
        <w:spacing w:before="200"/>
      </w:pPr>
      <w:r>
        <w:t xml:space="preserve">In the May 2015 Budget, the Australian Government earmarked assistance of </w:t>
      </w:r>
      <w:r w:rsidRPr="00752FF6">
        <w:rPr>
          <w:i/>
        </w:rPr>
        <w:t>up to</w:t>
      </w:r>
      <w:r>
        <w:t xml:space="preserve"> $128.4 million (less than the estimate of costs above), without indicating how these funds would be distributed to businesses. In the meanwhile, ahead of any assistance, businesses were required to have an approved implementation plan to meet the legal obligations for data retention. </w:t>
      </w:r>
    </w:p>
    <w:p w:rsidR="00745FEA" w:rsidRDefault="00745FEA" w:rsidP="00745FEA">
      <w:pPr>
        <w:pStyle w:val="BodyText"/>
      </w:pPr>
      <w:r>
        <w:t>Assistance guidelines were issued in December 2015 and applications for grants taken. Altogether 180 eligible applicants submitted anticipated costs of $198.5 million. These applications were assessed against a consultant’s modelling of costs to estimate grant amounts for each applicant. This methodology was complex and costly to undertake, and led to estimates that in most cases exceeded those of the applicants. Ultimately, the model results were adapted so that reimbursement was capped to a maximum of 80 per cent of the applicants’ submitted costs or a minimum of $10 000, but subject to the budget constraint of $128.4 million.</w:t>
      </w:r>
      <w:r w:rsidDel="00B32CAC">
        <w:t xml:space="preserve"> </w:t>
      </w:r>
      <w:r>
        <w:t>All bar four applicants received 80 per cent of their estimated costs. Two small applications received $10 000 minimum payments and two applications that far exceeded the modelled costs received less than 80 per cent. The three largest grants accounted for $83.5 million of the awarded $128.4 million: Telstra ($39.9 million); Vodafone Huchinson ($28.8 million) and Singtel Optus ($14.8 million).</w:t>
      </w:r>
      <w:r w:rsidRPr="00467138" w:rsidDel="008C65AE">
        <w:rPr>
          <w:rStyle w:val="FootnoteReference"/>
        </w:rPr>
        <w:t xml:space="preserve"> </w:t>
      </w:r>
    </w:p>
    <w:p w:rsidR="00745FEA" w:rsidRDefault="00745FEA" w:rsidP="00745FEA">
      <w:pPr>
        <w:pStyle w:val="BodyText"/>
      </w:pPr>
      <w:r>
        <w:t xml:space="preserve">The ultimate industry assistance design had some positive features. There was a reasonable </w:t>
      </w:r>
      <w:r w:rsidRPr="00625A34">
        <w:rPr>
          <w:rStyle w:val="BodyTextChar"/>
        </w:rPr>
        <w:t>process for discovering the costs of implementing the measures (by building on the already</w:t>
      </w:r>
      <w:r>
        <w:t xml:space="preserve"> in place approved Implementation Plans). Funding 80 per cent of estimated costs created </w:t>
      </w:r>
      <w:r w:rsidRPr="00635355">
        <w:t>some</w:t>
      </w:r>
      <w:r>
        <w:t xml:space="preserve"> incentives for the telecommunications companies to invest efficiently as they rolled out their infrastructure. The Australian Government could have chosen to regulate without assistance, which as noted below, has some potential efficiency advantages. However, a budgetary obligation does at least entail a greater level of scrutiny and transparency than regulation. It also has the potential to accelerate the uptake of the relevant technology given that industry will be more receptive to measures that allow more immediate cost recovery.</w:t>
      </w:r>
      <w:r w:rsidDel="00515C78">
        <w:t xml:space="preserve"> </w:t>
      </w:r>
    </w:p>
    <w:p w:rsidR="00745FEA" w:rsidRDefault="00745FEA" w:rsidP="00745FEA">
      <w:pPr>
        <w:pStyle w:val="Heading3"/>
      </w:pPr>
      <w:r>
        <w:t>The option of no industry assistance</w:t>
      </w:r>
    </w:p>
    <w:p w:rsidR="00745FEA" w:rsidRDefault="00745FEA" w:rsidP="00745FEA">
      <w:pPr>
        <w:pStyle w:val="BodyText"/>
        <w:spacing w:before="200"/>
      </w:pPr>
      <w:r>
        <w:t xml:space="preserve">When governments introduce new regulation to require or prohibit behaviour they rarely compensate businesses for the costs of complying with the new regulations. Rather, governments normally require businesses to bear these costs, which are typically passed on to consumers through higher prices. For instance, airports and airlines bear the bulk of costs of aviation security, with budgetary support playing a lesser role (section 3.3). </w:t>
      </w:r>
    </w:p>
    <w:p w:rsidR="00745FEA" w:rsidRDefault="00745FEA" w:rsidP="00745FEA">
      <w:pPr>
        <w:pStyle w:val="BodyText"/>
      </w:pPr>
      <w:r>
        <w:t>Well</w:t>
      </w:r>
      <w:r>
        <w:noBreakHyphen/>
        <w:t>designed regulation is often a reasonably efficient alternative to achieve governments’ objectives compared with budgetary assistance.</w:t>
      </w:r>
    </w:p>
    <w:p w:rsidR="00745FEA" w:rsidRDefault="00745FEA" w:rsidP="00745FEA">
      <w:pPr>
        <w:pStyle w:val="ListBullet"/>
      </w:pPr>
      <w:r>
        <w:t>Businesses have a very strong incentive to pursue the lowest cost manner of compliance. In the current example, the way in which the Australian Government reimbursed businesses provided weaker incentives for cost minimisation than a performance</w:t>
      </w:r>
      <w:r>
        <w:noBreakHyphen/>
        <w:t>based regulatory approach. There is a risk that some businesses may have ‘over engineered’ to provide capacity to grow in future years, though the approval of Implementation Plans is likely to have reduced such outcomes.</w:t>
      </w:r>
    </w:p>
    <w:p w:rsidR="00745FEA" w:rsidRDefault="00745FEA" w:rsidP="00745FEA">
      <w:pPr>
        <w:pStyle w:val="ListBullet"/>
      </w:pPr>
      <w:r>
        <w:t xml:space="preserve">Regulation may be more administratively efficient. </w:t>
      </w:r>
      <w:r w:rsidRPr="00061C1C">
        <w:t xml:space="preserve">The need to administer new regulation creates costs, but these </w:t>
      </w:r>
      <w:r>
        <w:t xml:space="preserve">may </w:t>
      </w:r>
      <w:r w:rsidRPr="00061C1C">
        <w:t xml:space="preserve">be partly absorbed within agencies’ existing budgets. </w:t>
      </w:r>
      <w:r>
        <w:t xml:space="preserve">In contrast, a grant program typically requires new dedicated resources given the required processes for handling public money. Administration costs in the current grants program are unclear but material: the Attorney General’s Department received $2.9 million in additional funding for both approval of implementation plans and delivery of the grants program, though the relative apportionment between tasks is not known. </w:t>
      </w:r>
    </w:p>
    <w:p w:rsidR="00745FEA" w:rsidRDefault="00745FEA" w:rsidP="00745FEA">
      <w:pPr>
        <w:pStyle w:val="ListBullet"/>
      </w:pPr>
      <w:r>
        <w:t xml:space="preserve">Regulations may avoid the substantial economic costs from taxation to fund assistance. For example, taxing labour income discourages employment resulting in less economic output. The welfare loss of increasing labour income tax is typically estimated to exceed 20 cents for every dollar of revenue raised </w:t>
      </w:r>
      <w:r w:rsidRPr="00BE236D">
        <w:rPr>
          <w:szCs w:val="24"/>
        </w:rPr>
        <w:t>(Cao et al. 2015)</w:t>
      </w:r>
      <w:r>
        <w:t>.</w:t>
      </w:r>
      <w:r w:rsidRPr="008C5BEE">
        <w:rPr>
          <w:rStyle w:val="FootnoteReference"/>
        </w:rPr>
        <w:footnoteReference w:id="14"/>
      </w:r>
    </w:p>
    <w:p w:rsidR="00745FEA" w:rsidRDefault="00745FEA" w:rsidP="00745FEA">
      <w:pPr>
        <w:pStyle w:val="ListBullet"/>
      </w:pPr>
      <w:r>
        <w:t>A regulatory approach generally gives equal treatment to incumbents and new entrants whereas budgetary assistance may only be available to incumbents at a point in time. In the case of data retention, this usual advantage of regulation does not appear to hold as the Commission understands that the incremental cost of meeting the data retention requirements for any new entrant would be negligible.</w:t>
      </w:r>
    </w:p>
    <w:p w:rsidR="00745FEA" w:rsidRDefault="00745FEA" w:rsidP="00745FEA">
      <w:pPr>
        <w:pStyle w:val="BodyText"/>
      </w:pPr>
      <w:r>
        <w:t>Indeed, in the case of aviation security discussed below, while the Australian Government provided some funding, it was significantly less than the overall compliance costs of security regulations.</w:t>
      </w:r>
    </w:p>
    <w:p w:rsidR="00745FEA" w:rsidRDefault="00745FEA" w:rsidP="00745FEA">
      <w:pPr>
        <w:pStyle w:val="BodyText"/>
      </w:pPr>
      <w:r w:rsidRPr="00904041">
        <w:t xml:space="preserve">The Parliamentary Joint Committee on Intelligence and Security will </w:t>
      </w:r>
      <w:r>
        <w:t>review the data retention legislation</w:t>
      </w:r>
      <w:r w:rsidRPr="00904041">
        <w:t xml:space="preserve"> in 2019</w:t>
      </w:r>
      <w:r>
        <w:t>, with the focus expected to be on the security benefits and privacy risks</w:t>
      </w:r>
      <w:r w:rsidRPr="00904041">
        <w:t>.</w:t>
      </w:r>
      <w:r>
        <w:t xml:space="preserve"> Given the atypical use of industry compensation for a regulatory measure, the review would desirably examine the need for and effectiveness of the grant scheme, as well as the overall costs and benefits of the data retention regime. The Australian National Audit Office is also due to report on administration of the Data Retention Industry Grants Program in May 2018, which will shed light on the effectiveness of the design and its operation. </w:t>
      </w:r>
    </w:p>
    <w:p w:rsidR="00745FEA" w:rsidRDefault="00745FEA" w:rsidP="00745FEA">
      <w:pPr>
        <w:pStyle w:val="Heading2"/>
      </w:pPr>
      <w:bookmarkStart w:id="33" w:name="_Toc511745369"/>
      <w:r>
        <w:t>3.</w:t>
      </w:r>
      <w:r>
        <w:rPr>
          <w:noProof/>
        </w:rPr>
        <w:t>2</w:t>
      </w:r>
      <w:r>
        <w:tab/>
        <w:t>Restrictions on cross</w:t>
      </w:r>
      <w:r>
        <w:noBreakHyphen/>
        <w:t>border flow of data</w:t>
      </w:r>
      <w:bookmarkEnd w:id="33"/>
    </w:p>
    <w:p w:rsidR="00745FEA" w:rsidRDefault="00745FEA" w:rsidP="00745FEA">
      <w:pPr>
        <w:pStyle w:val="BodyText"/>
      </w:pPr>
      <w:r>
        <w:t>G</w:t>
      </w:r>
      <w:r w:rsidRPr="00A65911">
        <w:t>overnments around the world are</w:t>
      </w:r>
      <w:r>
        <w:t xml:space="preserve"> </w:t>
      </w:r>
      <w:r w:rsidRPr="00A65911">
        <w:t xml:space="preserve">increasingly </w:t>
      </w:r>
      <w:r>
        <w:t xml:space="preserve">mandating </w:t>
      </w:r>
      <w:r w:rsidRPr="00A65911">
        <w:t xml:space="preserve">local data storage and </w:t>
      </w:r>
      <w:r>
        <w:t>introducing</w:t>
      </w:r>
      <w:r w:rsidRPr="00A65911">
        <w:t xml:space="preserve"> restrictions on data</w:t>
      </w:r>
      <w:r>
        <w:t xml:space="preserve"> </w:t>
      </w:r>
      <w:r w:rsidRPr="00A65911">
        <w:t>transfers</w:t>
      </w:r>
      <w:r>
        <w:t xml:space="preserve"> across borders. This entails concerns about the costs of doing business, but may also create new forms of border protection.</w:t>
      </w:r>
      <w:r w:rsidRPr="008C5BEE">
        <w:rPr>
          <w:rStyle w:val="FootnoteReference"/>
        </w:rPr>
        <w:footnoteReference w:id="15"/>
      </w:r>
      <w:r>
        <w:t xml:space="preserve"> </w:t>
      </w:r>
    </w:p>
    <w:p w:rsidR="00745FEA" w:rsidRDefault="00745FEA" w:rsidP="00745FEA">
      <w:pPr>
        <w:pStyle w:val="BodyText"/>
      </w:pPr>
      <w:r>
        <w:t>The main rationales advanced for regulation in this area, all of which are relevant to Australia, are to:</w:t>
      </w:r>
    </w:p>
    <w:p w:rsidR="00745FEA" w:rsidRDefault="00745FEA" w:rsidP="00745FEA">
      <w:pPr>
        <w:pStyle w:val="ListBullet"/>
      </w:pPr>
      <w:r w:rsidRPr="00A65911">
        <w:t>protect their citizens</w:t>
      </w:r>
      <w:r>
        <w:t>’</w:t>
      </w:r>
      <w:r w:rsidRPr="00A65911">
        <w:t xml:space="preserve"> privacy</w:t>
      </w:r>
      <w:r>
        <w:t xml:space="preserve"> (general personal information, as well as specific categories such as health records) and, in a national security context, avoiding the use of sensitive personal data for coercion, blackmailing and identity theft </w:t>
      </w:r>
    </w:p>
    <w:p w:rsidR="00745FEA" w:rsidRDefault="00745FEA" w:rsidP="00745FEA">
      <w:pPr>
        <w:pStyle w:val="ListBullet"/>
      </w:pPr>
      <w:r>
        <w:t>protect government data (such as defence, national security and general administration)</w:t>
      </w:r>
    </w:p>
    <w:p w:rsidR="00745FEA" w:rsidRDefault="00745FEA" w:rsidP="00745FEA">
      <w:pPr>
        <w:pStyle w:val="ListBullet"/>
      </w:pPr>
      <w:r>
        <w:t>protect the operation of critical local infrastructure (such as electricity grids)</w:t>
      </w:r>
    </w:p>
    <w:p w:rsidR="00745FEA" w:rsidRDefault="00745FEA" w:rsidP="00745FEA">
      <w:pPr>
        <w:pStyle w:val="ListBullet"/>
      </w:pPr>
      <w:r>
        <w:t>facilitate access to data by local enforcement agencies (such as telecommunications metadata and content)</w:t>
      </w:r>
    </w:p>
    <w:p w:rsidR="00745FEA" w:rsidRDefault="00745FEA" w:rsidP="00745FEA">
      <w:pPr>
        <w:pStyle w:val="ListBullet"/>
      </w:pPr>
      <w:r>
        <w:t>develop (or protect) a local data storage industry — digital mercantilism.</w:t>
      </w:r>
    </w:p>
    <w:p w:rsidR="00745FEA" w:rsidRDefault="00745FEA" w:rsidP="00745FEA">
      <w:pPr>
        <w:pStyle w:val="BodyText"/>
      </w:pPr>
      <w:r>
        <w:t>By 2011, over 60 countries had enacted data privacy laws that regulate cross</w:t>
      </w:r>
      <w:r>
        <w:noBreakHyphen/>
        <w:t xml:space="preserve">border data flows </w:t>
      </w:r>
      <w:r w:rsidRPr="00BE236D">
        <w:rPr>
          <w:szCs w:val="24"/>
        </w:rPr>
        <w:t>(Kuner 2011)</w:t>
      </w:r>
      <w:r>
        <w:t xml:space="preserve">. Globally, data localisation measures have been strongly increasing over time, especially since 2010 </w:t>
      </w:r>
      <w:r w:rsidRPr="00BE236D">
        <w:rPr>
          <w:szCs w:val="24"/>
        </w:rPr>
        <w:t>(Bauer et al. 2016, p. 8; Reinsch 2018)</w:t>
      </w:r>
      <w:r>
        <w:t xml:space="preserve">. Examples of restrictions on data flows for reasons other than privacy appear to be less numerous, but are still significant </w:t>
      </w:r>
      <w:r w:rsidRPr="00BE236D">
        <w:rPr>
          <w:szCs w:val="24"/>
        </w:rPr>
        <w:t>(Bauer et al. 2014; Cory 2017; Peng and Liu 2017)</w:t>
      </w:r>
      <w:r>
        <w:t xml:space="preserve">. Restrictions across countries vary from the minor to the extreme, with Australia currently at the less restrictive end of the spectrum. </w:t>
      </w:r>
    </w:p>
    <w:p w:rsidR="00745FEA" w:rsidRDefault="00745FEA" w:rsidP="00745FEA">
      <w:pPr>
        <w:pStyle w:val="BodyText"/>
      </w:pPr>
      <w:r>
        <w:t>Some Australian examples of data regulations, guidelines and restrictions include:</w:t>
      </w:r>
    </w:p>
    <w:p w:rsidR="00745FEA" w:rsidRDefault="00745FEA" w:rsidP="00745FEA">
      <w:pPr>
        <w:pStyle w:val="ListBullet"/>
      </w:pPr>
      <w:r>
        <w:t xml:space="preserve">Under Australian Privacy Principle 8, no entity (private or public) is allowed to disclose personal information to an overseas recipient unless reasonable steps (such as enforceable contracts) are taken to ensure that an overseas recipient is governed by a law ‘substantially similar’ to the Australian Privacy Principles </w:t>
      </w:r>
      <w:r w:rsidRPr="00BE236D">
        <w:rPr>
          <w:szCs w:val="24"/>
        </w:rPr>
        <w:t>(chapter 8 of OAIC 2015)</w:t>
      </w:r>
      <w:r>
        <w:t xml:space="preserve">. Privacy laws do not, however, preclude storage of data offshore </w:t>
      </w:r>
      <w:r w:rsidRPr="00BE236D">
        <w:rPr>
          <w:szCs w:val="24"/>
        </w:rPr>
        <w:t>(DTA 2017, p. 20)</w:t>
      </w:r>
      <w:r>
        <w:t>.</w:t>
      </w:r>
    </w:p>
    <w:p w:rsidR="00745FEA" w:rsidRDefault="00745FEA" w:rsidP="00745FEA">
      <w:pPr>
        <w:pStyle w:val="ListBullet"/>
      </w:pPr>
      <w:r>
        <w:t xml:space="preserve">The </w:t>
      </w:r>
      <w:r w:rsidRPr="008C313B">
        <w:rPr>
          <w:i/>
        </w:rPr>
        <w:t>Personally Controlled Electronic Health Records Act (2012)</w:t>
      </w:r>
      <w:r>
        <w:t xml:space="preserve"> requires MyHealth records to be stored in Australia. </w:t>
      </w:r>
    </w:p>
    <w:p w:rsidR="00745FEA" w:rsidRDefault="00745FEA" w:rsidP="00745FEA">
      <w:pPr>
        <w:pStyle w:val="ListBullet"/>
      </w:pPr>
      <w:r>
        <w:t>Foreign investment into Australia has been subject to data flow restrictions. For example, the approval of the 99</w:t>
      </w:r>
      <w:r>
        <w:noBreakHyphen/>
        <w:t xml:space="preserve">year lease of TransGrid to an international consortium was contingent on the requirement that electricity supply data and personal information be held and accessed solely within Australia </w:t>
      </w:r>
      <w:r w:rsidRPr="006F49FD">
        <w:rPr>
          <w:szCs w:val="24"/>
        </w:rPr>
        <w:t>(FIRB 2017, p. 26)</w:t>
      </w:r>
      <w:r>
        <w:t>.</w:t>
      </w:r>
      <w:r w:rsidDel="006F49FD">
        <w:t xml:space="preserve"> </w:t>
      </w:r>
    </w:p>
    <w:p w:rsidR="00745FEA" w:rsidRDefault="00745FEA" w:rsidP="00745FEA">
      <w:pPr>
        <w:pStyle w:val="ListBullet"/>
      </w:pPr>
      <w:r>
        <w:t>While the Australian Government does not prohibit government agencies from using offshore cloud services or foreign</w:t>
      </w:r>
      <w:r>
        <w:noBreakHyphen/>
        <w:t xml:space="preserve">owned services in Australia, controls are in place for highly classified information, and agencies must assess risk for other data. The Department of Defence </w:t>
      </w:r>
      <w:r w:rsidRPr="00BE236D">
        <w:rPr>
          <w:szCs w:val="24"/>
        </w:rPr>
        <w:t>(2017, p. 19)</w:t>
      </w:r>
      <w:r>
        <w:t xml:space="preserve"> notes that:</w:t>
      </w:r>
    </w:p>
    <w:p w:rsidR="00745FEA" w:rsidRDefault="00745FEA" w:rsidP="00745FEA">
      <w:pPr>
        <w:pStyle w:val="Quote"/>
        <w:ind w:left="567"/>
      </w:pPr>
      <w:r>
        <w:t>Cloud services located offshore may be subject to lawful and covert collection, without the information owner’s knowledge. Additionally, use of offshore cloud services introduces jurisdictional risks as foreign countries’ laws could change with little warning. Further, foreign</w:t>
      </w:r>
      <w:r>
        <w:noBreakHyphen/>
        <w:t xml:space="preserve">owned cloud service providers operating in Australia may be subject to a foreign government’s lawful access. A comprehensive risk assessment is essential in identifying and managing jurisdictional, governance, privacy, technical and security risks. </w:t>
      </w:r>
    </w:p>
    <w:p w:rsidR="00745FEA" w:rsidRDefault="00745FEA" w:rsidP="00745FEA">
      <w:pPr>
        <w:pStyle w:val="ListBullet"/>
      </w:pPr>
      <w:r w:rsidRPr="00D41C39">
        <w:t xml:space="preserve">The </w:t>
      </w:r>
      <w:r>
        <w:t>New South Wales</w:t>
      </w:r>
      <w:r w:rsidRPr="00D41C39">
        <w:t xml:space="preserve"> </w:t>
      </w:r>
      <w:r>
        <w:t>G</w:t>
      </w:r>
      <w:r w:rsidRPr="00D41C39">
        <w:t xml:space="preserve">overnment, in privatising the titling and registry services of Land </w:t>
      </w:r>
      <w:r w:rsidRPr="00717E92">
        <w:t>and Property Information, required that ‘electronic forms of the Register are stored on dedicate</w:t>
      </w:r>
      <w:r w:rsidRPr="00D624F2">
        <w:t xml:space="preserve">d physical </w:t>
      </w:r>
      <w:r>
        <w:t>infrastructure</w:t>
      </w:r>
      <w:r w:rsidRPr="00D624F2">
        <w:t xml:space="preserve"> located in Australia’</w:t>
      </w:r>
      <w:r>
        <w:t>,</w:t>
      </w:r>
      <w:r w:rsidRPr="005D5C32">
        <w:t xml:space="preserve"> </w:t>
      </w:r>
      <w:r>
        <w:t>though the rationale for this is unclear</w:t>
      </w:r>
      <w:r w:rsidRPr="00D624F2">
        <w:t xml:space="preserve"> </w:t>
      </w:r>
      <w:r w:rsidRPr="0041623B">
        <w:rPr>
          <w:szCs w:val="24"/>
        </w:rPr>
        <w:t>(NSW Government 2017 and the Land and Property Information NSW [Authorised Transaction] Act 2016, clause 13(2)(b)))</w:t>
      </w:r>
      <w:r>
        <w:t>.</w:t>
      </w:r>
    </w:p>
    <w:p w:rsidR="00745FEA" w:rsidRDefault="00745FEA" w:rsidP="00745FEA">
      <w:pPr>
        <w:pStyle w:val="Heading3"/>
      </w:pPr>
      <w:r>
        <w:t xml:space="preserve">The economic costs are likely to be substantial </w:t>
      </w:r>
      <w:r w:rsidRPr="0098267E">
        <w:rPr>
          <w:i/>
        </w:rPr>
        <w:t>if</w:t>
      </w:r>
      <w:r>
        <w:t xml:space="preserve"> there is over</w:t>
      </w:r>
      <w:r>
        <w:noBreakHyphen/>
        <w:t>reach</w:t>
      </w:r>
    </w:p>
    <w:p w:rsidR="00745FEA" w:rsidRDefault="00745FEA" w:rsidP="00745FEA">
      <w:pPr>
        <w:pStyle w:val="BodyText"/>
      </w:pPr>
      <w:r>
        <w:t xml:space="preserve">While such restrictions may be warranted on privacy and national security grounds, the concern is that, </w:t>
      </w:r>
      <w:r w:rsidRPr="00355CD2">
        <w:rPr>
          <w:i/>
        </w:rPr>
        <w:t>if</w:t>
      </w:r>
      <w:r>
        <w:t xml:space="preserve"> the regulations go beyond those required, they will create unnecessary barriers to cross</w:t>
      </w:r>
      <w:r>
        <w:noBreakHyphen/>
        <w:t>border trade. For example, this could occur where restrictions:</w:t>
      </w:r>
    </w:p>
    <w:p w:rsidR="00745FEA" w:rsidRDefault="00745FEA" w:rsidP="00745FEA">
      <w:pPr>
        <w:pStyle w:val="ListBullet"/>
      </w:pPr>
      <w:r>
        <w:t>impose additional costs on firms to store or process data onshore where lower</w:t>
      </w:r>
      <w:r>
        <w:noBreakHyphen/>
        <w:t xml:space="preserve">cost services are available offshore. For instance, a foreign supplier that used advanced technology to remotely analyse MRI scans from another country’s healthcare system would need access to the scanning data. Absent that, either the costs of analysis could be higher, or its quality lower </w:t>
      </w:r>
      <w:r w:rsidRPr="00BE236D">
        <w:rPr>
          <w:szCs w:val="24"/>
        </w:rPr>
        <w:t>(Cory 2017, p. 8)</w:t>
      </w:r>
      <w:r>
        <w:t xml:space="preserve">. In some instances, a restriction on data portability across borders can preclude the supply of a service altogether. For example, Russian data localisation laws have meant that LinkedIn is not permitted to offer its services to citizens of that country </w:t>
      </w:r>
      <w:r w:rsidRPr="00BE236D">
        <w:rPr>
          <w:szCs w:val="24"/>
        </w:rPr>
        <w:t>(Reinsch 2018)</w:t>
      </w:r>
      <w:r>
        <w:t>. Similarly, the development of new tradeable goods and services for improved treatments of rare diseases can require big data sets, which can only be created through unencumbered cross</w:t>
      </w:r>
      <w:r>
        <w:noBreakHyphen/>
        <w:t xml:space="preserve">border data flows </w:t>
      </w:r>
      <w:r w:rsidRPr="00D10F45">
        <w:rPr>
          <w:szCs w:val="24"/>
        </w:rPr>
        <w:t>(Cory 2017, p. 7)</w:t>
      </w:r>
    </w:p>
    <w:p w:rsidR="00745FEA" w:rsidRDefault="00745FEA" w:rsidP="00745FEA">
      <w:pPr>
        <w:pStyle w:val="ListBullet"/>
      </w:pPr>
      <w:r>
        <w:t>act as a barrier to competition for data storage and processing services, potentially providing local firms with a degree of market power</w:t>
      </w:r>
    </w:p>
    <w:p w:rsidR="00745FEA" w:rsidRDefault="00745FEA" w:rsidP="00745FEA">
      <w:pPr>
        <w:pStyle w:val="ListBullet"/>
      </w:pPr>
      <w:r>
        <w:t>reduce the capacity of firms to participate in global value chains by hampering collaboration between a multinational firm’s multiple locations or with partners across borders, increasing the cost of their operations and limiting innovation.</w:t>
      </w:r>
    </w:p>
    <w:p w:rsidR="00745FEA" w:rsidRDefault="00745FEA" w:rsidP="00745FEA">
      <w:pPr>
        <w:pStyle w:val="BodyText"/>
      </w:pPr>
      <w:r>
        <w:t xml:space="preserve">The impacts of such data restrictions can be magnified if inconsistencies arise between international agreements and a country’s own regulations. The European Union’s </w:t>
      </w:r>
      <w:r w:rsidRPr="00A8454E">
        <w:t xml:space="preserve">General Data Privacy Regulation </w:t>
      </w:r>
      <w:r>
        <w:t xml:space="preserve">(which favours a relatively open approach to data sharing) conflicts with a number of regulations at the member state level </w:t>
      </w:r>
      <w:r w:rsidRPr="00BE236D">
        <w:rPr>
          <w:szCs w:val="24"/>
        </w:rPr>
        <w:t>(Reinsch 2018)</w:t>
      </w:r>
      <w:r>
        <w:t>.</w:t>
      </w:r>
    </w:p>
    <w:p w:rsidR="00745FEA" w:rsidRDefault="00745FEA" w:rsidP="00745FEA">
      <w:pPr>
        <w:pStyle w:val="BodyText"/>
      </w:pPr>
      <w:r>
        <w:t xml:space="preserve">The magnitude of the costs associated with data regulations are hard to estimate precisely. The costs of duplicating data centres are sizeable given that building data centres can cost tens of millions of dollars </w:t>
      </w:r>
      <w:r w:rsidRPr="00BE236D">
        <w:rPr>
          <w:szCs w:val="24"/>
        </w:rPr>
        <w:t>(PC 2015, p. 138)</w:t>
      </w:r>
      <w:r>
        <w:t>. However, the effects on data flows and the services that use them constitute the biggest impacts, with the few estimates available suggesting these are non</w:t>
      </w:r>
      <w:r>
        <w:noBreakHyphen/>
        <w:t xml:space="preserve">trivial. For instance, liberalisation of existing data localisation measures in the European Union (EU) is estimated to directly increase the gross domestic product (GDP) of most member states by around between 0.01 and 1.1 per cent depending on the country, with the typical effect being around 0.05 per cent </w:t>
      </w:r>
      <w:r w:rsidRPr="00BE236D">
        <w:rPr>
          <w:szCs w:val="24"/>
        </w:rPr>
        <w:t>(Bauer et al. 2016, p. 11)</w:t>
      </w:r>
      <w:r>
        <w:t xml:space="preserve">. Liberalisation would have even larger impacts if countries were prevented from adopting more restrictive forms of data localisation, with benefits from avoiding ‘data nationalism’ estimated at around 0.4 per cent of GDP for EU members. Other estimates suggest that foreign data flow restrictions cost the United States between 0.10 and 0.36 per cent of GDP and 0.55 per cent in China </w:t>
      </w:r>
      <w:r w:rsidRPr="00BE236D">
        <w:rPr>
          <w:szCs w:val="24"/>
        </w:rPr>
        <w:t>(Bauer, Ferracane and van der Marel 2016; Cory 2017)</w:t>
      </w:r>
      <w:r>
        <w:t xml:space="preserve">. </w:t>
      </w:r>
    </w:p>
    <w:p w:rsidR="00745FEA" w:rsidRDefault="00745FEA" w:rsidP="00745FEA">
      <w:pPr>
        <w:pStyle w:val="BodyText"/>
      </w:pPr>
      <w:r>
        <w:t>The above effects are large compared with many other regulatory imposts. In part, this reflects that the losses are greatest in the communications sector and that reduced productivity in that sector percolate throughout the economy because communications is an essential input into nearly all industries. However, the results should be interpreted as only indicative. The accuracy of the results depends on the measure of the regulatory severity of data localisation used and the degree to which the statistical analysis of the link between that measure and industry productivity growth rates is sound.</w:t>
      </w:r>
    </w:p>
    <w:p w:rsidR="00745FEA" w:rsidRDefault="00745FEA" w:rsidP="00745FEA">
      <w:pPr>
        <w:pStyle w:val="BodyText"/>
      </w:pPr>
      <w:r>
        <w:t>While some of the costs of data restrictions will be offset by benefits, the critical point is that the potential size of the economic costs strongly point to a targeted approach to data localisation.</w:t>
      </w:r>
    </w:p>
    <w:p w:rsidR="00745FEA" w:rsidRDefault="00745FEA" w:rsidP="00745FEA">
      <w:pPr>
        <w:pStyle w:val="Heading4"/>
      </w:pPr>
      <w:r>
        <w:t xml:space="preserve">Regulation should be proportional to data security risks and assess the scope for business flexibility </w:t>
      </w:r>
    </w:p>
    <w:p w:rsidR="00745FEA" w:rsidRDefault="00745FEA" w:rsidP="00745FEA">
      <w:pPr>
        <w:pStyle w:val="BodyText"/>
      </w:pPr>
      <w:r>
        <w:t xml:space="preserve">The economic costs involved with data localisation policies suggest that the way regulations and restrictions are designed is crucial. In general, restrictions that set minimum standards and allow businesses flexibility to meet those standards will mitigate costs better than blunt instruments. </w:t>
      </w:r>
    </w:p>
    <w:p w:rsidR="00745FEA" w:rsidRDefault="00745FEA" w:rsidP="00745FEA">
      <w:pPr>
        <w:pStyle w:val="BodyText"/>
      </w:pPr>
      <w:r>
        <w:t>For example, domestic data storage is not necessarily more secure than storage overseas. Security will depend upon the physical security of the location, the quality of cyber security (robustness to hacking) in place, and the appropriate rule of law in the host country. In some cases, international businesses running large</w:t>
      </w:r>
      <w:r>
        <w:noBreakHyphen/>
        <w:t>scale international data centres may offer greater security than a smaller business running a local venture. Quality cyber security, for example, requires a large, ongoing cost in assessing vulnerabilities and taking remedial action. Of course, a nuanced approach would ideally differentiate between ‘safe and secure’ countries and others where the risks were greater. This would apply, for example, to a country with lax or weakly enforceable privacy laws, or where a foreign government was able to compel a business to provide data. A blanket restriction on offshore data storage would be unnecessarily costly.</w:t>
      </w:r>
    </w:p>
    <w:p w:rsidR="00745FEA" w:rsidRDefault="00745FEA" w:rsidP="00745FEA">
      <w:pPr>
        <w:pStyle w:val="BodyText"/>
      </w:pPr>
      <w:r>
        <w:t>Similarly, government regulation of businesses’ storage and processing of data is only necessary where there is a material risk that the business does not have a strong incentive or ability to address security problems itself. Firms have a strong commercial incentive</w:t>
      </w:r>
      <w:r w:rsidRPr="00CD7323">
        <w:t xml:space="preserve"> </w:t>
      </w:r>
      <w:r>
        <w:t>to meet their customers’ (government, business and consumer) expectations about data security. Many companies have adopted binding corporate rules to regulate the movement of data within their own firms</w:t>
      </w:r>
      <w:r w:rsidRPr="00CD7323">
        <w:t xml:space="preserve"> </w:t>
      </w:r>
      <w:r>
        <w:t xml:space="preserve">and developed standard contractual clauses to seek consent for clients on their use of third party data services </w:t>
      </w:r>
      <w:r w:rsidRPr="00BE236D">
        <w:rPr>
          <w:szCs w:val="24"/>
        </w:rPr>
        <w:t>(BIAC 2017, p. 3)</w:t>
      </w:r>
      <w:r>
        <w:t>.</w:t>
      </w:r>
    </w:p>
    <w:p w:rsidR="00745FEA" w:rsidRDefault="00745FEA" w:rsidP="00745FEA">
      <w:pPr>
        <w:pStyle w:val="BodyText"/>
      </w:pPr>
      <w:r>
        <w:t>However, in some instances there may be additional national security or public welfare concerns (such as the operation of critical infrastructure), or government agencies may have access to better information on security risks. It is only in such cases that it may be necessary for domestic regulations to overrule firms’ data storage and transfer decisions.</w:t>
      </w:r>
    </w:p>
    <w:p w:rsidR="00745FEA" w:rsidRDefault="00745FEA" w:rsidP="00745FEA">
      <w:pPr>
        <w:pStyle w:val="Heading4"/>
      </w:pPr>
      <w:r>
        <w:t>International cooperation to control restrictions on data flows</w:t>
      </w:r>
    </w:p>
    <w:p w:rsidR="00745FEA" w:rsidRDefault="00745FEA" w:rsidP="00745FEA">
      <w:pPr>
        <w:pStyle w:val="BodyText"/>
      </w:pPr>
      <w:r>
        <w:t xml:space="preserve">International agreements have started to recognise the substantial economic costs that result from unnecessary restrictions on data flows. </w:t>
      </w:r>
    </w:p>
    <w:p w:rsidR="00745FEA" w:rsidRDefault="00745FEA" w:rsidP="00745FEA">
      <w:pPr>
        <w:pStyle w:val="ListBullet"/>
      </w:pPr>
      <w:r>
        <w:t>The Korea</w:t>
      </w:r>
      <w:r>
        <w:noBreakHyphen/>
        <w:t>US Free Trade Agreement (2011) appears to be the first international agreement with binding rules on cross</w:t>
      </w:r>
      <w:r>
        <w:noBreakHyphen/>
        <w:t xml:space="preserve">border data flows, requiring that the signatories endeavour to refrain from ‘imposing or maintaining unnecessary barriers to electronic information flows across borders’ </w:t>
      </w:r>
      <w:r w:rsidRPr="00BE236D">
        <w:rPr>
          <w:szCs w:val="24"/>
        </w:rPr>
        <w:t>(Meltzer 2013, p. 17)</w:t>
      </w:r>
      <w:r>
        <w:t xml:space="preserve">. </w:t>
      </w:r>
    </w:p>
    <w:p w:rsidR="00745FEA" w:rsidRDefault="00745FEA" w:rsidP="00745FEA">
      <w:pPr>
        <w:pStyle w:val="ListBullet"/>
      </w:pPr>
      <w:r>
        <w:t>The original 2016 Trans</w:t>
      </w:r>
      <w:r>
        <w:noBreakHyphen/>
        <w:t>Pacific Partnership Agreement, which has been renegotiated after the withdrawal of the United States, was the first multi</w:t>
      </w:r>
      <w:r>
        <w:noBreakHyphen/>
        <w:t>party preferential trade agreement seeking to reduce protectionism arising from data residency requirements (box 3.2).</w:t>
      </w:r>
    </w:p>
    <w:p w:rsidR="00745FEA" w:rsidRDefault="00745FEA" w:rsidP="00745FEA">
      <w:pPr>
        <w:pStyle w:val="ListBullet"/>
      </w:pPr>
      <w:r>
        <w:t>The European Union’s General Data Protection Regulation aims to bring consistency in the regulatory environment for data protection and privacy for international businesses processing data of European citizens. It is due to be enforceable in mid</w:t>
      </w:r>
      <w:r>
        <w:noBreakHyphen/>
        <w:t xml:space="preserve">2018. </w:t>
      </w:r>
    </w:p>
    <w:p w:rsidR="00745FEA" w:rsidRDefault="00745FEA" w:rsidP="00745FEA">
      <w:pPr>
        <w:pStyle w:val="BodyText"/>
      </w:pPr>
      <w:r>
        <w:t xml:space="preserve">Agreements could go further. For example, agreements on the protection of privacy that establish common international protocols and protections could provide greater confidence in foreign service providers and reduce the cost of international data commerce. There are already some approaches — most notably in Australia’s region, the </w:t>
      </w:r>
      <w:r w:rsidRPr="00D02219">
        <w:t>Asia Pacific Economic Cooperation (APEC) Privacy Principles and APEC</w:t>
      </w:r>
      <w:r>
        <w:t>’</w:t>
      </w:r>
      <w:r w:rsidRPr="00D02219">
        <w:t>s Cross Border Privacy Rules (CBPR) system</w:t>
      </w:r>
      <w:r>
        <w:t xml:space="preserve"> — that could be adapted and used more broadly </w:t>
      </w:r>
      <w:r w:rsidRPr="00BE236D">
        <w:rPr>
          <w:szCs w:val="24"/>
        </w:rPr>
        <w:t>(Panday 2017; PC 2015, p. 137)</w:t>
      </w:r>
      <w:r>
        <w:t>.</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rsidP="00745FEA">
            <w:pPr>
              <w:pStyle w:val="BoxTitle"/>
            </w:pPr>
            <w:r>
              <w:rPr>
                <w:b w:val="0"/>
              </w:rPr>
              <w:t>Box 3.</w:t>
            </w:r>
            <w:r>
              <w:rPr>
                <w:b w:val="0"/>
                <w:noProof/>
              </w:rPr>
              <w:t>2</w:t>
            </w:r>
            <w:r>
              <w:tab/>
              <w:t>The data localisation clause in the TPP</w:t>
            </w:r>
            <w:r>
              <w:noBreakHyphen/>
              <w:t>11</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rPr>
                <w:lang w:val="en-US"/>
              </w:rPr>
            </w:pPr>
            <w:r>
              <w:t xml:space="preserve">The data localisation clause </w:t>
            </w:r>
            <w:r>
              <w:rPr>
                <w:lang w:val="en-US"/>
              </w:rPr>
              <w:t>for the TPP</w:t>
            </w:r>
            <w:r>
              <w:rPr>
                <w:lang w:val="en-US"/>
              </w:rPr>
              <w:noBreakHyphen/>
              <w:t>11 — The Comprehensive and Progressive Agreement for Trans</w:t>
            </w:r>
            <w:r>
              <w:rPr>
                <w:lang w:val="en-US"/>
              </w:rPr>
              <w:noBreakHyphen/>
              <w:t>Pacific Partnership states the following:</w:t>
            </w:r>
          </w:p>
          <w:p w:rsidR="00745FEA" w:rsidRDefault="00745FEA" w:rsidP="00745FEA">
            <w:pPr>
              <w:pStyle w:val="Box"/>
            </w:pPr>
            <w:r>
              <w:t>Article 14.13: Location of Computing Facilities</w:t>
            </w:r>
          </w:p>
          <w:p w:rsidR="00745FEA" w:rsidRDefault="00745FEA" w:rsidP="00745FEA">
            <w:pPr>
              <w:pStyle w:val="Box"/>
            </w:pPr>
            <w:r>
              <w:t>1. The Parties recognise that each Party may have its own regulatory requirements regarding the use of computing facilities, including requirements that seek to ensure the security and confidentiality of communications.</w:t>
            </w:r>
          </w:p>
          <w:p w:rsidR="00745FEA" w:rsidRDefault="00745FEA" w:rsidP="00745FEA">
            <w:pPr>
              <w:pStyle w:val="Box"/>
            </w:pPr>
            <w:r>
              <w:t>2. No Party shall require a covered person to use or locate computing facilities in that Party’s territory as a condition for conducting business in that territory.</w:t>
            </w:r>
          </w:p>
          <w:p w:rsidR="00745FEA" w:rsidRDefault="00745FEA" w:rsidP="00745FEA">
            <w:pPr>
              <w:pStyle w:val="Box"/>
            </w:pPr>
            <w:r>
              <w:t>3. Nothing in this Article shall prevent a Party from adopting or maintaining measures inconsistent with paragraph 2 to achieve a legitimate public policy objective, provided that the measure:</w:t>
            </w:r>
          </w:p>
          <w:p w:rsidR="00745FEA" w:rsidRDefault="00745FEA" w:rsidP="00745FEA">
            <w:pPr>
              <w:pStyle w:val="Box"/>
            </w:pPr>
            <w:r>
              <w:t>(a) is not applied in a manner which would constitute a means of arbitrary or unjustifiable discrimination or a disguised restriction on trade; and</w:t>
            </w:r>
          </w:p>
          <w:p w:rsidR="00745FEA" w:rsidRDefault="00745FEA" w:rsidP="00745FEA">
            <w:pPr>
              <w:pStyle w:val="Box"/>
            </w:pPr>
            <w:r>
              <w:t>(b) does not impose restrictions on the use or location of computing facilities greater than are required to achieve the objective.</w:t>
            </w:r>
          </w:p>
        </w:tc>
      </w:tr>
      <w:tr w:rsidR="00745FEA" w:rsidTr="00745FEA">
        <w:tc>
          <w:tcPr>
            <w:tcW w:w="5000" w:type="pct"/>
            <w:tcBorders>
              <w:top w:val="nil"/>
              <w:left w:val="nil"/>
              <w:bottom w:val="nil"/>
              <w:right w:val="nil"/>
            </w:tcBorders>
            <w:shd w:val="clear" w:color="auto" w:fill="F2F2F2"/>
          </w:tcPr>
          <w:p w:rsidR="00745FEA" w:rsidRPr="005A10FF" w:rsidRDefault="00745FEA" w:rsidP="00745FEA">
            <w:pPr>
              <w:pStyle w:val="Box"/>
            </w:pPr>
            <w:r w:rsidRPr="005A10FF">
              <w:t>The provision for an exclusion based on ‘a legitimate public policy objective’ reduces the requirement for countries to immediately remove data locali</w:t>
            </w:r>
            <w:r>
              <w:t>s</w:t>
            </w:r>
            <w:r w:rsidRPr="005A10FF">
              <w:t xml:space="preserve">ation measures that were already in place. For example, localised storage of health records may be an important element in gaining public confidence about the privacy of a national database. On the other hand, some analysts are concerned that the legitimacy of any exception could be picked over by trade lawyers </w:t>
            </w:r>
            <w:r>
              <w:t>who have</w:t>
            </w:r>
            <w:r w:rsidRPr="005A10FF">
              <w:t xml:space="preserve"> </w:t>
            </w:r>
            <w:r>
              <w:t>‘</w:t>
            </w:r>
            <w:r w:rsidRPr="005A10FF">
              <w:t>no particular expertise in privacy or human rights’, and have suggested other policy remedies to facilitate useful data flows, such as internationally agreed de</w:t>
            </w:r>
            <w:r>
              <w:noBreakHyphen/>
            </w:r>
            <w:r w:rsidRPr="005A10FF">
              <w:t xml:space="preserve">identification methods and thresholds for informed consent </w:t>
            </w:r>
            <w:r w:rsidRPr="00BE236D">
              <w:rPr>
                <w:rFonts w:cs="Arial"/>
                <w:szCs w:val="24"/>
              </w:rPr>
              <w:t>(Panday 2017)</w:t>
            </w:r>
            <w:r w:rsidRPr="005A10FF">
              <w:t>.</w:t>
            </w:r>
          </w:p>
          <w:p w:rsidR="00745FEA" w:rsidRDefault="00745FEA" w:rsidP="00745FEA">
            <w:pPr>
              <w:pStyle w:val="BoxSource"/>
            </w:pPr>
            <w:r>
              <w:rPr>
                <w:i/>
              </w:rPr>
              <w:t>Source</w:t>
            </w:r>
            <w:r w:rsidRPr="00167F06">
              <w:t xml:space="preserve">: </w:t>
            </w:r>
            <w:r>
              <w:t xml:space="preserve">DFAT </w:t>
            </w:r>
            <w:r w:rsidRPr="00BE236D">
              <w:rPr>
                <w:rFonts w:cs="Arial"/>
              </w:rPr>
              <w:t>(2017)</w:t>
            </w:r>
            <w:r>
              <w:t>.</w:t>
            </w:r>
          </w:p>
        </w:tc>
      </w:tr>
      <w:tr w:rsidR="00745FEA" w:rsidTr="00745FEA">
        <w:tc>
          <w:tcPr>
            <w:tcW w:w="5000" w:type="pct"/>
            <w:tcBorders>
              <w:top w:val="nil"/>
              <w:left w:val="nil"/>
              <w:bottom w:val="single" w:sz="6" w:space="0" w:color="78A22F"/>
              <w:right w:val="nil"/>
            </w:tcBorders>
            <w:shd w:val="clear" w:color="auto" w:fill="F2F2F2"/>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2"/>
      </w:pPr>
      <w:bookmarkStart w:id="34" w:name="_Toc511745370"/>
      <w:r>
        <w:t>3.</w:t>
      </w:r>
      <w:r>
        <w:rPr>
          <w:noProof/>
        </w:rPr>
        <w:t>3</w:t>
      </w:r>
      <w:r>
        <w:tab/>
        <w:t>Aviation security costs</w:t>
      </w:r>
      <w:bookmarkEnd w:id="34"/>
    </w:p>
    <w:p w:rsidR="00745FEA" w:rsidRDefault="00745FEA" w:rsidP="00745FEA">
      <w:pPr>
        <w:pStyle w:val="BodyText"/>
      </w:pPr>
      <w:r>
        <w:t>High</w:t>
      </w:r>
      <w:r>
        <w:noBreakHyphen/>
        <w:t>profile terrorist attacks on aviation and mass transit systems have accounted for the majority of terrorist</w:t>
      </w:r>
      <w:r>
        <w:noBreakHyphen/>
        <w:t xml:space="preserve">related deaths and injuries in developed countries over the past two decades. Against that background, airport security remains a high priority for Australian governments. </w:t>
      </w:r>
    </w:p>
    <w:p w:rsidR="00745FEA" w:rsidRPr="00C02132" w:rsidRDefault="00745FEA" w:rsidP="00745FEA">
      <w:pPr>
        <w:pStyle w:val="BodyText"/>
        <w:rPr>
          <w:spacing w:val="-2"/>
        </w:rPr>
      </w:pPr>
      <w:r w:rsidRPr="00C02132">
        <w:rPr>
          <w:spacing w:val="-2"/>
        </w:rPr>
        <w:t>Fortunately, there has not been a successful terrorist attack in Australia involving aviation, but it remains a credible threat. The attempt to bomb an Etihad plane in Sydney in 2017 is an example. The Australian Security Intelligence Organisation has indicated that ‘civilian aviation will remain a high</w:t>
      </w:r>
      <w:r w:rsidRPr="00C02132">
        <w:rPr>
          <w:spacing w:val="-2"/>
        </w:rPr>
        <w:noBreakHyphen/>
        <w:t xml:space="preserve">value terrorist target for the foreseeable future’ </w:t>
      </w:r>
      <w:r w:rsidRPr="00C02132">
        <w:rPr>
          <w:spacing w:val="-2"/>
          <w:szCs w:val="24"/>
        </w:rPr>
        <w:t>(ASIO 2015, p. 2)</w:t>
      </w:r>
      <w:r w:rsidRPr="00C02132">
        <w:rPr>
          <w:spacing w:val="-2"/>
        </w:rPr>
        <w:t xml:space="preserve">. </w:t>
      </w:r>
    </w:p>
    <w:p w:rsidR="00745FEA" w:rsidRDefault="00745FEA" w:rsidP="00745FEA">
      <w:pPr>
        <w:pStyle w:val="BodyText"/>
      </w:pPr>
      <w:r>
        <w:t>In response to international attacks, newly identified security vulnerabilities and other indicators of heightened risk, there have been multiple reviews of aviation security in Australia</w:t>
      </w:r>
      <w:r w:rsidRPr="00326594">
        <w:t xml:space="preserve"> </w:t>
      </w:r>
      <w:r>
        <w:t>since 2002.</w:t>
      </w:r>
      <w:r w:rsidRPr="008C5BEE">
        <w:rPr>
          <w:rStyle w:val="FootnoteReference"/>
        </w:rPr>
        <w:footnoteReference w:id="16"/>
      </w:r>
      <w:r>
        <w:t xml:space="preserve"> The result has been that regulations have strengthened over time to address these risks.</w:t>
      </w:r>
      <w:r w:rsidRPr="008C5BEE">
        <w:rPr>
          <w:rStyle w:val="FootnoteReference"/>
        </w:rPr>
        <w:footnoteReference w:id="17"/>
      </w:r>
      <w:r>
        <w:t xml:space="preserve"> However, such regulations have been accompanied by costs to the Australian community and have increased the cost of movement of people, for business, study and tourism. </w:t>
      </w:r>
    </w:p>
    <w:p w:rsidR="00745FEA" w:rsidRDefault="00745FEA" w:rsidP="00745FEA">
      <w:pPr>
        <w:pStyle w:val="Heading3"/>
        <w:spacing w:before="520"/>
      </w:pPr>
      <w:r>
        <w:t>The costs of aviation security measures</w:t>
      </w:r>
    </w:p>
    <w:p w:rsidR="00745FEA" w:rsidRDefault="00745FEA">
      <w:pPr>
        <w:pStyle w:val="BodyText"/>
      </w:pPr>
      <w:r>
        <w:t xml:space="preserve">Aviation security is costly and these costs are ultimately borne by consumers, taxpayers or shareholders. </w:t>
      </w:r>
    </w:p>
    <w:p w:rsidR="00745FEA" w:rsidRDefault="00745FEA" w:rsidP="00745FEA">
      <w:pPr>
        <w:pStyle w:val="Heading4"/>
      </w:pPr>
      <w:r>
        <w:t>Business expenditure</w:t>
      </w:r>
    </w:p>
    <w:p w:rsidR="00745FEA" w:rsidRDefault="00745FEA" w:rsidP="00745FEA">
      <w:pPr>
        <w:pStyle w:val="BodyText"/>
      </w:pPr>
      <w:r>
        <w:t>A</w:t>
      </w:r>
      <w:r w:rsidRPr="00A431B5">
        <w:t xml:space="preserve">irlines and airports would, absent </w:t>
      </w:r>
      <w:r>
        <w:t xml:space="preserve">government </w:t>
      </w:r>
      <w:r w:rsidRPr="00A431B5">
        <w:t xml:space="preserve">directives, still invest in security </w:t>
      </w:r>
      <w:r>
        <w:t xml:space="preserve">to deliver a quality service to their customers, protect their assets, and to maintain </w:t>
      </w:r>
      <w:r w:rsidRPr="00A431B5">
        <w:t xml:space="preserve">reputation and sales. </w:t>
      </w:r>
      <w:r>
        <w:t>While it is unclear how much they would undertake in the absence of government regulations, security costs for business, both airlines and airports, are substantial. Qantas alone spent $260 million on security in 2013</w:t>
      </w:r>
      <w:r>
        <w:noBreakHyphen/>
        <w:t xml:space="preserve">14 and employed around 800 contractors dedicated to security services </w:t>
      </w:r>
      <w:r w:rsidRPr="003D346B">
        <w:t>(Qantas</w:t>
      </w:r>
      <w:r>
        <w:t> </w:t>
      </w:r>
      <w:r w:rsidRPr="003D346B">
        <w:t>2015,</w:t>
      </w:r>
      <w:r>
        <w:t> </w:t>
      </w:r>
      <w:r w:rsidRPr="003D346B">
        <w:t>p.</w:t>
      </w:r>
      <w:r>
        <w:t> </w:t>
      </w:r>
      <w:r w:rsidRPr="003D346B">
        <w:t>6)</w:t>
      </w:r>
      <w:r>
        <w:t xml:space="preserve">. Overall, there are around 260 airports and aerodromes nationally </w:t>
      </w:r>
      <w:r w:rsidRPr="00BE236D">
        <w:rPr>
          <w:szCs w:val="24"/>
        </w:rPr>
        <w:t>(AAA 2015)</w:t>
      </w:r>
      <w:r>
        <w:t xml:space="preserve"> which to a greater or lesser extent, must invest in security services. One survey of 20 airports — 5 capital city, 4 major, 10 regional and 2 small regional — found that over the previous five years, respondents had spent around $170 million on security</w:t>
      </w:r>
      <w:r>
        <w:noBreakHyphen/>
        <w:t xml:space="preserve">related investments </w:t>
      </w:r>
      <w:r w:rsidRPr="00BE236D">
        <w:rPr>
          <w:szCs w:val="24"/>
        </w:rPr>
        <w:t>(AAA 2015)</w:t>
      </w:r>
      <w:r>
        <w:t>. This included screening equipment, building alterations, access control, perimeter fencing and information technology systems and total annual security staff costs of $64 million. As this was only a small sample, total security</w:t>
      </w:r>
      <w:r>
        <w:noBreakHyphen/>
        <w:t xml:space="preserve">related airport costs would be considerably higher. In the survey, screening costs represented more than 30 per cent of the annual budgets of regional airports, and comprised the greatest share for the smallest regional airports (p. 8). </w:t>
      </w:r>
    </w:p>
    <w:p w:rsidR="00745FEA" w:rsidRDefault="00745FEA">
      <w:pPr>
        <w:pStyle w:val="BodyText"/>
      </w:pPr>
      <w:r>
        <w:t>Given private incentives to invest in security, o</w:t>
      </w:r>
      <w:r w:rsidRPr="00A431B5">
        <w:t xml:space="preserve">nly a share of any </w:t>
      </w:r>
      <w:r>
        <w:t>security</w:t>
      </w:r>
      <w:r>
        <w:noBreakHyphen/>
        <w:t xml:space="preserve">related </w:t>
      </w:r>
      <w:r w:rsidRPr="00A431B5">
        <w:t xml:space="preserve">costs imposed </w:t>
      </w:r>
      <w:r>
        <w:t>by government regulation is</w:t>
      </w:r>
      <w:r w:rsidRPr="00A431B5">
        <w:t xml:space="preserve"> genuinely </w:t>
      </w:r>
      <w:r>
        <w:t>‘</w:t>
      </w:r>
      <w:r w:rsidRPr="00A431B5">
        <w:t>additional</w:t>
      </w:r>
      <w:r>
        <w:t>’. One of the lessons from this is that governments should try to avoid paying for security measures that the aviation sector would take anyway, and resist excessive prescription about security approaches where the sector can find better ways of achieving the same security goal.</w:t>
      </w:r>
    </w:p>
    <w:p w:rsidR="00745FEA" w:rsidRDefault="00745FEA" w:rsidP="00745FEA">
      <w:pPr>
        <w:pStyle w:val="Heading4"/>
        <w:spacing w:before="360"/>
      </w:pPr>
      <w:r>
        <w:t>Airport cost recovery</w:t>
      </w:r>
    </w:p>
    <w:p w:rsidR="00745FEA" w:rsidRDefault="00745FEA" w:rsidP="00745FEA">
      <w:pPr>
        <w:pStyle w:val="BodyText"/>
        <w:spacing w:before="200"/>
      </w:pPr>
      <w:r>
        <w:t>Airports are permitted to levy per passenger charges to airlines for government</w:t>
      </w:r>
      <w:r>
        <w:noBreakHyphen/>
        <w:t xml:space="preserve">mandated security requirements. These are monitored by the Australian Competition and Consumer Commission for the four largest airports — Sydney, Melbourne, Brisbane and Perth </w:t>
      </w:r>
      <w:r w:rsidRPr="00BE236D">
        <w:rPr>
          <w:szCs w:val="24"/>
        </w:rPr>
        <w:t>(ACCC 2017, pp. 49, 81, 113, 141)</w:t>
      </w:r>
      <w:r>
        <w:t>. The charges vary considerably. For example, the domestic security charge in Melbourne was around $3.90 per passenger in 2015</w:t>
      </w:r>
      <w:r>
        <w:noBreakHyphen/>
        <w:t>16, and around $2.70 in Brisbane. All airports charged around $4 per passenger for international security cost recovery. Given the tens of millions of passengers flying each year, the cumulative costs are high.</w:t>
      </w:r>
    </w:p>
    <w:p w:rsidR="00745FEA" w:rsidRDefault="00745FEA" w:rsidP="00745FEA">
      <w:pPr>
        <w:pStyle w:val="BodyText"/>
        <w:spacing w:before="200"/>
      </w:pPr>
      <w:r>
        <w:t>Domestic security costs for regional airports are proportionately higher, which reflects less passenger throughput and the high fixed</w:t>
      </w:r>
      <w:r>
        <w:noBreakHyphen/>
        <w:t xml:space="preserve">cost nature of security expenditures </w:t>
      </w:r>
      <w:r w:rsidRPr="00282023">
        <w:rPr>
          <w:szCs w:val="24"/>
        </w:rPr>
        <w:t>(AAA 2015, p. 8)</w:t>
      </w:r>
      <w:r>
        <w:t>. Security mandates and airport</w:t>
      </w:r>
      <w:r>
        <w:noBreakHyphen/>
        <w:t xml:space="preserve">specific charging may inefficiently penalise regional airports. The security </w:t>
      </w:r>
      <w:r w:rsidR="0055201A">
        <w:t>measures undertaken by smaller airports contribute</w:t>
      </w:r>
      <w:r>
        <w:t xml:space="preserve"> to safety across the airport network, including for onward flights. </w:t>
      </w:r>
    </w:p>
    <w:p w:rsidR="00745FEA" w:rsidRDefault="00745FEA" w:rsidP="00745FEA">
      <w:pPr>
        <w:pStyle w:val="Heading4"/>
        <w:spacing w:before="360"/>
      </w:pPr>
      <w:r>
        <w:t>Intangible costs for passengers</w:t>
      </w:r>
    </w:p>
    <w:p w:rsidR="00745FEA" w:rsidRDefault="00745FEA" w:rsidP="00745FEA">
      <w:pPr>
        <w:pStyle w:val="BodyText"/>
        <w:spacing w:before="200"/>
      </w:pPr>
      <w:r>
        <w:t xml:space="preserve">Waiting times for passengers also represent a cost of many security measures, albeit intangible and hard to measure accurately. As pointed out by the Director General of the Association of Asia Pacific Airlines </w:t>
      </w:r>
      <w:r w:rsidRPr="00BE236D">
        <w:rPr>
          <w:szCs w:val="24"/>
        </w:rPr>
        <w:t>(Chong 2017, p. 1)</w:t>
      </w:r>
      <w:r>
        <w:t>:</w:t>
      </w:r>
    </w:p>
    <w:p w:rsidR="00745FEA" w:rsidRDefault="00745FEA" w:rsidP="00745FEA">
      <w:pPr>
        <w:pStyle w:val="Quote"/>
      </w:pPr>
      <w:r w:rsidRPr="00140BF9">
        <w:t>The security and security processes always rank amongst the least</w:t>
      </w:r>
      <w:r>
        <w:noBreakHyphen/>
      </w:r>
      <w:r w:rsidRPr="00140BF9">
        <w:t>pleasant parts of the travel experience according to passengers and this year we have seen a number of initiatives which have further complicated life for passengers going through airport security.</w:t>
      </w:r>
      <w:r>
        <w:t xml:space="preserve"> … </w:t>
      </w:r>
      <w:r w:rsidRPr="00140BF9">
        <w:t>Our concern is people very rarely sit down and work out what the overall costs of security are. If they did, they might not embark on some of these initiatives, they’d question the cost</w:t>
      </w:r>
      <w:r>
        <w:noBreakHyphen/>
      </w:r>
      <w:r w:rsidRPr="00140BF9">
        <w:t>benefit analysis which is what we do with safety all the time</w:t>
      </w:r>
      <w:r>
        <w:t>.</w:t>
      </w:r>
    </w:p>
    <w:p w:rsidR="00745FEA" w:rsidRDefault="00745FEA" w:rsidP="00745FEA">
      <w:pPr>
        <w:pStyle w:val="BodyText"/>
        <w:spacing w:before="200"/>
      </w:pPr>
      <w:r>
        <w:t xml:space="preserve">The economic cost is the lost employment time or enjoyment that flows from people leaving earlier than necessary to travel to the airport. The time spent clearing security varies from less than one minute to more than ten minutes, but given the costs of being late to a flight are much more than the costs of being early, passengers tend to act on the worst rather than the average delay. With around 60 million domestic and 40 million international passenger trips per year </w:t>
      </w:r>
      <w:r w:rsidRPr="008923CC">
        <w:rPr>
          <w:szCs w:val="24"/>
        </w:rPr>
        <w:t>(BITRE 2018a, 2018b)</w:t>
      </w:r>
      <w:r>
        <w:t>, delays in security require people to spend up to 17 million more hours in airports than otherwise, whose cost in dollars depends on how much that time is valued.</w:t>
      </w:r>
      <w:r w:rsidRPr="008C5BEE">
        <w:rPr>
          <w:rStyle w:val="FootnoteReference"/>
        </w:rPr>
        <w:footnoteReference w:id="18"/>
      </w:r>
      <w:r>
        <w:t xml:space="preserve"> Clearly, it would not be trivial.</w:t>
      </w:r>
    </w:p>
    <w:p w:rsidR="00745FEA" w:rsidRDefault="00745FEA" w:rsidP="00745FEA">
      <w:pPr>
        <w:pStyle w:val="Heading4"/>
      </w:pPr>
      <w:r>
        <w:t>Government funding for aviation security</w:t>
      </w:r>
    </w:p>
    <w:p w:rsidR="00745FEA" w:rsidRDefault="00745FEA">
      <w:pPr>
        <w:pStyle w:val="BodyText"/>
      </w:pPr>
      <w:r>
        <w:t xml:space="preserve">Notwithstanding private incentives to invest in security, governments still regulate and provide funding because national security measures generate gains beyond those accruing to passengers (for instance, due to broader impacts on the economy and people’s sense of public safety). Commercial protections may also be lower than customers expect, for example, because companies are limited in their liability or because both airlines and airports have a degree of market power. </w:t>
      </w:r>
    </w:p>
    <w:p w:rsidR="00745FEA" w:rsidRDefault="00745FEA">
      <w:pPr>
        <w:pStyle w:val="BodyText"/>
      </w:pPr>
      <w:r>
        <w:t xml:space="preserve">There is no easily accessible figure for Australian Government spending on aviation security. By one estimate, the Government spent $1.2 billion on aviation security measures between 2001 and 2007, with a further $57.2 million of spending initiatives announced in 2007 </w:t>
      </w:r>
      <w:r w:rsidRPr="00BE236D">
        <w:rPr>
          <w:szCs w:val="24"/>
        </w:rPr>
        <w:t>(Vaile 2007)</w:t>
      </w:r>
      <w:r>
        <w:t>. This included spending to address other unlawful activities, such as drug importation and violations of biosecurity. In 2010, the Government pledged $200 million of further funding for aviation security, with a foiled attack on a US airline acting as its trigger:</w:t>
      </w:r>
    </w:p>
    <w:p w:rsidR="00745FEA" w:rsidRDefault="00745FEA" w:rsidP="00745FEA">
      <w:pPr>
        <w:pStyle w:val="Quote"/>
      </w:pPr>
      <w:r>
        <w:t xml:space="preserve">On Christmas Day 2009, Nigerian national Umar Farouk Abdulmutallab attempted to detonate an improvised explosive device onboard North West Airlines flight 253 (NW253). In response to this incident, the Government will invest $200 million over four years to further enhance and strengthen Australia’s aviation and border security regime. </w:t>
      </w:r>
      <w:r w:rsidRPr="00B50DED">
        <w:rPr>
          <w:sz w:val="24"/>
          <w:szCs w:val="24"/>
        </w:rPr>
        <w:t>(Australian Government 2010, p. 40)</w:t>
      </w:r>
    </w:p>
    <w:p w:rsidR="00745FEA" w:rsidRPr="009D3B99" w:rsidRDefault="00745FEA" w:rsidP="00745FEA">
      <w:pPr>
        <w:pStyle w:val="BodyText"/>
        <w:rPr>
          <w:b/>
        </w:rPr>
      </w:pPr>
      <w:r>
        <w:t>The measures included expansion of the Australian Federal Police and Customs presence at major airports, an increase in the use of closed circuit TV and screening of airport staff, introduction of explosives detection,</w:t>
      </w:r>
      <w:r w:rsidRPr="002A5AC9">
        <w:t xml:space="preserve"> and new technology for passenger, baggage and cargo screening.</w:t>
      </w:r>
    </w:p>
    <w:p w:rsidR="00745FEA" w:rsidRDefault="00745FEA" w:rsidP="00745FEA">
      <w:pPr>
        <w:pStyle w:val="BodyText"/>
      </w:pPr>
      <w:r>
        <w:t xml:space="preserve">Three measures earmarked funding to industry, and accounted for around half of the total spending </w:t>
      </w:r>
      <w:r w:rsidRPr="00D10F45">
        <w:rPr>
          <w:szCs w:val="24"/>
        </w:rPr>
        <w:t>(Albanese 2010)</w:t>
      </w:r>
      <w:r>
        <w:t xml:space="preserve">. These involved </w:t>
      </w:r>
      <w:r w:rsidRPr="00F0184E">
        <w:t>$28.5 million to assist the industry to introduce a range of new screening technologies at passenger screening points</w:t>
      </w:r>
      <w:r>
        <w:t xml:space="preserve">; </w:t>
      </w:r>
      <w:r w:rsidRPr="00F0184E">
        <w:t>$32</w:t>
      </w:r>
      <w:r>
        <w:t> </w:t>
      </w:r>
      <w:r w:rsidRPr="00F0184E">
        <w:t>million to bring forward screening at a number of additional regional airports served by larg</w:t>
      </w:r>
      <w:r>
        <w:t>er passenger turbo</w:t>
      </w:r>
      <w:r>
        <w:noBreakHyphen/>
        <w:t xml:space="preserve">prop aircraft; and </w:t>
      </w:r>
      <w:r w:rsidRPr="00F0184E">
        <w:t>$54.2 million to assist industry to install cargo x</w:t>
      </w:r>
      <w:r>
        <w:noBreakHyphen/>
      </w:r>
      <w:r w:rsidRPr="00F0184E">
        <w:t>ray screening and explosive trace detection technology at selected location</w:t>
      </w:r>
      <w:r>
        <w:t>s.</w:t>
      </w:r>
      <w:r w:rsidDel="000F5FB0">
        <w:t xml:space="preserve"> </w:t>
      </w:r>
      <w:r>
        <w:t>Two</w:t>
      </w:r>
      <w:r w:rsidDel="003B4419">
        <w:t xml:space="preserve"> programs established after the package was announced — the Optimal Technologies at International Gateway Airports Program and the Regional and Domestic Aviation Security Program — appear to be the implementation of the first two announcement elements above, and involved spending of $38.6 million over the three years from 2011</w:t>
      </w:r>
      <w:r w:rsidDel="003B4419">
        <w:noBreakHyphen/>
        <w:t>12</w:t>
      </w:r>
      <w:r>
        <w:t xml:space="preserve">, </w:t>
      </w:r>
      <w:r w:rsidDel="003B4419">
        <w:t>less than the announced $60.5 million</w:t>
      </w:r>
      <w:r>
        <w:t xml:space="preserve"> </w:t>
      </w:r>
      <w:r w:rsidRPr="00F13EF1">
        <w:rPr>
          <w:szCs w:val="24"/>
        </w:rPr>
        <w:t>(DIRD 2014, p. 48; DIT 2013</w:t>
      </w:r>
      <w:r w:rsidR="001E4012">
        <w:rPr>
          <w:szCs w:val="24"/>
        </w:rPr>
        <w:t>,</w:t>
      </w:r>
      <w:r w:rsidRPr="00F13EF1">
        <w:rPr>
          <w:szCs w:val="24"/>
        </w:rPr>
        <w:t xml:space="preserve"> </w:t>
      </w:r>
      <w:r w:rsidR="00FB1638" w:rsidRPr="00FB1638">
        <w:rPr>
          <w:szCs w:val="24"/>
        </w:rPr>
        <w:t>p. 51; DIT 2012, p. 52</w:t>
      </w:r>
      <w:r w:rsidRPr="00F13EF1">
        <w:rPr>
          <w:szCs w:val="24"/>
        </w:rPr>
        <w:t>)</w:t>
      </w:r>
      <w:r w:rsidR="00764097">
        <w:rPr>
          <w:szCs w:val="24"/>
        </w:rPr>
        <w:t>.</w:t>
      </w:r>
    </w:p>
    <w:p w:rsidR="00745FEA" w:rsidRDefault="00745FEA" w:rsidP="00745FEA">
      <w:pPr>
        <w:pStyle w:val="BodyText"/>
      </w:pPr>
      <w:r>
        <w:t xml:space="preserve">State Governments also contribute to aviation security. For example, Western Australia has provided grants for regional and remote airports throughout the state, including for security upgrades </w:t>
      </w:r>
      <w:r w:rsidRPr="00023CF9">
        <w:rPr>
          <w:szCs w:val="24"/>
        </w:rPr>
        <w:t>(EISC 2017, p. 83)</w:t>
      </w:r>
      <w:r>
        <w:t>.</w:t>
      </w:r>
    </w:p>
    <w:p w:rsidR="00745FEA" w:rsidRDefault="00745FEA" w:rsidP="00745FEA">
      <w:pPr>
        <w:pStyle w:val="BodyText"/>
      </w:pPr>
      <w:r>
        <w:t>Government funding should not necessarily be characterised as assistance in its traditional form. It could be so if it favoured security provision in one part of the travel industry over others. However,</w:t>
      </w:r>
      <w:r w:rsidRPr="00A80D42">
        <w:t xml:space="preserve"> </w:t>
      </w:r>
      <w:r>
        <w:t xml:space="preserve">the capacity of people to choose alternative forms of medium distance transport is lower in Australia than in many other countries. </w:t>
      </w:r>
    </w:p>
    <w:p w:rsidR="00745FEA" w:rsidDel="003B4419" w:rsidRDefault="00745FEA" w:rsidP="00745FEA">
      <w:pPr>
        <w:pStyle w:val="BodyText"/>
      </w:pPr>
      <w:r>
        <w:t>The most important questions in relation to aviation security support relate to its level and form, the processes used to determine the right balance of costs and benefits, and who pays.</w:t>
      </w:r>
    </w:p>
    <w:p w:rsidR="00745FEA" w:rsidRPr="00B72D61" w:rsidRDefault="00745FEA" w:rsidP="00745FEA">
      <w:pPr>
        <w:pStyle w:val="Heading3"/>
      </w:pPr>
      <w:r>
        <w:t>Finding the</w:t>
      </w:r>
      <w:r w:rsidRPr="00B72D61">
        <w:t xml:space="preserve"> balance of benefits and costs in aviation security</w:t>
      </w:r>
    </w:p>
    <w:p w:rsidR="00745FEA" w:rsidRDefault="00745FEA" w:rsidP="00745FEA">
      <w:pPr>
        <w:pStyle w:val="BodyText"/>
      </w:pPr>
      <w:r>
        <w:t xml:space="preserve">There are clear benefits from implementing security measures that reduce the risk of terrorist attacks and, if they occur, their impacts. A successful terrorist act in the aviation sector would have major personal and social ramifications. The evidence also suggests large impacts on some economic activities, such as tourism </w:t>
      </w:r>
      <w:r w:rsidRPr="00BE236D">
        <w:rPr>
          <w:szCs w:val="24"/>
        </w:rPr>
        <w:t>(Bergin and Khosa 2008)</w:t>
      </w:r>
      <w:r>
        <w:t>.</w:t>
      </w:r>
    </w:p>
    <w:p w:rsidR="00745FEA" w:rsidRDefault="00745FEA" w:rsidP="00745FEA">
      <w:pPr>
        <w:pStyle w:val="BodyText"/>
      </w:pPr>
      <w:r>
        <w:t xml:space="preserve">The likelihood of being killed or injured in a terrorist act is very low compared to most other causes of death, such as automotive accidents, but media attention and the emotional resonance of terrorism mean that perceived risks are higher </w:t>
      </w:r>
      <w:r w:rsidRPr="00BE236D">
        <w:rPr>
          <w:szCs w:val="24"/>
        </w:rPr>
        <w:t>(Newell, Donkin and Navarro 2017; Stevens et al. 2009; Sunstein 2002)</w:t>
      </w:r>
      <w:r>
        <w:t>. Even if perceptions of risk are biased, policy still needs to consider these because such perceptions drive people’s behaviour. (This finding also suggests that in some instances, policy initiatives might consist of providing the public with reassurance about the low probability and impact of terrorist activities compared with other security risks.)</w:t>
      </w:r>
    </w:p>
    <w:p w:rsidR="00745FEA" w:rsidRDefault="00745FEA" w:rsidP="00745FEA">
      <w:pPr>
        <w:pStyle w:val="BodyText"/>
      </w:pPr>
      <w:r>
        <w:t>Given the size, array and incidence of costs, it is particularly important to analyse the effectiveness and value</w:t>
      </w:r>
      <w:r>
        <w:noBreakHyphen/>
        <w:t>for</w:t>
      </w:r>
      <w:r>
        <w:noBreakHyphen/>
        <w:t>money of security interventions. Some have undertaken such analysis, and found contrary evidence about the cost</w:t>
      </w:r>
      <w:r>
        <w:noBreakHyphen/>
        <w:t xml:space="preserve">effectiveness of some aviation security measures in Australia, and to a greater extent, globally </w:t>
      </w:r>
      <w:r w:rsidRPr="00BE236D">
        <w:rPr>
          <w:szCs w:val="24"/>
        </w:rPr>
        <w:t>(Gillen and Morrison 2015; Mueller and Stewart 2011, 2014)</w:t>
      </w:r>
      <w:r>
        <w:t>. This highlights the need for an analytical framework and benefit</w:t>
      </w:r>
      <w:r>
        <w:noBreakHyphen/>
        <w:t>cost assessment. Such frameworks exist in other areas where the benefits comprise both lives saved and economic benefits. The challenges are substantial (though surmountable). This reflects that:</w:t>
      </w:r>
    </w:p>
    <w:p w:rsidR="00745FEA" w:rsidRDefault="00745FEA" w:rsidP="00745FEA">
      <w:pPr>
        <w:pStyle w:val="ListBullet"/>
      </w:pPr>
      <w:r>
        <w:t>the events concerned can have a low probability and a high impact</w:t>
      </w:r>
    </w:p>
    <w:p w:rsidR="00745FEA" w:rsidRDefault="00745FEA" w:rsidP="00745FEA">
      <w:pPr>
        <w:pStyle w:val="ListBullet"/>
      </w:pPr>
      <w:r>
        <w:t>the responses to new government measures by terrorists and others posing security risks are unclear (such as substitution to other methods of harming people or assets and diversion to other countries)</w:t>
      </w:r>
    </w:p>
    <w:p w:rsidR="00745FEA" w:rsidRDefault="00745FEA" w:rsidP="00745FEA">
      <w:pPr>
        <w:pStyle w:val="ListBullet"/>
      </w:pPr>
      <w:r>
        <w:t>harms from any event include public perceptions of safety and not just safety per se</w:t>
      </w:r>
    </w:p>
    <w:p w:rsidR="00745FEA" w:rsidRDefault="00745FEA" w:rsidP="00745FEA">
      <w:pPr>
        <w:pStyle w:val="ListBullet"/>
      </w:pPr>
      <w:r>
        <w:t>the incremental benefits of additional measures are hard to assess</w:t>
      </w:r>
    </w:p>
    <w:p w:rsidR="00745FEA" w:rsidRDefault="00745FEA" w:rsidP="00745FEA">
      <w:pPr>
        <w:pStyle w:val="ListBullet"/>
      </w:pPr>
      <w:r>
        <w:t xml:space="preserve">counterfactuals are hard to estimate. </w:t>
      </w:r>
    </w:p>
    <w:p w:rsidR="00745FEA" w:rsidRDefault="00745FEA" w:rsidP="00745FEA">
      <w:pPr>
        <w:pStyle w:val="BodyText"/>
      </w:pPr>
      <w:r>
        <w:t xml:space="preserve">The costs are easier to calculate. </w:t>
      </w:r>
    </w:p>
    <w:p w:rsidR="00745FEA" w:rsidRDefault="00745FEA" w:rsidP="00745FEA">
      <w:pPr>
        <w:pStyle w:val="BodyText"/>
      </w:pPr>
      <w:r>
        <w:t>To ensure value for money for Australian passengers and taxpayers, it is important that the money spent on airport security is worthwhile, not just in aggregate, but for each incremental strengthening of arrangements. For example, f</w:t>
      </w:r>
      <w:r w:rsidRPr="00A431B5">
        <w:t xml:space="preserve">ull body scanners are now used in </w:t>
      </w:r>
      <w:r>
        <w:t>a number of</w:t>
      </w:r>
      <w:r w:rsidRPr="00A431B5">
        <w:t xml:space="preserve"> Australian airports. They are costly and some argue not </w:t>
      </w:r>
      <w:r>
        <w:t xml:space="preserve">technically </w:t>
      </w:r>
      <w:r w:rsidRPr="00A431B5">
        <w:t xml:space="preserve">effective </w:t>
      </w:r>
      <w:r w:rsidRPr="00BE236D">
        <w:rPr>
          <w:szCs w:val="24"/>
        </w:rPr>
        <w:t>(Mowery et al. 2014; Stewart and Mueller 2011)</w:t>
      </w:r>
      <w:r>
        <w:t>, though the technology may improve in accuracy over time. Even more fundamental doubts have been expressed about the net benefits of air marshals on planes in the US, noting</w:t>
      </w:r>
      <w:r w:rsidRPr="00E10DC8">
        <w:t xml:space="preserve"> </w:t>
      </w:r>
      <w:r>
        <w:t xml:space="preserve">Australia also employs ‘Air Security Officers’ on some flights </w:t>
      </w:r>
      <w:r w:rsidRPr="00BE236D">
        <w:rPr>
          <w:szCs w:val="24"/>
        </w:rPr>
        <w:t>(AFP nd)</w:t>
      </w:r>
      <w:r>
        <w:t xml:space="preserve">. </w:t>
      </w:r>
    </w:p>
    <w:p w:rsidR="00745FEA" w:rsidRDefault="00745FEA" w:rsidP="00745FEA">
      <w:pPr>
        <w:pStyle w:val="Quote"/>
      </w:pPr>
      <w:r>
        <w:t>… the Transport Security Administration’s Federal Air Marshal Service and its full body scanner technology together are nearly as costly as the entire FBI counterterrorism budget, but their risk reduction over the alternatives appears to be negligible (Mueller and Stewart 2011; Stewart and Mueller 2011, 2013a, 2013b). Moreover, the body scanner technology only deals with specific threats associated with hijacking and body</w:t>
      </w:r>
      <w:r>
        <w:noBreakHyphen/>
        <w:t xml:space="preserve">borne bombs on aircraft. </w:t>
      </w:r>
      <w:r w:rsidRPr="001A1C57">
        <w:rPr>
          <w:sz w:val="24"/>
        </w:rPr>
        <w:t>(Mueller &amp; Stewart 2014</w:t>
      </w:r>
      <w:r>
        <w:t>, p. 246</w:t>
      </w:r>
      <w:r w:rsidRPr="001A1C57">
        <w:rPr>
          <w:sz w:val="24"/>
        </w:rPr>
        <w:t>)</w:t>
      </w:r>
    </w:p>
    <w:p w:rsidR="00745FEA" w:rsidRDefault="00745FEA" w:rsidP="00745FEA">
      <w:pPr>
        <w:pStyle w:val="BodyText"/>
      </w:pPr>
      <w:r>
        <w:t>One hindrance to the development of sound long</w:t>
      </w:r>
      <w:r>
        <w:noBreakHyphen/>
        <w:t>term policy making is the sense of urgency that often surrounds decision</w:t>
      </w:r>
      <w:r>
        <w:noBreakHyphen/>
        <w:t>making. As in many areas of public policy, a crisis is often the trigger for substantial regulatory changes and the allocation of additional government funding. The resulting policies often remain in place for some time. In the national security arena, ‘crisis’ events perhaps occur more frequently — certainly more prominently — than in some other areas. Indeed, at times, policymaking appears to be reactive and perhaps appropriately so. Just one incident — the attempt to deploy an improvised device on a 2017 Etihad flight from Sydney — precipitated immediate additional security measures in domestic terminals and calls for much tougher restrictions.</w:t>
      </w:r>
      <w:r w:rsidRPr="008C5BEE">
        <w:rPr>
          <w:rStyle w:val="FootnoteReference"/>
        </w:rPr>
        <w:footnoteReference w:id="19"/>
      </w:r>
    </w:p>
    <w:p w:rsidR="00745FEA" w:rsidRDefault="00745FEA" w:rsidP="00745FEA">
      <w:pPr>
        <w:pStyle w:val="BodyText"/>
      </w:pPr>
      <w:r>
        <w:t>A critical ingredient in the development of sound policy is consultation (and often collaboration) with industry, particularly to develop feasible solutions, identify risks in their implementation, and help identify the lowest cost ways of achieving government objectives. T</w:t>
      </w:r>
      <w:r w:rsidRPr="00FA07A7">
        <w:t xml:space="preserve">he </w:t>
      </w:r>
      <w:r>
        <w:t xml:space="preserve">Australian </w:t>
      </w:r>
      <w:r w:rsidRPr="00FA07A7">
        <w:t>Office of Transport Security</w:t>
      </w:r>
      <w:r>
        <w:t xml:space="preserve"> found, i</w:t>
      </w:r>
      <w:r w:rsidRPr="00FA07A7">
        <w:t xml:space="preserve">n </w:t>
      </w:r>
      <w:r>
        <w:t>a</w:t>
      </w:r>
      <w:r w:rsidRPr="00FA07A7">
        <w:t xml:space="preserve"> survey of its </w:t>
      </w:r>
      <w:r>
        <w:t xml:space="preserve">own </w:t>
      </w:r>
      <w:r w:rsidRPr="00FA07A7">
        <w:t xml:space="preserve">performance, </w:t>
      </w:r>
      <w:r>
        <w:t xml:space="preserve">that </w:t>
      </w:r>
      <w:r w:rsidRPr="00FA07A7">
        <w:t>36</w:t>
      </w:r>
      <w:r>
        <w:t> per cent</w:t>
      </w:r>
      <w:r w:rsidRPr="00FA07A7">
        <w:t xml:space="preserve"> of industry respondents </w:t>
      </w:r>
      <w:r>
        <w:t>‘</w:t>
      </w:r>
      <w:r w:rsidRPr="00FA07A7">
        <w:t>did not agree</w:t>
      </w:r>
      <w:r>
        <w:t>’</w:t>
      </w:r>
      <w:r w:rsidRPr="00FA07A7">
        <w:t xml:space="preserve"> that </w:t>
      </w:r>
      <w:r>
        <w:t xml:space="preserve">it </w:t>
      </w:r>
      <w:r w:rsidRPr="00FA07A7">
        <w:t>‘collaborated with industry to ensure that policy and regulatory frameworks were efficient and effective.</w:t>
      </w:r>
      <w:r>
        <w:t>’</w:t>
      </w:r>
      <w:r w:rsidRPr="00BE236D">
        <w:rPr>
          <w:szCs w:val="24"/>
        </w:rPr>
        <w:t>(DIRD 2016)</w:t>
      </w:r>
      <w:r>
        <w:t xml:space="preserve"> On the other hand, some recent policy announcements clearly show regard for compliance costs: biometric approaches to identification (a development likely to be implemented)</w:t>
      </w:r>
      <w:r w:rsidRPr="00FA07A7">
        <w:t xml:space="preserve"> offer the possibility of preserving self</w:t>
      </w:r>
      <w:r>
        <w:noBreakHyphen/>
      </w:r>
      <w:r w:rsidRPr="00FA07A7">
        <w:t>service arrangements in airports, while still allowing identity checks quickly</w:t>
      </w:r>
      <w:r>
        <w:t xml:space="preserve"> </w:t>
      </w:r>
      <w:r w:rsidRPr="00D10F45">
        <w:rPr>
          <w:szCs w:val="24"/>
        </w:rPr>
        <w:t>(DIRD 2017b)</w:t>
      </w:r>
      <w:r>
        <w:t>.</w:t>
      </w:r>
    </w:p>
    <w:p w:rsidR="00745FEA" w:rsidRDefault="00745FEA" w:rsidP="00745FEA">
      <w:pPr>
        <w:pStyle w:val="BodyText"/>
      </w:pPr>
      <w:r w:rsidRPr="00D54F66">
        <w:t xml:space="preserve">A test of the reasonableness of costs imposed by regulation might ask whether similar costs are incurred across differing transport modes and locations for any given reduction in risks. </w:t>
      </w:r>
      <w:r>
        <w:t>Regional airlines in particular have expressed concerns that the costs of security measures they face provide lower reductions in risks than occur elsewhere.</w:t>
      </w:r>
      <w:r w:rsidRPr="00E21008">
        <w:t xml:space="preserve"> </w:t>
      </w:r>
      <w:r>
        <w:t xml:space="preserve">As noted by Rex Airlines: </w:t>
      </w:r>
    </w:p>
    <w:p w:rsidR="00745FEA" w:rsidRDefault="00745FEA" w:rsidP="00745FEA">
      <w:pPr>
        <w:pStyle w:val="Quote"/>
      </w:pPr>
      <w:r w:rsidRPr="00AB7889">
        <w:t xml:space="preserve">More devastation could be achieved with a bomb in a crowded train </w:t>
      </w:r>
      <w:r w:rsidRPr="00836304">
        <w:t>than</w:t>
      </w:r>
      <w:r w:rsidRPr="00AB7889">
        <w:t xml:space="preserve"> on a regional aircraft.</w:t>
      </w:r>
      <w:r>
        <w:t xml:space="preserve"> </w:t>
      </w:r>
      <w:r w:rsidRPr="00AB7889">
        <w:t>It would be self defeating to implement security measures that are so cost prohibitive at regional airports as to actually kill off essential regional air services when the potential terrorist would just as easily achieve the desired outcome by targeting soft targets like a grocery store, a cafe or an office. Therefore all security measures should be a careful balance of the cost of such measures against the threat levels derived from intelligence sources.</w:t>
      </w:r>
      <w:r>
        <w:t xml:space="preserve"> </w:t>
      </w:r>
      <w:r w:rsidRPr="00BE0B2B">
        <w:rPr>
          <w:szCs w:val="24"/>
        </w:rPr>
        <w:t>(Rex Airlines 2017, p. 2)</w:t>
      </w:r>
    </w:p>
    <w:p w:rsidR="00745FEA" w:rsidRDefault="00745FEA" w:rsidP="00745FEA">
      <w:pPr>
        <w:pStyle w:val="BodyText"/>
      </w:pPr>
      <w:r>
        <w:t>The 2017 review of aviation security by the Senate Rural and Regional Affairs and Transport References Committee appeared not to be convinced that risk and costs have been sufficiently assessed, as it recommended:</w:t>
      </w:r>
    </w:p>
    <w:p w:rsidR="00745FEA" w:rsidRDefault="00745FEA" w:rsidP="00745FEA">
      <w:pPr>
        <w:pStyle w:val="Quote"/>
      </w:pPr>
      <w:r>
        <w:t xml:space="preserve">… that any future reviews of and amendments to aviation security </w:t>
      </w:r>
      <w:r w:rsidRPr="00ED43AB">
        <w:t>regulation be risk</w:t>
      </w:r>
      <w:r>
        <w:noBreakHyphen/>
      </w:r>
      <w:r w:rsidRPr="00ED43AB">
        <w:t>based and fit for purpose, with consideration given to the unique challeng</w:t>
      </w:r>
      <w:r>
        <w:t>es faced by regional and rural airports and the overall diversity of Australian airports.</w:t>
      </w:r>
      <w:r w:rsidRPr="00BE236D">
        <w:rPr>
          <w:szCs w:val="24"/>
        </w:rPr>
        <w:t>(Recommendation 1, para. 2.62 in SRRATRC 2017)</w:t>
      </w:r>
      <w:r>
        <w:t xml:space="preserve"> </w:t>
      </w:r>
    </w:p>
    <w:p w:rsidR="00745FEA" w:rsidRDefault="00745FEA" w:rsidP="00745FEA">
      <w:pPr>
        <w:pStyle w:val="BodyText"/>
      </w:pPr>
      <w:r>
        <w:t xml:space="preserve">Moreover, the 2016 ANAO audit of </w:t>
      </w:r>
      <w:r w:rsidRPr="004E167D">
        <w:t xml:space="preserve">Passenger Security Screening at </w:t>
      </w:r>
      <w:r w:rsidRPr="00895664">
        <w:t>Domestic</w:t>
      </w:r>
      <w:r w:rsidRPr="004E167D">
        <w:t xml:space="preserve"> Airports</w:t>
      </w:r>
      <w:r>
        <w:t xml:space="preserve"> found that the Department of Infrastructure was unable to measure the outcomes and effectiveness of its screening approach: </w:t>
      </w:r>
    </w:p>
    <w:p w:rsidR="00745FEA" w:rsidRDefault="00745FEA" w:rsidP="00745FEA">
      <w:pPr>
        <w:pStyle w:val="Quote"/>
      </w:pPr>
      <w:r>
        <w:t>The Department has implemented a regulatory framework that establishes minimum standards for passenger screening and a program of compliance activities at security controlled airports. However, the Department is unable to provide assurance that passenger screening is effective, or to what extent screening authorities comply with the Regulations, due to poor data and inadequate records. The Department does not have meaningful passenger screening performance targets or enforcement strategies and does not direct resources to areas with a higher risk of non</w:t>
      </w:r>
      <w:r>
        <w:noBreakHyphen/>
        <w:t xml:space="preserve">compliance. </w:t>
      </w:r>
      <w:r w:rsidRPr="00BE236D">
        <w:rPr>
          <w:szCs w:val="24"/>
        </w:rPr>
        <w:t>(ANAO 2016, p. 7)</w:t>
      </w:r>
    </w:p>
    <w:p w:rsidR="00745FEA" w:rsidRDefault="00745FEA" w:rsidP="00745FEA">
      <w:pPr>
        <w:pStyle w:val="BodyText"/>
      </w:pPr>
      <w:r>
        <w:t>On the other hand, it is clear that cost</w:t>
      </w:r>
      <w:r>
        <w:noBreakHyphen/>
        <w:t xml:space="preserve">effectiveness is not ignored in aviation policy making. Not every security proposal gets the green light solely on the grounds of security benefits — fortification of the vulnerable perimeter of any Australian major international airport is seen by most to be prohibitively expensive </w:t>
      </w:r>
      <w:r w:rsidRPr="00BE236D">
        <w:rPr>
          <w:szCs w:val="24"/>
        </w:rPr>
        <w:t>(AIPA 2015)</w:t>
      </w:r>
      <w:r>
        <w:t> pp. 3</w:t>
      </w:r>
      <w:r>
        <w:noBreakHyphen/>
        <w:t>4).</w:t>
      </w:r>
      <w:r w:rsidDel="006F4FC2">
        <w:rPr>
          <w:rStyle w:val="FootnoteReference"/>
        </w:rPr>
        <w:t xml:space="preserve"> </w:t>
      </w:r>
    </w:p>
    <w:p w:rsidR="00745FEA" w:rsidRDefault="00745FEA" w:rsidP="00745FEA">
      <w:pPr>
        <w:pStyle w:val="BodyText"/>
      </w:pPr>
      <w:r>
        <w:t>A review of the aviation security system as a whole, including costs, effectiveness and trade</w:t>
      </w:r>
      <w:r>
        <w:noBreakHyphen/>
        <w:t>offs for each measure, may be warranted, as has been recommended in the United States.</w:t>
      </w:r>
      <w:r w:rsidRPr="008C5BEE">
        <w:rPr>
          <w:rStyle w:val="FootnoteReference"/>
        </w:rPr>
        <w:footnoteReference w:id="20"/>
      </w:r>
    </w:p>
    <w:p w:rsidR="00745FEA" w:rsidRDefault="00745FEA" w:rsidP="00745FEA">
      <w:pPr>
        <w:pStyle w:val="Heading2"/>
      </w:pPr>
      <w:bookmarkStart w:id="35" w:name="_Toc511745371"/>
      <w:r>
        <w:t>3.</w:t>
      </w:r>
      <w:r>
        <w:rPr>
          <w:noProof/>
        </w:rPr>
        <w:t>4</w:t>
      </w:r>
      <w:r>
        <w:tab/>
        <w:t>Cost recovery of screening for low</w:t>
      </w:r>
      <w:r>
        <w:noBreakHyphen/>
        <w:t>value consignments</w:t>
      </w:r>
      <w:bookmarkEnd w:id="35"/>
    </w:p>
    <w:p w:rsidR="00745FEA" w:rsidRDefault="00745FEA" w:rsidP="00745FEA">
      <w:pPr>
        <w:pStyle w:val="BodyText"/>
      </w:pPr>
      <w:r>
        <w:t>In recent years, the number of low</w:t>
      </w:r>
      <w:r>
        <w:noBreakHyphen/>
        <w:t>value consignments entering Australia has grown far more than high</w:t>
      </w:r>
      <w:r>
        <w:noBreakHyphen/>
        <w:t>value (over $1000) items. For instance, while high</w:t>
      </w:r>
      <w:r>
        <w:noBreakHyphen/>
        <w:t>value consignments increased by just 3 per cent from 2015</w:t>
      </w:r>
      <w:r>
        <w:noBreakHyphen/>
        <w:t>16 to 2016</w:t>
      </w:r>
      <w:r>
        <w:noBreakHyphen/>
        <w:t>17, low</w:t>
      </w:r>
      <w:r>
        <w:noBreakHyphen/>
        <w:t xml:space="preserve">value consignments increased by 22 per cent, with this trend expected to continue </w:t>
      </w:r>
      <w:r w:rsidRPr="00BE236D">
        <w:rPr>
          <w:szCs w:val="24"/>
        </w:rPr>
        <w:t>(DHA and DAWR 2018)</w:t>
      </w:r>
      <w:r>
        <w:t>. Currently, the costs of screening parcels and other security measures are cross</w:t>
      </w:r>
      <w:r>
        <w:noBreakHyphen/>
        <w:t>subsidised by charges on high</w:t>
      </w:r>
      <w:r>
        <w:noBreakHyphen/>
        <w:t>value items, with no contribution from low</w:t>
      </w:r>
      <w:r>
        <w:noBreakHyphen/>
        <w:t xml:space="preserve">value consignments. </w:t>
      </w:r>
    </w:p>
    <w:p w:rsidR="00745FEA" w:rsidRDefault="00745FEA" w:rsidP="00745FEA">
      <w:pPr>
        <w:pStyle w:val="BodyText"/>
      </w:pPr>
      <w:r>
        <w:t>On face value, current arrangements are at odds with standard cost</w:t>
      </w:r>
      <w:r>
        <w:noBreakHyphen/>
        <w:t>recovery principles, and would justify some kind of charge levied on low</w:t>
      </w:r>
      <w:r>
        <w:noBreakHyphen/>
        <w:t>value items. However, there are several important counter</w:t>
      </w:r>
      <w:r>
        <w:noBreakHyphen/>
        <w:t>considerations:</w:t>
      </w:r>
    </w:p>
    <w:p w:rsidR="00745FEA" w:rsidRDefault="00745FEA" w:rsidP="00745FEA">
      <w:pPr>
        <w:pStyle w:val="ListBullet"/>
      </w:pPr>
      <w:r>
        <w:t>Some of the costs of screening and the security are fixed costs, with investments that would need to be made regardless of the volume of consignments. Where that is the case, cost recovery should generally be focused on those goods where the charge has the least impact on demand. A small dollar charge on low</w:t>
      </w:r>
      <w:r>
        <w:noBreakHyphen/>
        <w:t>value goods would represent a significant increase in price that discourages Australian consumers from importing those goods. This kind of ‘simple’ method for recovering fixed costs based on a per package basis could therefore incidentally provide assistance to local industries.</w:t>
      </w:r>
    </w:p>
    <w:p w:rsidR="00745FEA" w:rsidRDefault="00745FEA" w:rsidP="00745FEA">
      <w:pPr>
        <w:pStyle w:val="ListBullet"/>
      </w:pPr>
      <w:r>
        <w:t>As is the case for collecting goods and services tax on low</w:t>
      </w:r>
      <w:r>
        <w:noBreakHyphen/>
        <w:t>value imports, any proposal to set security cost recovery charges for low</w:t>
      </w:r>
      <w:r>
        <w:noBreakHyphen/>
        <w:t xml:space="preserve">value goods has to consider the practicalities of revenue collection </w:t>
      </w:r>
      <w:r w:rsidRPr="00BE236D">
        <w:rPr>
          <w:szCs w:val="24"/>
        </w:rPr>
        <w:t>(PC 2017)</w:t>
      </w:r>
      <w:r>
        <w:t>. The Government’s approach appears mindful of those practicalities, but these will need to be tested. An inefficient method for collecting the revenue can also act as a non</w:t>
      </w:r>
      <w:r>
        <w:noBreakHyphen/>
        <w:t>tariff barrier.</w:t>
      </w:r>
    </w:p>
    <w:p w:rsidR="00745FEA" w:rsidRDefault="00745FEA" w:rsidP="00745FEA">
      <w:pPr>
        <w:pStyle w:val="ListBullet"/>
      </w:pPr>
      <w:r>
        <w:t>The security activities that are being funded by the charge need to be justified.</w:t>
      </w:r>
    </w:p>
    <w:p w:rsidR="00745FEA" w:rsidRDefault="00745FEA" w:rsidP="00745FEA">
      <w:pPr>
        <w:pStyle w:val="BodyText"/>
      </w:pPr>
      <w:r>
        <w:t>So far, the Australian Government has not committed to a given approach and there has been significant consultation and transparency about the kinds of approaches that might be used to recover costs.</w:t>
      </w:r>
    </w:p>
    <w:p w:rsidR="00745FEA" w:rsidRDefault="00745FEA" w:rsidP="00745FEA">
      <w:pPr>
        <w:pStyle w:val="Heading2"/>
      </w:pPr>
      <w:bookmarkStart w:id="36" w:name="_Toc511745372"/>
      <w:r>
        <w:t>3.</w:t>
      </w:r>
      <w:r>
        <w:rPr>
          <w:noProof/>
        </w:rPr>
        <w:t>5</w:t>
      </w:r>
      <w:r>
        <w:tab/>
        <w:t>Towards better national security policy</w:t>
      </w:r>
      <w:bookmarkEnd w:id="36"/>
    </w:p>
    <w:p w:rsidR="00745FEA" w:rsidRDefault="00745FEA" w:rsidP="00745FEA">
      <w:pPr>
        <w:pStyle w:val="BodyText"/>
      </w:pPr>
      <w:r>
        <w:t>One of the key challenges for governments is that addressing one source of security vulnerability leads to the exploitation of others. Hence, there has been a shift towards traffic</w:t>
      </w:r>
      <w:r>
        <w:noBreakHyphen/>
        <w:t xml:space="preserve">based terrorism attacks in Europe. </w:t>
      </w:r>
    </w:p>
    <w:p w:rsidR="00745FEA" w:rsidRDefault="00745FEA" w:rsidP="00745FEA">
      <w:pPr>
        <w:pStyle w:val="BodyText"/>
      </w:pPr>
      <w:r>
        <w:t>In many other policy areas, a system</w:t>
      </w:r>
      <w:r>
        <w:noBreakHyphen/>
        <w:t>wide cost</w:t>
      </w:r>
      <w:r>
        <w:noBreakHyphen/>
        <w:t xml:space="preserve">benefit framework provides guidance to support good decision making. We have a ‘tax system’, a ‘health system’ and an ‘education system.’ None of these systems work perfectly, but there is ongoing research and policy making that, over time, realigns effort towards the most valuable activities and away from those that are more marginal or even detrimental. In national security, given the aggressive efforts opponents take to penetrate defences, arguably a systemic approach is even more important. </w:t>
      </w:r>
    </w:p>
    <w:p w:rsidR="00745FEA" w:rsidRDefault="00745FEA" w:rsidP="00745FEA">
      <w:pPr>
        <w:pStyle w:val="BodyText"/>
      </w:pPr>
      <w:r>
        <w:t xml:space="preserve">At times, national security policy making can appear to be reactive in an urgent effort to plug a leak, and rightly so. For example, across the world, aviation attacks are rare and have used different approaches. While it may be difficult to know how best to respond when an attack reveals a longstanding weakness, the option of doing nothing and allowing that weakness to be exploited by other attackers is untenable. </w:t>
      </w:r>
    </w:p>
    <w:p w:rsidR="00745FEA" w:rsidRDefault="00745FEA" w:rsidP="00745FEA">
      <w:pPr>
        <w:pStyle w:val="BodyText"/>
      </w:pPr>
      <w:r>
        <w:t>Nevertheless, a succession of policy changes made on the go, or primarily in reaction to specific events, is unlikely to result in an efficient security system. This is all the more so, because urgent decisions are usually taken</w:t>
      </w:r>
      <w:r w:rsidRPr="00A431B5">
        <w:t xml:space="preserve"> behind closed doors</w:t>
      </w:r>
      <w:r>
        <w:t xml:space="preserve"> (to avoid divulging security vulnerabilities), which means that they are not subject to the same external</w:t>
      </w:r>
      <w:r w:rsidRPr="00A431B5">
        <w:t xml:space="preserve"> </w:t>
      </w:r>
      <w:r>
        <w:t>scrutiny as are other areas of public policy.</w:t>
      </w:r>
      <w:r w:rsidRPr="008C5BEE">
        <w:rPr>
          <w:rStyle w:val="FootnoteReference"/>
        </w:rPr>
        <w:footnoteReference w:id="21"/>
      </w:r>
      <w:r>
        <w:t xml:space="preserve"> While operational issues require secrecy on security measures, even basic information is difficult to obtain on the level of government expenditure, the precise goals of the expenditure and effectiveness in achieving goals. This creates a barrier to impartial analysis and policy improvement over time. Secrecy places an additional onus on good internal processes. If the public cannot directly observe the security evidence and regulatory deliberations, it is necessary that the public has confidence that the unseen process is robust. </w:t>
      </w:r>
    </w:p>
    <w:p w:rsidR="00745FEA" w:rsidRDefault="00745FEA" w:rsidP="00745FEA">
      <w:pPr>
        <w:pStyle w:val="Heading3"/>
      </w:pPr>
      <w:r>
        <w:t>Where to from here?</w:t>
      </w:r>
    </w:p>
    <w:p w:rsidR="00745FEA" w:rsidRDefault="00745FEA" w:rsidP="00745FEA">
      <w:pPr>
        <w:pStyle w:val="BodyText"/>
      </w:pPr>
      <w:r>
        <w:t>This chapter presented several case studies. Together, they suggest five areas for policy attention.</w:t>
      </w:r>
    </w:p>
    <w:p w:rsidR="00745FEA" w:rsidRDefault="00745FEA" w:rsidP="00745FEA">
      <w:pPr>
        <w:pStyle w:val="BodyText"/>
      </w:pPr>
      <w:r>
        <w:t>First, precisely because national security is so important, poor policy carries large economic costs. Estimates of the economic impact of (overly blunt) data localisation laws, for example, are large because security of data is fundamental to the Australian economy today. Policies need to be designed carefully to meet national security concerns at lowest cost.</w:t>
      </w:r>
    </w:p>
    <w:p w:rsidR="00745FEA" w:rsidRDefault="00745FEA" w:rsidP="00745FEA">
      <w:pPr>
        <w:pStyle w:val="BodyText"/>
      </w:pPr>
      <w:r>
        <w:t>Second, national security regulations aim to improve the wellbeing of the Australian people in the same way as regulation in other areas. It should not ordinarily be necessary to pay businesses or citizens to comply with the law and it may be inefficient to do so. Future security regulation should clearly justify the provision of assistance, including how assistance provision enhances achievement of the security objective.</w:t>
      </w:r>
    </w:p>
    <w:p w:rsidR="00745FEA" w:rsidRDefault="00745FEA" w:rsidP="00745FEA">
      <w:pPr>
        <w:pStyle w:val="BodyText"/>
      </w:pPr>
      <w:r>
        <w:t>Third, there is relatively little divulgence of government spending devoted to national security objectives, nor the compliance costs that regulation imposes on Australian businesses and consumers. Consideration should be given to publication of aggregated non</w:t>
      </w:r>
      <w:r>
        <w:noBreakHyphen/>
        <w:t>defence expenditure on national security, perhaps as part of the annual budget papers. While operational issues will necessarily require secrecy, over time better policy and recognition of trade</w:t>
      </w:r>
      <w:r>
        <w:noBreakHyphen/>
        <w:t>offs will flow from greater transparency on how tax dollars are being spent. This would complement recent initiatives by the Department of Prime Minister and Cabinet to publish a selection of real</w:t>
      </w:r>
      <w:r>
        <w:noBreakHyphen/>
        <w:t>time metrics of counter</w:t>
      </w:r>
      <w:r>
        <w:noBreakHyphen/>
        <w:t xml:space="preserve">terrorism effectiveness. </w:t>
      </w:r>
    </w:p>
    <w:p w:rsidR="00745FEA" w:rsidRDefault="00745FEA" w:rsidP="00745FEA">
      <w:pPr>
        <w:pStyle w:val="BodyText"/>
      </w:pPr>
      <w:r>
        <w:t xml:space="preserve">Fourth, national security policy </w:t>
      </w:r>
      <w:r w:rsidRPr="00A24223">
        <w:t xml:space="preserve">can change quickly because of the need to </w:t>
      </w:r>
      <w:r>
        <w:t>respond to emerging threats. The policy area would benefit, from time to time, from a systemic review by an agency without active involvement in security policy, but with appropriate security clearance and access to understand thoroughly the costs, benefits and risks inherent in the system. While there have been man</w:t>
      </w:r>
      <w:r w:rsidRPr="00CD782D">
        <w:t>y public reviews of policy</w:t>
      </w:r>
      <w:r>
        <w:t xml:space="preserve"> </w:t>
      </w:r>
      <w:r w:rsidRPr="00CD782D">
        <w:t>proposals</w:t>
      </w:r>
      <w:r>
        <w:t xml:space="preserve"> that h</w:t>
      </w:r>
      <w:r w:rsidRPr="00CD782D">
        <w:t>ave provided oppo</w:t>
      </w:r>
      <w:r>
        <w:t>rtunity for views to be aired, it is less clear what risk assessment and cost</w:t>
      </w:r>
      <w:r>
        <w:noBreakHyphen/>
        <w:t>effectiveness heuristics are used in the initial formulation of proposals (that may go on to formal review) and how the information from reviews is ‘weighed’ up in formulating the Government’s final policy. Regular reviews that allow a public articulation of a systemic framework may act as a tool for good decision making in a hurry, or as future circumstances require, and foster public understanding and support for national security decisions.</w:t>
      </w:r>
    </w:p>
    <w:p w:rsidR="00745FEA" w:rsidRPr="00625A34" w:rsidRDefault="00745FEA" w:rsidP="00745FEA">
      <w:pPr>
        <w:pStyle w:val="BodyText"/>
        <w:rPr>
          <w:szCs w:val="24"/>
        </w:rPr>
      </w:pPr>
      <w:r>
        <w:t>Finally, security issues are a global problem that prompt disparate measures from different governments. Some of these measures, if undertaken independently, can create potentially adverse effects on trade and economic efficiency, and may erode the effectiveness of any one country’s security solutions. In some cases, most notably data retention laws, global consistency could help achieve security goals without damaging trade and innovation. In addition, some countries pursue their security goals more efficiently than others, providing lessons that can be widely diffused. The United States, for instance has introduced ‘Trusted Travel’ arrangements where pre</w:t>
      </w:r>
      <w:r>
        <w:noBreakHyphen/>
        <w:t>screening allows people to go through US Customs with negligible delays. Different countries have varying approaches to terrorism prevention (some, for example, promote engagement with communities and groups that can reduce the risk of someone becoming a terrorist). Given the relatively nascent developments and evaluations of prevention policies, this is an attractive area for sharing lessons. There is a growing awareness globally that there are ‘better’ (if not best) practices for responding to national security risks.</w:t>
      </w:r>
    </w:p>
    <w:p w:rsidR="00745FEA" w:rsidRDefault="00745FEA" w:rsidP="00745FEA">
      <w:pPr>
        <w:sectPr w:rsidR="00745FEA" w:rsidSect="00745FEA">
          <w:headerReference w:type="even" r:id="rId51"/>
          <w:headerReference w:type="default" r:id="rId52"/>
          <w:footerReference w:type="even" r:id="rId53"/>
          <w:footerReference w:type="default" r:id="rId54"/>
          <w:type w:val="oddPage"/>
          <w:pgSz w:w="11907" w:h="16840" w:code="9"/>
          <w:pgMar w:top="1985" w:right="1304" w:bottom="1247" w:left="1814" w:header="1701" w:footer="397" w:gutter="0"/>
          <w:pgNumType w:chapSep="period"/>
          <w:cols w:space="720"/>
          <w:docGrid w:linePitch="326"/>
        </w:sectPr>
      </w:pPr>
    </w:p>
    <w:p w:rsidR="00745FEA" w:rsidRDefault="00745FEA" w:rsidP="00745FEA">
      <w:pPr>
        <w:pStyle w:val="Heading1"/>
        <w:spacing w:before="0"/>
      </w:pPr>
      <w:bookmarkStart w:id="37" w:name="_Toc511745373"/>
      <w:r>
        <w:t>4</w:t>
      </w:r>
      <w:r>
        <w:tab/>
        <w:t>Recent developments in industry assistance</w:t>
      </w:r>
      <w:bookmarkEnd w:id="37"/>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Pr="00E87311" w:rsidRDefault="00745FEA">
            <w:pPr>
              <w:pStyle w:val="BoxTitle"/>
            </w:pPr>
            <w:r w:rsidRPr="00E87311">
              <w:t>Key points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ListBullet"/>
            </w:pPr>
            <w:r>
              <w:t>The wide range of new policy developments this year illustrates the diversity of industry assistance: establishing new project financing vehicles; a mechanism to impose gas export controls; and expansion of tax concessions to small business.</w:t>
            </w:r>
          </w:p>
          <w:p w:rsidR="00745FEA" w:rsidRDefault="00745FEA" w:rsidP="00745FEA">
            <w:pPr>
              <w:pStyle w:val="BoxListBullet"/>
            </w:pPr>
            <w:r>
              <w:t xml:space="preserve">There has been a move towards government provision of project finance as a form of industry assistance. The Australian Government has established a series of funds to make loans on concessional terms including the Northern Australia Infrastructure Facility (NAIF), the National Water Infrastructure Loan Facility and a new farm business concessional loan scheme. </w:t>
            </w:r>
          </w:p>
          <w:p w:rsidR="00745FEA" w:rsidRDefault="00745FEA" w:rsidP="00745FEA">
            <w:pPr>
              <w:pStyle w:val="BoxListBullet"/>
            </w:pPr>
            <w:r>
              <w:t>A Defence Export Facility has also been established to provide export finance to Australian defence manufacturers; given the stated rationale is to fill a ‘market gap’ this would necessarily be on terms more favourable than available from commercial lenders. But the justification for assistance appears to be simply about a desire to sustain and grow an industry that has historically been an expensive failure in Australia.</w:t>
            </w:r>
          </w:p>
          <w:p w:rsidR="00745FEA" w:rsidRDefault="00745FEA" w:rsidP="00745FEA">
            <w:pPr>
              <w:pStyle w:val="BoxListBullet"/>
            </w:pPr>
            <w:r>
              <w:t>Australia has relatively deep and liquid financial markets. The onus should be on proponents of taxpayer</w:t>
            </w:r>
            <w:r>
              <w:noBreakHyphen/>
              <w:t xml:space="preserve">funded financing of commercial projects to provide rigorous justification of the public interest and the gap in funding markets that necessitates this kind of support. Project selection is critical, but also fraught. Some projects serve private interests and would have gone ahead anyway, and some potential projects may produce very low (social) rates of return and should not go ahead. </w:t>
            </w:r>
          </w:p>
          <w:p w:rsidR="00745FEA" w:rsidRDefault="00745FEA" w:rsidP="00745FEA">
            <w:pPr>
              <w:pStyle w:val="BoxListBullet"/>
            </w:pPr>
            <w:r>
              <w:t>The transformation of the East Coast gas market into an export industry has affected availability of gas to domestic commercial and industrial users. This concern has attracted government intervention in the form of the Australian Domestic Gas Security Mechanism to manage export demand. The Mechanism was not activated in 2018 following an agreement by LNG exporters to supply additional gas to the domestic market. The Mechanism appears designed to deal with medium</w:t>
            </w:r>
            <w:r>
              <w:noBreakHyphen/>
              <w:t>term market disruption.</w:t>
            </w:r>
          </w:p>
          <w:p w:rsidR="00745FEA" w:rsidRDefault="00745FEA" w:rsidP="00745FEA">
            <w:pPr>
              <w:pStyle w:val="BoxListBullet"/>
            </w:pPr>
            <w:r>
              <w:t>In the long run, Australian gas users will be best served by development of new gas supplies in southern states, supported by state government approvals. Reservation of gas for domestic users is not a sound long-term policy: it would deter investment in new supply and also reduce the benefit to Australians of exporting gas.</w:t>
            </w:r>
          </w:p>
          <w:p w:rsidR="00745FEA" w:rsidRDefault="00745FEA" w:rsidP="00745FEA">
            <w:pPr>
              <w:pStyle w:val="BoxListBullet"/>
            </w:pPr>
            <w:r>
              <w:t>Small business tax concessions have been the main contributor to the increase in the Commission’s estimates of total industry assistance this year through lower tax rates and more generous depreciation arrangements. These are treated as assistance because they give preferential treatment to some business and not others. If the measures persist</w:t>
            </w:r>
            <w:r w:rsidRPr="00AC6293">
              <w:t xml:space="preserve"> over time</w:t>
            </w:r>
            <w:r>
              <w:t>, they</w:t>
            </w:r>
            <w:r w:rsidRPr="00AC6293">
              <w:t xml:space="preserve"> will skew growth and investment artificially</w:t>
            </w:r>
            <w:r>
              <w:t>.</w:t>
            </w:r>
            <w:r w:rsidRPr="00AC6293">
              <w:t xml:space="preserve"> </w:t>
            </w:r>
            <w:r>
              <w:t xml:space="preserve">However, </w:t>
            </w:r>
            <w:r w:rsidR="0055201A">
              <w:t>was the lower tax rate</w:t>
            </w:r>
            <w:r>
              <w:t xml:space="preserve"> also to be enacted for large companies, then this component would not be treated as assistance in future </w:t>
            </w:r>
            <w:r w:rsidRPr="002448E3">
              <w:rPr>
                <w:i/>
              </w:rPr>
              <w:t>Reviews</w:t>
            </w:r>
            <w:r>
              <w:t>.</w:t>
            </w:r>
            <w:r w:rsidDel="00247F07">
              <w:t xml:space="preserve"> </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The </w:t>
      </w:r>
      <w:r w:rsidRPr="00C67896">
        <w:rPr>
          <w:i/>
        </w:rPr>
        <w:t>Trade &amp; Assistance Review</w:t>
      </w:r>
      <w:r>
        <w:t xml:space="preserve"> selectively reports on recent developments in industry assistance, particularly with a focus on announcements of prospective assistance that in time may be included in the Commissions’ measured assistance (chapter 2). Notable developments in industry assistance this year include:</w:t>
      </w:r>
    </w:p>
    <w:p w:rsidR="00745FEA" w:rsidRDefault="00745FEA" w:rsidP="00745FEA">
      <w:pPr>
        <w:pStyle w:val="ListBullet"/>
      </w:pPr>
      <w:r>
        <w:t>the $5 billion Northern Australia Infrastructure Facility</w:t>
      </w:r>
    </w:p>
    <w:p w:rsidR="00745FEA" w:rsidRDefault="00745FEA" w:rsidP="00745FEA">
      <w:pPr>
        <w:pStyle w:val="ListBullet"/>
      </w:pPr>
      <w:r>
        <w:t>the $4 billion Defence Export Strategy, including $3.8 billion for a Defence Export Facility to be administered by the Export Finance and Insurance Corporation</w:t>
      </w:r>
    </w:p>
    <w:p w:rsidR="00745FEA" w:rsidRDefault="00745FEA" w:rsidP="00745FEA">
      <w:pPr>
        <w:pStyle w:val="ListBullet"/>
      </w:pPr>
      <w:r>
        <w:t>the $2 billion National Water Infrastructure Loan Facility and a new $2 billion farm business concessional loan scheme to be delivered through the Regional Investment Corporation</w:t>
      </w:r>
    </w:p>
    <w:p w:rsidR="00745FEA" w:rsidRDefault="00745FEA" w:rsidP="00745FEA">
      <w:pPr>
        <w:pStyle w:val="ListBullet"/>
      </w:pPr>
      <w:r>
        <w:t>the Australian Domestic Gas Security Mechanism and Gas Acceleration Program</w:t>
      </w:r>
    </w:p>
    <w:p w:rsidR="00745FEA" w:rsidRDefault="00745FEA" w:rsidP="00745FEA">
      <w:pPr>
        <w:pStyle w:val="ListBullet"/>
      </w:pPr>
      <w:r>
        <w:t>lower taxes for small business, totalling around $2.75 billion in 2016</w:t>
      </w:r>
      <w:r>
        <w:noBreakHyphen/>
        <w:t xml:space="preserve">17 (including lower tax rates, offsets and accelerated depreciation) and projected to grow </w:t>
      </w:r>
    </w:p>
    <w:p w:rsidR="00745FEA" w:rsidRDefault="00745FEA" w:rsidP="00745FEA">
      <w:pPr>
        <w:pStyle w:val="ListBullet"/>
      </w:pPr>
      <w:r>
        <w:t>recommendations by a Parliamentary Committee to expand assistance for the film and television industry.</w:t>
      </w:r>
    </w:p>
    <w:p w:rsidR="00745FEA" w:rsidRDefault="00745FEA" w:rsidP="00745FEA">
      <w:pPr>
        <w:pStyle w:val="Heading2"/>
      </w:pPr>
      <w:bookmarkStart w:id="38" w:name="_Toc511745374"/>
      <w:r>
        <w:t>4.</w:t>
      </w:r>
      <w:r>
        <w:rPr>
          <w:noProof/>
        </w:rPr>
        <w:t>1</w:t>
      </w:r>
      <w:r>
        <w:tab/>
        <w:t>The Northern Australia Infrastructure Facility</w:t>
      </w:r>
      <w:bookmarkEnd w:id="38"/>
    </w:p>
    <w:p w:rsidR="00745FEA" w:rsidRDefault="00745FEA" w:rsidP="00745FEA">
      <w:pPr>
        <w:pStyle w:val="BodyText"/>
      </w:pPr>
      <w:r>
        <w:t xml:space="preserve">The </w:t>
      </w:r>
      <w:r w:rsidRPr="00EC0499">
        <w:rPr>
          <w:i/>
        </w:rPr>
        <w:t xml:space="preserve">Northern Australia Infrastructure Facility </w:t>
      </w:r>
      <w:r w:rsidRPr="00511503">
        <w:t>(NAIF)</w:t>
      </w:r>
      <w:r w:rsidRPr="00EC0499">
        <w:rPr>
          <w:i/>
        </w:rPr>
        <w:t xml:space="preserve"> Act 2016</w:t>
      </w:r>
      <w:r>
        <w:t xml:space="preserve"> was passed by the Commonwealth Parliament on 3 May 2016. As discussed in the 2015</w:t>
      </w:r>
      <w:r>
        <w:noBreakHyphen/>
        <w:t xml:space="preserve">16 </w:t>
      </w:r>
      <w:r w:rsidRPr="009E6637">
        <w:rPr>
          <w:i/>
        </w:rPr>
        <w:t>Trade and Assistance Review</w:t>
      </w:r>
      <w:r>
        <w:t>, the NAIF offers up to $5 billion over five years in concessional finance for the construction of Northern Australian economic infrastructure. Decision making on whether to providing funding in support of a particular project is made by the NAIF Board under the condition that funding would not be provided were a state or territory government to recommend that the project not go ahead, and subject to a veto by the relevant Commonwealth minister.</w:t>
      </w:r>
    </w:p>
    <w:p w:rsidR="00745FEA" w:rsidRDefault="00745FEA" w:rsidP="00745FEA">
      <w:pPr>
        <w:pStyle w:val="BodyText"/>
      </w:pPr>
      <w:r>
        <w:t>The NAIF Board has been given an investment mandate in the form of a ministerial direction. The investment mandate requires that the Board, in making investment decisions, will</w:t>
      </w:r>
      <w:r w:rsidRPr="000258DB">
        <w:t xml:space="preserve"> </w:t>
      </w:r>
      <w:r>
        <w:t>only provide financial assistance if it is satisfied that:</w:t>
      </w:r>
    </w:p>
    <w:p w:rsidR="00745FEA" w:rsidRDefault="00745FEA" w:rsidP="00745FEA">
      <w:pPr>
        <w:pStyle w:val="ListBullet"/>
      </w:pPr>
      <w:r>
        <w:t>the project would not otherwise have received sufficient financing from other financiers</w:t>
      </w:r>
    </w:p>
    <w:p w:rsidR="00745FEA" w:rsidRDefault="00745FEA" w:rsidP="00745FEA">
      <w:pPr>
        <w:pStyle w:val="ListBullet"/>
      </w:pPr>
      <w:r>
        <w:t>there is an expectation that the Commonwealth will be repaid, or that the investment can be refinanced</w:t>
      </w:r>
    </w:p>
    <w:p w:rsidR="00745FEA" w:rsidRDefault="00745FEA" w:rsidP="00745FEA">
      <w:pPr>
        <w:pStyle w:val="ListBullet"/>
      </w:pPr>
      <w:r>
        <w:t>that any return will cover at least the Facility’s administrative costs and the Commonwealth’s cost of borrowing.</w:t>
      </w:r>
    </w:p>
    <w:p w:rsidR="00745FEA" w:rsidRDefault="00745FEA" w:rsidP="00745FEA">
      <w:pPr>
        <w:pStyle w:val="BodyText"/>
      </w:pPr>
      <w:r>
        <w:t>Within these parameters, the Board is able to agree a level of concessionality sufficient for the project to proceed. Compared with commercial financiers, this may include longer terms, lower interest rates and fee structures, deferred repayments and a lower ranking in the event of liquidation.</w:t>
      </w:r>
    </w:p>
    <w:p w:rsidR="00745FEA" w:rsidRDefault="00745FEA" w:rsidP="00745FEA">
      <w:pPr>
        <w:pStyle w:val="BodyText"/>
      </w:pPr>
      <w:r>
        <w:t xml:space="preserve">The Board has developed a Risk Appetite Statement as a guide to its investment decisions, which has not been made public. The investment mandate provides that the Board may have a high tolerance for risks unique to investing in Northern Australian infrastructure, such as distance, remoteness and climate. </w:t>
      </w:r>
    </w:p>
    <w:p w:rsidR="00745FEA" w:rsidRDefault="00745FEA" w:rsidP="00745FEA">
      <w:pPr>
        <w:pStyle w:val="BodyText"/>
      </w:pPr>
      <w:r>
        <w:t xml:space="preserve">There has been significant interest in the governance of the NAIF. On 14 June 2017, the Senate referred an inquiry into the governance and operation of the NAIF to the Senate Economics References Committee for inquiry and report by 7 December 2017 (subsequently extended to 24 April 2018). The Committee is considering the adequacy and transparency of NAIF’s governance framework, including project assessment, risk appetite, public interest tests used and a range of other matters. </w:t>
      </w:r>
    </w:p>
    <w:p w:rsidR="00745FEA" w:rsidRDefault="00745FEA" w:rsidP="00745FEA">
      <w:pPr>
        <w:pStyle w:val="BodyText"/>
      </w:pPr>
      <w:r>
        <w:t>The NAIF has ambitious early targets to fund 3 to 5 projects in 2017</w:t>
      </w:r>
      <w:r>
        <w:noBreakHyphen/>
        <w:t xml:space="preserve">18 worth up to $1 billion </w:t>
      </w:r>
      <w:r w:rsidRPr="004459ED">
        <w:rPr>
          <w:szCs w:val="24"/>
        </w:rPr>
        <w:t>(NAIF 2017, p. 14)</w:t>
      </w:r>
      <w:r>
        <w:t xml:space="preserve">; a risk here is whether suitable projects can be identified and scrutinised so rapidly. As at February 2018 NAIF had received 194 project enquiries across a range of sectors — energy (23 per cent), transport (22 per cent), resources (18 per cent), agriculture and manufacturing (16 per cent), and other (21 per cent) </w:t>
      </w:r>
      <w:r w:rsidRPr="004459ED">
        <w:rPr>
          <w:szCs w:val="24"/>
        </w:rPr>
        <w:t>(NAIF 2018b)</w:t>
      </w:r>
      <w:r>
        <w:t>. Of these enquiries, 82 remain active including 17 projects in due diligence and execution phases. It has approved one project so far, agreeing to provide $16.8 million towards development of the $125 million Onslow Marine Support Base (box 4.1).</w:t>
      </w:r>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pPr>
              <w:pStyle w:val="BoxTitle"/>
            </w:pPr>
            <w:r>
              <w:rPr>
                <w:b w:val="0"/>
              </w:rPr>
              <w:t>Box 4.</w:t>
            </w:r>
            <w:r>
              <w:rPr>
                <w:b w:val="0"/>
                <w:noProof/>
              </w:rPr>
              <w:t>1</w:t>
            </w:r>
            <w:r>
              <w:tab/>
            </w:r>
            <w:r w:rsidRPr="005238B6">
              <w:t xml:space="preserve">Onslow Marine Support Base, Western Australia </w:t>
            </w:r>
            <w:r>
              <w:t>title</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 xml:space="preserve">On 29 September 2017, the NAIF Board offered a $16.8 million loan to Onslow Marine Support Base Pty Ltd to develop a marine supply facility at Beadon Creek, Western Australia. The marine supply facility will provide supply and support services for onshore and offshore businesses such as logistics, fuel suppliers, waste management, and construction and maintenance companies in the Carnarvon Basin </w:t>
            </w:r>
            <w:r w:rsidRPr="004459ED">
              <w:rPr>
                <w:rFonts w:cs="Arial"/>
                <w:szCs w:val="24"/>
              </w:rPr>
              <w:t>(NAIF 2018a)</w:t>
            </w:r>
            <w:r>
              <w:t>.</w:t>
            </w:r>
          </w:p>
          <w:p w:rsidR="00745FEA" w:rsidRDefault="00745FEA" w:rsidP="00745FEA">
            <w:pPr>
              <w:pStyle w:val="Box"/>
            </w:pPr>
            <w:r>
              <w:t>The NAIF loan is financing Stage 2 (capital dredging). The privately funded stage one of the project involved the construction of a berth pocket in Beadon Creek to form a land</w:t>
            </w:r>
            <w:r>
              <w:noBreakHyphen/>
              <w:t xml:space="preserve">based wharf facility. The Western Australian Government assisted the project by providing improved infrastructure such as roads, services and a laydown area </w:t>
            </w:r>
            <w:r w:rsidRPr="004459ED">
              <w:rPr>
                <w:rFonts w:cs="Arial"/>
                <w:szCs w:val="24"/>
              </w:rPr>
              <w:t>(Saffioti 2017)</w:t>
            </w:r>
            <w:r>
              <w:t>. The CEO of the NAIF reported that there is a forecasted direct economic benefit of over $100 million and more than 220 job opportunities over the 10</w:t>
            </w:r>
            <w:r>
              <w:noBreakHyphen/>
              <w:t xml:space="preserve">year life of NAIF’s loan </w:t>
            </w:r>
            <w:r w:rsidRPr="004459ED">
              <w:rPr>
                <w:rFonts w:cs="Arial"/>
                <w:szCs w:val="24"/>
              </w:rPr>
              <w:t>(Walker 2018)</w:t>
            </w:r>
            <w:r>
              <w:t>.</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2"/>
      </w:pPr>
      <w:bookmarkStart w:id="39" w:name="_Toc511745375"/>
      <w:r>
        <w:t>4.</w:t>
      </w:r>
      <w:r>
        <w:rPr>
          <w:noProof/>
        </w:rPr>
        <w:t>2</w:t>
      </w:r>
      <w:r>
        <w:tab/>
        <w:t>The Defence Export Strategy</w:t>
      </w:r>
      <w:bookmarkEnd w:id="39"/>
    </w:p>
    <w:p w:rsidR="00745FEA" w:rsidRDefault="00745FEA" w:rsidP="00745FEA">
      <w:pPr>
        <w:pStyle w:val="BodyText"/>
      </w:pPr>
      <w:r>
        <w:t xml:space="preserve">In January 2018, the Australian Government released a Defence Export Strategy (Department of Defence 2018). The stated intent of the strategy is to strengthen the partnership between the Australian Government and defence manufacturing industry to pursue export opportunities, sustain industrial capabilities through peaks and troughs of Australian Government demand, support innovation and productivity in the industry and maintain Australian Defence Force capability. </w:t>
      </w:r>
    </w:p>
    <w:p w:rsidR="00745FEA" w:rsidRDefault="00745FEA" w:rsidP="00745FEA">
      <w:pPr>
        <w:pStyle w:val="BodyText"/>
      </w:pPr>
      <w:r>
        <w:t xml:space="preserve">The Strategy includes: </w:t>
      </w:r>
    </w:p>
    <w:p w:rsidR="00745FEA" w:rsidRDefault="00745FEA" w:rsidP="00745FEA">
      <w:pPr>
        <w:pStyle w:val="ListBullet"/>
      </w:pPr>
      <w:r>
        <w:t>$20 million in additional annual funding from 2018</w:t>
      </w:r>
      <w:r>
        <w:noBreakHyphen/>
        <w:t>19 including to establish the Australian Defence Export Office, develop strategic multi</w:t>
      </w:r>
      <w:r>
        <w:noBreakHyphen/>
        <w:t>year export campaigns ($6.3 million), expand the existing Global Supply Chain program ($3.2 million), and grants to help build the capability of SMEs to compete internationally ($4.1 million).</w:t>
      </w:r>
    </w:p>
    <w:p w:rsidR="00745FEA" w:rsidRDefault="00745FEA" w:rsidP="00745FEA">
      <w:pPr>
        <w:pStyle w:val="ListBullet"/>
      </w:pPr>
      <w:r>
        <w:t>$3.8 billion for a Defence Export Facility administered by the Export Finance and Insurance Corporation (Efic).</w:t>
      </w:r>
    </w:p>
    <w:p w:rsidR="00745FEA" w:rsidRDefault="00745FEA" w:rsidP="00745FEA">
      <w:pPr>
        <w:pStyle w:val="BodyText"/>
      </w:pPr>
      <w:r>
        <w:t>The Strategy estimated that Australia’s current defence exports were between $1.5 billion and $2.5 billion, with about half being to the United States, the United Kingdom, Canada and New Zealand (box 4.2).</w:t>
      </w:r>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pPr>
              <w:pStyle w:val="BoxTitle"/>
            </w:pPr>
            <w:r>
              <w:rPr>
                <w:b w:val="0"/>
              </w:rPr>
              <w:t>Box 4.</w:t>
            </w:r>
            <w:r>
              <w:rPr>
                <w:b w:val="0"/>
                <w:noProof/>
              </w:rPr>
              <w:t>2</w:t>
            </w:r>
            <w:r>
              <w:tab/>
              <w:t>Australian defence exports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 xml:space="preserve">A goal of the Defence Export Strategy is for Australia to become a top ten global exporter of defence equipment. </w:t>
            </w:r>
          </w:p>
          <w:p w:rsidR="00745FEA" w:rsidRDefault="00745FEA" w:rsidP="00745FEA">
            <w:pPr>
              <w:pStyle w:val="Box"/>
            </w:pPr>
            <w:r>
              <w:t xml:space="preserve">While there are no definitive statistics on Australia’s defence exports, the Department of Defence estimates that Australia’s defence industry is currently exporting somewhere between $1.5 billion and $2.5 billion </w:t>
            </w:r>
            <w:r w:rsidRPr="004459ED">
              <w:rPr>
                <w:rFonts w:cs="Arial"/>
                <w:szCs w:val="24"/>
              </w:rPr>
              <w:t>(DoD 2018, p. 34)</w:t>
            </w:r>
            <w:r>
              <w:t xml:space="preserve">. </w:t>
            </w:r>
          </w:p>
          <w:p w:rsidR="00745FEA" w:rsidRDefault="00745FEA" w:rsidP="00745FEA">
            <w:pPr>
              <w:pStyle w:val="Box"/>
              <w:rPr>
                <w:rFonts w:ascii="Times New Roman" w:hAnsi="Times New Roman"/>
                <w:sz w:val="24"/>
                <w:szCs w:val="24"/>
              </w:rPr>
            </w:pPr>
            <w:r>
              <w:t>The lower estimate is based on data from export permits for 2016. Such permits are required for exports of certain defence products under Australia’s Defence Export Controls. There has been consistent growth in export permits for military goods, with the value of permits issued increasing by an average 44 per cent annually over between 2013 and 2016. Over the three years to 2016, nearly half of the permits issued were for export to the United States, the United Kingdom, Canada and New Zealand. The Indo</w:t>
            </w:r>
            <w:r>
              <w:noBreakHyphen/>
              <w:t>Pacific region was Australia’s second largest destination market, with over a quarter of the value of the permits.</w:t>
            </w:r>
          </w:p>
          <w:p w:rsidR="00745FEA" w:rsidRDefault="00745FEA" w:rsidP="00745FEA">
            <w:pPr>
              <w:pStyle w:val="Box"/>
            </w:pPr>
            <w:r>
              <w:t>The Department of Defence also noted that there were around 2700 businesses in Australia’s defence industrial base. Research undertaken to support the development of the Defence Industrial Capability Plan revealed that those businesses reported a total of $7.65 billion dollars of exports in 2013</w:t>
            </w:r>
            <w:r>
              <w:noBreakHyphen/>
              <w:t xml:space="preserve">14. Only a fraction of these exports are of defence materiel, but on the basis of this information, the Department of Defence estimated that defence exports might amount to as much as $2.5 billion </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The rationale given for the finance facility is a potential ‘market gap’ in private finance for defence exports </w:t>
      </w:r>
      <w:r w:rsidRPr="004459ED">
        <w:rPr>
          <w:szCs w:val="24"/>
        </w:rPr>
        <w:t>(DoD 2018, p. 71)</w:t>
      </w:r>
      <w:r>
        <w:t xml:space="preserve">. The policy will expand Efic’s balance sheet with a dedicated mechanism for defence export finance to be written on its ‘National Interest Account’, meaning that risks will be borne by the Commonwealth. The National Interest Account allows Efic to undertake transactions that would normally be too large or have risks that would be imprudent to accept on their Commercial Account. The Australian Government expects that National Interest Account transactions are normally on a commercial basis </w:t>
      </w:r>
      <w:r w:rsidRPr="004459ED">
        <w:rPr>
          <w:szCs w:val="24"/>
        </w:rPr>
        <w:t>(Ciobo 2017)</w:t>
      </w:r>
      <w:r>
        <w:t>.</w:t>
      </w:r>
    </w:p>
    <w:p w:rsidR="00745FEA" w:rsidRDefault="00745FEA" w:rsidP="00745FEA">
      <w:pPr>
        <w:pStyle w:val="Heading2"/>
      </w:pPr>
      <w:bookmarkStart w:id="40" w:name="_Toc511745376"/>
      <w:r>
        <w:t>4.</w:t>
      </w:r>
      <w:r>
        <w:rPr>
          <w:noProof/>
        </w:rPr>
        <w:t>3</w:t>
      </w:r>
      <w:r>
        <w:tab/>
        <w:t>A new farm concessional loan scheme and water infrastructure facility</w:t>
      </w:r>
      <w:bookmarkEnd w:id="40"/>
    </w:p>
    <w:p w:rsidR="00745FEA" w:rsidRDefault="00745FEA" w:rsidP="00745FEA">
      <w:pPr>
        <w:pStyle w:val="BodyText"/>
      </w:pPr>
      <w:r>
        <w:t xml:space="preserve">In May 2017, the Australian Government announced that it would establish a Regional Investment Corporation (RIC) to deliver up to $2 billion in farm business concessional loans and the $2 billion National Water Infrastructure Loan Facility </w:t>
      </w:r>
      <w:r w:rsidRPr="004459ED">
        <w:rPr>
          <w:szCs w:val="24"/>
        </w:rPr>
        <w:t>(</w:t>
      </w:r>
      <w:r w:rsidR="009D1112">
        <w:rPr>
          <w:szCs w:val="24"/>
        </w:rPr>
        <w:t xml:space="preserve">Turnbull and </w:t>
      </w:r>
      <w:r w:rsidRPr="004459ED">
        <w:rPr>
          <w:szCs w:val="24"/>
        </w:rPr>
        <w:t>Joyce 2017)</w:t>
      </w:r>
      <w:r>
        <w:t xml:space="preserve"> The RIC will be located in Orange </w:t>
      </w:r>
      <w:r w:rsidRPr="004459ED">
        <w:rPr>
          <w:szCs w:val="24"/>
        </w:rPr>
        <w:t>(Joyce 2017)</w:t>
      </w:r>
      <w:r>
        <w:t xml:space="preserve">. Legislation to establish the RIC was passed in February 2018, making it a Commonwealth corporate entity with an independent board. The May 2017 Budget earmarked $28.5 million for the RIC’s administrative establishment </w:t>
      </w:r>
      <w:r w:rsidRPr="004459ED">
        <w:rPr>
          <w:szCs w:val="24"/>
        </w:rPr>
        <w:t>(Australian Government 2017)</w:t>
      </w:r>
      <w:r>
        <w:t>.</w:t>
      </w:r>
    </w:p>
    <w:p w:rsidR="00745FEA" w:rsidRDefault="00745FEA" w:rsidP="00745FEA">
      <w:pPr>
        <w:pStyle w:val="BodyText"/>
      </w:pPr>
      <w:r>
        <w:t xml:space="preserve">In establishing the RIC, the Australian Government aimed to deliver concessional loans in a nationally consistent manner and to identify and implement efficiencies to streamline delivery of loans. The RIC replaces the previous arrangement by which state and territory governments, and their respective delivery agencies, separately delivered loan schemes on behalf of the Commonwealth. The </w:t>
      </w:r>
      <w:r w:rsidRPr="009C02BB">
        <w:rPr>
          <w:i/>
        </w:rPr>
        <w:t>Regional Investment Corporation Act 2018</w:t>
      </w:r>
      <w:r>
        <w:t xml:space="preserve"> provides that the RIC will determine the terms and conditions on which farm business loans are provided within classes of loans established by Ministerial direction. The RIC will also advise the Commonwealth Minister about water infrastructure projects.</w:t>
      </w:r>
    </w:p>
    <w:p w:rsidR="00745FEA" w:rsidRDefault="00745FEA" w:rsidP="00745FEA">
      <w:pPr>
        <w:pStyle w:val="Heading3"/>
      </w:pPr>
      <w:r>
        <w:t>The design of the new farm concessional loan scheme</w:t>
      </w:r>
    </w:p>
    <w:p w:rsidR="00745FEA" w:rsidRDefault="00745FEA" w:rsidP="00745FEA">
      <w:pPr>
        <w:pStyle w:val="BodyText"/>
      </w:pPr>
      <w:r>
        <w:t>The design of the scheme has not yet been announced. The intent is to ‘support the long</w:t>
      </w:r>
      <w:r>
        <w:noBreakHyphen/>
        <w:t xml:space="preserve">term strength, resilience and profitability of Australian farms’ </w:t>
      </w:r>
      <w:r w:rsidRPr="004459ED">
        <w:rPr>
          <w:szCs w:val="24"/>
        </w:rPr>
        <w:t>(DAWG 2017c, p. 1)</w:t>
      </w:r>
      <w:r>
        <w:t>. Loans are to be focused on farm businesses in financial need that are considered viable in the long term. A discussion paper was circulated in October 2017 seeking public feedback on key loan settings including what characterises ‘financial need’ and ‘viability’, what evidence could be used to demonstrate eligibility, and what should be considered as eligible loan uses. The discussion paper suggests that eligibility may be broader than the existing concessional loan schemes (box 4.3).</w:t>
      </w:r>
    </w:p>
    <w:p w:rsidR="00745FEA" w:rsidRDefault="00745FEA" w:rsidP="00745FEA">
      <w:pPr>
        <w:pStyle w:val="Quote"/>
      </w:pPr>
      <w:r>
        <w:t xml:space="preserve">[T]he new scheme will now help farm businesses build and maintain diversity in the markets they supply and take advantage of new and emerging opportunities across Australia and overseas. This means loans will be targeted to farm businesses that mainly supply, or intend to supply, products into supply chains that are interstate or overseas. This is in addition to loans continuing to be available to help farm businesses prepare for, manage through, and recover from periods of drought. </w:t>
      </w:r>
      <w:r w:rsidRPr="004459ED">
        <w:rPr>
          <w:szCs w:val="24"/>
        </w:rPr>
        <w:t>(DAWG 2017c, p. 1)</w:t>
      </w:r>
    </w:p>
    <w:p w:rsidR="00745FEA" w:rsidRDefault="00745FEA" w:rsidP="00745FEA">
      <w:pPr>
        <w:pStyle w:val="Quote"/>
      </w:pPr>
      <w:r>
        <w:t xml:space="preserve">Farmers are in the best position to decide what loan uses are likely to be most beneficial for their individual business. We anticipate that, where possible, loans will be available for a broad range of purposes under the RIC’s new scheme to help farm businesses improve their strength, resilience and profitability. </w:t>
      </w:r>
      <w:r w:rsidRPr="004459ED">
        <w:rPr>
          <w:szCs w:val="24"/>
        </w:rPr>
        <w:t>(DAWG 2017c, p. 3)</w:t>
      </w:r>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pPr>
              <w:pStyle w:val="BoxTitle"/>
            </w:pPr>
            <w:r>
              <w:rPr>
                <w:b w:val="0"/>
              </w:rPr>
              <w:t>Box 4.</w:t>
            </w:r>
            <w:r>
              <w:rPr>
                <w:b w:val="0"/>
                <w:noProof/>
              </w:rPr>
              <w:t>3</w:t>
            </w:r>
            <w:r>
              <w:tab/>
            </w:r>
            <w:r w:rsidRPr="005238B6">
              <w:t>Current and previous farm concessional loan schemes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There have been a number of changes to farm finance assistance over the past decade. The long</w:t>
            </w:r>
            <w:r>
              <w:noBreakHyphen/>
              <w:t xml:space="preserve">running Exceptional Circumstances Interest Rate Subsidy (ECIRS) provided business support to farms that were considered to be viable in the long term, but were in financial difficulties due to an exceptional event. This program was reviewed a number of times, including by the </w:t>
            </w:r>
            <w:r w:rsidRPr="004459ED">
              <w:rPr>
                <w:rFonts w:cs="Arial"/>
                <w:szCs w:val="24"/>
              </w:rPr>
              <w:t>(PC 2009)</w:t>
            </w:r>
            <w:r>
              <w:t>. Those reviews found that the scheme, in providing concessional interest rates, created a number of perverse incentives and unintended outcomes that made it ineffective in achieving its stated objective of building farmers’ self</w:t>
            </w:r>
            <w:r>
              <w:noBreakHyphen/>
              <w:t>reliance to manage climate variability and preparedness for droughts. These included:</w:t>
            </w:r>
          </w:p>
          <w:p w:rsidR="00745FEA" w:rsidRDefault="00745FEA" w:rsidP="00745FEA">
            <w:pPr>
              <w:pStyle w:val="BoxListBullet"/>
            </w:pPr>
            <w:r>
              <w:t>there was no evidence that farmers’ access to capital differed significantly from that faced by other small businesses and, in particular, given the average recipient had an equity level of over 80 per cent of asset value they would have been able to access commercial carry</w:t>
            </w:r>
            <w:r>
              <w:noBreakHyphen/>
              <w:t xml:space="preserve">on finance in the event of a drought </w:t>
            </w:r>
          </w:p>
          <w:p w:rsidR="00745FEA" w:rsidRDefault="00745FEA" w:rsidP="00745FEA">
            <w:pPr>
              <w:pStyle w:val="BoxListBullet"/>
            </w:pPr>
            <w:r>
              <w:t>it</w:t>
            </w:r>
            <w:r w:rsidDel="00874092">
              <w:t xml:space="preserve"> </w:t>
            </w:r>
            <w:r>
              <w:t>provided a windfall gain to farms receiving the subsidy and an unjustifiable competitive advantage to recipient farmers compared with non</w:t>
            </w:r>
            <w:r>
              <w:noBreakHyphen/>
              <w:t>recipients</w:t>
            </w:r>
          </w:p>
          <w:p w:rsidR="00745FEA" w:rsidRDefault="00745FEA" w:rsidP="00745FEA">
            <w:pPr>
              <w:pStyle w:val="BoxListBullet"/>
            </w:pPr>
            <w:r>
              <w:t>it</w:t>
            </w:r>
            <w:r w:rsidDel="00874092">
              <w:t xml:space="preserve"> </w:t>
            </w:r>
            <w:r>
              <w:t>created an incentive to build debt or not reduce debt</w:t>
            </w:r>
          </w:p>
          <w:p w:rsidR="00745FEA" w:rsidRDefault="00745FEA" w:rsidP="00745FEA">
            <w:pPr>
              <w:pStyle w:val="BoxListBullet"/>
            </w:pPr>
            <w:r>
              <w:t>the value of the subsidy may have been capitalised into farm prices creating a barrier to entry of new farmers who wish to purchase land</w:t>
            </w:r>
          </w:p>
          <w:p w:rsidR="00745FEA" w:rsidRDefault="00745FEA" w:rsidP="00745FEA">
            <w:pPr>
              <w:pStyle w:val="BoxListBullet"/>
            </w:pPr>
            <w:r>
              <w:t>it may have created a disincentive to diversify income sources off</w:t>
            </w:r>
            <w:r>
              <w:noBreakHyphen/>
              <w:t>farm.</w:t>
            </w:r>
          </w:p>
          <w:p w:rsidR="00745FEA" w:rsidRDefault="00745FEA" w:rsidP="00745FEA">
            <w:pPr>
              <w:pStyle w:val="Box"/>
            </w:pPr>
            <w:r>
              <w:t>For these reasons, the ECIRS was closed on 30 June 2012. In July 2014, a Farm Household Allowance was introduced to provide support to households in financial hardship. It provides support normally at the standard Newstart rate, but with an asset test designed to suit farming households and a maximum eligibility of three years.</w:t>
            </w:r>
          </w:p>
          <w:p w:rsidR="00745FEA" w:rsidRDefault="00745FEA" w:rsidP="00745FEA">
            <w:pPr>
              <w:pStyle w:val="Box"/>
            </w:pPr>
            <w:r>
              <w:t xml:space="preserve">Since 2013, a number of concessional loan schemes have been introduced. Loans are available for up to $1 million for a maximum of 10 years at a variable concessional interest rate, currently 3.09 per cent (as at 1 February 2018). There are currently loans available under three schemes: </w:t>
            </w:r>
          </w:p>
          <w:p w:rsidR="00745FEA" w:rsidRDefault="00745FEA" w:rsidP="00745FEA">
            <w:pPr>
              <w:pStyle w:val="BoxListBullet"/>
            </w:pPr>
            <w:r>
              <w:t>Business Improvement Concessional loans</w:t>
            </w:r>
            <w:r w:rsidDel="00367D03">
              <w:t xml:space="preserve"> </w:t>
            </w:r>
            <w:r>
              <w:t>to assist with debt restructuring for farming families that have exhausted access to the Farm Household Allowance (from 1 July 2017).</w:t>
            </w:r>
          </w:p>
          <w:p w:rsidR="00745FEA" w:rsidRDefault="00745FEA" w:rsidP="00745FEA">
            <w:pPr>
              <w:pStyle w:val="BoxListBullet"/>
            </w:pPr>
            <w:r>
              <w:t>Dairy Recovery Concessional Loans for viable dairy farm businesses affected by the 2016 reductions in farm gate milk prices.</w:t>
            </w:r>
          </w:p>
          <w:p w:rsidR="00745FEA" w:rsidRDefault="00745FEA" w:rsidP="00745FEA">
            <w:pPr>
              <w:pStyle w:val="BoxListBullet"/>
            </w:pPr>
            <w:r>
              <w:t>Drought Assistance Concessional Loans for viable farms that are experiencing financial difficulty due to the effects of drought.</w:t>
            </w:r>
          </w:p>
          <w:p w:rsidR="00745FEA" w:rsidRDefault="00745FEA" w:rsidP="00745FEA">
            <w:pPr>
              <w:pStyle w:val="Box"/>
            </w:pPr>
            <w:r>
              <w:t xml:space="preserve">At 30 June 2017, the balance of these concessional loans was </w:t>
            </w:r>
            <w:r w:rsidRPr="009E6637">
              <w:rPr>
                <w:bCs/>
              </w:rPr>
              <w:t>$696.5 million</w:t>
            </w:r>
            <w:r>
              <w:rPr>
                <w:bCs/>
              </w:rPr>
              <w:t xml:space="preserve"> </w:t>
            </w:r>
            <w:r w:rsidRPr="004459ED">
              <w:rPr>
                <w:rFonts w:cs="Arial"/>
                <w:szCs w:val="24"/>
              </w:rPr>
              <w:t>(DAWG 2017a, p. 155)</w:t>
            </w:r>
            <w:r>
              <w:rPr>
                <w:bCs/>
              </w:rPr>
              <w:t xml:space="preserve">. </w:t>
            </w:r>
            <w:r>
              <w:t>There has been no public review of the effectiveness of these schemes.</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BA33CF">
      <w:pPr>
        <w:pStyle w:val="Heading3"/>
        <w:spacing w:before="120"/>
      </w:pPr>
      <w:r>
        <w:t>National Water Infrastructure Loan Facility</w:t>
      </w:r>
    </w:p>
    <w:p w:rsidR="00745FEA" w:rsidRDefault="00745FEA" w:rsidP="00745FEA">
      <w:pPr>
        <w:pStyle w:val="BodyText"/>
      </w:pPr>
      <w:r>
        <w:t>The $2 billion National Water Infrastructure Loan Facility (NWILF) will provide concessional loans to co</w:t>
      </w:r>
      <w:r>
        <w:noBreakHyphen/>
        <w:t>fund the construction of water infrastructure to support irrigated agriculture and regional industry. This may include dams, weirs, pipelines, aquifer recharge, water treatment and reuse.</w:t>
      </w:r>
      <w:r w:rsidRPr="0030190E">
        <w:rPr>
          <w:rStyle w:val="FootnoteReference"/>
        </w:rPr>
        <w:footnoteReference w:id="22"/>
      </w:r>
      <w:r>
        <w:t xml:space="preserve"> </w:t>
      </w:r>
    </w:p>
    <w:p w:rsidR="00745FEA" w:rsidRDefault="00745FEA" w:rsidP="00745FEA">
      <w:pPr>
        <w:pStyle w:val="BodyText"/>
      </w:pPr>
      <w:r>
        <w:t xml:space="preserve">The stated investment priorities are </w:t>
      </w:r>
      <w:r w:rsidRPr="004459ED">
        <w:rPr>
          <w:szCs w:val="24"/>
        </w:rPr>
        <w:t>(DAWG 2017b, p. 3)</w:t>
      </w:r>
      <w:r>
        <w:t xml:space="preserve"> for water infrastructure that, if developed, will provide affordable and secure water supplies to support the growth of regional economies and that:</w:t>
      </w:r>
    </w:p>
    <w:p w:rsidR="00745FEA" w:rsidRDefault="00745FEA" w:rsidP="00745FEA">
      <w:pPr>
        <w:pStyle w:val="ListBullet"/>
      </w:pPr>
      <w:r>
        <w:t>is economically viable over its proposed operational life</w:t>
      </w:r>
    </w:p>
    <w:p w:rsidR="00745FEA" w:rsidRDefault="00745FEA" w:rsidP="00745FEA">
      <w:pPr>
        <w:pStyle w:val="ListBullet"/>
      </w:pPr>
      <w:r>
        <w:t>is not for urban or potable use</w:t>
      </w:r>
    </w:p>
    <w:p w:rsidR="00745FEA" w:rsidRDefault="00745FEA" w:rsidP="00745FEA">
      <w:pPr>
        <w:pStyle w:val="ListBullet"/>
      </w:pPr>
      <w:r>
        <w:t>has at least a 51 per cent funding commitment approved by the relevant state government.</w:t>
      </w:r>
    </w:p>
    <w:p w:rsidR="00745FEA" w:rsidRDefault="00745FEA" w:rsidP="00745FEA">
      <w:pPr>
        <w:pStyle w:val="BodyText"/>
      </w:pPr>
      <w:r>
        <w:t xml:space="preserve">Preference is to be given to water storage infrastructure that delivers benefits to regional communities, rather than individuals or groups. Decisions are to be taken by the Commonwealth Minister for Infrastructure on advice from their department, an independent panel and the RIC. </w:t>
      </w:r>
    </w:p>
    <w:p w:rsidR="00745FEA" w:rsidRDefault="00745FEA" w:rsidP="00745FEA">
      <w:pPr>
        <w:pStyle w:val="BodyText"/>
      </w:pPr>
      <w:r>
        <w:t xml:space="preserve">Separately, a $500 million National Water Infrastructure Development Fund (NWIDF) has been established to provide funding for feasibility studies and direct capital contributions. Decisions are to be taken by the Commonwealth Minister for Infrastructure on advice from their department. </w:t>
      </w:r>
    </w:p>
    <w:p w:rsidR="00745FEA" w:rsidRDefault="00745FEA" w:rsidP="00745FEA">
      <w:pPr>
        <w:pStyle w:val="Heading2"/>
      </w:pPr>
      <w:bookmarkStart w:id="41" w:name="_Toc511745377"/>
      <w:r>
        <w:t>4.</w:t>
      </w:r>
      <w:r>
        <w:rPr>
          <w:noProof/>
        </w:rPr>
        <w:t>4</w:t>
      </w:r>
      <w:r>
        <w:tab/>
        <w:t>Domestic gas security and assistance</w:t>
      </w:r>
      <w:bookmarkEnd w:id="41"/>
    </w:p>
    <w:p w:rsidR="00745FEA" w:rsidRDefault="00745FEA" w:rsidP="00745FEA">
      <w:pPr>
        <w:pStyle w:val="BodyText"/>
      </w:pPr>
      <w:r>
        <w:t xml:space="preserve">On 20 June 2017, the Australian Government announced that it would implement the Australian Domestic Gas Security Mechanism (ADGSM) </w:t>
      </w:r>
      <w:r w:rsidRPr="004459ED">
        <w:rPr>
          <w:szCs w:val="24"/>
        </w:rPr>
        <w:t>(DIIR 2018c)</w:t>
      </w:r>
      <w:r>
        <w:t>. The objective of the ADGSM is to ensure there is a sufficient supply of natural gas to meet the forecast needs of Australian consumers. The ADGSM gives the Government the power, when there is a forecast shortfall in domestic supply, to require LNG producers that are drawing gas from the domestic market, to limit exports or find new offsetting sources of gas (Department of Industry 2018a). The ADGSM will sunset on 1 January 2023.</w:t>
      </w:r>
    </w:p>
    <w:p w:rsidR="00745FEA" w:rsidRDefault="00745FEA" w:rsidP="00745FEA">
      <w:pPr>
        <w:pStyle w:val="BodyText"/>
      </w:pPr>
      <w:r>
        <w:t xml:space="preserve">In reaching a decision as to whether a period has a forecast shortfall in domestic supply, the Minister can take advice from relevant gas market agencies. The Australian Energy Market Operator and the Australian Competition and Consumer Commission jointly forecast that the East Coast gas market is facing an expected shortfall of 54 petajoules in 2018 and 48 petajoules in 2019, while also noting the possibility that the shortfall could prove to be larger in both years </w:t>
      </w:r>
      <w:r w:rsidRPr="004459ED">
        <w:rPr>
          <w:szCs w:val="24"/>
        </w:rPr>
        <w:t>(ACCC 2017)</w:t>
      </w:r>
      <w:r>
        <w:t>.</w:t>
      </w:r>
    </w:p>
    <w:p w:rsidR="00745FEA" w:rsidRDefault="00745FEA" w:rsidP="00745FEA">
      <w:pPr>
        <w:pStyle w:val="BodyText"/>
      </w:pPr>
      <w:r>
        <w:t>Rather than activate the Mechanism, the Australian Government reached a Heads of Agreement with the LNG producers</w:t>
      </w:r>
      <w:r w:rsidRPr="00AD08BF">
        <w:t xml:space="preserve"> </w:t>
      </w:r>
      <w:r>
        <w:t>on 3 October 2017. In the Heads of Agreement, the LNG producers agreed that, to ensure the security of supply of gas to Australian users, they would offer sufficient gas to the domestic market on reasonable terms to meet the forecast supply shortfall in 2018 and 2019. This will assist domestic manufacturers and electricity generators. The LNG exporters’ compliance with these requirements will be monitored by reporting to the ACCC on sales, offers to sell, and bids declined.</w:t>
      </w:r>
    </w:p>
    <w:p w:rsidR="00745FEA" w:rsidRDefault="00745FEA" w:rsidP="00745FEA">
      <w:pPr>
        <w:pStyle w:val="BodyText"/>
      </w:pPr>
      <w:r>
        <w:t xml:space="preserve">The Australian Government has also committed $26 million to a Gas Acceleration Program (GAP) intended to accelerate the development of known onshore Australian gas resources in order to improve supplies to domestic gas consumers </w:t>
      </w:r>
      <w:r w:rsidRPr="004459ED">
        <w:rPr>
          <w:szCs w:val="24"/>
        </w:rPr>
        <w:t>(DIIR 2018a)</w:t>
      </w:r>
      <w:r>
        <w:t xml:space="preserve">. The GAP grant guidelines favour projects with the greatest likelihood of securing new and significant volumes of gas for domestic gas consumers within 36 months (30 June 2020). </w:t>
      </w:r>
      <w:r w:rsidRPr="004459ED">
        <w:rPr>
          <w:szCs w:val="24"/>
        </w:rPr>
        <w:t>(DIIR 2018b)</w:t>
      </w:r>
      <w:r>
        <w:t xml:space="preserve">. Successful applicants were announced on 28 March 2018. </w:t>
      </w:r>
      <w:r w:rsidRPr="00F95AF4">
        <w:t>The four new projects will supply 12.4 petajoules of gas to the East Coast market by 30</w:t>
      </w:r>
      <w:r>
        <w:t> </w:t>
      </w:r>
      <w:r w:rsidRPr="00F95AF4">
        <w:t>June</w:t>
      </w:r>
      <w:r>
        <w:t xml:space="preserve"> </w:t>
      </w:r>
      <w:r w:rsidRPr="00F95AF4">
        <w:t>2020 and 27.6 petajoules over five years</w:t>
      </w:r>
      <w:r>
        <w:t xml:space="preserve"> </w:t>
      </w:r>
      <w:r w:rsidRPr="004459ED">
        <w:rPr>
          <w:szCs w:val="24"/>
        </w:rPr>
        <w:t>(DIIR 2018a)</w:t>
      </w:r>
      <w:r>
        <w:t xml:space="preserve">. Gas Acceleration Program funding will be considered as assistance to the gas extraction industry in future </w:t>
      </w:r>
      <w:r w:rsidRPr="009E6637">
        <w:rPr>
          <w:i/>
        </w:rPr>
        <w:t>Trade and Assistance Reviews</w:t>
      </w:r>
      <w:r>
        <w:t>.</w:t>
      </w:r>
    </w:p>
    <w:p w:rsidR="00745FEA" w:rsidRPr="0056722F" w:rsidRDefault="00745FEA" w:rsidP="00745FEA">
      <w:pPr>
        <w:pStyle w:val="Heading2"/>
      </w:pPr>
      <w:bookmarkStart w:id="42" w:name="_Toc511745378"/>
      <w:r w:rsidRPr="0056722F">
        <w:t>4.5</w:t>
      </w:r>
      <w:r w:rsidRPr="0056722F">
        <w:tab/>
        <w:t>Lower taxes for small business</w:t>
      </w:r>
      <w:bookmarkEnd w:id="42"/>
    </w:p>
    <w:p w:rsidR="00745FEA" w:rsidRDefault="00745FEA" w:rsidP="00745FEA">
      <w:pPr>
        <w:pStyle w:val="BodyText"/>
      </w:pPr>
      <w:r>
        <w:t>In May 2016, the Australian Government announced a policy of reducing the company tax rate on all companies to 25 per cent (from the current 30 per cent) by 2026</w:t>
      </w:r>
      <w:r>
        <w:noBreakHyphen/>
        <w:t xml:space="preserve">27 </w:t>
      </w:r>
      <w:r w:rsidRPr="004459ED">
        <w:rPr>
          <w:szCs w:val="24"/>
        </w:rPr>
        <w:t>(Morrison 2016)</w:t>
      </w:r>
      <w:r>
        <w:t xml:space="preserve">. </w:t>
      </w:r>
    </w:p>
    <w:p w:rsidR="00745FEA" w:rsidRDefault="00745FEA" w:rsidP="00745FEA">
      <w:pPr>
        <w:pStyle w:val="BodyText"/>
      </w:pPr>
      <w:r>
        <w:t>However, as amended and passed by the Parliament, the law provides for a reduction for small and medium sized corporations</w:t>
      </w:r>
      <w:r w:rsidRPr="00F86C66">
        <w:t xml:space="preserve"> </w:t>
      </w:r>
      <w:r>
        <w:t>only. Over a number of years, the scope of corporations eligible for the lower tax rate will expand and the applicable tax rate will reduce (table 4.1). Treasury estimated that the tax concession for small companies would benefit claimants by $250 million in the first year, rising to $1.6 billion in 2018</w:t>
      </w:r>
      <w:r>
        <w:noBreakHyphen/>
        <w:t>19.</w:t>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spacing w:after="120"/>
            </w:pPr>
            <w:r>
              <w:rPr>
                <w:b w:val="0"/>
              </w:rPr>
              <w:t>Table 4.</w:t>
            </w:r>
            <w:r>
              <w:rPr>
                <w:b w:val="0"/>
                <w:noProof/>
              </w:rPr>
              <w:t>1</w:t>
            </w:r>
            <w:r>
              <w:tab/>
              <w:t>Small business company tax reductions</w:t>
            </w:r>
          </w:p>
        </w:tc>
      </w:tr>
      <w:tr w:rsidR="00745FEA" w:rsidTr="00745FE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30"/>
              <w:gridCol w:w="2126"/>
              <w:gridCol w:w="2126"/>
              <w:gridCol w:w="2123"/>
            </w:tblGrid>
            <w:tr w:rsidR="00745FEA" w:rsidRPr="00282980" w:rsidTr="00745FEA">
              <w:trPr>
                <w:tblHeader/>
              </w:trPr>
              <w:tc>
                <w:tcPr>
                  <w:tcW w:w="1252" w:type="pct"/>
                  <w:tcBorders>
                    <w:top w:val="single" w:sz="6" w:space="0" w:color="BFBFBF"/>
                    <w:bottom w:val="single" w:sz="6" w:space="0" w:color="BFBFBF"/>
                  </w:tcBorders>
                  <w:shd w:val="clear" w:color="auto" w:fill="auto"/>
                  <w:tcMar>
                    <w:top w:w="28" w:type="dxa"/>
                  </w:tcMar>
                </w:tcPr>
                <w:p w:rsidR="00745FEA" w:rsidRPr="00282980" w:rsidRDefault="00745FEA" w:rsidP="00745FEA">
                  <w:pPr>
                    <w:keepNext/>
                    <w:rPr>
                      <w:rFonts w:ascii="Arial" w:hAnsi="Arial" w:cs="Arial"/>
                      <w:sz w:val="18"/>
                      <w:szCs w:val="18"/>
                    </w:rPr>
                  </w:pPr>
                  <w:r w:rsidRPr="00282980">
                    <w:rPr>
                      <w:rFonts w:ascii="Arial" w:hAnsi="Arial" w:cs="Arial"/>
                      <w:sz w:val="18"/>
                      <w:szCs w:val="18"/>
                    </w:rPr>
                    <w:t>Year</w:t>
                  </w:r>
                </w:p>
              </w:tc>
              <w:tc>
                <w:tcPr>
                  <w:tcW w:w="1250" w:type="pct"/>
                  <w:tcBorders>
                    <w:top w:val="single" w:sz="6" w:space="0" w:color="BFBFBF"/>
                    <w:bottom w:val="single" w:sz="6" w:space="0" w:color="BFBFBF"/>
                  </w:tcBorders>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Turnover threshold</w:t>
                  </w:r>
                </w:p>
              </w:tc>
              <w:tc>
                <w:tcPr>
                  <w:tcW w:w="1250" w:type="pct"/>
                  <w:tcBorders>
                    <w:top w:val="single" w:sz="6" w:space="0" w:color="BFBFBF"/>
                    <w:bottom w:val="single" w:sz="6" w:space="0" w:color="BFBFBF"/>
                  </w:tcBorders>
                  <w:shd w:val="clear" w:color="auto" w:fill="auto"/>
                  <w:tcMar>
                    <w:top w:w="28" w:type="dxa"/>
                  </w:tcMar>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Reduced rate applying under the turnover</w:t>
                  </w:r>
                </w:p>
              </w:tc>
              <w:tc>
                <w:tcPr>
                  <w:tcW w:w="1248" w:type="pct"/>
                  <w:tcBorders>
                    <w:top w:val="single" w:sz="6" w:space="0" w:color="BFBFBF"/>
                    <w:bottom w:val="single" w:sz="6" w:space="0" w:color="BFBFBF"/>
                  </w:tcBorders>
                  <w:shd w:val="clear" w:color="auto" w:fill="auto"/>
                  <w:tcMar>
                    <w:top w:w="28" w:type="dxa"/>
                  </w:tcMar>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 xml:space="preserve">Estimated tax expenditure </w:t>
                  </w:r>
                </w:p>
              </w:tc>
            </w:tr>
            <w:tr w:rsidR="00745FEA" w:rsidRPr="00282980" w:rsidTr="00745FEA">
              <w:tc>
                <w:tcPr>
                  <w:tcW w:w="1252" w:type="pct"/>
                  <w:tcBorders>
                    <w:top w:val="single" w:sz="6" w:space="0" w:color="BFBFBF"/>
                  </w:tcBorders>
                  <w:shd w:val="clear" w:color="auto" w:fill="auto"/>
                  <w:tcMar>
                    <w:top w:w="28" w:type="dxa"/>
                  </w:tcMar>
                </w:tcPr>
                <w:p w:rsidR="00745FEA" w:rsidRPr="005743DB" w:rsidRDefault="00745FEA" w:rsidP="00745FEA">
                  <w:pPr>
                    <w:keepNext/>
                    <w:rPr>
                      <w:rFonts w:ascii="Arial" w:hAnsi="Arial" w:cs="Arial"/>
                      <w:i/>
                      <w:sz w:val="18"/>
                      <w:szCs w:val="18"/>
                    </w:rPr>
                  </w:pPr>
                </w:p>
              </w:tc>
              <w:tc>
                <w:tcPr>
                  <w:tcW w:w="1250" w:type="pct"/>
                  <w:tcBorders>
                    <w:top w:val="single" w:sz="6" w:space="0" w:color="BFBFBF"/>
                  </w:tcBorders>
                </w:tcPr>
                <w:p w:rsidR="00745FEA" w:rsidRPr="005743DB" w:rsidRDefault="00745FEA" w:rsidP="00745FEA">
                  <w:pPr>
                    <w:keepNext/>
                    <w:ind w:left="67" w:right="145"/>
                    <w:jc w:val="right"/>
                    <w:rPr>
                      <w:rFonts w:ascii="Arial" w:hAnsi="Arial" w:cs="Arial"/>
                      <w:i/>
                      <w:sz w:val="18"/>
                      <w:szCs w:val="18"/>
                    </w:rPr>
                  </w:pPr>
                  <w:r w:rsidRPr="005743DB">
                    <w:rPr>
                      <w:rFonts w:ascii="Arial" w:hAnsi="Arial" w:cs="Arial"/>
                      <w:i/>
                      <w:sz w:val="18"/>
                      <w:szCs w:val="18"/>
                    </w:rPr>
                    <w:t>$</w:t>
                  </w:r>
                  <w:r>
                    <w:rPr>
                      <w:rFonts w:ascii="Arial" w:hAnsi="Arial" w:cs="Arial"/>
                      <w:i/>
                      <w:sz w:val="18"/>
                      <w:szCs w:val="18"/>
                    </w:rPr>
                    <w:t> million</w:t>
                  </w:r>
                </w:p>
              </w:tc>
              <w:tc>
                <w:tcPr>
                  <w:tcW w:w="1250" w:type="pct"/>
                  <w:tcBorders>
                    <w:top w:val="single" w:sz="6" w:space="0" w:color="BFBFBF"/>
                  </w:tcBorders>
                  <w:shd w:val="clear" w:color="auto" w:fill="auto"/>
                  <w:tcMar>
                    <w:top w:w="28" w:type="dxa"/>
                  </w:tcMar>
                </w:tcPr>
                <w:p w:rsidR="00745FEA" w:rsidRPr="005743DB" w:rsidRDefault="00745FEA" w:rsidP="00745FEA">
                  <w:pPr>
                    <w:keepNext/>
                    <w:ind w:left="138" w:right="74"/>
                    <w:jc w:val="right"/>
                    <w:rPr>
                      <w:rFonts w:ascii="Arial" w:hAnsi="Arial" w:cs="Arial"/>
                      <w:i/>
                      <w:sz w:val="18"/>
                      <w:szCs w:val="18"/>
                    </w:rPr>
                  </w:pPr>
                  <w:r w:rsidRPr="005743DB">
                    <w:rPr>
                      <w:rFonts w:ascii="Arial" w:hAnsi="Arial" w:cs="Arial"/>
                      <w:i/>
                      <w:sz w:val="18"/>
                      <w:szCs w:val="18"/>
                    </w:rPr>
                    <w:t>%</w:t>
                  </w:r>
                </w:p>
              </w:tc>
              <w:tc>
                <w:tcPr>
                  <w:tcW w:w="1248" w:type="pct"/>
                  <w:tcBorders>
                    <w:top w:val="single" w:sz="6" w:space="0" w:color="BFBFBF"/>
                  </w:tcBorders>
                  <w:shd w:val="clear" w:color="auto" w:fill="auto"/>
                  <w:tcMar>
                    <w:top w:w="28" w:type="dxa"/>
                  </w:tcMar>
                </w:tcPr>
                <w:p w:rsidR="00745FEA" w:rsidRPr="005743DB" w:rsidRDefault="00745FEA" w:rsidP="00745FEA">
                  <w:pPr>
                    <w:keepNext/>
                    <w:ind w:left="138" w:right="142"/>
                    <w:jc w:val="right"/>
                    <w:rPr>
                      <w:rFonts w:ascii="Arial" w:hAnsi="Arial" w:cs="Arial"/>
                      <w:i/>
                      <w:sz w:val="18"/>
                      <w:szCs w:val="18"/>
                    </w:rPr>
                  </w:pPr>
                  <w:r w:rsidRPr="005743DB">
                    <w:rPr>
                      <w:rFonts w:ascii="Arial" w:hAnsi="Arial" w:cs="Arial"/>
                      <w:i/>
                      <w:sz w:val="18"/>
                      <w:szCs w:val="18"/>
                    </w:rPr>
                    <w:t>$</w:t>
                  </w:r>
                  <w:r>
                    <w:rPr>
                      <w:rFonts w:ascii="Arial" w:hAnsi="Arial" w:cs="Arial"/>
                      <w:i/>
                      <w:sz w:val="18"/>
                      <w:szCs w:val="18"/>
                    </w:rPr>
                    <w:t> million</w:t>
                  </w:r>
                </w:p>
              </w:tc>
            </w:tr>
            <w:tr w:rsidR="00745FEA" w:rsidRPr="00282980" w:rsidTr="00745FEA">
              <w:tc>
                <w:tcPr>
                  <w:tcW w:w="1252" w:type="pct"/>
                  <w:shd w:val="clear" w:color="auto" w:fill="auto"/>
                  <w:tcMar>
                    <w:top w:w="28" w:type="dxa"/>
                  </w:tcMar>
                </w:tcPr>
                <w:p w:rsidR="00745FEA" w:rsidRPr="00282980" w:rsidRDefault="00745FEA" w:rsidP="00745FEA">
                  <w:pPr>
                    <w:keepNext/>
                    <w:rPr>
                      <w:rFonts w:ascii="Arial" w:hAnsi="Arial" w:cs="Arial"/>
                      <w:sz w:val="18"/>
                      <w:szCs w:val="18"/>
                    </w:rPr>
                  </w:pPr>
                  <w:r>
                    <w:rPr>
                      <w:rFonts w:ascii="Arial" w:hAnsi="Arial" w:cs="Arial"/>
                      <w:sz w:val="18"/>
                      <w:szCs w:val="18"/>
                    </w:rPr>
                    <w:t>2015</w:t>
                  </w:r>
                  <w:r>
                    <w:rPr>
                      <w:rFonts w:ascii="Arial" w:hAnsi="Arial" w:cs="Arial"/>
                      <w:sz w:val="18"/>
                      <w:szCs w:val="18"/>
                    </w:rPr>
                    <w:noBreakHyphen/>
                  </w:r>
                  <w:r w:rsidRPr="00282980">
                    <w:rPr>
                      <w:rFonts w:ascii="Arial" w:hAnsi="Arial" w:cs="Arial"/>
                      <w:sz w:val="18"/>
                      <w:szCs w:val="18"/>
                    </w:rPr>
                    <w:t>16</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2</w:t>
                  </w:r>
                </w:p>
              </w:tc>
              <w:tc>
                <w:tcPr>
                  <w:tcW w:w="1250" w:type="pct"/>
                  <w:shd w:val="clear" w:color="auto" w:fill="auto"/>
                  <w:tcMar>
                    <w:top w:w="28" w:type="dxa"/>
                  </w:tcMar>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28.5</w:t>
                  </w:r>
                </w:p>
              </w:tc>
              <w:tc>
                <w:tcPr>
                  <w:tcW w:w="1248" w:type="pct"/>
                  <w:shd w:val="clear" w:color="auto" w:fill="auto"/>
                  <w:tcMar>
                    <w:top w:w="28" w:type="dxa"/>
                  </w:tcMar>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250</w:t>
                  </w:r>
                </w:p>
              </w:tc>
            </w:tr>
            <w:tr w:rsidR="00745FEA" w:rsidRPr="00282980" w:rsidTr="00745FEA">
              <w:tc>
                <w:tcPr>
                  <w:tcW w:w="1252" w:type="pct"/>
                </w:tcPr>
                <w:p w:rsidR="00745FEA" w:rsidRPr="00282980" w:rsidRDefault="00745FEA" w:rsidP="00745FEA">
                  <w:pPr>
                    <w:keepNext/>
                    <w:rPr>
                      <w:rFonts w:ascii="Arial" w:hAnsi="Arial" w:cs="Arial"/>
                      <w:sz w:val="18"/>
                      <w:szCs w:val="18"/>
                    </w:rPr>
                  </w:pPr>
                  <w:r>
                    <w:rPr>
                      <w:rFonts w:ascii="Arial" w:hAnsi="Arial" w:cs="Arial"/>
                      <w:sz w:val="18"/>
                      <w:szCs w:val="18"/>
                    </w:rPr>
                    <w:t>2016</w:t>
                  </w:r>
                  <w:r>
                    <w:rPr>
                      <w:rFonts w:ascii="Arial" w:hAnsi="Arial" w:cs="Arial"/>
                      <w:sz w:val="18"/>
                      <w:szCs w:val="18"/>
                    </w:rPr>
                    <w:noBreakHyphen/>
                  </w:r>
                  <w:r w:rsidRPr="00282980">
                    <w:rPr>
                      <w:rFonts w:ascii="Arial" w:hAnsi="Arial" w:cs="Arial"/>
                      <w:sz w:val="18"/>
                      <w:szCs w:val="18"/>
                    </w:rPr>
                    <w:t>17</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10</w:t>
                  </w:r>
                </w:p>
              </w:tc>
              <w:tc>
                <w:tcPr>
                  <w:tcW w:w="1250" w:type="pct"/>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27.5</w:t>
                  </w:r>
                </w:p>
              </w:tc>
              <w:tc>
                <w:tcPr>
                  <w:tcW w:w="1248" w:type="pct"/>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1100</w:t>
                  </w:r>
                </w:p>
              </w:tc>
            </w:tr>
            <w:tr w:rsidR="00745FEA" w:rsidRPr="00282980" w:rsidTr="00745FEA">
              <w:tc>
                <w:tcPr>
                  <w:tcW w:w="1252" w:type="pct"/>
                </w:tcPr>
                <w:p w:rsidR="00745FEA" w:rsidRPr="00282980" w:rsidRDefault="00745FEA" w:rsidP="00745FEA">
                  <w:pPr>
                    <w:keepNext/>
                    <w:rPr>
                      <w:rFonts w:ascii="Arial" w:hAnsi="Arial" w:cs="Arial"/>
                      <w:sz w:val="18"/>
                      <w:szCs w:val="18"/>
                    </w:rPr>
                  </w:pPr>
                  <w:r>
                    <w:rPr>
                      <w:rFonts w:ascii="Arial" w:hAnsi="Arial" w:cs="Arial"/>
                      <w:sz w:val="18"/>
                      <w:szCs w:val="18"/>
                    </w:rPr>
                    <w:t>2017</w:t>
                  </w:r>
                  <w:r>
                    <w:rPr>
                      <w:rFonts w:ascii="Arial" w:hAnsi="Arial" w:cs="Arial"/>
                      <w:sz w:val="18"/>
                      <w:szCs w:val="18"/>
                    </w:rPr>
                    <w:noBreakHyphen/>
                  </w:r>
                  <w:r w:rsidRPr="00282980">
                    <w:rPr>
                      <w:rFonts w:ascii="Arial" w:hAnsi="Arial" w:cs="Arial"/>
                      <w:sz w:val="18"/>
                      <w:szCs w:val="18"/>
                    </w:rPr>
                    <w:t>18</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25</w:t>
                  </w:r>
                </w:p>
              </w:tc>
              <w:tc>
                <w:tcPr>
                  <w:tcW w:w="1250" w:type="pct"/>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27.5</w:t>
                  </w:r>
                </w:p>
              </w:tc>
              <w:tc>
                <w:tcPr>
                  <w:tcW w:w="1248" w:type="pct"/>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1300</w:t>
                  </w:r>
                </w:p>
              </w:tc>
            </w:tr>
            <w:tr w:rsidR="00745FEA" w:rsidRPr="00282980" w:rsidTr="00745FEA">
              <w:tc>
                <w:tcPr>
                  <w:tcW w:w="1251" w:type="pct"/>
                  <w:shd w:val="clear" w:color="auto" w:fill="auto"/>
                </w:tcPr>
                <w:p w:rsidR="00745FEA" w:rsidRPr="00282980" w:rsidRDefault="00745FEA" w:rsidP="00745FEA">
                  <w:pPr>
                    <w:keepNext/>
                    <w:rPr>
                      <w:rFonts w:ascii="Arial" w:hAnsi="Arial" w:cs="Arial"/>
                      <w:sz w:val="18"/>
                      <w:szCs w:val="18"/>
                    </w:rPr>
                  </w:pPr>
                  <w:r>
                    <w:rPr>
                      <w:rFonts w:ascii="Arial" w:hAnsi="Arial" w:cs="Arial"/>
                      <w:sz w:val="18"/>
                      <w:szCs w:val="18"/>
                    </w:rPr>
                    <w:t>2018</w:t>
                  </w:r>
                  <w:r>
                    <w:rPr>
                      <w:rFonts w:ascii="Arial" w:hAnsi="Arial" w:cs="Arial"/>
                      <w:sz w:val="18"/>
                      <w:szCs w:val="18"/>
                    </w:rPr>
                    <w:noBreakHyphen/>
                  </w:r>
                  <w:r w:rsidRPr="00282980">
                    <w:rPr>
                      <w:rFonts w:ascii="Arial" w:hAnsi="Arial" w:cs="Arial"/>
                      <w:sz w:val="18"/>
                      <w:szCs w:val="18"/>
                    </w:rPr>
                    <w:t>19</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50</w:t>
                  </w:r>
                </w:p>
              </w:tc>
              <w:tc>
                <w:tcPr>
                  <w:tcW w:w="1250" w:type="pct"/>
                  <w:shd w:val="clear" w:color="auto" w:fill="auto"/>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27.5</w:t>
                  </w:r>
                </w:p>
              </w:tc>
              <w:tc>
                <w:tcPr>
                  <w:tcW w:w="1249" w:type="pct"/>
                  <w:shd w:val="clear" w:color="auto" w:fill="auto"/>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1600</w:t>
                  </w:r>
                </w:p>
              </w:tc>
            </w:tr>
            <w:tr w:rsidR="00745FEA" w:rsidRPr="00282980" w:rsidTr="00745FEA">
              <w:tc>
                <w:tcPr>
                  <w:tcW w:w="1251" w:type="pct"/>
                  <w:shd w:val="clear" w:color="auto" w:fill="auto"/>
                </w:tcPr>
                <w:p w:rsidR="00745FEA" w:rsidRPr="00282980" w:rsidRDefault="00745FEA" w:rsidP="00745FEA">
                  <w:pPr>
                    <w:keepNext/>
                    <w:rPr>
                      <w:rFonts w:ascii="Arial" w:hAnsi="Arial" w:cs="Arial"/>
                      <w:sz w:val="18"/>
                      <w:szCs w:val="18"/>
                    </w:rPr>
                  </w:pPr>
                  <w:r w:rsidRPr="00282980">
                    <w:rPr>
                      <w:rFonts w:ascii="Arial" w:hAnsi="Arial" w:cs="Arial"/>
                      <w:sz w:val="18"/>
                      <w:szCs w:val="18"/>
                    </w:rPr>
                    <w:t>2019</w:t>
                  </w:r>
                  <w:r>
                    <w:rPr>
                      <w:rFonts w:ascii="Arial" w:hAnsi="Arial" w:cs="Arial"/>
                      <w:sz w:val="18"/>
                      <w:szCs w:val="18"/>
                    </w:rPr>
                    <w:noBreakHyphen/>
                  </w:r>
                  <w:r w:rsidRPr="00282980">
                    <w:rPr>
                      <w:rFonts w:ascii="Arial" w:hAnsi="Arial" w:cs="Arial"/>
                      <w:sz w:val="18"/>
                      <w:szCs w:val="18"/>
                    </w:rPr>
                    <w:t>20 to 2023</w:t>
                  </w:r>
                  <w:r>
                    <w:rPr>
                      <w:rFonts w:ascii="Arial" w:hAnsi="Arial" w:cs="Arial"/>
                      <w:sz w:val="18"/>
                      <w:szCs w:val="18"/>
                    </w:rPr>
                    <w:noBreakHyphen/>
                  </w:r>
                  <w:r w:rsidRPr="00282980">
                    <w:rPr>
                      <w:rFonts w:ascii="Arial" w:hAnsi="Arial" w:cs="Arial"/>
                      <w:sz w:val="18"/>
                      <w:szCs w:val="18"/>
                    </w:rPr>
                    <w:t>24</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50</w:t>
                  </w:r>
                </w:p>
              </w:tc>
              <w:tc>
                <w:tcPr>
                  <w:tcW w:w="1250" w:type="pct"/>
                  <w:shd w:val="clear" w:color="auto" w:fill="auto"/>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27.5</w:t>
                  </w:r>
                </w:p>
              </w:tc>
              <w:tc>
                <w:tcPr>
                  <w:tcW w:w="1249" w:type="pct"/>
                  <w:shd w:val="clear" w:color="auto" w:fill="auto"/>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n.a</w:t>
                  </w:r>
                  <w:r>
                    <w:rPr>
                      <w:rFonts w:ascii="Arial" w:hAnsi="Arial" w:cs="Arial"/>
                      <w:sz w:val="18"/>
                      <w:szCs w:val="18"/>
                    </w:rPr>
                    <w:t>.</w:t>
                  </w:r>
                </w:p>
              </w:tc>
            </w:tr>
            <w:tr w:rsidR="00745FEA" w:rsidRPr="00282980" w:rsidTr="00745FEA">
              <w:tc>
                <w:tcPr>
                  <w:tcW w:w="1251" w:type="pct"/>
                  <w:shd w:val="clear" w:color="auto" w:fill="auto"/>
                </w:tcPr>
                <w:p w:rsidR="00745FEA" w:rsidRPr="00282980" w:rsidRDefault="00745FEA" w:rsidP="00745FEA">
                  <w:pPr>
                    <w:keepNext/>
                    <w:rPr>
                      <w:rFonts w:ascii="Arial" w:hAnsi="Arial" w:cs="Arial"/>
                      <w:sz w:val="18"/>
                      <w:szCs w:val="18"/>
                    </w:rPr>
                  </w:pPr>
                  <w:r w:rsidRPr="00282980">
                    <w:rPr>
                      <w:rFonts w:ascii="Arial" w:hAnsi="Arial" w:cs="Arial"/>
                      <w:sz w:val="18"/>
                      <w:szCs w:val="18"/>
                    </w:rPr>
                    <w:t>2024</w:t>
                  </w:r>
                  <w:r>
                    <w:rPr>
                      <w:rFonts w:ascii="Arial" w:hAnsi="Arial" w:cs="Arial"/>
                      <w:sz w:val="18"/>
                      <w:szCs w:val="18"/>
                    </w:rPr>
                    <w:noBreakHyphen/>
                  </w:r>
                  <w:r w:rsidRPr="00282980">
                    <w:rPr>
                      <w:rFonts w:ascii="Arial" w:hAnsi="Arial" w:cs="Arial"/>
                      <w:sz w:val="18"/>
                      <w:szCs w:val="18"/>
                    </w:rPr>
                    <w:t xml:space="preserve">25 </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50</w:t>
                  </w:r>
                </w:p>
              </w:tc>
              <w:tc>
                <w:tcPr>
                  <w:tcW w:w="1250" w:type="pct"/>
                  <w:shd w:val="clear" w:color="auto" w:fill="auto"/>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27.0</w:t>
                  </w:r>
                </w:p>
              </w:tc>
              <w:tc>
                <w:tcPr>
                  <w:tcW w:w="1249" w:type="pct"/>
                  <w:shd w:val="clear" w:color="auto" w:fill="auto"/>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n.a</w:t>
                  </w:r>
                  <w:r>
                    <w:rPr>
                      <w:rFonts w:ascii="Arial" w:hAnsi="Arial" w:cs="Arial"/>
                      <w:sz w:val="18"/>
                      <w:szCs w:val="18"/>
                    </w:rPr>
                    <w:t>.</w:t>
                  </w:r>
                </w:p>
              </w:tc>
            </w:tr>
            <w:tr w:rsidR="00745FEA" w:rsidRPr="00282980" w:rsidTr="00745FEA">
              <w:tc>
                <w:tcPr>
                  <w:tcW w:w="1251" w:type="pct"/>
                  <w:shd w:val="clear" w:color="auto" w:fill="auto"/>
                </w:tcPr>
                <w:p w:rsidR="00745FEA" w:rsidRPr="00282980" w:rsidRDefault="00745FEA" w:rsidP="00745FEA">
                  <w:pPr>
                    <w:keepNext/>
                    <w:rPr>
                      <w:rFonts w:ascii="Arial" w:hAnsi="Arial" w:cs="Arial"/>
                      <w:sz w:val="18"/>
                      <w:szCs w:val="18"/>
                    </w:rPr>
                  </w:pPr>
                  <w:r w:rsidRPr="00282980">
                    <w:rPr>
                      <w:rFonts w:ascii="Arial" w:hAnsi="Arial" w:cs="Arial"/>
                      <w:sz w:val="18"/>
                      <w:szCs w:val="18"/>
                    </w:rPr>
                    <w:t>2025</w:t>
                  </w:r>
                  <w:r>
                    <w:rPr>
                      <w:rFonts w:ascii="Arial" w:hAnsi="Arial" w:cs="Arial"/>
                      <w:sz w:val="18"/>
                      <w:szCs w:val="18"/>
                    </w:rPr>
                    <w:noBreakHyphen/>
                  </w:r>
                  <w:r w:rsidRPr="00282980">
                    <w:rPr>
                      <w:rFonts w:ascii="Arial" w:hAnsi="Arial" w:cs="Arial"/>
                      <w:sz w:val="18"/>
                      <w:szCs w:val="18"/>
                    </w:rPr>
                    <w:t>26</w:t>
                  </w:r>
                </w:p>
              </w:tc>
              <w:tc>
                <w:tcPr>
                  <w:tcW w:w="1250" w:type="pct"/>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50</w:t>
                  </w:r>
                </w:p>
              </w:tc>
              <w:tc>
                <w:tcPr>
                  <w:tcW w:w="1250" w:type="pct"/>
                  <w:shd w:val="clear" w:color="auto" w:fill="auto"/>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26.0</w:t>
                  </w:r>
                </w:p>
              </w:tc>
              <w:tc>
                <w:tcPr>
                  <w:tcW w:w="1249" w:type="pct"/>
                  <w:shd w:val="clear" w:color="auto" w:fill="auto"/>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n.a</w:t>
                  </w:r>
                  <w:r>
                    <w:rPr>
                      <w:rFonts w:ascii="Arial" w:hAnsi="Arial" w:cs="Arial"/>
                      <w:sz w:val="18"/>
                      <w:szCs w:val="18"/>
                    </w:rPr>
                    <w:t>.</w:t>
                  </w:r>
                </w:p>
              </w:tc>
            </w:tr>
            <w:tr w:rsidR="00745FEA" w:rsidRPr="00282980" w:rsidTr="00745FEA">
              <w:tc>
                <w:tcPr>
                  <w:tcW w:w="1251" w:type="pct"/>
                  <w:tcBorders>
                    <w:bottom w:val="single" w:sz="6" w:space="0" w:color="BFBFBF"/>
                  </w:tcBorders>
                  <w:shd w:val="clear" w:color="auto" w:fill="auto"/>
                </w:tcPr>
                <w:p w:rsidR="00745FEA" w:rsidRPr="00282980" w:rsidRDefault="00745FEA" w:rsidP="00745FEA">
                  <w:pPr>
                    <w:keepNext/>
                    <w:rPr>
                      <w:rFonts w:ascii="Arial" w:hAnsi="Arial" w:cs="Arial"/>
                      <w:sz w:val="18"/>
                      <w:szCs w:val="18"/>
                    </w:rPr>
                  </w:pPr>
                  <w:r w:rsidRPr="00282980">
                    <w:rPr>
                      <w:rFonts w:ascii="Arial" w:hAnsi="Arial" w:cs="Arial"/>
                      <w:sz w:val="18"/>
                      <w:szCs w:val="18"/>
                    </w:rPr>
                    <w:t>2026</w:t>
                  </w:r>
                  <w:r>
                    <w:rPr>
                      <w:rFonts w:ascii="Arial" w:hAnsi="Arial" w:cs="Arial"/>
                      <w:sz w:val="18"/>
                      <w:szCs w:val="18"/>
                    </w:rPr>
                    <w:noBreakHyphen/>
                  </w:r>
                  <w:r w:rsidRPr="00282980">
                    <w:rPr>
                      <w:rFonts w:ascii="Arial" w:hAnsi="Arial" w:cs="Arial"/>
                      <w:sz w:val="18"/>
                      <w:szCs w:val="18"/>
                    </w:rPr>
                    <w:t>27</w:t>
                  </w:r>
                </w:p>
              </w:tc>
              <w:tc>
                <w:tcPr>
                  <w:tcW w:w="1250" w:type="pct"/>
                  <w:tcBorders>
                    <w:bottom w:val="single" w:sz="6" w:space="0" w:color="BFBFBF"/>
                  </w:tcBorders>
                </w:tcPr>
                <w:p w:rsidR="00745FEA" w:rsidRPr="00282980" w:rsidRDefault="00745FEA" w:rsidP="00745FEA">
                  <w:pPr>
                    <w:keepNext/>
                    <w:ind w:left="67" w:right="145"/>
                    <w:jc w:val="right"/>
                    <w:rPr>
                      <w:rFonts w:ascii="Arial" w:hAnsi="Arial" w:cs="Arial"/>
                      <w:sz w:val="18"/>
                      <w:szCs w:val="18"/>
                    </w:rPr>
                  </w:pPr>
                  <w:r w:rsidRPr="00282980">
                    <w:rPr>
                      <w:rFonts w:ascii="Arial" w:hAnsi="Arial" w:cs="Arial"/>
                      <w:sz w:val="18"/>
                      <w:szCs w:val="18"/>
                    </w:rPr>
                    <w:t>50</w:t>
                  </w:r>
                </w:p>
              </w:tc>
              <w:tc>
                <w:tcPr>
                  <w:tcW w:w="1250" w:type="pct"/>
                  <w:tcBorders>
                    <w:bottom w:val="single" w:sz="6" w:space="0" w:color="BFBFBF"/>
                  </w:tcBorders>
                  <w:shd w:val="clear" w:color="auto" w:fill="auto"/>
                </w:tcPr>
                <w:p w:rsidR="00745FEA" w:rsidRPr="00282980" w:rsidRDefault="00745FEA" w:rsidP="00745FEA">
                  <w:pPr>
                    <w:keepNext/>
                    <w:ind w:left="138" w:right="74"/>
                    <w:jc w:val="right"/>
                    <w:rPr>
                      <w:rFonts w:ascii="Arial" w:hAnsi="Arial" w:cs="Arial"/>
                      <w:sz w:val="18"/>
                      <w:szCs w:val="18"/>
                    </w:rPr>
                  </w:pPr>
                  <w:r w:rsidRPr="00282980">
                    <w:rPr>
                      <w:rFonts w:ascii="Arial" w:hAnsi="Arial" w:cs="Arial"/>
                      <w:sz w:val="18"/>
                      <w:szCs w:val="18"/>
                    </w:rPr>
                    <w:t>25.0</w:t>
                  </w:r>
                </w:p>
              </w:tc>
              <w:tc>
                <w:tcPr>
                  <w:tcW w:w="1249" w:type="pct"/>
                  <w:tcBorders>
                    <w:bottom w:val="single" w:sz="6" w:space="0" w:color="BFBFBF"/>
                  </w:tcBorders>
                  <w:shd w:val="clear" w:color="auto" w:fill="auto"/>
                </w:tcPr>
                <w:p w:rsidR="00745FEA" w:rsidRPr="00282980" w:rsidRDefault="00745FEA" w:rsidP="00745FEA">
                  <w:pPr>
                    <w:keepNext/>
                    <w:ind w:left="138" w:right="142"/>
                    <w:jc w:val="right"/>
                    <w:rPr>
                      <w:rFonts w:ascii="Arial" w:hAnsi="Arial" w:cs="Arial"/>
                      <w:sz w:val="18"/>
                      <w:szCs w:val="18"/>
                    </w:rPr>
                  </w:pPr>
                  <w:r w:rsidRPr="00282980">
                    <w:rPr>
                      <w:rFonts w:ascii="Arial" w:hAnsi="Arial" w:cs="Arial"/>
                      <w:sz w:val="18"/>
                      <w:szCs w:val="18"/>
                    </w:rPr>
                    <w:t>n.a</w:t>
                  </w:r>
                  <w:r>
                    <w:rPr>
                      <w:rFonts w:ascii="Arial" w:hAnsi="Arial" w:cs="Arial"/>
                      <w:sz w:val="18"/>
                      <w:szCs w:val="18"/>
                    </w:rPr>
                    <w:t>.</w:t>
                  </w:r>
                </w:p>
              </w:tc>
            </w:tr>
          </w:tbl>
          <w:p w:rsidR="00745FEA" w:rsidRDefault="00745FEA" w:rsidP="00745FEA">
            <w:pPr>
              <w:pStyle w:val="Box"/>
            </w:pPr>
          </w:p>
        </w:tc>
      </w:tr>
      <w:tr w:rsidR="00745FEA" w:rsidTr="00745FEA">
        <w:tc>
          <w:tcPr>
            <w:tcW w:w="5000" w:type="pct"/>
            <w:tcBorders>
              <w:top w:val="nil"/>
              <w:left w:val="nil"/>
              <w:bottom w:val="nil"/>
              <w:right w:val="nil"/>
            </w:tcBorders>
            <w:shd w:val="clear" w:color="auto" w:fill="auto"/>
          </w:tcPr>
          <w:p w:rsidR="00745FEA" w:rsidRDefault="00745FEA" w:rsidP="00745FEA">
            <w:pPr>
              <w:pStyle w:val="Source"/>
            </w:pPr>
            <w:r>
              <w:rPr>
                <w:i/>
              </w:rPr>
              <w:t>Sources</w:t>
            </w:r>
            <w:r w:rsidRPr="00167F06">
              <w:t>:</w:t>
            </w:r>
            <w:r>
              <w:t xml:space="preserve"> ATO</w:t>
            </w:r>
            <w:r w:rsidDel="007D6690">
              <w:t xml:space="preserve"> </w:t>
            </w:r>
            <w:r w:rsidRPr="00311618">
              <w:rPr>
                <w:rFonts w:cs="Arial"/>
              </w:rPr>
              <w:t>(2018</w:t>
            </w:r>
            <w:r w:rsidR="0055201A" w:rsidRPr="00311618">
              <w:rPr>
                <w:rFonts w:cs="Arial"/>
              </w:rPr>
              <w:t>)</w:t>
            </w:r>
            <w:r w:rsidR="0055201A">
              <w:t xml:space="preserve"> and</w:t>
            </w:r>
            <w:r>
              <w:t xml:space="preserve"> Treasury </w:t>
            </w:r>
            <w:r w:rsidRPr="00311618">
              <w:rPr>
                <w:rFonts w:cs="Arial"/>
              </w:rPr>
              <w:t>(2018 Item B49)</w:t>
            </w:r>
            <w:r>
              <w:t>.</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spacing w:before="200"/>
      </w:pPr>
      <w:r>
        <w:t xml:space="preserve">In this form, the law provides a preferential pecuniary benefit to some business and not others, and this difference is included in measured assistance. Reductions for large companies above the turnover threshold have been drafted, but legislation has not been passed by Parliament. Were the general company tax rate to decline in line with the rate applying to small businesses then this would no longer be treated as assistance. </w:t>
      </w:r>
    </w:p>
    <w:p w:rsidR="00745FEA" w:rsidRDefault="00745FEA" w:rsidP="00745FEA">
      <w:pPr>
        <w:pStyle w:val="BodyText"/>
        <w:spacing w:before="200"/>
      </w:pPr>
      <w:r>
        <w:t>Unincorporated small businesses also received a tax reduction via a non</w:t>
      </w:r>
      <w:r>
        <w:noBreakHyphen/>
        <w:t>refundable tax offset. In 2015</w:t>
      </w:r>
      <w:r>
        <w:noBreakHyphen/>
        <w:t>16, unincorporated businesses with turnover below $2 million were eligible for an 8 per cent discount on tax payable. For 2016</w:t>
      </w:r>
      <w:r>
        <w:noBreakHyphen/>
        <w:t>17, the turnover threshold was raised to $5 million. The discount will be progressively raised to 16 per cent in 2026</w:t>
      </w:r>
      <w:r>
        <w:noBreakHyphen/>
        <w:t>27. The benefit to claimants was estimated to be $550 million in 2016</w:t>
      </w:r>
      <w:r>
        <w:noBreakHyphen/>
        <w:t>17, $750 million in 2017</w:t>
      </w:r>
      <w:r>
        <w:noBreakHyphen/>
        <w:t>18 and $800 million in each of 2018</w:t>
      </w:r>
      <w:r>
        <w:noBreakHyphen/>
        <w:t>19 to 2020</w:t>
      </w:r>
      <w:r>
        <w:noBreakHyphen/>
        <w:t xml:space="preserve">21 </w:t>
      </w:r>
      <w:r w:rsidRPr="004459ED">
        <w:rPr>
          <w:szCs w:val="24"/>
        </w:rPr>
        <w:t>(Treasury 2018 Item B59)</w:t>
      </w:r>
      <w:r>
        <w:t>.</w:t>
      </w:r>
    </w:p>
    <w:p w:rsidR="00745FEA" w:rsidRPr="0056722F" w:rsidRDefault="00745FEA" w:rsidP="00745FEA">
      <w:pPr>
        <w:pStyle w:val="Heading2"/>
      </w:pPr>
      <w:bookmarkStart w:id="43" w:name="_Toc511745379"/>
      <w:r w:rsidRPr="0056722F">
        <w:t>4.6</w:t>
      </w:r>
      <w:r w:rsidRPr="0056722F">
        <w:tab/>
        <w:t>Film and television industry assistance</w:t>
      </w:r>
      <w:bookmarkEnd w:id="43"/>
    </w:p>
    <w:p w:rsidR="00745FEA" w:rsidRDefault="00745FEA" w:rsidP="00745FEA">
      <w:pPr>
        <w:pStyle w:val="BodyText"/>
      </w:pPr>
      <w:r>
        <w:t xml:space="preserve">In December 2017, the House of Representatives Standing Committee on Communications and the Arts’ Inquiry into the Australian Film and Television Industry recommended more generous tax offsets for screen production, estimated to cost around an additional $35 million per year for the next decade </w:t>
      </w:r>
      <w:r w:rsidRPr="004459ED">
        <w:rPr>
          <w:szCs w:val="24"/>
        </w:rPr>
        <w:t>(HRSCCA 2017)</w:t>
      </w:r>
      <w:r>
        <w:t>. The Committee also made two recommendations in relation to Australian content quotas that would reduce competition from non</w:t>
      </w:r>
      <w:r>
        <w:noBreakHyphen/>
        <w:t>Australian content. First, the Committee recommended a change in the regulatory definition of ‘first release’ that would act to limit New Zealand programs currently qualifying as quota</w:t>
      </w:r>
      <w:r>
        <w:noBreakHyphen/>
        <w:t>compliant. Second, the Committee also recommended local content regulations be extended to subscription video</w:t>
      </w:r>
      <w:r>
        <w:noBreakHyphen/>
        <w:t>on</w:t>
      </w:r>
      <w:r>
        <w:noBreakHyphen/>
        <w:t xml:space="preserve">demand services. The Australian Government is yet to respond. </w:t>
      </w:r>
    </w:p>
    <w:p w:rsidR="00745FEA" w:rsidRDefault="00745FEA" w:rsidP="00745FEA">
      <w:pPr>
        <w:pStyle w:val="BodyText"/>
      </w:pPr>
      <w:r>
        <w:t>The Australian film and television industry currently receives assistance via numerous arrangements, including:</w:t>
      </w:r>
    </w:p>
    <w:p w:rsidR="00745FEA" w:rsidRDefault="00745FEA" w:rsidP="00745FEA">
      <w:pPr>
        <w:pStyle w:val="ListBullet"/>
        <w:spacing w:before="100"/>
      </w:pPr>
      <w:r>
        <w:t>three tax offsets — production, location, and post, digital and visual effects — ranging from 16.5 to 40 per cent of qualifying expenditure ($342 million in 2016</w:t>
      </w:r>
      <w:r>
        <w:noBreakHyphen/>
        <w:t>17)</w:t>
      </w:r>
    </w:p>
    <w:p w:rsidR="00745FEA" w:rsidRDefault="00745FEA" w:rsidP="00745FEA">
      <w:pPr>
        <w:pStyle w:val="ListBullet"/>
        <w:spacing w:before="100"/>
      </w:pPr>
      <w:r>
        <w:t>Screen Australia support for Australian screen content ($84 million in 2016</w:t>
      </w:r>
      <w:r>
        <w:noBreakHyphen/>
        <w:t>17)</w:t>
      </w:r>
    </w:p>
    <w:p w:rsidR="00745FEA" w:rsidRDefault="00745FEA" w:rsidP="00745FEA">
      <w:pPr>
        <w:pStyle w:val="ListBullet"/>
        <w:spacing w:before="100"/>
      </w:pPr>
      <w:r>
        <w:t>Australian Government payments to international producers to make movies in Australia (over $100 million since 2011</w:t>
      </w:r>
      <w:r>
        <w:noBreakHyphen/>
        <w:t>12 for six movies)</w:t>
      </w:r>
    </w:p>
    <w:p w:rsidR="00745FEA" w:rsidRDefault="00745FEA" w:rsidP="00745FEA">
      <w:pPr>
        <w:pStyle w:val="ListBullet"/>
        <w:spacing w:before="100"/>
      </w:pPr>
      <w:r>
        <w:t xml:space="preserve">State government assistance to local screen productions as well as support for international producers to make movies locally (such as, Dora the Explorer in Queensland and the Great Gatsby in NSW) </w:t>
      </w:r>
    </w:p>
    <w:p w:rsidR="00745FEA" w:rsidRDefault="00745FEA" w:rsidP="00745FEA">
      <w:pPr>
        <w:pStyle w:val="ListBullet"/>
        <w:spacing w:before="100"/>
      </w:pPr>
      <w:r>
        <w:t>free to air television quotas for Australian content (such as not less than 55 per cent of programming is Australian, sub</w:t>
      </w:r>
      <w:r>
        <w:noBreakHyphen/>
        <w:t>quotas for documentary, drama and children’s content, and minimum production expenditure per hour for drama)</w:t>
      </w:r>
    </w:p>
    <w:p w:rsidR="00745FEA" w:rsidRDefault="00745FEA" w:rsidP="00745FEA">
      <w:pPr>
        <w:pStyle w:val="ListBullet"/>
        <w:spacing w:before="100"/>
      </w:pPr>
      <w:r>
        <w:t>international co</w:t>
      </w:r>
      <w:r>
        <w:noBreakHyphen/>
        <w:t xml:space="preserve">production treaties between Australia and 12 other countries allowing projects to qualify for ‘Australian’ treatment, such as access to tax offsets and contributing to content quotas. </w:t>
      </w:r>
    </w:p>
    <w:p w:rsidR="00745FEA" w:rsidRDefault="00745FEA" w:rsidP="00745FEA">
      <w:pPr>
        <w:sectPr w:rsidR="00745FEA" w:rsidSect="00745FEA">
          <w:headerReference w:type="even" r:id="rId55"/>
          <w:headerReference w:type="default" r:id="rId56"/>
          <w:footerReference w:type="even" r:id="rId57"/>
          <w:footerReference w:type="default" r:id="rId58"/>
          <w:type w:val="oddPage"/>
          <w:pgSz w:w="11907" w:h="16840" w:code="9"/>
          <w:pgMar w:top="1985" w:right="1304" w:bottom="1247" w:left="1814" w:header="1701" w:footer="397" w:gutter="0"/>
          <w:pgNumType w:chapSep="period"/>
          <w:cols w:space="720"/>
          <w:docGrid w:linePitch="326"/>
        </w:sectPr>
      </w:pPr>
    </w:p>
    <w:p w:rsidR="00745FEA" w:rsidRDefault="00745FEA" w:rsidP="00745FEA">
      <w:pPr>
        <w:pStyle w:val="Heading1"/>
        <w:spacing w:before="0"/>
      </w:pPr>
      <w:bookmarkStart w:id="44" w:name="_Toc511745380"/>
      <w:r>
        <w:t>5</w:t>
      </w:r>
      <w:r>
        <w:tab/>
        <w:t>Trade policy developments</w:t>
      </w:r>
      <w:bookmarkEnd w:id="44"/>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Pr="00FF103C" w:rsidRDefault="00745FEA">
            <w:pPr>
              <w:pStyle w:val="BoxTitle"/>
            </w:pPr>
            <w:r w:rsidRPr="00FF103C">
              <w:t>Key points</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ListBullet"/>
            </w:pPr>
            <w:r>
              <w:t>The liberal rules</w:t>
            </w:r>
            <w:r>
              <w:noBreakHyphen/>
              <w:t>based global trading system that developed in the second half of the Twentieth Century has served Australia’s interests well. It provided Australian businesses with predictable treatment and low costs of doing business abroad that supported investment in Australian industry and high</w:t>
            </w:r>
            <w:r>
              <w:noBreakHyphen/>
              <w:t>wage jobs.</w:t>
            </w:r>
          </w:p>
          <w:p w:rsidR="00745FEA" w:rsidRDefault="00745FEA" w:rsidP="00745FEA">
            <w:pPr>
              <w:pStyle w:val="BoxListBullet"/>
            </w:pPr>
            <w:r>
              <w:t>The system is facing challenges. The Doha round of WTO negotiations is effectively finished as a single undertaking and the 11th biennial WTO Ministerial Conference (Buenos Aires, December 2017) passed without agreement on any substantial matter. The USA had been a key driver of multilateral trade agreements over many decades but, as reported in chapter 1, has recently taken a more protectionist posture.</w:t>
            </w:r>
          </w:p>
          <w:p w:rsidR="00745FEA" w:rsidRDefault="00745FEA" w:rsidP="00745FEA">
            <w:pPr>
              <w:pStyle w:val="BoxListBullet"/>
            </w:pPr>
            <w:r>
              <w:t>The greatest benefits from trade liberalisation come about through multilateral agreements. With WTO negotiations unable to advance, the best prospect for further liberalisation is likely to be through plurilateral or ‘mega</w:t>
            </w:r>
            <w:r>
              <w:noBreakHyphen/>
              <w:t xml:space="preserve">regional’ agreements, which may expand over time. </w:t>
            </w:r>
          </w:p>
          <w:p w:rsidR="00745FEA" w:rsidRDefault="00745FEA" w:rsidP="00745FEA">
            <w:pPr>
              <w:pStyle w:val="BoxListBullet"/>
            </w:pPr>
            <w:r>
              <w:t>The economic benefits of bilateral trade agreements are more questionable. The ‘noodle bowl’ of agreements, each with their own detailed conditions such as Rules</w:t>
            </w:r>
            <w:r>
              <w:noBreakHyphen/>
              <w:t>of</w:t>
            </w:r>
            <w:r>
              <w:noBreakHyphen/>
              <w:t>Origin, creates complexity for businesses and compliance costs to access trade preferences. Some Australian importers find it easier to pay the general tariff rate than comply with these legalistic requirements. While they sometimes produce economic benefits, including as awkwardly</w:t>
            </w:r>
            <w:r>
              <w:noBreakHyphen/>
              <w:t xml:space="preserve">placed stepping stones to broader trade agreements, their formulation and impacts are often not transparently reported. </w:t>
            </w:r>
          </w:p>
          <w:p w:rsidR="00745FEA" w:rsidRDefault="00745FEA" w:rsidP="00745FEA">
            <w:pPr>
              <w:pStyle w:val="BoxListBullet"/>
            </w:pPr>
            <w:r>
              <w:t>Two developments in Australian trade policy this year were:</w:t>
            </w:r>
          </w:p>
          <w:p w:rsidR="00745FEA" w:rsidRDefault="00745FEA" w:rsidP="00745FEA">
            <w:pPr>
              <w:pStyle w:val="BoxListBullet2"/>
            </w:pPr>
            <w:r>
              <w:t xml:space="preserve">the signing of the </w:t>
            </w:r>
            <w:r w:rsidR="006577F4">
              <w:t xml:space="preserve">revised </w:t>
            </w:r>
            <w:r>
              <w:t>Trans</w:t>
            </w:r>
            <w:r>
              <w:noBreakHyphen/>
              <w:t>Pacific Partnership (TPP</w:t>
            </w:r>
            <w:r>
              <w:noBreakHyphen/>
              <w:t>11)</w:t>
            </w:r>
          </w:p>
          <w:p w:rsidR="00745FEA" w:rsidRDefault="00745FEA" w:rsidP="00745FEA">
            <w:pPr>
              <w:pStyle w:val="BoxListBullet2"/>
            </w:pPr>
            <w:r>
              <w:t>negotiation and signing of a bilateral trade agreement with Peru.</w:t>
            </w:r>
          </w:p>
          <w:p w:rsidR="00745FEA" w:rsidRDefault="00745FEA" w:rsidP="00745FEA">
            <w:pPr>
              <w:pStyle w:val="BoxListBullet"/>
            </w:pPr>
            <w:r>
              <w:t>Trade policy does not always require ‘give and take’ in market access negotiations. Unilateral reductions in trade barriers (chapter 1) would send a strong signal of Australia’s commitment to a liberal global trading system.</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This chapter reports on trade policy developments since the </w:t>
      </w:r>
      <w:r w:rsidRPr="00DB53E3">
        <w:rPr>
          <w:i/>
        </w:rPr>
        <w:t>2015</w:t>
      </w:r>
      <w:r>
        <w:rPr>
          <w:i/>
        </w:rPr>
        <w:noBreakHyphen/>
      </w:r>
      <w:r w:rsidRPr="00DB53E3">
        <w:rPr>
          <w:i/>
        </w:rPr>
        <w:t>16 Trade &amp; Assistance Review</w:t>
      </w:r>
      <w:r>
        <w:t xml:space="preserve"> (published in July 2017). </w:t>
      </w:r>
    </w:p>
    <w:p w:rsidR="00745FEA" w:rsidRDefault="00745FEA" w:rsidP="00745FEA">
      <w:pPr>
        <w:pStyle w:val="BodyText"/>
      </w:pPr>
      <w:r>
        <w:t>It is widely acknowledged that the benefits of trade liberalisation are greatest when undertaken on a multilateral, ‘most favoured nation’ basis. However, multilateral negotiations at the WTO have proven increasingly difficult and it is clear that a comprehensive outcome to the Doha Round will not be achieved as originally formulated. The Commission considers there is value in Australia (and other like</w:t>
      </w:r>
      <w:r>
        <w:noBreakHyphen/>
        <w:t>minded countries) continuing to intensify trade liberalisation efforts, with an emphasis on large</w:t>
      </w:r>
      <w:r>
        <w:noBreakHyphen/>
        <w:t xml:space="preserve">scale plurilateral agreements, covering one or many trade topics </w:t>
      </w:r>
      <w:r w:rsidRPr="00CB14EC">
        <w:rPr>
          <w:szCs w:val="24"/>
        </w:rPr>
        <w:t>(PC 2017)</w:t>
      </w:r>
      <w:r>
        <w:t>.</w:t>
      </w:r>
    </w:p>
    <w:p w:rsidR="00745FEA" w:rsidRDefault="00745FEA" w:rsidP="00745FEA">
      <w:pPr>
        <w:pStyle w:val="BodyText"/>
      </w:pPr>
      <w:r>
        <w:t>In the past 12 months Australia has followed this course (section 5.1). Following the withdrawal of the USA from the Trans</w:t>
      </w:r>
      <w:r>
        <w:noBreakHyphen/>
        <w:t>Pacific Partnership Agreement (TPP), Australia worked with the remaining 10 partners to sign the Comprehensive and Progressive Agreement for Trans</w:t>
      </w:r>
      <w:r>
        <w:noBreakHyphen/>
        <w:t>Pacific Partnership (TPP</w:t>
      </w:r>
      <w:r>
        <w:noBreakHyphen/>
        <w:t xml:space="preserve">11) on 23 January 2018. Plurilateral negotiations provide the greatest prospect to reduce trade costs today and, over time, there may be scope to broaden their geographic coverage. </w:t>
      </w:r>
    </w:p>
    <w:p w:rsidR="00745FEA" w:rsidRDefault="00745FEA" w:rsidP="00745FEA">
      <w:pPr>
        <w:pStyle w:val="BodyText"/>
      </w:pPr>
      <w:r>
        <w:t>However, Australia also continues to expend considerable effort in negotiating bilateral trade agreements (section 5.2). The Commission has previously noted that bilateral agreements, with their associated ‘Rules</w:t>
      </w:r>
      <w:r>
        <w:noBreakHyphen/>
        <w:t>of</w:t>
      </w:r>
      <w:r>
        <w:noBreakHyphen/>
        <w:t>Origin’ prescriptions, create administrative costs for businesses seeking relief from tariffs that reduce their beneficial effects. With bilateral agreements now in place with Australia’s largest trade partners, future bilateral agreements would cover smaller portions of Australian trade and would also add to the ‘noodle bowl’ of administrative burden for Australian businesses seeking to conform to the detail of each agreement. The comparative benefits and costs of each bilateral and plurilateral agreement require case</w:t>
      </w:r>
      <w:r>
        <w:noBreakHyphen/>
        <w:t>by</w:t>
      </w:r>
      <w:r>
        <w:noBreakHyphen/>
        <w:t xml:space="preserve">case transparent prior assessment. While some see bilateral agreements as stepping stones towards multilateral trade liberalisation </w:t>
      </w:r>
      <w:r w:rsidRPr="00CB14EC">
        <w:rPr>
          <w:szCs w:val="24"/>
        </w:rPr>
        <w:t>(Griswold 2003)</w:t>
      </w:r>
      <w:r>
        <w:t xml:space="preserve">, others see them as stumbling blocks to negotiations </w:t>
      </w:r>
      <w:r w:rsidRPr="00CB14EC">
        <w:rPr>
          <w:szCs w:val="24"/>
        </w:rPr>
        <w:t>(Bhagwati 2008)</w:t>
      </w:r>
      <w:r>
        <w:t xml:space="preserve">. A proliferation of small bilateral agreements, to the extent that they were inconsistent with each other, would not be the surest path to freer trade and greater market access for Australian exporters. Their economic benefits may be marginal. </w:t>
      </w:r>
    </w:p>
    <w:p w:rsidR="00745FEA" w:rsidRDefault="00745FEA" w:rsidP="00745FEA">
      <w:pPr>
        <w:pStyle w:val="Heading2"/>
        <w:spacing w:before="480"/>
      </w:pPr>
      <w:bookmarkStart w:id="45" w:name="_Toc511745381"/>
      <w:r>
        <w:t>5.</w:t>
      </w:r>
      <w:r>
        <w:rPr>
          <w:noProof/>
        </w:rPr>
        <w:t>1</w:t>
      </w:r>
      <w:r>
        <w:tab/>
        <w:t>Multilateral and plurilateral</w:t>
      </w:r>
      <w:r>
        <w:noBreakHyphen/>
        <w:t>agreements</w:t>
      </w:r>
      <w:bookmarkEnd w:id="45"/>
    </w:p>
    <w:p w:rsidR="00745FEA" w:rsidRDefault="00745FEA" w:rsidP="00745FEA">
      <w:pPr>
        <w:pStyle w:val="BodyText"/>
      </w:pPr>
      <w:r>
        <w:t>The World Trade Organisation (WTO) is facing challenges. It has more than 160 members at very different levels of economic development and with different policy priorities. The Doha Round that commenced in November 2001 will not be achieved in the form originally formulated as a single undertaking. DFAT concluded after the 10th Ministerial Conference in December 2015:</w:t>
      </w:r>
    </w:p>
    <w:p w:rsidR="00745FEA" w:rsidRDefault="00745FEA" w:rsidP="00745FEA">
      <w:pPr>
        <w:pStyle w:val="Quote"/>
      </w:pPr>
      <w:r>
        <w:t xml:space="preserve">As such the Round is effectively over. Australia has argued that new approaches are necessary if we are to achieve meaningful outcomes on the outstanding Doha issues </w:t>
      </w:r>
      <w:r w:rsidRPr="00CB14EC">
        <w:rPr>
          <w:szCs w:val="24"/>
        </w:rPr>
        <w:t>(DFAT 2016)</w:t>
      </w:r>
    </w:p>
    <w:p w:rsidR="00745FEA" w:rsidRDefault="00745FEA" w:rsidP="00745FEA">
      <w:pPr>
        <w:pStyle w:val="BodyText"/>
      </w:pPr>
      <w:r>
        <w:t>Since that time, the 11th Ministerial Conference in December 2017 discussed several topics, but was unable to reach any substantive agreements. Rather, programs of ongoing work and engagement were agreed in relation to fisheries subsidies negotiations, electronic commerce, small economies and the treatment of non</w:t>
      </w:r>
      <w:r>
        <w:noBreakHyphen/>
        <w:t xml:space="preserve">violation complaints under the TRIPS agreement. Australia’s Trade Minister reaffirmed Australia’s support for the WTO and Australia’s multilateral liberalisation priorities, such as addressing agriculture support and regulation of services (box 5.1). </w:t>
      </w:r>
    </w:p>
    <w:p w:rsidR="00745FEA" w:rsidRDefault="00745FEA" w:rsidP="00745FEA">
      <w:pPr>
        <w:pStyle w:val="BodyText"/>
      </w:pPr>
      <w:r w:rsidRPr="00F8050A">
        <w:rPr>
          <w:rStyle w:val="BodyTextChar"/>
        </w:rPr>
        <w:t>The absence of substantial conference outcomes was a disappointing step back from</w:t>
      </w:r>
      <w:r>
        <w:t xml:space="preserve"> successes at the 9th and 10th Ministerial Conferences. In particular:</w:t>
      </w:r>
    </w:p>
    <w:p w:rsidR="00745FEA" w:rsidRDefault="00745FEA" w:rsidP="00745FEA">
      <w:pPr>
        <w:pStyle w:val="ListBullet"/>
      </w:pPr>
      <w:r>
        <w:t>A centrepiece of the 10th Ministerial Conference was a Ministerial Decision on Export Competition, which included a commitment to eliminate subsidies for farm exports. Under the decision, developed country members have committed to remove export subsidies immediately, except for a handful of agriculture products, and developing countries would do so by 2018.</w:t>
      </w:r>
    </w:p>
    <w:p w:rsidR="00745FEA" w:rsidRDefault="00745FEA" w:rsidP="00745FEA">
      <w:pPr>
        <w:pStyle w:val="ListBullet"/>
      </w:pPr>
      <w:r>
        <w:t xml:space="preserve">The 9th Ministerial Conference reached an Agreement on Trade Facilitation (ATF) aimed at simplification and harmonisation of international trade procedures to assist the movement of goods. The Agreement reduces red tape by streamlining customs processes and improving transparency about rules affecting international trade, making it easier for businesses to enter overseas markets. </w:t>
      </w:r>
    </w:p>
    <w:p w:rsidR="00745FEA" w:rsidRDefault="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F2F2F2"/>
          </w:tcPr>
          <w:p w:rsidR="00745FEA" w:rsidRDefault="00745FEA" w:rsidP="00745FEA">
            <w:pPr>
              <w:pStyle w:val="BoxTitle"/>
            </w:pPr>
            <w:r>
              <w:rPr>
                <w:b w:val="0"/>
              </w:rPr>
              <w:t>Box 5.</w:t>
            </w:r>
            <w:r>
              <w:rPr>
                <w:b w:val="0"/>
                <w:noProof/>
              </w:rPr>
              <w:t>1</w:t>
            </w:r>
            <w:r>
              <w:tab/>
            </w:r>
            <w:r w:rsidRPr="0095410C">
              <w:t xml:space="preserve">Statement by Australia’s </w:t>
            </w:r>
            <w:r>
              <w:t>Trade Minister at the WTO’s 11</w:t>
            </w:r>
            <w:r w:rsidRPr="00E80499">
              <w:rPr>
                <w:vertAlign w:val="superscript"/>
              </w:rPr>
              <w:t>th</w:t>
            </w:r>
            <w:r>
              <w:t xml:space="preserve"> </w:t>
            </w:r>
            <w:r w:rsidRPr="0095410C">
              <w:t>Ministerial Conference</w:t>
            </w:r>
            <w:r>
              <w:t>, 13 December 2017</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
            </w:pPr>
            <w:r>
              <w:t>The Australian Government’s articulation of trade policy remains largely consistent with the general principles underlying the long accepted liberal rules</w:t>
            </w:r>
            <w:r>
              <w:noBreakHyphen/>
              <w:t>based global trading system. For instance, the Trade Minister has noted:</w:t>
            </w:r>
          </w:p>
          <w:p w:rsidR="00745FEA" w:rsidRDefault="00745FEA" w:rsidP="00745FEA">
            <w:pPr>
              <w:pStyle w:val="BoxQuote"/>
            </w:pPr>
            <w:r>
              <w:t>The WTO is the bedrock of the global trading system that has helped deliver prosperity and trade growth since its inception. It has helped lift millions out of poverty and improve the living standards for many millions more. It creates opportunities for business and, of course, it creates jobs.</w:t>
            </w:r>
          </w:p>
          <w:p w:rsidR="00745FEA" w:rsidRDefault="00745FEA" w:rsidP="00745FEA">
            <w:pPr>
              <w:pStyle w:val="BoxQuote"/>
            </w:pPr>
            <w:r>
              <w:t>In recent years the WTO has shown that international agreements with real economic impact are possible – such as the Trade Facilitation Agreement at MC9 and the outcome on agricultural export subsidies at MC10.</w:t>
            </w:r>
          </w:p>
          <w:p w:rsidR="00745FEA" w:rsidRDefault="00745FEA" w:rsidP="00745FEA">
            <w:pPr>
              <w:pStyle w:val="BoxQuote"/>
            </w:pPr>
            <w:r>
              <w:t>Agriculture is a major priority for Australia. There is a clear need for us to address problems with the existing rules on domestic support and to reduce the trade</w:t>
            </w:r>
            <w:r>
              <w:noBreakHyphen/>
              <w:t>distorting impact of some of these domestic support policies.</w:t>
            </w:r>
          </w:p>
          <w:p w:rsidR="00745FEA" w:rsidRDefault="00745FEA" w:rsidP="00745FEA">
            <w:pPr>
              <w:pStyle w:val="BoxQuote"/>
            </w:pPr>
            <w:r>
              <w:t>On services, Australia is advocating for improvements in the area of domestic regulation – improvements that would result in real world benefits for all service suppliers.</w:t>
            </w:r>
          </w:p>
          <w:p w:rsidR="00745FEA" w:rsidRDefault="00745FEA" w:rsidP="00745FEA">
            <w:pPr>
              <w:pStyle w:val="BoxQuote"/>
            </w:pPr>
            <w:r>
              <w:t>We need to make sure that WTO rules address the opportunities and challenges of the 21st century. Today’s world is dominated by digital innovation and we should be thinking about how the trading system can support businesses trading in a digital environment.</w:t>
            </w:r>
          </w:p>
          <w:p w:rsidR="00745FEA" w:rsidRDefault="00745FEA" w:rsidP="00745FEA">
            <w:pPr>
              <w:pStyle w:val="BoxQuote"/>
            </w:pPr>
            <w:r>
              <w:t>In addition, we must all take responsibility for ensuring the benefits of international trade are shared across the entire WTO membership, particularly those on lower income levels.</w:t>
            </w:r>
          </w:p>
          <w:p w:rsidR="00745FEA" w:rsidRDefault="00745FEA" w:rsidP="00745FEA">
            <w:pPr>
              <w:pStyle w:val="BoxQuote"/>
            </w:pPr>
            <w:r>
              <w:t>Australia is committed to helping developing countries, particularly least developed countries, better integrate into the multilateral trading system.</w:t>
            </w:r>
          </w:p>
        </w:tc>
      </w:tr>
      <w:tr w:rsidR="00745FEA" w:rsidTr="00745FEA">
        <w:tc>
          <w:tcPr>
            <w:tcW w:w="5000" w:type="pct"/>
            <w:tcBorders>
              <w:top w:val="nil"/>
              <w:left w:val="nil"/>
              <w:bottom w:val="nil"/>
              <w:right w:val="nil"/>
            </w:tcBorders>
            <w:shd w:val="clear" w:color="auto" w:fill="F2F2F2"/>
          </w:tcPr>
          <w:p w:rsidR="00745FEA" w:rsidRDefault="00745FEA" w:rsidP="00745FEA">
            <w:pPr>
              <w:pStyle w:val="BoxSource"/>
            </w:pPr>
            <w:r>
              <w:rPr>
                <w:i/>
              </w:rPr>
              <w:t>Source</w:t>
            </w:r>
            <w:r w:rsidRPr="00167F06">
              <w:t xml:space="preserve">: </w:t>
            </w:r>
            <w:r>
              <w:t xml:space="preserve">Selected extracts from Ciobo </w:t>
            </w:r>
            <w:r w:rsidRPr="003F6FDB">
              <w:rPr>
                <w:rFonts w:cs="Arial"/>
              </w:rPr>
              <w:t>(2017)</w:t>
            </w:r>
            <w:r>
              <w:t>.</w:t>
            </w:r>
          </w:p>
        </w:tc>
      </w:tr>
      <w:tr w:rsidR="00745FEA" w:rsidTr="00745FEA">
        <w:tc>
          <w:tcPr>
            <w:tcW w:w="5000" w:type="pct"/>
            <w:tcBorders>
              <w:top w:val="nil"/>
              <w:left w:val="nil"/>
              <w:bottom w:val="single" w:sz="6" w:space="0" w:color="78A22F"/>
              <w:right w:val="nil"/>
            </w:tcBorders>
            <w:shd w:val="clear" w:color="auto" w:fill="F2F2F2"/>
          </w:tcPr>
          <w:p w:rsidR="00745FEA" w:rsidRDefault="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Against this background, the Australian Government set out in its 2017 Foreign Policy White Paper the importance of advancing regional trade and investment integration </w:t>
      </w:r>
      <w:r w:rsidRPr="00CB14EC">
        <w:rPr>
          <w:szCs w:val="24"/>
        </w:rPr>
        <w:t>(Australian Government 2017)</w:t>
      </w:r>
      <w:r>
        <w:t>. This includes a long</w:t>
      </w:r>
      <w:r>
        <w:noBreakHyphen/>
        <w:t>term goal that brings major Indo</w:t>
      </w:r>
      <w:r>
        <w:noBreakHyphen/>
        <w:t>Pacific economies under a single set of trade and investment rules, with the RCEP and TPP</w:t>
      </w:r>
      <w:r>
        <w:noBreakHyphen/>
        <w:t xml:space="preserve">11 trade agreement seen as potential steps towards that goal (figure 5.1). It noted Australia can contribute by ensuring our bilateral and regional FTAs are broadly compatible with each other and over time link as many economies as possible.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745FEA">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5.</w:t>
            </w:r>
            <w:r>
              <w:rPr>
                <w:b w:val="0"/>
                <w:noProof/>
              </w:rPr>
              <w:t>1</w:t>
            </w:r>
            <w:r>
              <w:tab/>
            </w:r>
            <w:r w:rsidRPr="0095410C">
              <w:t>Current and prospective FTA groupings</w:t>
            </w:r>
            <w:r w:rsidRPr="00FF103C">
              <w:rPr>
                <w:rStyle w:val="NoteLabel"/>
                <w:b/>
              </w:rPr>
              <w:t>a</w:t>
            </w:r>
          </w:p>
        </w:tc>
      </w:tr>
      <w:tr w:rsidR="00745FEA" w:rsidTr="00745FE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5FEA" w:rsidRPr="00B1465D" w:rsidTr="00745FEA">
              <w:trPr>
                <w:tblHeader/>
                <w:jc w:val="center"/>
              </w:trPr>
              <w:tc>
                <w:tcPr>
                  <w:tcW w:w="5000" w:type="pct"/>
                  <w:tcBorders>
                    <w:top w:val="nil"/>
                    <w:bottom w:val="nil"/>
                  </w:tcBorders>
                </w:tcPr>
                <w:p w:rsidR="00745FEA" w:rsidRPr="00B1465D" w:rsidRDefault="00745FEA" w:rsidP="00745FEA">
                  <w:pPr>
                    <w:pStyle w:val="Figure"/>
                    <w:spacing w:before="60" w:after="60"/>
                    <w:rPr>
                      <w:rFonts w:ascii="Arial" w:hAnsi="Arial" w:cs="Arial"/>
                      <w:sz w:val="18"/>
                      <w:szCs w:val="18"/>
                    </w:rPr>
                  </w:pPr>
                  <w:r>
                    <w:rPr>
                      <w:rFonts w:ascii="Arial" w:hAnsi="Arial" w:cs="Arial"/>
                      <w:noProof/>
                      <w:sz w:val="18"/>
                      <w:szCs w:val="18"/>
                    </w:rPr>
                    <w:drawing>
                      <wp:inline distT="0" distB="0" distL="0" distR="0" wp14:anchorId="12E6B564" wp14:editId="37C97E97">
                        <wp:extent cx="5011420" cy="5322570"/>
                        <wp:effectExtent l="0" t="0" r="0" b="0"/>
                        <wp:docPr id="14" name="Picture 14" descr="This figure shows current and prospective FTA groupings as set out by the Australian Government in its 2017 Foreign Policy White Paper outlining the importance of advancing regional trade and investment integration. This reflects a long term goal that brings major Indo Pacific economies under a single set of trade and investment ru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11420" cy="5322570"/>
                                </a:xfrm>
                                <a:prstGeom prst="rect">
                                  <a:avLst/>
                                </a:prstGeom>
                                <a:noFill/>
                              </pic:spPr>
                            </pic:pic>
                          </a:graphicData>
                        </a:graphic>
                      </wp:inline>
                    </w:drawing>
                  </w:r>
                </w:p>
              </w:tc>
            </w:tr>
          </w:tbl>
          <w:p w:rsidR="00745FEA" w:rsidRDefault="00745FEA" w:rsidP="00745FEA">
            <w:pPr>
              <w:pStyle w:val="Figure"/>
            </w:pP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Note"/>
            </w:pPr>
            <w:r>
              <w:rPr>
                <w:rStyle w:val="NoteLabel"/>
              </w:rPr>
              <w:t>a</w:t>
            </w:r>
            <w:r>
              <w:t xml:space="preserve"> </w:t>
            </w:r>
            <w:r w:rsidRPr="0095410C">
              <w:t>APEC members are discussing a future free trade area of the Asia</w:t>
            </w:r>
            <w:r>
              <w:noBreakHyphen/>
            </w:r>
            <w:r w:rsidRPr="0095410C">
              <w:t>Pacific</w:t>
            </w:r>
            <w:r>
              <w:t>.</w:t>
            </w:r>
          </w:p>
        </w:tc>
      </w:tr>
      <w:tr w:rsidR="00745FEA" w:rsidRPr="00176D3F" w:rsidTr="00745FEA">
        <w:tc>
          <w:tcPr>
            <w:tcW w:w="5000" w:type="pct"/>
            <w:tcBorders>
              <w:top w:val="nil"/>
              <w:left w:val="nil"/>
              <w:bottom w:val="nil"/>
              <w:right w:val="nil"/>
            </w:tcBorders>
            <w:shd w:val="clear" w:color="auto" w:fill="auto"/>
          </w:tcPr>
          <w:p w:rsidR="00745FEA" w:rsidRPr="00176D3F" w:rsidRDefault="00745FEA" w:rsidP="00745FEA">
            <w:pPr>
              <w:pStyle w:val="Source"/>
            </w:pPr>
            <w:r>
              <w:rPr>
                <w:i/>
              </w:rPr>
              <w:t>Source</w:t>
            </w:r>
            <w:r w:rsidRPr="00176D3F">
              <w:t>:</w:t>
            </w:r>
            <w:r>
              <w:t xml:space="preserve"> Australian Government</w:t>
            </w:r>
            <w:r w:rsidRPr="00176D3F">
              <w:t xml:space="preserve"> </w:t>
            </w:r>
            <w:r w:rsidRPr="003F6FDB">
              <w:rPr>
                <w:rFonts w:cs="Arial"/>
              </w:rPr>
              <w:t>(2017 Figure 3)</w:t>
            </w:r>
            <w:r>
              <w:t>.</w:t>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Heading3"/>
      </w:pPr>
      <w:r>
        <w:t>Signing of the Trans</w:t>
      </w:r>
      <w:r>
        <w:noBreakHyphen/>
        <w:t>Pacific Partnership (TPP</w:t>
      </w:r>
      <w:r>
        <w:noBreakHyphen/>
        <w:t>11) Agreement</w:t>
      </w:r>
    </w:p>
    <w:p w:rsidR="00745FEA" w:rsidRDefault="00745FEA" w:rsidP="00745FEA">
      <w:pPr>
        <w:pStyle w:val="BodyText"/>
      </w:pPr>
      <w:r>
        <w:t>The TPP</w:t>
      </w:r>
      <w:r>
        <w:noBreakHyphen/>
        <w:t>11 is a regional trade agreement between the governments of Australia, Brunei Darussalam, Canada, Chile, Japan, Malaysia, Mexico, New Zealand, Peru, Singapore, and Vietnam. Following withdrawal by the USA from the original 12</w:t>
      </w:r>
      <w:r>
        <w:noBreakHyphen/>
        <w:t>party TPP, the agreement was renegotiated and the remaining countries signed the Comprehensive and Progressive Agreement for Trans</w:t>
      </w:r>
      <w:r>
        <w:noBreakHyphen/>
        <w:t>Pacific Partnership (TPP</w:t>
      </w:r>
      <w:r>
        <w:noBreakHyphen/>
        <w:t>11). The text of the TPP</w:t>
      </w:r>
      <w:r>
        <w:noBreakHyphen/>
        <w:t>11 is similar to the original TPP but includes a list of suspended clauses that will not have application under international law.</w:t>
      </w:r>
    </w:p>
    <w:p w:rsidR="00745FEA" w:rsidRDefault="00745FEA" w:rsidP="00745FEA">
      <w:pPr>
        <w:pStyle w:val="BodyText"/>
      </w:pPr>
      <w:r>
        <w:t>Australia’s Trade Minister said the key features of the TPP</w:t>
      </w:r>
      <w:r>
        <w:noBreakHyphen/>
        <w:t>11 included:</w:t>
      </w:r>
    </w:p>
    <w:p w:rsidR="00745FEA" w:rsidRDefault="00745FEA" w:rsidP="00745FEA">
      <w:pPr>
        <w:pStyle w:val="ListBullet"/>
      </w:pPr>
      <w:r>
        <w:t>new reductions in Japan’s tariffs on beef (where Australian exports are worth $2.1 billion in 2016</w:t>
      </w:r>
      <w:r>
        <w:noBreakHyphen/>
        <w:t>17)</w:t>
      </w:r>
    </w:p>
    <w:p w:rsidR="00745FEA" w:rsidRDefault="00745FEA" w:rsidP="00745FEA">
      <w:pPr>
        <w:pStyle w:val="ListBullet"/>
      </w:pPr>
      <w:r>
        <w:t>new access for dairy products into Japan, Canada and Mexico, including the elimination of a range of cheese tariffs into Japan covering over $100 million of trade</w:t>
      </w:r>
    </w:p>
    <w:p w:rsidR="00745FEA" w:rsidRDefault="00745FEA" w:rsidP="00745FEA">
      <w:pPr>
        <w:pStyle w:val="ListBullet"/>
      </w:pPr>
      <w:r>
        <w:t>new access for sugar into the Japanese, Canadian and Mexican markets</w:t>
      </w:r>
    </w:p>
    <w:p w:rsidR="00745FEA" w:rsidRDefault="00745FEA" w:rsidP="00745FEA">
      <w:pPr>
        <w:pStyle w:val="ListBullet"/>
      </w:pPr>
      <w:r>
        <w:t>tariff reductions and new market access for cereals and grains into Japan, including new access for rice products</w:t>
      </w:r>
    </w:p>
    <w:p w:rsidR="00745FEA" w:rsidRDefault="00745FEA" w:rsidP="00745FEA">
      <w:pPr>
        <w:pStyle w:val="ListBullet"/>
      </w:pPr>
      <w:r>
        <w:t>elimination of all tariffs on sheep meat, cotton and wool</w:t>
      </w:r>
    </w:p>
    <w:p w:rsidR="00745FEA" w:rsidRDefault="00745FEA" w:rsidP="00745FEA">
      <w:pPr>
        <w:pStyle w:val="ListBullet"/>
      </w:pPr>
      <w:r>
        <w:t>elimination of tariffs on seafood, horticulture and wine</w:t>
      </w:r>
    </w:p>
    <w:p w:rsidR="00745FEA" w:rsidRDefault="00745FEA" w:rsidP="00745FEA">
      <w:pPr>
        <w:pStyle w:val="ListBullet"/>
      </w:pPr>
      <w:r>
        <w:t>elimination of all tariffs on manufactured goods</w:t>
      </w:r>
    </w:p>
    <w:p w:rsidR="00745FEA" w:rsidRDefault="00745FEA" w:rsidP="00745FEA">
      <w:pPr>
        <w:pStyle w:val="ListBullet"/>
      </w:pPr>
      <w:r>
        <w:t>guaranteed levels of access for services</w:t>
      </w:r>
    </w:p>
    <w:p w:rsidR="00745FEA" w:rsidRDefault="00745FEA" w:rsidP="00745FEA">
      <w:pPr>
        <w:pStyle w:val="ListBullet"/>
      </w:pPr>
      <w:r>
        <w:t xml:space="preserve">liberalised and improved regulatory regimes for investment, notably in mining and resource industries, telecommunications and financial services </w:t>
      </w:r>
      <w:r w:rsidRPr="00CB14EC">
        <w:rPr>
          <w:szCs w:val="24"/>
        </w:rPr>
        <w:t>(Ciobo 2018)</w:t>
      </w:r>
      <w:r>
        <w:rPr>
          <w:szCs w:val="24"/>
        </w:rPr>
        <w:t>.</w:t>
      </w:r>
    </w:p>
    <w:p w:rsidR="00745FEA" w:rsidRDefault="00745FEA" w:rsidP="00745FEA">
      <w:pPr>
        <w:pStyle w:val="BodyText"/>
      </w:pPr>
      <w:r>
        <w:t>Australia agreed to remove tariffs on imports from TPP</w:t>
      </w:r>
      <w:r>
        <w:noBreakHyphen/>
        <w:t>11 members, with 93 per cent of tariff lines set to zero at entry into force of the agreement and phased reduction of almost all remaining tariffs over the following three to four years. Foreign investment screening thresholds in non</w:t>
      </w:r>
      <w:r>
        <w:noBreakHyphen/>
        <w:t>sensitive sectors will also be increased.</w:t>
      </w:r>
    </w:p>
    <w:p w:rsidR="00745FEA" w:rsidRDefault="00745FEA" w:rsidP="00745FEA">
      <w:pPr>
        <w:pStyle w:val="BodyText"/>
      </w:pPr>
      <w:r>
        <w:t>Each signatory is now working towards securing the entry into force of the Agreement as soon as practicable. In Australia, the Agreement and a National Interest Analysis will be reviewed by the Joint Standing Committee on Treaties.</w:t>
      </w:r>
    </w:p>
    <w:p w:rsidR="00745FEA" w:rsidRDefault="00745FEA" w:rsidP="00745FEA">
      <w:pPr>
        <w:pStyle w:val="Heading3"/>
      </w:pPr>
      <w:r>
        <w:t>Regional Comprehensive Economic Partnership negotiations continue</w:t>
      </w:r>
    </w:p>
    <w:p w:rsidR="00745FEA" w:rsidRDefault="00745FEA" w:rsidP="00745FEA">
      <w:pPr>
        <w:pStyle w:val="BodyText"/>
      </w:pPr>
      <w:r>
        <w:t>The Regional Comprehensive Economic Partnership (RCEP) is an ASEAN</w:t>
      </w:r>
      <w:r>
        <w:noBreakHyphen/>
        <w:t>centred proposal for a regional free trade area. It would initially include the ten ASEAN member states and those countries which have existing FTAs with ASEAN — Australia, China, India, Japan, Republic of Korea and New Zealand. The 16 RCEP participating countries account for almost half of the world’s population, almost 30 per cent of global GDP and over a quarter of world exports.</w:t>
      </w:r>
    </w:p>
    <w:p w:rsidR="00745FEA" w:rsidRDefault="00745FEA" w:rsidP="00745FEA">
      <w:pPr>
        <w:pStyle w:val="BodyText"/>
      </w:pPr>
      <w:r>
        <w:t xml:space="preserve">RCEP negotiations commenced in 2012. Trade Ministers met to discuss progress in March 2018 following the 21st Round of Negotiations amongst officials in February 2018. Ministers reaffirmed their commitment to intensify efforts through 2018 and noted progress on the draft text </w:t>
      </w:r>
      <w:r w:rsidRPr="00CB14EC">
        <w:rPr>
          <w:szCs w:val="24"/>
        </w:rPr>
        <w:t>(DFAT 2018a)</w:t>
      </w:r>
      <w:r>
        <w:t xml:space="preserve"> However, Ministers also recognised the divergence in the levels of ambition in some areas, such as transition periods and capacity building assistance.</w:t>
      </w:r>
    </w:p>
    <w:p w:rsidR="00745FEA" w:rsidRDefault="00745FEA" w:rsidP="00745FEA">
      <w:pPr>
        <w:pStyle w:val="Heading3"/>
      </w:pPr>
      <w:r>
        <w:t>Australia’s accession bid to the Government Procurement Agreement</w:t>
      </w:r>
    </w:p>
    <w:p w:rsidR="00745FEA" w:rsidRDefault="00745FEA" w:rsidP="00745FEA">
      <w:pPr>
        <w:pStyle w:val="BodyText"/>
        <w:spacing w:before="200"/>
      </w:pPr>
      <w:r>
        <w:t>Australia has been negotiating its accession with the WTO Committee on Government Procurement since September 2015, with its bid progressively revised in response to member concerns. The Government Procurement Agreement (GPA) is a WTO plurilateral agreement that opens government procurement markets between its members.</w:t>
      </w:r>
      <w:r w:rsidRPr="006B6C74">
        <w:rPr>
          <w:rStyle w:val="FootnoteReference"/>
        </w:rPr>
        <w:footnoteReference w:id="23"/>
      </w:r>
      <w:r>
        <w:t xml:space="preserve"> The Agreement’s main principles are transparency and non</w:t>
      </w:r>
      <w:r>
        <w:noBreakHyphen/>
        <w:t xml:space="preserve">discrimination. It requires GPA members to provide other members’ suppliers conditions ‘no less favourable’ than domestic suppliers. In addition, the GPA provides for domestic review procedures to enable aggrieved firms to seek a review of procurement decisions. </w:t>
      </w:r>
    </w:p>
    <w:p w:rsidR="00745FEA" w:rsidRDefault="00745FEA" w:rsidP="00745FEA">
      <w:pPr>
        <w:pStyle w:val="BodyText"/>
        <w:spacing w:before="200"/>
      </w:pPr>
      <w:r>
        <w:t xml:space="preserve">When the Committee met in June 2017 it noted that all members considered Australia’s bid at that time to be strong </w:t>
      </w:r>
      <w:r w:rsidRPr="00CB14EC">
        <w:rPr>
          <w:szCs w:val="24"/>
        </w:rPr>
        <w:t>(WTO 2017, p. 6)</w:t>
      </w:r>
      <w:r>
        <w:t>, but some expressed outstanding concerns about the coverage of sub</w:t>
      </w:r>
      <w:r>
        <w:noBreakHyphen/>
        <w:t>national government entities (on the proposed list of entities whose procurements would be open for competition), preferences to benefit small</w:t>
      </w:r>
      <w:r>
        <w:noBreakHyphen/>
        <w:t xml:space="preserve"> and medium</w:t>
      </w:r>
      <w:r>
        <w:noBreakHyphen/>
        <w:t>size enterprises (SMEs) and high thresholds (minimum values of contracts whereby GPA provisions would apply).</w:t>
      </w:r>
    </w:p>
    <w:p w:rsidR="00745FEA" w:rsidRDefault="00745FEA" w:rsidP="00745FEA">
      <w:pPr>
        <w:pStyle w:val="BodyText"/>
        <w:spacing w:before="200"/>
      </w:pPr>
      <w:r>
        <w:t>Australia presented its final bid to the Committee on 7 March 2018. A clear majority of Committee members signalled their readiness in</w:t>
      </w:r>
      <w:r>
        <w:noBreakHyphen/>
        <w:t xml:space="preserve">principle to accept the market access offer </w:t>
      </w:r>
      <w:r w:rsidRPr="00744492">
        <w:rPr>
          <w:szCs w:val="24"/>
        </w:rPr>
        <w:t>(WTO 2018a)</w:t>
      </w:r>
      <w:r>
        <w:t>. The Committee will consider the bid further when it next meets in June 2018.</w:t>
      </w:r>
    </w:p>
    <w:p w:rsidR="00745FEA" w:rsidRDefault="00745FEA" w:rsidP="00745FEA">
      <w:pPr>
        <w:pStyle w:val="Heading2"/>
        <w:spacing w:before="480"/>
      </w:pPr>
      <w:bookmarkStart w:id="46" w:name="_Toc511745382"/>
      <w:r>
        <w:t>5.</w:t>
      </w:r>
      <w:r>
        <w:rPr>
          <w:noProof/>
        </w:rPr>
        <w:t>2</w:t>
      </w:r>
      <w:r>
        <w:tab/>
        <w:t>Bilateral and regional agreements</w:t>
      </w:r>
      <w:bookmarkEnd w:id="46"/>
    </w:p>
    <w:p w:rsidR="00745FEA" w:rsidRDefault="00745FEA" w:rsidP="00745FEA">
      <w:pPr>
        <w:pStyle w:val="BodyText"/>
        <w:spacing w:before="200"/>
      </w:pPr>
      <w:r>
        <w:t>Australia is party to 10 bilateral and 2 regional preference agreements (figure 5.2). The most recent, signed with Peru in February 2018, was completed quickly as an adjunct to the TPP that both parties had been negotiating. Negotiations on the Pacific Agreement on Closer Economic Relations (PACER) Plus — between Australia, New Zealand, the Cook Islands, Kiribati, Nauru, Niue, Samoa, Solomon Islands, Tonga, Tuvalu and Vanuatu — commenced in 2009 and concluded in 2017.</w:t>
      </w:r>
    </w:p>
    <w:p w:rsidR="00745FEA" w:rsidRDefault="00745FEA" w:rsidP="00745FEA">
      <w:pPr>
        <w:pStyle w:val="BodyText"/>
        <w:spacing w:before="200"/>
      </w:pPr>
      <w:r>
        <w:t>Australia is currently in negotiation (or preparation) on five other agreements (table 5.1). Australia is undertaking scoping of an EU free trade agreement. The Pacific Alliance proposal involves countries with which Australia already has bilateral and multiparty agreements, which DFAT considered conducive to quick settlement of the new agreement:</w:t>
      </w:r>
    </w:p>
    <w:p w:rsidR="00745FEA" w:rsidRDefault="00745FEA" w:rsidP="00745FEA">
      <w:pPr>
        <w:pStyle w:val="Quote"/>
      </w:pPr>
      <w:r>
        <w:t xml:space="preserve">An FTA would complement and support our goal of capturing the benefits of the TPP, and strengthen our economic relationship with Latin America. A Pacific Alliance FTA could be negotiated relatively quickly, based on our shared negotiating history with three of the four Pacific Alliance members (Chile, Mexico and Peru) in the TPP. It is not unusual for Australia to pursue multiple agreements with the same FTA partners: having multiple processes supports our goal of opening new trade and investment opportunities for Australia. </w:t>
      </w:r>
      <w:r w:rsidRPr="00CB14EC">
        <w:rPr>
          <w:szCs w:val="24"/>
        </w:rPr>
        <w:t>(DFAT 2018b)</w:t>
      </w:r>
      <w:r>
        <w:t xml:space="preserve"> </w:t>
      </w:r>
    </w:p>
    <w:p w:rsidR="00745FEA" w:rsidRDefault="00745FEA" w:rsidP="00745F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176D3F" w:rsidRDefault="00745FEA" w:rsidP="00745FEA">
            <w:pPr>
              <w:pStyle w:val="FigureTitle"/>
            </w:pPr>
            <w:r w:rsidRPr="00784A05">
              <w:rPr>
                <w:b w:val="0"/>
              </w:rPr>
              <w:t xml:space="preserve">Figure </w:t>
            </w:r>
            <w:r>
              <w:rPr>
                <w:b w:val="0"/>
              </w:rPr>
              <w:t>5.</w:t>
            </w:r>
            <w:r>
              <w:rPr>
                <w:b w:val="0"/>
                <w:noProof/>
              </w:rPr>
              <w:t>2</w:t>
            </w:r>
            <w:r>
              <w:tab/>
            </w:r>
            <w:r w:rsidRPr="00B46FFA">
              <w:t>Australia’s bilateral and regional trade agreements</w:t>
            </w:r>
          </w:p>
        </w:tc>
      </w:tr>
      <w:tr w:rsidR="00745FEA" w:rsidTr="00C719FB">
        <w:trPr>
          <w:tblHeader/>
        </w:trPr>
        <w:tc>
          <w:tcPr>
            <w:tcW w:w="5000" w:type="pct"/>
            <w:tcBorders>
              <w:top w:val="nil"/>
              <w:left w:val="nil"/>
              <w:bottom w:val="nil"/>
              <w:right w:val="nil"/>
            </w:tcBorders>
            <w:shd w:val="clear" w:color="auto" w:fill="auto"/>
            <w:tcMar>
              <w:top w:w="28" w:type="dxa"/>
              <w:bottom w:w="28" w:type="dxa"/>
            </w:tcMar>
          </w:tcPr>
          <w:p w:rsidR="00745FEA" w:rsidRPr="00B46FFA" w:rsidRDefault="00745FEA" w:rsidP="00745FEA">
            <w:pPr>
              <w:pStyle w:val="Figure"/>
              <w:spacing w:before="60" w:after="60"/>
              <w:rPr>
                <w:rFonts w:ascii="Arial" w:hAnsi="Arial" w:cs="Arial"/>
                <w:noProof/>
                <w:sz w:val="18"/>
                <w:szCs w:val="18"/>
              </w:rPr>
            </w:pPr>
            <w:r>
              <w:rPr>
                <w:rFonts w:ascii="Arial" w:hAnsi="Arial" w:cs="Arial"/>
                <w:noProof/>
                <w:sz w:val="18"/>
                <w:szCs w:val="18"/>
              </w:rPr>
              <w:drawing>
                <wp:inline distT="0" distB="0" distL="0" distR="0" wp14:anchorId="69A10A31" wp14:editId="6210F103">
                  <wp:extent cx="3615055" cy="4596765"/>
                  <wp:effectExtent l="0" t="0" r="4445" b="0"/>
                  <wp:docPr id="52" name="Picture 52" descr="This figure shows Australia’s participation in trade negotiations with other countries and the period covered under each agre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5055" cy="4596765"/>
                          </a:xfrm>
                          <a:prstGeom prst="rect">
                            <a:avLst/>
                          </a:prstGeom>
                          <a:noFill/>
                        </pic:spPr>
                      </pic:pic>
                    </a:graphicData>
                  </a:graphic>
                </wp:inline>
              </w:drawing>
            </w:r>
          </w:p>
        </w:tc>
      </w:tr>
      <w:tr w:rsidR="00745FEA" w:rsidTr="00745FEA">
        <w:tc>
          <w:tcPr>
            <w:tcW w:w="5000" w:type="pct"/>
            <w:tcBorders>
              <w:top w:val="nil"/>
              <w:left w:val="nil"/>
              <w:bottom w:val="single" w:sz="6" w:space="0" w:color="78A22F"/>
              <w:right w:val="nil"/>
            </w:tcBorders>
            <w:shd w:val="clear" w:color="auto" w:fill="auto"/>
          </w:tcPr>
          <w:p w:rsidR="00745FEA" w:rsidRDefault="00745FEA" w:rsidP="00745FEA">
            <w:pPr>
              <w:pStyle w:val="Figurespace"/>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 xml:space="preserve">The Commission’s research report into </w:t>
      </w:r>
      <w:r w:rsidRPr="00241DDB">
        <w:rPr>
          <w:i/>
        </w:rPr>
        <w:t>Bilateral and Regional Trade Agreements</w:t>
      </w:r>
      <w:r>
        <w:t xml:space="preserve"> </w:t>
      </w:r>
      <w:r w:rsidRPr="00CB14EC">
        <w:rPr>
          <w:szCs w:val="24"/>
        </w:rPr>
        <w:t>(PC 2010)</w:t>
      </w:r>
      <w:r>
        <w:t xml:space="preserve"> noted that they have brought benefits for some Australia businesses, particularly goods exporters. For example, some agricultural industries have received greater market access. On the other hand, they are costly to negotiate, are complex and place an administrative burden on businesses seeking to use them. Another concern is that they may be difficult to extend to large</w:t>
      </w:r>
      <w:r>
        <w:noBreakHyphen/>
        <w:t>scale plurilateral or multilateral agreements in the future where there is inconsistency between provisions in different agreements. In some cases, they also include clauses (such as intellectual property law changes driven by the AUSFTA, or investor</w:t>
      </w:r>
      <w:r>
        <w:noBreakHyphen/>
        <w:t xml:space="preserve">state dispute settlement procedures) that may not produce clear benefits for Australians, but carry significant risk. </w:t>
      </w:r>
    </w:p>
    <w:p w:rsidR="00745FEA" w:rsidRDefault="00745FEA" w:rsidP="00745FEA">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45FEA" w:rsidTr="00C719FB">
        <w:trPr>
          <w:tblHeader/>
        </w:trPr>
        <w:tc>
          <w:tcPr>
            <w:tcW w:w="8789" w:type="dxa"/>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5.</w:t>
            </w:r>
            <w:r>
              <w:rPr>
                <w:b w:val="0"/>
                <w:noProof/>
              </w:rPr>
              <w:t>1</w:t>
            </w:r>
            <w:r>
              <w:tab/>
              <w:t>Bilateral and regional negotiations in progress</w:t>
            </w:r>
          </w:p>
        </w:tc>
      </w:tr>
      <w:tr w:rsidR="00745FEA" w:rsidTr="00745FEA">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4"/>
              <w:gridCol w:w="2126"/>
              <w:gridCol w:w="1067"/>
              <w:gridCol w:w="1067"/>
              <w:gridCol w:w="1060"/>
              <w:gridCol w:w="1061"/>
            </w:tblGrid>
            <w:tr w:rsidR="00745FEA" w:rsidTr="00745FEA">
              <w:trPr>
                <w:trHeight w:val="367"/>
              </w:trPr>
              <w:tc>
                <w:tcPr>
                  <w:tcW w:w="124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1250" w:type="pct"/>
                  <w:tcBorders>
                    <w:top w:val="single" w:sz="6" w:space="0" w:color="BFBFBF"/>
                    <w:bottom w:val="single" w:sz="6" w:space="0" w:color="BFBFBF"/>
                  </w:tcBorders>
                  <w:vAlign w:val="bottom"/>
                </w:tcPr>
                <w:p w:rsidR="00745FEA" w:rsidRDefault="00745FEA" w:rsidP="00745FEA">
                  <w:pPr>
                    <w:pStyle w:val="TableColumnHeading"/>
                    <w:jc w:val="left"/>
                  </w:pPr>
                  <w:r w:rsidRPr="008D1A6E">
                    <w:t>Status</w:t>
                  </w:r>
                </w:p>
              </w:tc>
              <w:tc>
                <w:tcPr>
                  <w:tcW w:w="62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ind w:right="28"/>
                  </w:pPr>
                  <w:r w:rsidRPr="008D1A6E">
                    <w:t>Share of Australian merchandise exports</w:t>
                  </w:r>
                </w:p>
              </w:tc>
              <w:tc>
                <w:tcPr>
                  <w:tcW w:w="627" w:type="pct"/>
                  <w:tcBorders>
                    <w:top w:val="single" w:sz="6" w:space="0" w:color="BFBFBF"/>
                    <w:bottom w:val="single" w:sz="6" w:space="0" w:color="BFBFBF"/>
                  </w:tcBorders>
                  <w:shd w:val="clear" w:color="auto" w:fill="auto"/>
                </w:tcPr>
                <w:p w:rsidR="00745FEA" w:rsidRDefault="00745FEA" w:rsidP="00745FEA">
                  <w:pPr>
                    <w:pStyle w:val="TableColumnHeading"/>
                    <w:ind w:right="28"/>
                  </w:pPr>
                  <w:r w:rsidRPr="008D1A6E">
                    <w:t>Share of merchandise Imports into Australia</w:t>
                  </w:r>
                </w:p>
              </w:tc>
              <w:tc>
                <w:tcPr>
                  <w:tcW w:w="623" w:type="pct"/>
                  <w:tcBorders>
                    <w:top w:val="single" w:sz="6" w:space="0" w:color="BFBFBF"/>
                    <w:bottom w:val="single" w:sz="6" w:space="0" w:color="BFBFBF"/>
                  </w:tcBorders>
                  <w:shd w:val="clear" w:color="auto" w:fill="auto"/>
                </w:tcPr>
                <w:p w:rsidR="00745FEA" w:rsidRDefault="00745FEA" w:rsidP="00745FEA">
                  <w:pPr>
                    <w:pStyle w:val="TableColumnHeading"/>
                    <w:ind w:right="28"/>
                  </w:pPr>
                  <w:r w:rsidRPr="008D1A6E">
                    <w:t>Share of Australian service exports</w:t>
                  </w:r>
                </w:p>
              </w:tc>
              <w:tc>
                <w:tcPr>
                  <w:tcW w:w="624" w:type="pct"/>
                  <w:tcBorders>
                    <w:top w:val="single" w:sz="6" w:space="0" w:color="BFBFBF"/>
                    <w:bottom w:val="single" w:sz="6" w:space="0" w:color="BFBFBF"/>
                  </w:tcBorders>
                  <w:shd w:val="clear" w:color="auto" w:fill="auto"/>
                </w:tcPr>
                <w:p w:rsidR="00745FEA" w:rsidRDefault="00745FEA" w:rsidP="00745FEA">
                  <w:pPr>
                    <w:pStyle w:val="TableColumnHeading"/>
                    <w:ind w:right="28"/>
                  </w:pPr>
                  <w:r w:rsidRPr="008D1A6E">
                    <w:t>Share of Australian service imports</w:t>
                  </w:r>
                </w:p>
              </w:tc>
            </w:tr>
            <w:tr w:rsidR="00745FEA" w:rsidTr="00745FEA">
              <w:trPr>
                <w:trHeight w:val="367"/>
              </w:trPr>
              <w:tc>
                <w:tcPr>
                  <w:tcW w:w="1248" w:type="pct"/>
                  <w:tcBorders>
                    <w:top w:val="single" w:sz="6" w:space="0" w:color="BFBFBF"/>
                  </w:tcBorders>
                </w:tcPr>
                <w:p w:rsidR="00745FEA" w:rsidRDefault="00745FEA" w:rsidP="00745FEA">
                  <w:pPr>
                    <w:pStyle w:val="TableUnitsRow"/>
                    <w:jc w:val="left"/>
                  </w:pPr>
                </w:p>
              </w:tc>
              <w:tc>
                <w:tcPr>
                  <w:tcW w:w="1250" w:type="pct"/>
                  <w:tcBorders>
                    <w:top w:val="single" w:sz="6" w:space="0" w:color="BFBFBF"/>
                  </w:tcBorders>
                </w:tcPr>
                <w:p w:rsidR="00745FEA" w:rsidRDefault="00745FEA" w:rsidP="00745FEA">
                  <w:pPr>
                    <w:pStyle w:val="TableUnitsRow"/>
                    <w:jc w:val="left"/>
                  </w:pPr>
                </w:p>
              </w:tc>
              <w:tc>
                <w:tcPr>
                  <w:tcW w:w="627" w:type="pct"/>
                  <w:tcBorders>
                    <w:top w:val="single" w:sz="6" w:space="0" w:color="BFBFBF"/>
                  </w:tcBorders>
                  <w:shd w:val="clear" w:color="auto" w:fill="auto"/>
                </w:tcPr>
                <w:p w:rsidR="00745FEA" w:rsidRDefault="00745FEA" w:rsidP="00745FEA">
                  <w:pPr>
                    <w:pStyle w:val="TableUnitsRow"/>
                    <w:ind w:right="28"/>
                  </w:pPr>
                  <w:r w:rsidRPr="008D1A6E">
                    <w:t>Per cent</w:t>
                  </w:r>
                </w:p>
              </w:tc>
              <w:tc>
                <w:tcPr>
                  <w:tcW w:w="627" w:type="pct"/>
                  <w:tcBorders>
                    <w:top w:val="single" w:sz="6" w:space="0" w:color="BFBFBF"/>
                  </w:tcBorders>
                  <w:shd w:val="clear" w:color="auto" w:fill="auto"/>
                </w:tcPr>
                <w:p w:rsidR="00745FEA" w:rsidRDefault="00745FEA" w:rsidP="00745FEA">
                  <w:pPr>
                    <w:pStyle w:val="TableUnitsRow"/>
                    <w:ind w:right="28"/>
                  </w:pPr>
                  <w:r w:rsidRPr="008D1A6E">
                    <w:t>Per cent</w:t>
                  </w:r>
                </w:p>
              </w:tc>
              <w:tc>
                <w:tcPr>
                  <w:tcW w:w="623" w:type="pct"/>
                  <w:tcBorders>
                    <w:top w:val="single" w:sz="6" w:space="0" w:color="BFBFBF"/>
                  </w:tcBorders>
                  <w:shd w:val="clear" w:color="auto" w:fill="auto"/>
                </w:tcPr>
                <w:p w:rsidR="00745FEA" w:rsidRDefault="00745FEA" w:rsidP="00745FEA">
                  <w:pPr>
                    <w:pStyle w:val="TableUnitsRow"/>
                    <w:ind w:right="28"/>
                  </w:pPr>
                  <w:r w:rsidRPr="008D1A6E">
                    <w:t>Per cent</w:t>
                  </w:r>
                </w:p>
              </w:tc>
              <w:tc>
                <w:tcPr>
                  <w:tcW w:w="624" w:type="pct"/>
                  <w:tcBorders>
                    <w:top w:val="single" w:sz="6" w:space="0" w:color="BFBFBF"/>
                  </w:tcBorders>
                  <w:shd w:val="clear" w:color="auto" w:fill="auto"/>
                </w:tcPr>
                <w:p w:rsidR="00745FEA" w:rsidRDefault="00745FEA" w:rsidP="00745FEA">
                  <w:pPr>
                    <w:pStyle w:val="TableUnitsRow"/>
                    <w:ind w:right="28"/>
                  </w:pPr>
                  <w:r w:rsidRPr="008D1A6E">
                    <w:t>Per cent</w:t>
                  </w:r>
                </w:p>
              </w:tc>
            </w:tr>
            <w:tr w:rsidR="00745FEA" w:rsidTr="00745FEA">
              <w:trPr>
                <w:trHeight w:val="367"/>
              </w:trPr>
              <w:tc>
                <w:tcPr>
                  <w:tcW w:w="1248" w:type="pct"/>
                </w:tcPr>
                <w:p w:rsidR="00745FEA" w:rsidRDefault="00745FEA" w:rsidP="00745FEA">
                  <w:pPr>
                    <w:pStyle w:val="TableBodyText"/>
                    <w:jc w:val="left"/>
                  </w:pPr>
                  <w:r w:rsidRPr="008D1A6E">
                    <w:t>Australia</w:t>
                  </w:r>
                  <w:r>
                    <w:noBreakHyphen/>
                  </w:r>
                  <w:r w:rsidRPr="008D1A6E">
                    <w:t>Hong Kong Free Trade Agreement</w:t>
                  </w:r>
                </w:p>
              </w:tc>
              <w:tc>
                <w:tcPr>
                  <w:tcW w:w="1250" w:type="pct"/>
                </w:tcPr>
                <w:p w:rsidR="00745FEA" w:rsidRDefault="00745FEA" w:rsidP="00745FEA">
                  <w:pPr>
                    <w:pStyle w:val="TableBodyText"/>
                    <w:jc w:val="left"/>
                  </w:pPr>
                  <w:r w:rsidRPr="008D1A6E">
                    <w:t>Launched 16</w:t>
                  </w:r>
                  <w:r>
                    <w:t> </w:t>
                  </w:r>
                  <w:r w:rsidRPr="008D1A6E">
                    <w:t>May</w:t>
                  </w:r>
                  <w:r>
                    <w:t xml:space="preserve"> </w:t>
                  </w:r>
                  <w:r w:rsidRPr="008D1A6E">
                    <w:t>2017</w:t>
                  </w:r>
                  <w:r>
                    <w:t>,</w:t>
                  </w:r>
                </w:p>
              </w:tc>
              <w:tc>
                <w:tcPr>
                  <w:tcW w:w="627" w:type="pct"/>
                  <w:shd w:val="clear" w:color="auto" w:fill="auto"/>
                </w:tcPr>
                <w:p w:rsidR="00745FEA" w:rsidRDefault="00745FEA" w:rsidP="00745FEA">
                  <w:pPr>
                    <w:pStyle w:val="TableBodyText"/>
                    <w:ind w:right="28"/>
                  </w:pPr>
                  <w:r w:rsidRPr="008D1A6E">
                    <w:t>4.4</w:t>
                  </w:r>
                </w:p>
              </w:tc>
              <w:tc>
                <w:tcPr>
                  <w:tcW w:w="627" w:type="pct"/>
                  <w:shd w:val="clear" w:color="auto" w:fill="auto"/>
                </w:tcPr>
                <w:p w:rsidR="00745FEA" w:rsidRDefault="00745FEA" w:rsidP="00745FEA">
                  <w:pPr>
                    <w:pStyle w:val="TableBodyText"/>
                    <w:ind w:right="28"/>
                  </w:pPr>
                  <w:r w:rsidRPr="008D1A6E">
                    <w:t>0.3</w:t>
                  </w:r>
                </w:p>
              </w:tc>
              <w:tc>
                <w:tcPr>
                  <w:tcW w:w="623" w:type="pct"/>
                  <w:shd w:val="clear" w:color="auto" w:fill="auto"/>
                </w:tcPr>
                <w:p w:rsidR="00745FEA" w:rsidRDefault="00745FEA" w:rsidP="00745FEA">
                  <w:pPr>
                    <w:pStyle w:val="TableBodyText"/>
                    <w:ind w:right="28"/>
                  </w:pPr>
                  <w:r w:rsidRPr="008D1A6E">
                    <w:t>3.5</w:t>
                  </w:r>
                </w:p>
              </w:tc>
              <w:tc>
                <w:tcPr>
                  <w:tcW w:w="624" w:type="pct"/>
                  <w:shd w:val="clear" w:color="auto" w:fill="auto"/>
                </w:tcPr>
                <w:p w:rsidR="00745FEA" w:rsidRDefault="00745FEA" w:rsidP="00745FEA">
                  <w:pPr>
                    <w:pStyle w:val="TableBodyText"/>
                    <w:ind w:right="28"/>
                  </w:pPr>
                  <w:r w:rsidRPr="008D1A6E">
                    <w:t>3.5</w:t>
                  </w:r>
                </w:p>
              </w:tc>
            </w:tr>
            <w:tr w:rsidR="00745FEA" w:rsidTr="00745FEA">
              <w:trPr>
                <w:trHeight w:val="367"/>
              </w:trPr>
              <w:tc>
                <w:tcPr>
                  <w:tcW w:w="1248" w:type="pct"/>
                </w:tcPr>
                <w:p w:rsidR="00745FEA" w:rsidRDefault="00745FEA" w:rsidP="00745FEA">
                  <w:pPr>
                    <w:pStyle w:val="TableBodyText"/>
                    <w:jc w:val="left"/>
                  </w:pPr>
                  <w:r w:rsidRPr="008D1A6E">
                    <w:t>European Union</w:t>
                  </w:r>
                </w:p>
              </w:tc>
              <w:tc>
                <w:tcPr>
                  <w:tcW w:w="1250" w:type="pct"/>
                </w:tcPr>
                <w:p w:rsidR="00745FEA" w:rsidRDefault="00745FEA" w:rsidP="00745FEA">
                  <w:pPr>
                    <w:pStyle w:val="TableBodyText"/>
                    <w:jc w:val="left"/>
                  </w:pPr>
                  <w:r w:rsidRPr="008D1A6E">
                    <w:t>Agreed in November 2015 to start the process. Joint scoping exercise completed and submissions called.</w:t>
                  </w:r>
                </w:p>
              </w:tc>
              <w:tc>
                <w:tcPr>
                  <w:tcW w:w="627" w:type="pct"/>
                  <w:shd w:val="clear" w:color="auto" w:fill="auto"/>
                </w:tcPr>
                <w:p w:rsidR="00745FEA" w:rsidRDefault="00745FEA" w:rsidP="00745FEA">
                  <w:pPr>
                    <w:pStyle w:val="TableBodyText"/>
                    <w:ind w:right="28"/>
                  </w:pPr>
                  <w:r w:rsidRPr="008D1A6E">
                    <w:t>6.5</w:t>
                  </w:r>
                </w:p>
              </w:tc>
              <w:tc>
                <w:tcPr>
                  <w:tcW w:w="627" w:type="pct"/>
                  <w:shd w:val="clear" w:color="auto" w:fill="auto"/>
                </w:tcPr>
                <w:p w:rsidR="00745FEA" w:rsidRDefault="00745FEA" w:rsidP="00745FEA">
                  <w:pPr>
                    <w:pStyle w:val="TableBodyText"/>
                    <w:ind w:right="28"/>
                  </w:pPr>
                  <w:r w:rsidRPr="008D1A6E">
                    <w:t>17.6</w:t>
                  </w:r>
                </w:p>
              </w:tc>
              <w:tc>
                <w:tcPr>
                  <w:tcW w:w="623" w:type="pct"/>
                  <w:shd w:val="clear" w:color="auto" w:fill="auto"/>
                </w:tcPr>
                <w:p w:rsidR="00745FEA" w:rsidRDefault="00745FEA" w:rsidP="00745FEA">
                  <w:pPr>
                    <w:pStyle w:val="TableBodyText"/>
                    <w:ind w:right="28"/>
                  </w:pPr>
                  <w:r w:rsidRPr="008D1A6E">
                    <w:t>14.2</w:t>
                  </w:r>
                </w:p>
              </w:tc>
              <w:tc>
                <w:tcPr>
                  <w:tcW w:w="624" w:type="pct"/>
                  <w:shd w:val="clear" w:color="auto" w:fill="auto"/>
                </w:tcPr>
                <w:p w:rsidR="00745FEA" w:rsidRDefault="00745FEA" w:rsidP="00745FEA">
                  <w:pPr>
                    <w:pStyle w:val="TableBodyText"/>
                    <w:ind w:right="28"/>
                  </w:pPr>
                  <w:r w:rsidRPr="008D1A6E">
                    <w:t>23.7</w:t>
                  </w:r>
                </w:p>
              </w:tc>
            </w:tr>
            <w:tr w:rsidR="00745FEA" w:rsidTr="00745FEA">
              <w:trPr>
                <w:trHeight w:val="367"/>
              </w:trPr>
              <w:tc>
                <w:tcPr>
                  <w:tcW w:w="1248" w:type="pct"/>
                </w:tcPr>
                <w:p w:rsidR="00745FEA" w:rsidRDefault="00745FEA" w:rsidP="00745FEA">
                  <w:pPr>
                    <w:pStyle w:val="TableBodyText"/>
                    <w:jc w:val="left"/>
                  </w:pPr>
                  <w:r w:rsidRPr="008D1A6E">
                    <w:t>Australia</w:t>
                  </w:r>
                  <w:r>
                    <w:noBreakHyphen/>
                  </w:r>
                  <w:r w:rsidRPr="008D1A6E">
                    <w:t>India</w:t>
                  </w:r>
                  <w:r>
                    <w:t xml:space="preserve"> </w:t>
                  </w:r>
                  <w:r w:rsidRPr="008D1A6E">
                    <w:t>Comprehensive Economic Partnership Agreement</w:t>
                  </w:r>
                </w:p>
              </w:tc>
              <w:tc>
                <w:tcPr>
                  <w:tcW w:w="1250" w:type="pct"/>
                </w:tcPr>
                <w:p w:rsidR="00745FEA" w:rsidRDefault="00745FEA" w:rsidP="00745FEA">
                  <w:pPr>
                    <w:pStyle w:val="TableBodyText"/>
                    <w:jc w:val="left"/>
                  </w:pPr>
                  <w:r w:rsidRPr="008D1A6E">
                    <w:t xml:space="preserve">Launched May 2011. </w:t>
                  </w:r>
                  <w:r>
                    <w:br/>
                  </w:r>
                  <w:r w:rsidRPr="008D1A6E">
                    <w:t>9th Round September 2015</w:t>
                  </w:r>
                  <w:r>
                    <w:t>.</w:t>
                  </w:r>
                </w:p>
              </w:tc>
              <w:tc>
                <w:tcPr>
                  <w:tcW w:w="627" w:type="pct"/>
                  <w:shd w:val="clear" w:color="auto" w:fill="auto"/>
                </w:tcPr>
                <w:p w:rsidR="00745FEA" w:rsidRDefault="00745FEA" w:rsidP="00745FEA">
                  <w:pPr>
                    <w:pStyle w:val="TableBodyText"/>
                    <w:ind w:right="28"/>
                  </w:pPr>
                  <w:r w:rsidRPr="008D1A6E">
                    <w:t>5.2</w:t>
                  </w:r>
                </w:p>
              </w:tc>
              <w:tc>
                <w:tcPr>
                  <w:tcW w:w="627" w:type="pct"/>
                  <w:shd w:val="clear" w:color="auto" w:fill="auto"/>
                </w:tcPr>
                <w:p w:rsidR="00745FEA" w:rsidRDefault="00745FEA" w:rsidP="00745FEA">
                  <w:pPr>
                    <w:pStyle w:val="TableBodyText"/>
                    <w:ind w:right="28"/>
                  </w:pPr>
                  <w:r w:rsidRPr="008D1A6E">
                    <w:t>1.6</w:t>
                  </w:r>
                </w:p>
              </w:tc>
              <w:tc>
                <w:tcPr>
                  <w:tcW w:w="623" w:type="pct"/>
                  <w:shd w:val="clear" w:color="auto" w:fill="auto"/>
                </w:tcPr>
                <w:p w:rsidR="00745FEA" w:rsidRDefault="00745FEA" w:rsidP="00745FEA">
                  <w:pPr>
                    <w:pStyle w:val="TableBodyText"/>
                    <w:ind w:right="28"/>
                  </w:pPr>
                  <w:r w:rsidRPr="008D1A6E">
                    <w:t>5.0</w:t>
                  </w:r>
                </w:p>
              </w:tc>
              <w:tc>
                <w:tcPr>
                  <w:tcW w:w="624" w:type="pct"/>
                  <w:shd w:val="clear" w:color="auto" w:fill="auto"/>
                </w:tcPr>
                <w:p w:rsidR="00745FEA" w:rsidRDefault="00745FEA" w:rsidP="00745FEA">
                  <w:pPr>
                    <w:pStyle w:val="TableBodyText"/>
                    <w:ind w:right="28"/>
                  </w:pPr>
                  <w:r w:rsidRPr="008D1A6E">
                    <w:t>2.4</w:t>
                  </w:r>
                </w:p>
              </w:tc>
            </w:tr>
            <w:tr w:rsidR="00745FEA" w:rsidTr="00745FEA">
              <w:trPr>
                <w:trHeight w:val="367"/>
              </w:trPr>
              <w:tc>
                <w:tcPr>
                  <w:tcW w:w="1248" w:type="pct"/>
                </w:tcPr>
                <w:p w:rsidR="00745FEA" w:rsidRDefault="00745FEA" w:rsidP="00745FEA">
                  <w:pPr>
                    <w:pStyle w:val="TableBodyText"/>
                    <w:jc w:val="left"/>
                  </w:pPr>
                  <w:r w:rsidRPr="008D1A6E">
                    <w:t>Indonesia</w:t>
                  </w:r>
                  <w:r>
                    <w:noBreakHyphen/>
                  </w:r>
                  <w:r w:rsidRPr="008D1A6E">
                    <w:t xml:space="preserve">Australia Comprehensive Economic Partnership Agreement </w:t>
                  </w:r>
                </w:p>
              </w:tc>
              <w:tc>
                <w:tcPr>
                  <w:tcW w:w="1250" w:type="pct"/>
                </w:tcPr>
                <w:p w:rsidR="00745FEA" w:rsidRDefault="00745FEA" w:rsidP="00745FEA">
                  <w:pPr>
                    <w:pStyle w:val="TableBodyText"/>
                    <w:jc w:val="left"/>
                  </w:pPr>
                  <w:r w:rsidRPr="008D1A6E">
                    <w:t>Launched in 2010</w:t>
                  </w:r>
                  <w:r>
                    <w:t>.</w:t>
                  </w:r>
                  <w:r w:rsidRPr="008D1A6E">
                    <w:t xml:space="preserve"> </w:t>
                  </w:r>
                  <w:r>
                    <w:br/>
                  </w:r>
                  <w:r w:rsidRPr="008D1A6E">
                    <w:t>9th Round October 2017</w:t>
                  </w:r>
                  <w:r>
                    <w:t>.</w:t>
                  </w:r>
                </w:p>
              </w:tc>
              <w:tc>
                <w:tcPr>
                  <w:tcW w:w="627" w:type="pct"/>
                  <w:shd w:val="clear" w:color="auto" w:fill="auto"/>
                </w:tcPr>
                <w:p w:rsidR="00745FEA" w:rsidRDefault="00745FEA" w:rsidP="00745FEA">
                  <w:pPr>
                    <w:pStyle w:val="TableBodyText"/>
                    <w:ind w:right="28"/>
                  </w:pPr>
                  <w:r w:rsidRPr="008D1A6E">
                    <w:t>2.3</w:t>
                  </w:r>
                </w:p>
              </w:tc>
              <w:tc>
                <w:tcPr>
                  <w:tcW w:w="627" w:type="pct"/>
                  <w:shd w:val="clear" w:color="auto" w:fill="auto"/>
                </w:tcPr>
                <w:p w:rsidR="00745FEA" w:rsidRDefault="00745FEA" w:rsidP="00745FEA">
                  <w:pPr>
                    <w:pStyle w:val="TableBodyText"/>
                    <w:ind w:right="28"/>
                  </w:pPr>
                  <w:r w:rsidRPr="008D1A6E">
                    <w:t>1.6</w:t>
                  </w:r>
                </w:p>
              </w:tc>
              <w:tc>
                <w:tcPr>
                  <w:tcW w:w="623" w:type="pct"/>
                  <w:shd w:val="clear" w:color="auto" w:fill="auto"/>
                </w:tcPr>
                <w:p w:rsidR="00745FEA" w:rsidRDefault="00745FEA" w:rsidP="00745FEA">
                  <w:pPr>
                    <w:pStyle w:val="TableBodyText"/>
                    <w:ind w:right="28"/>
                  </w:pPr>
                  <w:r w:rsidRPr="008D1A6E">
                    <w:t>2.0</w:t>
                  </w:r>
                </w:p>
              </w:tc>
              <w:tc>
                <w:tcPr>
                  <w:tcW w:w="624" w:type="pct"/>
                  <w:shd w:val="clear" w:color="auto" w:fill="auto"/>
                </w:tcPr>
                <w:p w:rsidR="00745FEA" w:rsidRDefault="00745FEA" w:rsidP="00745FEA">
                  <w:pPr>
                    <w:pStyle w:val="TableBodyText"/>
                    <w:ind w:right="28"/>
                  </w:pPr>
                  <w:r w:rsidRPr="008D1A6E">
                    <w:t>4.3</w:t>
                  </w:r>
                </w:p>
              </w:tc>
            </w:tr>
            <w:tr w:rsidR="00745FEA" w:rsidTr="00745FEA">
              <w:trPr>
                <w:trHeight w:val="367"/>
              </w:trPr>
              <w:tc>
                <w:tcPr>
                  <w:tcW w:w="1248" w:type="pct"/>
                  <w:tcBorders>
                    <w:bottom w:val="single" w:sz="6" w:space="0" w:color="BFBFBF"/>
                  </w:tcBorders>
                  <w:shd w:val="clear" w:color="auto" w:fill="auto"/>
                </w:tcPr>
                <w:p w:rsidR="00745FEA" w:rsidRDefault="00745FEA" w:rsidP="00745FEA">
                  <w:pPr>
                    <w:pStyle w:val="TableBodyText"/>
                    <w:jc w:val="left"/>
                  </w:pPr>
                  <w:r w:rsidRPr="008D1A6E">
                    <w:t>Pacific Alliance Free Trade Agreement (Australia, Ch</w:t>
                  </w:r>
                  <w:r>
                    <w:t>ile, Columbia, Mexico and Peru)</w:t>
                  </w:r>
                </w:p>
              </w:tc>
              <w:tc>
                <w:tcPr>
                  <w:tcW w:w="1250" w:type="pct"/>
                  <w:tcBorders>
                    <w:bottom w:val="single" w:sz="6" w:space="0" w:color="BFBFBF"/>
                  </w:tcBorders>
                </w:tcPr>
                <w:p w:rsidR="00745FEA" w:rsidRDefault="00745FEA" w:rsidP="00745FEA">
                  <w:pPr>
                    <w:pStyle w:val="TableBodyText"/>
                    <w:jc w:val="left"/>
                  </w:pPr>
                  <w:r w:rsidRPr="008D1A6E">
                    <w:t>Launched 30</w:t>
                  </w:r>
                  <w:r>
                    <w:t> </w:t>
                  </w:r>
                  <w:r w:rsidRPr="008D1A6E">
                    <w:t>June 2017</w:t>
                  </w:r>
                  <w:r>
                    <w:t>.</w:t>
                  </w:r>
                </w:p>
              </w:tc>
              <w:tc>
                <w:tcPr>
                  <w:tcW w:w="627" w:type="pct"/>
                  <w:tcBorders>
                    <w:bottom w:val="single" w:sz="6" w:space="0" w:color="BFBFBF"/>
                  </w:tcBorders>
                  <w:shd w:val="clear" w:color="auto" w:fill="auto"/>
                </w:tcPr>
                <w:p w:rsidR="00745FEA" w:rsidRDefault="00745FEA" w:rsidP="00745FEA">
                  <w:pPr>
                    <w:pStyle w:val="TableBodyText"/>
                    <w:ind w:right="28"/>
                  </w:pPr>
                  <w:r w:rsidRPr="008D1A6E">
                    <w:t>0.3</w:t>
                  </w:r>
                </w:p>
              </w:tc>
              <w:tc>
                <w:tcPr>
                  <w:tcW w:w="627" w:type="pct"/>
                  <w:tcBorders>
                    <w:bottom w:val="single" w:sz="6" w:space="0" w:color="BFBFBF"/>
                  </w:tcBorders>
                  <w:shd w:val="clear" w:color="auto" w:fill="auto"/>
                </w:tcPr>
                <w:p w:rsidR="00745FEA" w:rsidRDefault="00745FEA" w:rsidP="00745FEA">
                  <w:pPr>
                    <w:pStyle w:val="TableBodyText"/>
                    <w:ind w:right="28"/>
                  </w:pPr>
                  <w:r w:rsidRPr="008D1A6E">
                    <w:t>1.3</w:t>
                  </w:r>
                </w:p>
              </w:tc>
              <w:tc>
                <w:tcPr>
                  <w:tcW w:w="623" w:type="pct"/>
                  <w:tcBorders>
                    <w:bottom w:val="single" w:sz="6" w:space="0" w:color="BFBFBF"/>
                  </w:tcBorders>
                  <w:shd w:val="clear" w:color="auto" w:fill="auto"/>
                </w:tcPr>
                <w:p w:rsidR="00745FEA" w:rsidRDefault="00745FEA" w:rsidP="00745FEA">
                  <w:pPr>
                    <w:pStyle w:val="TableBodyText"/>
                    <w:ind w:right="28"/>
                  </w:pPr>
                  <w:r w:rsidRPr="008D1A6E">
                    <w:t>1.0</w:t>
                  </w:r>
                </w:p>
              </w:tc>
              <w:tc>
                <w:tcPr>
                  <w:tcW w:w="624" w:type="pct"/>
                  <w:tcBorders>
                    <w:bottom w:val="single" w:sz="6" w:space="0" w:color="BFBFBF"/>
                  </w:tcBorders>
                  <w:shd w:val="clear" w:color="auto" w:fill="auto"/>
                </w:tcPr>
                <w:p w:rsidR="00745FEA" w:rsidRDefault="00745FEA" w:rsidP="00745FEA">
                  <w:pPr>
                    <w:pStyle w:val="TableBodyText"/>
                    <w:ind w:right="28"/>
                  </w:pPr>
                  <w:r w:rsidRPr="008D1A6E">
                    <w:t>0.8</w:t>
                  </w:r>
                </w:p>
              </w:tc>
            </w:tr>
          </w:tbl>
          <w:p w:rsidR="00745FEA" w:rsidRDefault="00745FEA" w:rsidP="00745FEA">
            <w:pPr>
              <w:pStyle w:val="Box"/>
            </w:pPr>
          </w:p>
        </w:tc>
      </w:tr>
      <w:tr w:rsidR="00745FEA" w:rsidTr="00745FEA">
        <w:tc>
          <w:tcPr>
            <w:tcW w:w="8789" w:type="dxa"/>
            <w:tcBorders>
              <w:top w:val="nil"/>
              <w:left w:val="nil"/>
              <w:bottom w:val="nil"/>
              <w:right w:val="nil"/>
            </w:tcBorders>
            <w:shd w:val="clear" w:color="auto" w:fill="auto"/>
          </w:tcPr>
          <w:p w:rsidR="00745FEA" w:rsidRDefault="00745FEA" w:rsidP="00745FEA">
            <w:pPr>
              <w:pStyle w:val="Source"/>
            </w:pPr>
            <w:r>
              <w:rPr>
                <w:i/>
              </w:rPr>
              <w:t>Sources</w:t>
            </w:r>
            <w:r w:rsidRPr="00167F06">
              <w:t>:</w:t>
            </w:r>
            <w:r>
              <w:t xml:space="preserve"> ABS </w:t>
            </w:r>
            <w:r w:rsidRPr="00FA2BC1">
              <w:rPr>
                <w:rFonts w:cs="Arial"/>
              </w:rPr>
              <w:t>(2017)</w:t>
            </w:r>
            <w:r>
              <w:t xml:space="preserve"> and DFAT </w:t>
            </w:r>
            <w:r w:rsidRPr="00FA2BC1">
              <w:rPr>
                <w:rFonts w:cs="Arial"/>
              </w:rPr>
              <w:t>(2018c)</w:t>
            </w:r>
            <w:r>
              <w:t>.</w:t>
            </w:r>
          </w:p>
        </w:tc>
      </w:tr>
      <w:tr w:rsidR="00745FEA" w:rsidTr="00745FEA">
        <w:tc>
          <w:tcPr>
            <w:tcW w:w="8789" w:type="dxa"/>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8789" w:type="dxa"/>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t>Overall, the Commission concluded in 2010 that the economic benefits of bilateral trade agreements have generally been oversold and the risks have been understated. The Commission recommended that agreements should be reached only when they provide outcomes that are in Australia’s interest and they are the most cost</w:t>
      </w:r>
      <w:r>
        <w:noBreakHyphen/>
        <w:t>effective way of achieving those outcomes. The Commission further recommended that there should be more transparent and rigorous assessments of such agreements. This should encompass two elements. To ensure agreements are in the Australia’s interest, before negotiations commence, modelling should include realistic scenarios and be overseen by an independent body. After negotiations have concluded and prior to signing of the agreement, a full and public assessment should be undertaken covering all of the actual negotiated provisions. As with all areas of policy, trade agreements need to be considered on a case</w:t>
      </w:r>
      <w:r>
        <w:noBreakHyphen/>
        <w:t>by</w:t>
      </w:r>
      <w:r>
        <w:noBreakHyphen/>
        <w:t>case basis, and the balance of benefits and costs for future agreements may be different, for example because they cover a smaller share of Australian trade.</w:t>
      </w:r>
    </w:p>
    <w:p w:rsidR="00745FEA" w:rsidRDefault="00745FEA" w:rsidP="00745FEA">
      <w:pPr>
        <w:sectPr w:rsidR="00745FEA" w:rsidSect="00745FEA">
          <w:headerReference w:type="even" r:id="rId61"/>
          <w:headerReference w:type="default" r:id="rId62"/>
          <w:footerReference w:type="even" r:id="rId63"/>
          <w:footerReference w:type="default" r:id="rId64"/>
          <w:type w:val="oddPage"/>
          <w:pgSz w:w="11907" w:h="16840" w:code="9"/>
          <w:pgMar w:top="1985" w:right="1304" w:bottom="1247" w:left="1814" w:header="1701" w:footer="397" w:gutter="0"/>
          <w:pgNumType w:chapSep="period"/>
          <w:cols w:space="720"/>
          <w:docGrid w:linePitch="326"/>
        </w:sectPr>
      </w:pPr>
    </w:p>
    <w:p w:rsidR="00745FEA" w:rsidRDefault="00745FEA" w:rsidP="00745FEA">
      <w:pPr>
        <w:pStyle w:val="Heading1"/>
      </w:pPr>
      <w:bookmarkStart w:id="47" w:name="_AppendixNotByChapter"/>
      <w:bookmarkStart w:id="48" w:name="_Toc511745383"/>
      <w:bookmarkEnd w:id="47"/>
      <w:r>
        <w:t>A</w:t>
      </w:r>
      <w:r>
        <w:tab/>
        <w:t>Detailed estimates of Australian Government assistance to industry</w:t>
      </w:r>
      <w:bookmarkEnd w:id="48"/>
    </w:p>
    <w:p w:rsidR="00745FEA" w:rsidRDefault="00745FEA" w:rsidP="00745FEA">
      <w:pPr>
        <w:pStyle w:val="BodyText"/>
      </w:pPr>
      <w:r>
        <w:t>Chapter 2 provides an overview of the Commission’s estimates of Australian Government assistance to industry. This appendix provides supporting details of those estimates for the period 2011</w:t>
      </w:r>
      <w:r>
        <w:noBreakHyphen/>
        <w:t>12 to 2016</w:t>
      </w:r>
      <w:r>
        <w:noBreakHyphen/>
        <w:t xml:space="preserve">17. </w:t>
      </w:r>
    </w:p>
    <w:p w:rsidR="00745FEA" w:rsidRDefault="00745FEA" w:rsidP="00745FEA">
      <w:pPr>
        <w:pStyle w:val="BodyText"/>
      </w:pPr>
      <w:r>
        <w:t xml:space="preserve">Tables A.1 to A.3 provide estimates of net tariff assistance, budgetary assistance and net combined assistance by industry grouping. Tables A.4 to A.7 provide estimates of output tariff assistance, input tariff penalties, budgetary outlays and tax concessions by industry grouping. Tables A.8 and A.9 provide estimates of the nominal rate of combined assistance on outputs and the nominal rate of combined assistance on materials, respectively. </w:t>
      </w:r>
    </w:p>
    <w:p w:rsidR="00745FEA" w:rsidRDefault="00745FEA" w:rsidP="00745FEA">
      <w:pPr>
        <w:pStyle w:val="BodyText"/>
      </w:pPr>
      <w:r>
        <w:t xml:space="preserve">The budgetary assistance estimates are derived primarily from actual expenditures shown in departmental and agency annual reports, and the Australian Treasury’s Tax Expenditures Statement. Industry and sectoral disaggregations are based primarily on supplementary information provided by relevant departments or agencies. </w:t>
      </w:r>
    </w:p>
    <w:p w:rsidR="00745FEA" w:rsidRDefault="00745FEA" w:rsidP="00745FEA">
      <w:pPr>
        <w:pStyle w:val="BodyText"/>
      </w:pPr>
      <w:r>
        <w:t>Estimates prior to 2016</w:t>
      </w:r>
      <w:r>
        <w:noBreakHyphen/>
        <w:t>17 may differ from those originally published, due to revisions.</w:t>
      </w:r>
    </w:p>
    <w:p w:rsidR="00745FEA" w:rsidRDefault="00745FEA" w:rsidP="00745FEA">
      <w:pPr>
        <w:pStyle w:val="BodyText"/>
      </w:pPr>
      <w:r>
        <w:t>Further information on the assistance estimation methodology, program coverage (including new programs), industry allocation and implementation of the current input</w:t>
      </w:r>
      <w:r>
        <w:noBreakHyphen/>
        <w:t xml:space="preserve">output series is provided in a (forthcoming) Methodological Annex to this </w:t>
      </w:r>
      <w:r w:rsidRPr="00CB353D">
        <w:rPr>
          <w:i/>
        </w:rPr>
        <w:t>Review</w:t>
      </w:r>
      <w:r>
        <w:t xml:space="preserve">. </w:t>
      </w:r>
    </w:p>
    <w:p w:rsidR="00745FEA" w:rsidRDefault="00745FEA" w:rsidP="00745FEA">
      <w:pPr>
        <w:pStyle w:val="BodyText"/>
      </w:pPr>
      <w:r>
        <w:t>Tables in this appendix are also available on the Commission’s website (</w:t>
      </w:r>
      <w:r w:rsidRPr="00745FEA">
        <w:t>http://www.pc.gov.au/research/recurring/trade</w:t>
      </w:r>
      <w:r w:rsidRPr="00745FEA">
        <w:noBreakHyphen/>
        <w:t>assistance</w:t>
      </w:r>
      <w:r>
        <w:t>).</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spacing w:after="0"/>
              <w:ind w:left="1304" w:hanging="1304"/>
            </w:pPr>
            <w:r>
              <w:rPr>
                <w:b w:val="0"/>
              </w:rPr>
              <w:t>Table A.</w:t>
            </w:r>
            <w:r>
              <w:rPr>
                <w:b w:val="0"/>
                <w:noProof/>
              </w:rPr>
              <w:t>1</w:t>
            </w:r>
            <w:r>
              <w:tab/>
            </w:r>
            <w:r w:rsidRPr="00A26815">
              <w:t>Net tariff assistance by industry grouping, 20</w:t>
            </w:r>
            <w:r>
              <w:t>11</w:t>
            </w:r>
            <w:r>
              <w:noBreakHyphen/>
              <w:t>12</w:t>
            </w:r>
            <w:r w:rsidRPr="00A26815">
              <w:t xml:space="preserve"> to 201</w:t>
            </w:r>
            <w:r>
              <w:t>6</w:t>
            </w:r>
            <w:r>
              <w:noBreakHyphen/>
            </w:r>
            <w:r w:rsidRPr="00A26815">
              <w:t>1</w:t>
            </w:r>
            <w:r>
              <w:t>7</w:t>
            </w:r>
            <w:r w:rsidRPr="009E76C0">
              <w:rPr>
                <w:rStyle w:val="NoteLabel"/>
                <w:b/>
                <w:position w:val="10"/>
              </w:rPr>
              <w:t>a</w:t>
            </w:r>
          </w:p>
          <w:p w:rsidR="00745FEA" w:rsidRPr="00784A05" w:rsidRDefault="00745FEA" w:rsidP="00745FEA">
            <w:pPr>
              <w:pStyle w:val="Subtitle"/>
              <w:spacing w:after="60"/>
              <w:ind w:left="1304"/>
            </w:pPr>
            <w:r w:rsidRPr="00A26815">
              <w:t>$ million (nominal)</w:t>
            </w:r>
          </w:p>
        </w:tc>
      </w:tr>
      <w:tr w:rsidR="00745FEA" w:rsidTr="00745FEA">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05"/>
              <w:gridCol w:w="817"/>
              <w:gridCol w:w="817"/>
              <w:gridCol w:w="817"/>
              <w:gridCol w:w="817"/>
              <w:gridCol w:w="816"/>
              <w:gridCol w:w="816"/>
            </w:tblGrid>
            <w:tr w:rsidR="00745FEA" w:rsidTr="009C28CC">
              <w:trPr>
                <w:tblHeader/>
              </w:trPr>
              <w:tc>
                <w:tcPr>
                  <w:tcW w:w="211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jc w:val="left"/>
                    <w:rPr>
                      <w:szCs w:val="18"/>
                    </w:rPr>
                  </w:pPr>
                  <w:r w:rsidRPr="00AB1D7C">
                    <w:rPr>
                      <w:szCs w:val="18"/>
                    </w:rPr>
                    <w:t>Industry grouping</w:t>
                  </w:r>
                </w:p>
              </w:tc>
              <w:tc>
                <w:tcPr>
                  <w:tcW w:w="48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8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8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8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80"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80"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CD7A2D" w:rsidTr="00745FEA">
              <w:tc>
                <w:tcPr>
                  <w:tcW w:w="2119" w:type="pct"/>
                  <w:tcBorders>
                    <w:top w:val="single" w:sz="6" w:space="0" w:color="BFBFBF"/>
                  </w:tcBorders>
                  <w:vAlign w:val="bottom"/>
                </w:tcPr>
                <w:p w:rsidR="00745FEA" w:rsidRPr="00CD7A2D" w:rsidRDefault="00745FEA" w:rsidP="00745FEA">
                  <w:pPr>
                    <w:pStyle w:val="TableBodyText"/>
                    <w:jc w:val="left"/>
                    <w:rPr>
                      <w:b/>
                    </w:rPr>
                  </w:pPr>
                  <w:r w:rsidRPr="00CD7A2D">
                    <w:rPr>
                      <w:b/>
                    </w:rPr>
                    <w:t>Primary production</w:t>
                  </w:r>
                </w:p>
              </w:tc>
              <w:tc>
                <w:tcPr>
                  <w:tcW w:w="480" w:type="pct"/>
                  <w:tcBorders>
                    <w:top w:val="single" w:sz="6" w:space="0" w:color="BFBFBF"/>
                  </w:tcBorders>
                  <w:vAlign w:val="bottom"/>
                </w:tcPr>
                <w:p w:rsidR="00745FEA" w:rsidRPr="00CD7A2D" w:rsidRDefault="00745FEA" w:rsidP="00745FEA">
                  <w:pPr>
                    <w:pStyle w:val="TableBodyText"/>
                    <w:ind w:right="57"/>
                    <w:rPr>
                      <w:b/>
                    </w:rPr>
                  </w:pPr>
                  <w:r w:rsidRPr="00CD7A2D">
                    <w:rPr>
                      <w:b/>
                    </w:rPr>
                    <w:t>228.6</w:t>
                  </w:r>
                </w:p>
              </w:tc>
              <w:tc>
                <w:tcPr>
                  <w:tcW w:w="480" w:type="pct"/>
                  <w:tcBorders>
                    <w:top w:val="single" w:sz="6" w:space="0" w:color="BFBFBF"/>
                  </w:tcBorders>
                  <w:vAlign w:val="bottom"/>
                </w:tcPr>
                <w:p w:rsidR="00745FEA" w:rsidRPr="00CD7A2D" w:rsidRDefault="00745FEA" w:rsidP="00745FEA">
                  <w:pPr>
                    <w:pStyle w:val="TableBodyText"/>
                    <w:ind w:right="57"/>
                    <w:rPr>
                      <w:b/>
                    </w:rPr>
                  </w:pPr>
                  <w:r w:rsidRPr="00CD7A2D">
                    <w:rPr>
                      <w:b/>
                    </w:rPr>
                    <w:t>268.4</w:t>
                  </w:r>
                </w:p>
              </w:tc>
              <w:tc>
                <w:tcPr>
                  <w:tcW w:w="480" w:type="pct"/>
                  <w:tcBorders>
                    <w:top w:val="single" w:sz="6" w:space="0" w:color="BFBFBF"/>
                  </w:tcBorders>
                  <w:vAlign w:val="bottom"/>
                </w:tcPr>
                <w:p w:rsidR="00745FEA" w:rsidRPr="00CD7A2D" w:rsidRDefault="00745FEA" w:rsidP="00745FEA">
                  <w:pPr>
                    <w:pStyle w:val="TableBodyText"/>
                    <w:ind w:right="57"/>
                    <w:rPr>
                      <w:b/>
                    </w:rPr>
                  </w:pPr>
                  <w:r w:rsidRPr="00CD7A2D">
                    <w:rPr>
                      <w:b/>
                    </w:rPr>
                    <w:t>212.6</w:t>
                  </w:r>
                </w:p>
              </w:tc>
              <w:tc>
                <w:tcPr>
                  <w:tcW w:w="480" w:type="pct"/>
                  <w:tcBorders>
                    <w:top w:val="single" w:sz="6" w:space="0" w:color="BFBFBF"/>
                  </w:tcBorders>
                  <w:vAlign w:val="bottom"/>
                </w:tcPr>
                <w:p w:rsidR="00745FEA" w:rsidRPr="00CD7A2D" w:rsidRDefault="00745FEA" w:rsidP="00745FEA">
                  <w:pPr>
                    <w:pStyle w:val="TableBodyText"/>
                    <w:ind w:right="57"/>
                    <w:rPr>
                      <w:b/>
                    </w:rPr>
                  </w:pPr>
                  <w:r w:rsidRPr="00CD7A2D">
                    <w:rPr>
                      <w:b/>
                    </w:rPr>
                    <w:t>226.2</w:t>
                  </w:r>
                </w:p>
              </w:tc>
              <w:tc>
                <w:tcPr>
                  <w:tcW w:w="480" w:type="pct"/>
                  <w:tcBorders>
                    <w:top w:val="single" w:sz="6" w:space="0" w:color="BFBFBF"/>
                  </w:tcBorders>
                  <w:vAlign w:val="bottom"/>
                </w:tcPr>
                <w:p w:rsidR="00745FEA" w:rsidRPr="00CD7A2D" w:rsidRDefault="00745FEA" w:rsidP="00745FEA">
                  <w:pPr>
                    <w:pStyle w:val="TableBodyText"/>
                    <w:ind w:right="57"/>
                    <w:rPr>
                      <w:b/>
                    </w:rPr>
                  </w:pPr>
                  <w:r w:rsidRPr="00CD7A2D">
                    <w:rPr>
                      <w:b/>
                    </w:rPr>
                    <w:t>238.0</w:t>
                  </w:r>
                </w:p>
              </w:tc>
              <w:tc>
                <w:tcPr>
                  <w:tcW w:w="480" w:type="pct"/>
                  <w:tcBorders>
                    <w:top w:val="single" w:sz="6" w:space="0" w:color="BFBFBF"/>
                  </w:tcBorders>
                  <w:vAlign w:val="bottom"/>
                </w:tcPr>
                <w:p w:rsidR="00745FEA" w:rsidRPr="00CD7A2D" w:rsidRDefault="00745FEA" w:rsidP="00745FEA">
                  <w:pPr>
                    <w:pStyle w:val="TableBodyText"/>
                    <w:ind w:right="57"/>
                    <w:rPr>
                      <w:b/>
                    </w:rPr>
                  </w:pPr>
                  <w:r w:rsidRPr="00CD7A2D">
                    <w:rPr>
                      <w:b/>
                    </w:rPr>
                    <w:t>290.8</w:t>
                  </w:r>
                </w:p>
              </w:tc>
            </w:tr>
            <w:tr w:rsidR="00745FEA" w:rsidTr="00745FEA">
              <w:tc>
                <w:tcPr>
                  <w:tcW w:w="2119" w:type="pct"/>
                  <w:vAlign w:val="center"/>
                </w:tcPr>
                <w:p w:rsidR="00745FEA" w:rsidRPr="00AB1D7C" w:rsidRDefault="00745FEA" w:rsidP="00745FEA">
                  <w:pPr>
                    <w:pStyle w:val="TableBodyText"/>
                    <w:spacing w:after="20"/>
                    <w:jc w:val="left"/>
                  </w:pPr>
                  <w:r w:rsidRPr="00AB1D7C">
                    <w:t>Horticulture and fruit growing</w:t>
                  </w:r>
                </w:p>
              </w:tc>
              <w:tc>
                <w:tcPr>
                  <w:tcW w:w="480" w:type="pct"/>
                  <w:vAlign w:val="bottom"/>
                </w:tcPr>
                <w:p w:rsidR="00745FEA" w:rsidRPr="005C6408" w:rsidRDefault="00745FEA" w:rsidP="00745FEA">
                  <w:pPr>
                    <w:pStyle w:val="TableBodyText"/>
                    <w:spacing w:after="20"/>
                    <w:ind w:right="57"/>
                  </w:pPr>
                  <w:r w:rsidRPr="001042B0">
                    <w:t>93.2</w:t>
                  </w:r>
                </w:p>
              </w:tc>
              <w:tc>
                <w:tcPr>
                  <w:tcW w:w="480" w:type="pct"/>
                  <w:vAlign w:val="bottom"/>
                </w:tcPr>
                <w:p w:rsidR="00745FEA" w:rsidRPr="005C6408" w:rsidRDefault="00745FEA" w:rsidP="00745FEA">
                  <w:pPr>
                    <w:pStyle w:val="TableBodyText"/>
                    <w:spacing w:after="20"/>
                    <w:ind w:right="57"/>
                  </w:pPr>
                  <w:r w:rsidRPr="001042B0">
                    <w:t>122.6</w:t>
                  </w:r>
                </w:p>
              </w:tc>
              <w:tc>
                <w:tcPr>
                  <w:tcW w:w="480" w:type="pct"/>
                  <w:vAlign w:val="bottom"/>
                </w:tcPr>
                <w:p w:rsidR="00745FEA" w:rsidRPr="005C6408" w:rsidRDefault="00745FEA" w:rsidP="00745FEA">
                  <w:pPr>
                    <w:pStyle w:val="TableBodyText"/>
                    <w:spacing w:after="20"/>
                    <w:ind w:right="57"/>
                  </w:pPr>
                  <w:r w:rsidRPr="001042B0">
                    <w:t>101.1</w:t>
                  </w:r>
                </w:p>
              </w:tc>
              <w:tc>
                <w:tcPr>
                  <w:tcW w:w="480" w:type="pct"/>
                  <w:vAlign w:val="bottom"/>
                </w:tcPr>
                <w:p w:rsidR="00745FEA" w:rsidRPr="005C6408" w:rsidRDefault="00745FEA" w:rsidP="00745FEA">
                  <w:pPr>
                    <w:pStyle w:val="TableBodyText"/>
                    <w:spacing w:after="20"/>
                    <w:ind w:right="57"/>
                  </w:pPr>
                  <w:r w:rsidRPr="001042B0">
                    <w:t>106.3</w:t>
                  </w:r>
                </w:p>
              </w:tc>
              <w:tc>
                <w:tcPr>
                  <w:tcW w:w="480" w:type="pct"/>
                  <w:vAlign w:val="bottom"/>
                </w:tcPr>
                <w:p w:rsidR="00745FEA" w:rsidRPr="005C6408" w:rsidRDefault="00745FEA" w:rsidP="00745FEA">
                  <w:pPr>
                    <w:pStyle w:val="TableBodyText"/>
                    <w:spacing w:after="20"/>
                    <w:ind w:right="57"/>
                  </w:pPr>
                  <w:r w:rsidRPr="001042B0">
                    <w:t>123.3</w:t>
                  </w:r>
                </w:p>
              </w:tc>
              <w:tc>
                <w:tcPr>
                  <w:tcW w:w="480" w:type="pct"/>
                  <w:vAlign w:val="bottom"/>
                </w:tcPr>
                <w:p w:rsidR="00745FEA" w:rsidRPr="005C6408" w:rsidRDefault="00745FEA" w:rsidP="00745FEA">
                  <w:pPr>
                    <w:pStyle w:val="TableBodyText"/>
                    <w:spacing w:after="20"/>
                    <w:ind w:right="57"/>
                  </w:pPr>
                  <w:r w:rsidRPr="001042B0">
                    <w:t>167.6</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Sheep, beef cattle and grain farming</w:t>
                  </w:r>
                </w:p>
              </w:tc>
              <w:tc>
                <w:tcPr>
                  <w:tcW w:w="480" w:type="pct"/>
                  <w:vAlign w:val="bottom"/>
                </w:tcPr>
                <w:p w:rsidR="00745FEA" w:rsidRPr="005C6408" w:rsidRDefault="00745FEA" w:rsidP="00745FEA">
                  <w:pPr>
                    <w:pStyle w:val="TableBodyText"/>
                    <w:spacing w:after="20"/>
                    <w:ind w:right="57"/>
                  </w:pPr>
                  <w:r w:rsidRPr="001042B0">
                    <w:t>161.3</w:t>
                  </w:r>
                </w:p>
              </w:tc>
              <w:tc>
                <w:tcPr>
                  <w:tcW w:w="480" w:type="pct"/>
                  <w:vAlign w:val="bottom"/>
                </w:tcPr>
                <w:p w:rsidR="00745FEA" w:rsidRPr="005C6408" w:rsidRDefault="00745FEA" w:rsidP="00745FEA">
                  <w:pPr>
                    <w:pStyle w:val="TableBodyText"/>
                    <w:spacing w:after="20"/>
                    <w:ind w:right="57"/>
                  </w:pPr>
                  <w:r w:rsidRPr="001042B0">
                    <w:t>172.7</w:t>
                  </w:r>
                </w:p>
              </w:tc>
              <w:tc>
                <w:tcPr>
                  <w:tcW w:w="480" w:type="pct"/>
                  <w:vAlign w:val="bottom"/>
                </w:tcPr>
                <w:p w:rsidR="00745FEA" w:rsidRPr="005C6408" w:rsidRDefault="00745FEA" w:rsidP="00745FEA">
                  <w:pPr>
                    <w:pStyle w:val="TableBodyText"/>
                    <w:spacing w:after="20"/>
                    <w:ind w:right="57"/>
                  </w:pPr>
                  <w:r w:rsidRPr="001042B0">
                    <w:t>155.3</w:t>
                  </w:r>
                </w:p>
              </w:tc>
              <w:tc>
                <w:tcPr>
                  <w:tcW w:w="480" w:type="pct"/>
                  <w:vAlign w:val="bottom"/>
                </w:tcPr>
                <w:p w:rsidR="00745FEA" w:rsidRPr="005C6408" w:rsidRDefault="00745FEA" w:rsidP="00745FEA">
                  <w:pPr>
                    <w:pStyle w:val="TableBodyText"/>
                    <w:spacing w:after="20"/>
                    <w:ind w:right="57"/>
                  </w:pPr>
                  <w:r w:rsidRPr="001042B0">
                    <w:t>168.6</w:t>
                  </w:r>
                </w:p>
              </w:tc>
              <w:tc>
                <w:tcPr>
                  <w:tcW w:w="480" w:type="pct"/>
                  <w:shd w:val="clear" w:color="auto" w:fill="auto"/>
                  <w:vAlign w:val="bottom"/>
                </w:tcPr>
                <w:p w:rsidR="00745FEA" w:rsidRPr="005C6408" w:rsidRDefault="00745FEA" w:rsidP="00745FEA">
                  <w:pPr>
                    <w:pStyle w:val="TableBodyText"/>
                    <w:spacing w:after="20"/>
                    <w:ind w:right="57"/>
                  </w:pPr>
                  <w:r w:rsidRPr="001042B0">
                    <w:t>163.2</w:t>
                  </w:r>
                </w:p>
              </w:tc>
              <w:tc>
                <w:tcPr>
                  <w:tcW w:w="480" w:type="pct"/>
                  <w:shd w:val="clear" w:color="auto" w:fill="auto"/>
                  <w:vAlign w:val="bottom"/>
                </w:tcPr>
                <w:p w:rsidR="00745FEA" w:rsidRPr="005C6408" w:rsidRDefault="00745FEA" w:rsidP="00745FEA">
                  <w:pPr>
                    <w:pStyle w:val="TableBodyText"/>
                    <w:spacing w:after="20"/>
                    <w:ind w:right="57"/>
                  </w:pPr>
                  <w:r w:rsidRPr="001042B0">
                    <w:t>184.1</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Other crop growing</w:t>
                  </w:r>
                </w:p>
              </w:tc>
              <w:tc>
                <w:tcPr>
                  <w:tcW w:w="480" w:type="pct"/>
                  <w:vAlign w:val="bottom"/>
                </w:tcPr>
                <w:p w:rsidR="00745FEA" w:rsidRPr="005C6408" w:rsidRDefault="00745FEA" w:rsidP="00745FEA">
                  <w:pPr>
                    <w:pStyle w:val="TableBodyText"/>
                    <w:spacing w:after="20"/>
                    <w:ind w:right="57"/>
                  </w:pPr>
                  <w:r w:rsidRPr="001042B0">
                    <w:t>-3.7</w:t>
                  </w:r>
                </w:p>
              </w:tc>
              <w:tc>
                <w:tcPr>
                  <w:tcW w:w="480" w:type="pct"/>
                  <w:vAlign w:val="bottom"/>
                </w:tcPr>
                <w:p w:rsidR="00745FEA" w:rsidRPr="005C6408" w:rsidRDefault="00745FEA" w:rsidP="00745FEA">
                  <w:pPr>
                    <w:pStyle w:val="TableBodyText"/>
                    <w:spacing w:after="20"/>
                    <w:ind w:right="57"/>
                  </w:pPr>
                  <w:r w:rsidRPr="001042B0">
                    <w:t>-4.0</w:t>
                  </w:r>
                </w:p>
              </w:tc>
              <w:tc>
                <w:tcPr>
                  <w:tcW w:w="480" w:type="pct"/>
                  <w:vAlign w:val="bottom"/>
                </w:tcPr>
                <w:p w:rsidR="00745FEA" w:rsidRPr="005C6408" w:rsidRDefault="00745FEA" w:rsidP="00745FEA">
                  <w:pPr>
                    <w:pStyle w:val="TableBodyText"/>
                    <w:spacing w:after="20"/>
                    <w:ind w:right="57"/>
                  </w:pPr>
                  <w:r w:rsidRPr="001042B0">
                    <w:t>-4.0</w:t>
                  </w:r>
                </w:p>
              </w:tc>
              <w:tc>
                <w:tcPr>
                  <w:tcW w:w="480" w:type="pct"/>
                  <w:vAlign w:val="bottom"/>
                </w:tcPr>
                <w:p w:rsidR="00745FEA" w:rsidRPr="005C6408" w:rsidRDefault="00745FEA" w:rsidP="00745FEA">
                  <w:pPr>
                    <w:pStyle w:val="TableBodyText"/>
                    <w:spacing w:after="20"/>
                    <w:ind w:right="57"/>
                  </w:pPr>
                  <w:r w:rsidRPr="001042B0">
                    <w:t>-4.1</w:t>
                  </w:r>
                </w:p>
              </w:tc>
              <w:tc>
                <w:tcPr>
                  <w:tcW w:w="480" w:type="pct"/>
                  <w:shd w:val="clear" w:color="auto" w:fill="auto"/>
                  <w:vAlign w:val="bottom"/>
                </w:tcPr>
                <w:p w:rsidR="00745FEA" w:rsidRPr="005C6408" w:rsidRDefault="00745FEA" w:rsidP="00745FEA">
                  <w:pPr>
                    <w:pStyle w:val="TableBodyText"/>
                    <w:spacing w:after="20"/>
                    <w:ind w:right="57"/>
                  </w:pPr>
                  <w:r w:rsidRPr="001042B0">
                    <w:t>-4.8</w:t>
                  </w:r>
                </w:p>
              </w:tc>
              <w:tc>
                <w:tcPr>
                  <w:tcW w:w="480" w:type="pct"/>
                  <w:shd w:val="clear" w:color="auto" w:fill="auto"/>
                  <w:vAlign w:val="bottom"/>
                </w:tcPr>
                <w:p w:rsidR="00745FEA" w:rsidRPr="005C6408" w:rsidRDefault="00745FEA" w:rsidP="00745FEA">
                  <w:pPr>
                    <w:pStyle w:val="TableBodyText"/>
                    <w:spacing w:after="20"/>
                    <w:ind w:right="57"/>
                  </w:pPr>
                  <w:r w:rsidRPr="001042B0">
                    <w:t>-6.7</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Dairy cattle farming</w:t>
                  </w:r>
                </w:p>
              </w:tc>
              <w:tc>
                <w:tcPr>
                  <w:tcW w:w="480" w:type="pct"/>
                  <w:vAlign w:val="bottom"/>
                </w:tcPr>
                <w:p w:rsidR="00745FEA" w:rsidRPr="005C6408" w:rsidRDefault="00745FEA" w:rsidP="00745FEA">
                  <w:pPr>
                    <w:pStyle w:val="TableBodyText"/>
                    <w:spacing w:after="20"/>
                    <w:ind w:right="57"/>
                  </w:pPr>
                  <w:r w:rsidRPr="001042B0">
                    <w:t>-7.0</w:t>
                  </w:r>
                </w:p>
              </w:tc>
              <w:tc>
                <w:tcPr>
                  <w:tcW w:w="480" w:type="pct"/>
                  <w:vAlign w:val="bottom"/>
                </w:tcPr>
                <w:p w:rsidR="00745FEA" w:rsidRPr="005C6408" w:rsidRDefault="00745FEA" w:rsidP="00745FEA">
                  <w:pPr>
                    <w:pStyle w:val="TableBodyText"/>
                    <w:spacing w:after="20"/>
                    <w:ind w:right="57"/>
                  </w:pPr>
                  <w:r w:rsidRPr="001042B0">
                    <w:t>-11.5</w:t>
                  </w:r>
                </w:p>
              </w:tc>
              <w:tc>
                <w:tcPr>
                  <w:tcW w:w="480" w:type="pct"/>
                  <w:vAlign w:val="bottom"/>
                </w:tcPr>
                <w:p w:rsidR="00745FEA" w:rsidRPr="005C6408" w:rsidRDefault="00745FEA" w:rsidP="00745FEA">
                  <w:pPr>
                    <w:pStyle w:val="TableBodyText"/>
                    <w:spacing w:after="20"/>
                    <w:ind w:right="57"/>
                  </w:pPr>
                  <w:r w:rsidRPr="001042B0">
                    <w:t>-12.9</w:t>
                  </w:r>
                </w:p>
              </w:tc>
              <w:tc>
                <w:tcPr>
                  <w:tcW w:w="480" w:type="pct"/>
                  <w:vAlign w:val="bottom"/>
                </w:tcPr>
                <w:p w:rsidR="00745FEA" w:rsidRPr="005C6408" w:rsidRDefault="00745FEA" w:rsidP="00745FEA">
                  <w:pPr>
                    <w:pStyle w:val="TableBodyText"/>
                    <w:spacing w:after="20"/>
                    <w:ind w:right="57"/>
                  </w:pPr>
                  <w:r w:rsidRPr="001042B0">
                    <w:t>-13.9</w:t>
                  </w:r>
                </w:p>
              </w:tc>
              <w:tc>
                <w:tcPr>
                  <w:tcW w:w="480" w:type="pct"/>
                  <w:shd w:val="clear" w:color="auto" w:fill="auto"/>
                  <w:vAlign w:val="bottom"/>
                </w:tcPr>
                <w:p w:rsidR="00745FEA" w:rsidRPr="005C6408" w:rsidRDefault="00745FEA" w:rsidP="00745FEA">
                  <w:pPr>
                    <w:pStyle w:val="TableBodyText"/>
                    <w:spacing w:after="20"/>
                    <w:ind w:right="57"/>
                  </w:pPr>
                  <w:r w:rsidRPr="001042B0">
                    <w:t>-12.1</w:t>
                  </w:r>
                </w:p>
              </w:tc>
              <w:tc>
                <w:tcPr>
                  <w:tcW w:w="480" w:type="pct"/>
                  <w:shd w:val="clear" w:color="auto" w:fill="auto"/>
                  <w:vAlign w:val="bottom"/>
                </w:tcPr>
                <w:p w:rsidR="00745FEA" w:rsidRPr="005C6408" w:rsidRDefault="00745FEA" w:rsidP="00745FEA">
                  <w:pPr>
                    <w:pStyle w:val="TableBodyText"/>
                    <w:spacing w:after="20"/>
                    <w:ind w:right="57"/>
                  </w:pPr>
                  <w:r w:rsidRPr="001042B0">
                    <w:t>-12.4</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Other livestock farming</w:t>
                  </w:r>
                </w:p>
              </w:tc>
              <w:tc>
                <w:tcPr>
                  <w:tcW w:w="480" w:type="pct"/>
                  <w:vAlign w:val="bottom"/>
                </w:tcPr>
                <w:p w:rsidR="00745FEA" w:rsidRPr="005C6408" w:rsidRDefault="00745FEA" w:rsidP="00745FEA">
                  <w:pPr>
                    <w:pStyle w:val="TableBodyText"/>
                    <w:spacing w:after="20"/>
                    <w:ind w:right="57"/>
                  </w:pPr>
                  <w:r w:rsidRPr="001042B0">
                    <w:t>-15.4</w:t>
                  </w:r>
                </w:p>
              </w:tc>
              <w:tc>
                <w:tcPr>
                  <w:tcW w:w="480" w:type="pct"/>
                  <w:vAlign w:val="bottom"/>
                </w:tcPr>
                <w:p w:rsidR="00745FEA" w:rsidRPr="005C6408" w:rsidRDefault="00745FEA" w:rsidP="00745FEA">
                  <w:pPr>
                    <w:pStyle w:val="TableBodyText"/>
                    <w:spacing w:after="20"/>
                    <w:ind w:right="57"/>
                  </w:pPr>
                  <w:r w:rsidRPr="001042B0">
                    <w:t>-13.7</w:t>
                  </w:r>
                </w:p>
              </w:tc>
              <w:tc>
                <w:tcPr>
                  <w:tcW w:w="480" w:type="pct"/>
                  <w:vAlign w:val="bottom"/>
                </w:tcPr>
                <w:p w:rsidR="00745FEA" w:rsidRPr="005C6408" w:rsidRDefault="00745FEA" w:rsidP="00745FEA">
                  <w:pPr>
                    <w:pStyle w:val="TableBodyText"/>
                    <w:spacing w:after="20"/>
                    <w:ind w:right="57"/>
                  </w:pPr>
                  <w:r w:rsidRPr="001042B0">
                    <w:t>-13.7</w:t>
                  </w:r>
                </w:p>
              </w:tc>
              <w:tc>
                <w:tcPr>
                  <w:tcW w:w="480" w:type="pct"/>
                  <w:vAlign w:val="bottom"/>
                </w:tcPr>
                <w:p w:rsidR="00745FEA" w:rsidRPr="005C6408" w:rsidRDefault="00745FEA" w:rsidP="00745FEA">
                  <w:pPr>
                    <w:pStyle w:val="TableBodyText"/>
                    <w:spacing w:after="20"/>
                    <w:ind w:right="57"/>
                  </w:pPr>
                  <w:r w:rsidRPr="001042B0">
                    <w:t>-16.6</w:t>
                  </w:r>
                </w:p>
              </w:tc>
              <w:tc>
                <w:tcPr>
                  <w:tcW w:w="480" w:type="pct"/>
                  <w:shd w:val="clear" w:color="auto" w:fill="auto"/>
                  <w:vAlign w:val="bottom"/>
                </w:tcPr>
                <w:p w:rsidR="00745FEA" w:rsidRPr="005C6408" w:rsidRDefault="00745FEA" w:rsidP="00745FEA">
                  <w:pPr>
                    <w:pStyle w:val="TableBodyText"/>
                    <w:spacing w:after="20"/>
                    <w:ind w:right="57"/>
                  </w:pPr>
                  <w:r w:rsidRPr="001042B0">
                    <w:t>-18.7</w:t>
                  </w:r>
                </w:p>
              </w:tc>
              <w:tc>
                <w:tcPr>
                  <w:tcW w:w="480" w:type="pct"/>
                  <w:shd w:val="clear" w:color="auto" w:fill="auto"/>
                  <w:vAlign w:val="bottom"/>
                </w:tcPr>
                <w:p w:rsidR="00745FEA" w:rsidRPr="005C6408" w:rsidRDefault="00745FEA" w:rsidP="00745FEA">
                  <w:pPr>
                    <w:pStyle w:val="TableBodyText"/>
                    <w:spacing w:after="20"/>
                    <w:ind w:right="57"/>
                  </w:pPr>
                  <w:r w:rsidRPr="001042B0">
                    <w:t>-25.2</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Aquaculture and fishing</w:t>
                  </w:r>
                </w:p>
              </w:tc>
              <w:tc>
                <w:tcPr>
                  <w:tcW w:w="480" w:type="pct"/>
                  <w:vAlign w:val="bottom"/>
                </w:tcPr>
                <w:p w:rsidR="00745FEA" w:rsidRPr="005C6408" w:rsidRDefault="00745FEA" w:rsidP="00745FEA">
                  <w:pPr>
                    <w:pStyle w:val="TableBodyText"/>
                    <w:spacing w:after="20"/>
                    <w:ind w:right="57"/>
                  </w:pPr>
                  <w:r w:rsidRPr="001042B0">
                    <w:t>-4.8</w:t>
                  </w:r>
                </w:p>
              </w:tc>
              <w:tc>
                <w:tcPr>
                  <w:tcW w:w="480" w:type="pct"/>
                  <w:vAlign w:val="bottom"/>
                </w:tcPr>
                <w:p w:rsidR="00745FEA" w:rsidRPr="005C6408" w:rsidRDefault="00745FEA" w:rsidP="00745FEA">
                  <w:pPr>
                    <w:pStyle w:val="TableBodyText"/>
                    <w:spacing w:after="20"/>
                    <w:ind w:right="57"/>
                  </w:pPr>
                  <w:r w:rsidRPr="001042B0">
                    <w:t>-6.3</w:t>
                  </w:r>
                </w:p>
              </w:tc>
              <w:tc>
                <w:tcPr>
                  <w:tcW w:w="480" w:type="pct"/>
                  <w:vAlign w:val="bottom"/>
                </w:tcPr>
                <w:p w:rsidR="00745FEA" w:rsidRPr="005C6408" w:rsidRDefault="00745FEA" w:rsidP="00745FEA">
                  <w:pPr>
                    <w:pStyle w:val="TableBodyText"/>
                    <w:spacing w:after="20"/>
                    <w:ind w:right="57"/>
                  </w:pPr>
                  <w:r w:rsidRPr="001042B0">
                    <w:t>-5.9</w:t>
                  </w:r>
                </w:p>
              </w:tc>
              <w:tc>
                <w:tcPr>
                  <w:tcW w:w="480" w:type="pct"/>
                  <w:vAlign w:val="bottom"/>
                </w:tcPr>
                <w:p w:rsidR="00745FEA" w:rsidRPr="005C6408" w:rsidRDefault="00745FEA" w:rsidP="00745FEA">
                  <w:pPr>
                    <w:pStyle w:val="TableBodyText"/>
                    <w:spacing w:after="20"/>
                    <w:ind w:right="57"/>
                  </w:pPr>
                  <w:r w:rsidRPr="001042B0">
                    <w:t>-6.5</w:t>
                  </w:r>
                </w:p>
              </w:tc>
              <w:tc>
                <w:tcPr>
                  <w:tcW w:w="480" w:type="pct"/>
                  <w:shd w:val="clear" w:color="auto" w:fill="auto"/>
                  <w:vAlign w:val="bottom"/>
                </w:tcPr>
                <w:p w:rsidR="00745FEA" w:rsidRPr="005C6408" w:rsidRDefault="00745FEA" w:rsidP="00745FEA">
                  <w:pPr>
                    <w:pStyle w:val="TableBodyText"/>
                    <w:spacing w:after="20"/>
                    <w:ind w:right="57"/>
                  </w:pPr>
                  <w:r w:rsidRPr="001042B0">
                    <w:t>-7.3</w:t>
                  </w:r>
                </w:p>
              </w:tc>
              <w:tc>
                <w:tcPr>
                  <w:tcW w:w="480" w:type="pct"/>
                  <w:shd w:val="clear" w:color="auto" w:fill="auto"/>
                  <w:vAlign w:val="bottom"/>
                </w:tcPr>
                <w:p w:rsidR="00745FEA" w:rsidRPr="005C6408" w:rsidRDefault="00745FEA" w:rsidP="00745FEA">
                  <w:pPr>
                    <w:pStyle w:val="TableBodyText"/>
                    <w:spacing w:after="20"/>
                    <w:ind w:right="57"/>
                  </w:pPr>
                  <w:r w:rsidRPr="001042B0">
                    <w:t>-8.2</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Forestry and logging</w:t>
                  </w:r>
                </w:p>
              </w:tc>
              <w:tc>
                <w:tcPr>
                  <w:tcW w:w="480" w:type="pct"/>
                  <w:vAlign w:val="bottom"/>
                </w:tcPr>
                <w:p w:rsidR="00745FEA" w:rsidRPr="005C6408" w:rsidRDefault="00745FEA" w:rsidP="00745FEA">
                  <w:pPr>
                    <w:pStyle w:val="TableBodyText"/>
                    <w:spacing w:after="20"/>
                    <w:ind w:right="57"/>
                  </w:pPr>
                  <w:r w:rsidRPr="001042B0">
                    <w:t>16.1</w:t>
                  </w:r>
                </w:p>
              </w:tc>
              <w:tc>
                <w:tcPr>
                  <w:tcW w:w="480" w:type="pct"/>
                  <w:vAlign w:val="bottom"/>
                </w:tcPr>
                <w:p w:rsidR="00745FEA" w:rsidRPr="005C6408" w:rsidRDefault="00745FEA" w:rsidP="00745FEA">
                  <w:pPr>
                    <w:pStyle w:val="TableBodyText"/>
                    <w:spacing w:after="20"/>
                    <w:ind w:right="57"/>
                  </w:pPr>
                  <w:r w:rsidRPr="001042B0">
                    <w:t>14.8</w:t>
                  </w:r>
                </w:p>
              </w:tc>
              <w:tc>
                <w:tcPr>
                  <w:tcW w:w="480" w:type="pct"/>
                  <w:vAlign w:val="bottom"/>
                </w:tcPr>
                <w:p w:rsidR="00745FEA" w:rsidRPr="005C6408" w:rsidRDefault="00745FEA" w:rsidP="00745FEA">
                  <w:pPr>
                    <w:pStyle w:val="TableBodyText"/>
                    <w:spacing w:after="20"/>
                    <w:ind w:right="57"/>
                  </w:pPr>
                  <w:r w:rsidRPr="001042B0">
                    <w:t>12.9</w:t>
                  </w:r>
                </w:p>
              </w:tc>
              <w:tc>
                <w:tcPr>
                  <w:tcW w:w="480" w:type="pct"/>
                  <w:vAlign w:val="bottom"/>
                </w:tcPr>
                <w:p w:rsidR="00745FEA" w:rsidRPr="005C6408" w:rsidRDefault="00745FEA" w:rsidP="00745FEA">
                  <w:pPr>
                    <w:pStyle w:val="TableBodyText"/>
                    <w:spacing w:after="20"/>
                    <w:ind w:right="57"/>
                  </w:pPr>
                  <w:r w:rsidRPr="001042B0">
                    <w:t>13.5</w:t>
                  </w:r>
                </w:p>
              </w:tc>
              <w:tc>
                <w:tcPr>
                  <w:tcW w:w="480" w:type="pct"/>
                  <w:shd w:val="clear" w:color="auto" w:fill="auto"/>
                  <w:vAlign w:val="bottom"/>
                </w:tcPr>
                <w:p w:rsidR="00745FEA" w:rsidRPr="005C6408" w:rsidRDefault="00745FEA" w:rsidP="00745FEA">
                  <w:pPr>
                    <w:pStyle w:val="TableBodyText"/>
                    <w:spacing w:after="20"/>
                    <w:ind w:right="57"/>
                  </w:pPr>
                  <w:r w:rsidRPr="001042B0">
                    <w:t>15.7</w:t>
                  </w:r>
                </w:p>
              </w:tc>
              <w:tc>
                <w:tcPr>
                  <w:tcW w:w="480" w:type="pct"/>
                  <w:shd w:val="clear" w:color="auto" w:fill="auto"/>
                  <w:vAlign w:val="bottom"/>
                </w:tcPr>
                <w:p w:rsidR="00745FEA" w:rsidRPr="005C6408" w:rsidRDefault="00745FEA" w:rsidP="00745FEA">
                  <w:pPr>
                    <w:pStyle w:val="TableBodyText"/>
                    <w:spacing w:after="20"/>
                    <w:ind w:right="57"/>
                  </w:pPr>
                  <w:r w:rsidRPr="001042B0">
                    <w:t>17.3</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Primary production support services</w:t>
                  </w:r>
                </w:p>
              </w:tc>
              <w:tc>
                <w:tcPr>
                  <w:tcW w:w="480" w:type="pct"/>
                  <w:vAlign w:val="bottom"/>
                </w:tcPr>
                <w:p w:rsidR="00745FEA" w:rsidRPr="005C6408" w:rsidRDefault="00745FEA" w:rsidP="00745FEA">
                  <w:pPr>
                    <w:pStyle w:val="TableBodyText"/>
                    <w:spacing w:after="20"/>
                    <w:ind w:right="57"/>
                  </w:pPr>
                  <w:r w:rsidRPr="001042B0">
                    <w:t>-11.1</w:t>
                  </w:r>
                </w:p>
              </w:tc>
              <w:tc>
                <w:tcPr>
                  <w:tcW w:w="480" w:type="pct"/>
                  <w:vAlign w:val="bottom"/>
                </w:tcPr>
                <w:p w:rsidR="00745FEA" w:rsidRPr="005C6408" w:rsidRDefault="00745FEA" w:rsidP="00745FEA">
                  <w:pPr>
                    <w:pStyle w:val="TableBodyText"/>
                    <w:spacing w:after="20"/>
                    <w:ind w:right="57"/>
                  </w:pPr>
                  <w:r w:rsidRPr="001042B0">
                    <w:t>-6.3</w:t>
                  </w:r>
                </w:p>
              </w:tc>
              <w:tc>
                <w:tcPr>
                  <w:tcW w:w="480" w:type="pct"/>
                  <w:vAlign w:val="bottom"/>
                </w:tcPr>
                <w:p w:rsidR="00745FEA" w:rsidRPr="005C6408" w:rsidRDefault="00745FEA" w:rsidP="00745FEA">
                  <w:pPr>
                    <w:pStyle w:val="TableBodyText"/>
                    <w:spacing w:after="20"/>
                    <w:ind w:right="57"/>
                  </w:pPr>
                  <w:r w:rsidRPr="001042B0">
                    <w:t>-20.2</w:t>
                  </w:r>
                </w:p>
              </w:tc>
              <w:tc>
                <w:tcPr>
                  <w:tcW w:w="480" w:type="pct"/>
                  <w:vAlign w:val="bottom"/>
                </w:tcPr>
                <w:p w:rsidR="00745FEA" w:rsidRPr="005C6408" w:rsidRDefault="00745FEA" w:rsidP="00745FEA">
                  <w:pPr>
                    <w:pStyle w:val="TableBodyText"/>
                    <w:spacing w:after="20"/>
                    <w:ind w:right="57"/>
                  </w:pPr>
                  <w:r w:rsidRPr="001042B0">
                    <w:t>-21.1</w:t>
                  </w:r>
                </w:p>
              </w:tc>
              <w:tc>
                <w:tcPr>
                  <w:tcW w:w="480" w:type="pct"/>
                  <w:shd w:val="clear" w:color="auto" w:fill="auto"/>
                  <w:vAlign w:val="bottom"/>
                </w:tcPr>
                <w:p w:rsidR="00745FEA" w:rsidRPr="005C6408" w:rsidRDefault="00745FEA" w:rsidP="00745FEA">
                  <w:pPr>
                    <w:pStyle w:val="TableBodyText"/>
                    <w:spacing w:after="20"/>
                    <w:ind w:right="57"/>
                  </w:pPr>
                  <w:r w:rsidRPr="001042B0">
                    <w:t>-21.3</w:t>
                  </w:r>
                </w:p>
              </w:tc>
              <w:tc>
                <w:tcPr>
                  <w:tcW w:w="480" w:type="pct"/>
                  <w:shd w:val="clear" w:color="auto" w:fill="auto"/>
                  <w:vAlign w:val="bottom"/>
                </w:tcPr>
                <w:p w:rsidR="00745FEA" w:rsidRPr="005C6408" w:rsidRDefault="00745FEA" w:rsidP="00745FEA">
                  <w:pPr>
                    <w:pStyle w:val="TableBodyText"/>
                    <w:spacing w:after="20"/>
                    <w:ind w:right="57"/>
                  </w:pPr>
                  <w:r w:rsidRPr="001042B0">
                    <w:t>-25.6</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Unallocated primary production</w:t>
                  </w:r>
                  <w:r w:rsidRPr="00C74A79">
                    <w:rPr>
                      <w:rStyle w:val="NoteLabel"/>
                    </w:rPr>
                    <w:t>b</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shd w:val="clear" w:color="auto" w:fill="auto"/>
                  <w:vAlign w:val="bottom"/>
                </w:tcPr>
                <w:p w:rsidR="00745FEA" w:rsidRPr="005C6408" w:rsidRDefault="00745FEA" w:rsidP="00745FEA">
                  <w:pPr>
                    <w:pStyle w:val="TableBodyText"/>
                    <w:ind w:right="57"/>
                  </w:pPr>
                  <w:r w:rsidRPr="001042B0">
                    <w:t xml:space="preserve">– </w:t>
                  </w:r>
                </w:p>
              </w:tc>
              <w:tc>
                <w:tcPr>
                  <w:tcW w:w="480" w:type="pct"/>
                  <w:shd w:val="clear" w:color="auto" w:fill="auto"/>
                  <w:vAlign w:val="bottom"/>
                </w:tcPr>
                <w:p w:rsidR="00745FEA" w:rsidRPr="005C6408" w:rsidRDefault="00745FEA" w:rsidP="00745FEA">
                  <w:pPr>
                    <w:pStyle w:val="TableBodyText"/>
                    <w:ind w:right="57"/>
                  </w:pPr>
                  <w:r w:rsidRPr="001042B0">
                    <w:t xml:space="preserve">– </w:t>
                  </w:r>
                </w:p>
              </w:tc>
            </w:tr>
            <w:tr w:rsidR="00745FEA" w:rsidRPr="00CD7A2D" w:rsidTr="00745FEA">
              <w:tc>
                <w:tcPr>
                  <w:tcW w:w="2119" w:type="pct"/>
                  <w:shd w:val="clear" w:color="auto" w:fill="auto"/>
                  <w:vAlign w:val="bottom"/>
                </w:tcPr>
                <w:p w:rsidR="00745FEA" w:rsidRPr="00CD7A2D" w:rsidRDefault="00745FEA" w:rsidP="00745FEA">
                  <w:pPr>
                    <w:pStyle w:val="TableBodyText"/>
                    <w:jc w:val="left"/>
                    <w:rPr>
                      <w:b/>
                    </w:rPr>
                  </w:pPr>
                  <w:r w:rsidRPr="00CD7A2D">
                    <w:rPr>
                      <w:b/>
                    </w:rPr>
                    <w:t>Mining</w:t>
                  </w:r>
                </w:p>
              </w:tc>
              <w:tc>
                <w:tcPr>
                  <w:tcW w:w="480" w:type="pct"/>
                  <w:vAlign w:val="bottom"/>
                </w:tcPr>
                <w:p w:rsidR="00745FEA" w:rsidRPr="00CD7A2D" w:rsidRDefault="00745FEA" w:rsidP="00745FEA">
                  <w:pPr>
                    <w:pStyle w:val="TableBodyText"/>
                    <w:ind w:right="57"/>
                    <w:rPr>
                      <w:b/>
                    </w:rPr>
                  </w:pPr>
                  <w:r w:rsidRPr="00CD7A2D">
                    <w:rPr>
                      <w:b/>
                    </w:rPr>
                    <w:t>-234.9</w:t>
                  </w:r>
                </w:p>
              </w:tc>
              <w:tc>
                <w:tcPr>
                  <w:tcW w:w="480" w:type="pct"/>
                  <w:vAlign w:val="bottom"/>
                </w:tcPr>
                <w:p w:rsidR="00745FEA" w:rsidRPr="00CD7A2D" w:rsidRDefault="00745FEA" w:rsidP="00745FEA">
                  <w:pPr>
                    <w:pStyle w:val="TableBodyText"/>
                    <w:ind w:right="57"/>
                    <w:rPr>
                      <w:b/>
                    </w:rPr>
                  </w:pPr>
                  <w:r w:rsidRPr="00CD7A2D">
                    <w:rPr>
                      <w:b/>
                    </w:rPr>
                    <w:t>-257.2</w:t>
                  </w:r>
                </w:p>
              </w:tc>
              <w:tc>
                <w:tcPr>
                  <w:tcW w:w="480" w:type="pct"/>
                  <w:vAlign w:val="bottom"/>
                </w:tcPr>
                <w:p w:rsidR="00745FEA" w:rsidRPr="00CD7A2D" w:rsidRDefault="00745FEA" w:rsidP="00745FEA">
                  <w:pPr>
                    <w:pStyle w:val="TableBodyText"/>
                    <w:ind w:right="57"/>
                    <w:rPr>
                      <w:b/>
                    </w:rPr>
                  </w:pPr>
                  <w:r w:rsidRPr="00CD7A2D">
                    <w:rPr>
                      <w:b/>
                    </w:rPr>
                    <w:t>-284.2</w:t>
                  </w:r>
                </w:p>
              </w:tc>
              <w:tc>
                <w:tcPr>
                  <w:tcW w:w="480" w:type="pct"/>
                  <w:vAlign w:val="bottom"/>
                </w:tcPr>
                <w:p w:rsidR="00745FEA" w:rsidRPr="00CD7A2D" w:rsidRDefault="00745FEA" w:rsidP="00745FEA">
                  <w:pPr>
                    <w:pStyle w:val="TableBodyText"/>
                    <w:ind w:right="57"/>
                    <w:rPr>
                      <w:b/>
                    </w:rPr>
                  </w:pPr>
                  <w:r w:rsidRPr="00CD7A2D">
                    <w:rPr>
                      <w:b/>
                    </w:rPr>
                    <w:t>-295.9</w:t>
                  </w:r>
                </w:p>
              </w:tc>
              <w:tc>
                <w:tcPr>
                  <w:tcW w:w="480" w:type="pct"/>
                  <w:shd w:val="clear" w:color="auto" w:fill="auto"/>
                  <w:vAlign w:val="bottom"/>
                </w:tcPr>
                <w:p w:rsidR="00745FEA" w:rsidRPr="00CD7A2D" w:rsidRDefault="00745FEA" w:rsidP="00745FEA">
                  <w:pPr>
                    <w:pStyle w:val="TableBodyText"/>
                    <w:ind w:right="57"/>
                    <w:rPr>
                      <w:b/>
                    </w:rPr>
                  </w:pPr>
                  <w:r w:rsidRPr="00CD7A2D">
                    <w:rPr>
                      <w:b/>
                    </w:rPr>
                    <w:t>-304.1</w:t>
                  </w:r>
                </w:p>
              </w:tc>
              <w:tc>
                <w:tcPr>
                  <w:tcW w:w="480" w:type="pct"/>
                  <w:shd w:val="clear" w:color="auto" w:fill="auto"/>
                  <w:vAlign w:val="bottom"/>
                </w:tcPr>
                <w:p w:rsidR="00745FEA" w:rsidRPr="00CD7A2D" w:rsidRDefault="00745FEA" w:rsidP="00745FEA">
                  <w:pPr>
                    <w:pStyle w:val="TableBodyText"/>
                    <w:ind w:right="57"/>
                    <w:rPr>
                      <w:b/>
                    </w:rPr>
                  </w:pPr>
                  <w:r w:rsidRPr="00CD7A2D">
                    <w:rPr>
                      <w:b/>
                    </w:rPr>
                    <w:t>-307.8</w:t>
                  </w:r>
                </w:p>
              </w:tc>
            </w:tr>
            <w:tr w:rsidR="00745FEA" w:rsidRPr="00CD7A2D" w:rsidTr="00745FEA">
              <w:tc>
                <w:tcPr>
                  <w:tcW w:w="2119" w:type="pct"/>
                  <w:shd w:val="clear" w:color="auto" w:fill="auto"/>
                  <w:vAlign w:val="bottom"/>
                </w:tcPr>
                <w:p w:rsidR="00745FEA" w:rsidRPr="00CD7A2D" w:rsidRDefault="00745FEA" w:rsidP="00745FEA">
                  <w:pPr>
                    <w:pStyle w:val="TableBodyText"/>
                    <w:jc w:val="left"/>
                    <w:rPr>
                      <w:b/>
                    </w:rPr>
                  </w:pPr>
                  <w:r w:rsidRPr="00CD7A2D">
                    <w:rPr>
                      <w:b/>
                    </w:rPr>
                    <w:t>Manufacturing</w:t>
                  </w:r>
                </w:p>
              </w:tc>
              <w:tc>
                <w:tcPr>
                  <w:tcW w:w="480" w:type="pct"/>
                  <w:vAlign w:val="bottom"/>
                </w:tcPr>
                <w:p w:rsidR="00745FEA" w:rsidRPr="00CD7A2D" w:rsidRDefault="00745FEA" w:rsidP="00745FEA">
                  <w:pPr>
                    <w:pStyle w:val="TableBodyText"/>
                    <w:ind w:right="57"/>
                    <w:rPr>
                      <w:b/>
                    </w:rPr>
                  </w:pPr>
                  <w:r w:rsidRPr="00CD7A2D">
                    <w:rPr>
                      <w:b/>
                    </w:rPr>
                    <w:t>5052.5</w:t>
                  </w:r>
                </w:p>
              </w:tc>
              <w:tc>
                <w:tcPr>
                  <w:tcW w:w="480" w:type="pct"/>
                  <w:vAlign w:val="bottom"/>
                </w:tcPr>
                <w:p w:rsidR="00745FEA" w:rsidRPr="00CD7A2D" w:rsidRDefault="00745FEA" w:rsidP="00745FEA">
                  <w:pPr>
                    <w:pStyle w:val="TableBodyText"/>
                    <w:ind w:right="57"/>
                    <w:rPr>
                      <w:b/>
                    </w:rPr>
                  </w:pPr>
                  <w:r w:rsidRPr="00CD7A2D">
                    <w:rPr>
                      <w:b/>
                    </w:rPr>
                    <w:t>5019.3</w:t>
                  </w:r>
                </w:p>
              </w:tc>
              <w:tc>
                <w:tcPr>
                  <w:tcW w:w="480" w:type="pct"/>
                  <w:vAlign w:val="bottom"/>
                </w:tcPr>
                <w:p w:rsidR="00745FEA" w:rsidRPr="00CD7A2D" w:rsidRDefault="00745FEA" w:rsidP="00745FEA">
                  <w:pPr>
                    <w:pStyle w:val="TableBodyText"/>
                    <w:ind w:right="57"/>
                    <w:rPr>
                      <w:b/>
                    </w:rPr>
                  </w:pPr>
                  <w:r w:rsidRPr="00CD7A2D">
                    <w:rPr>
                      <w:b/>
                    </w:rPr>
                    <w:t>4671.3</w:t>
                  </w:r>
                </w:p>
              </w:tc>
              <w:tc>
                <w:tcPr>
                  <w:tcW w:w="480" w:type="pct"/>
                  <w:vAlign w:val="bottom"/>
                </w:tcPr>
                <w:p w:rsidR="00745FEA" w:rsidRPr="00CD7A2D" w:rsidRDefault="00745FEA" w:rsidP="00745FEA">
                  <w:pPr>
                    <w:pStyle w:val="TableBodyText"/>
                    <w:ind w:right="57"/>
                    <w:rPr>
                      <w:b/>
                    </w:rPr>
                  </w:pPr>
                  <w:r w:rsidRPr="00CD7A2D">
                    <w:rPr>
                      <w:b/>
                    </w:rPr>
                    <w:t>4722.6</w:t>
                  </w:r>
                </w:p>
              </w:tc>
              <w:tc>
                <w:tcPr>
                  <w:tcW w:w="480" w:type="pct"/>
                  <w:shd w:val="clear" w:color="auto" w:fill="auto"/>
                  <w:vAlign w:val="bottom"/>
                </w:tcPr>
                <w:p w:rsidR="00745FEA" w:rsidRPr="00CD7A2D" w:rsidRDefault="00745FEA" w:rsidP="00745FEA">
                  <w:pPr>
                    <w:pStyle w:val="TableBodyText"/>
                    <w:ind w:right="57"/>
                    <w:rPr>
                      <w:b/>
                    </w:rPr>
                  </w:pPr>
                  <w:r w:rsidRPr="00CD7A2D">
                    <w:rPr>
                      <w:b/>
                    </w:rPr>
                    <w:t>4643.6</w:t>
                  </w:r>
                </w:p>
              </w:tc>
              <w:tc>
                <w:tcPr>
                  <w:tcW w:w="480" w:type="pct"/>
                  <w:shd w:val="clear" w:color="auto" w:fill="auto"/>
                  <w:vAlign w:val="bottom"/>
                </w:tcPr>
                <w:p w:rsidR="00745FEA" w:rsidRPr="00CD7A2D" w:rsidRDefault="00745FEA" w:rsidP="00745FEA">
                  <w:pPr>
                    <w:pStyle w:val="TableBodyText"/>
                    <w:ind w:right="57"/>
                    <w:rPr>
                      <w:b/>
                    </w:rPr>
                  </w:pPr>
                  <w:r w:rsidRPr="00CD7A2D">
                    <w:rPr>
                      <w:b/>
                    </w:rPr>
                    <w:t>4649.1</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Food, beverages and tobacco</w:t>
                  </w:r>
                </w:p>
              </w:tc>
              <w:tc>
                <w:tcPr>
                  <w:tcW w:w="480" w:type="pct"/>
                  <w:vAlign w:val="bottom"/>
                </w:tcPr>
                <w:p w:rsidR="00745FEA" w:rsidRPr="005C6408" w:rsidRDefault="00745FEA" w:rsidP="00745FEA">
                  <w:pPr>
                    <w:pStyle w:val="TableBodyText"/>
                    <w:spacing w:after="20"/>
                    <w:ind w:right="57"/>
                  </w:pPr>
                  <w:r w:rsidRPr="001042B0">
                    <w:t>1273.5</w:t>
                  </w:r>
                </w:p>
              </w:tc>
              <w:tc>
                <w:tcPr>
                  <w:tcW w:w="480" w:type="pct"/>
                  <w:vAlign w:val="bottom"/>
                </w:tcPr>
                <w:p w:rsidR="00745FEA" w:rsidRPr="005C6408" w:rsidRDefault="00745FEA" w:rsidP="00745FEA">
                  <w:pPr>
                    <w:pStyle w:val="TableBodyText"/>
                    <w:spacing w:after="20"/>
                    <w:ind w:right="57"/>
                  </w:pPr>
                  <w:r w:rsidRPr="001042B0">
                    <w:t>1292.2</w:t>
                  </w:r>
                </w:p>
              </w:tc>
              <w:tc>
                <w:tcPr>
                  <w:tcW w:w="480" w:type="pct"/>
                  <w:vAlign w:val="bottom"/>
                </w:tcPr>
                <w:p w:rsidR="00745FEA" w:rsidRPr="005C6408" w:rsidRDefault="00745FEA" w:rsidP="00745FEA">
                  <w:pPr>
                    <w:pStyle w:val="TableBodyText"/>
                    <w:spacing w:after="20"/>
                    <w:ind w:right="57"/>
                  </w:pPr>
                  <w:r w:rsidRPr="001042B0">
                    <w:t>1314.5</w:t>
                  </w:r>
                </w:p>
              </w:tc>
              <w:tc>
                <w:tcPr>
                  <w:tcW w:w="480" w:type="pct"/>
                  <w:vAlign w:val="bottom"/>
                </w:tcPr>
                <w:p w:rsidR="00745FEA" w:rsidRPr="005C6408" w:rsidRDefault="00745FEA" w:rsidP="00745FEA">
                  <w:pPr>
                    <w:pStyle w:val="TableBodyText"/>
                    <w:spacing w:after="20"/>
                    <w:ind w:right="57"/>
                  </w:pPr>
                  <w:r w:rsidRPr="001042B0">
                    <w:t>1317.7</w:t>
                  </w:r>
                </w:p>
              </w:tc>
              <w:tc>
                <w:tcPr>
                  <w:tcW w:w="480" w:type="pct"/>
                  <w:shd w:val="clear" w:color="auto" w:fill="auto"/>
                  <w:vAlign w:val="bottom"/>
                </w:tcPr>
                <w:p w:rsidR="00745FEA" w:rsidRPr="005C6408" w:rsidRDefault="00745FEA" w:rsidP="00745FEA">
                  <w:pPr>
                    <w:pStyle w:val="TableBodyText"/>
                    <w:spacing w:after="20"/>
                    <w:ind w:right="57"/>
                  </w:pPr>
                  <w:r w:rsidRPr="001042B0">
                    <w:t>1303.1</w:t>
                  </w:r>
                </w:p>
              </w:tc>
              <w:tc>
                <w:tcPr>
                  <w:tcW w:w="480" w:type="pct"/>
                  <w:shd w:val="clear" w:color="auto" w:fill="auto"/>
                  <w:vAlign w:val="bottom"/>
                </w:tcPr>
                <w:p w:rsidR="00745FEA" w:rsidRPr="005C6408" w:rsidRDefault="00745FEA" w:rsidP="00745FEA">
                  <w:pPr>
                    <w:pStyle w:val="TableBodyText"/>
                    <w:spacing w:after="20"/>
                    <w:ind w:right="57"/>
                  </w:pPr>
                  <w:r w:rsidRPr="001042B0">
                    <w:t>1376.4</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Textile</w:t>
                  </w:r>
                  <w:r>
                    <w:t>s</w:t>
                  </w:r>
                  <w:r w:rsidRPr="00AB1D7C">
                    <w:t>, leather, clothing and footwear</w:t>
                  </w:r>
                </w:p>
              </w:tc>
              <w:tc>
                <w:tcPr>
                  <w:tcW w:w="480" w:type="pct"/>
                  <w:vAlign w:val="bottom"/>
                </w:tcPr>
                <w:p w:rsidR="00745FEA" w:rsidRPr="005C6408" w:rsidRDefault="00745FEA" w:rsidP="00745FEA">
                  <w:pPr>
                    <w:pStyle w:val="TableBodyText"/>
                    <w:spacing w:after="20"/>
                    <w:ind w:right="57"/>
                  </w:pPr>
                  <w:r w:rsidRPr="001042B0">
                    <w:t>111.9</w:t>
                  </w:r>
                </w:p>
              </w:tc>
              <w:tc>
                <w:tcPr>
                  <w:tcW w:w="480" w:type="pct"/>
                  <w:vAlign w:val="bottom"/>
                </w:tcPr>
                <w:p w:rsidR="00745FEA" w:rsidRPr="005C6408" w:rsidRDefault="00745FEA" w:rsidP="00745FEA">
                  <w:pPr>
                    <w:pStyle w:val="TableBodyText"/>
                    <w:spacing w:after="20"/>
                    <w:ind w:right="57"/>
                  </w:pPr>
                  <w:r w:rsidRPr="001042B0">
                    <w:t>109.4</w:t>
                  </w:r>
                </w:p>
              </w:tc>
              <w:tc>
                <w:tcPr>
                  <w:tcW w:w="480" w:type="pct"/>
                  <w:vAlign w:val="bottom"/>
                </w:tcPr>
                <w:p w:rsidR="00745FEA" w:rsidRPr="005C6408" w:rsidRDefault="00745FEA" w:rsidP="00745FEA">
                  <w:pPr>
                    <w:pStyle w:val="TableBodyText"/>
                    <w:spacing w:after="20"/>
                    <w:ind w:right="57"/>
                  </w:pPr>
                  <w:r w:rsidRPr="001042B0">
                    <w:t>111.3</w:t>
                  </w:r>
                </w:p>
              </w:tc>
              <w:tc>
                <w:tcPr>
                  <w:tcW w:w="480" w:type="pct"/>
                  <w:vAlign w:val="bottom"/>
                </w:tcPr>
                <w:p w:rsidR="00745FEA" w:rsidRPr="005C6408" w:rsidRDefault="00745FEA" w:rsidP="00745FEA">
                  <w:pPr>
                    <w:pStyle w:val="TableBodyText"/>
                    <w:spacing w:after="20"/>
                    <w:ind w:right="57"/>
                  </w:pPr>
                  <w:r w:rsidRPr="001042B0">
                    <w:t>100.2</w:t>
                  </w:r>
                </w:p>
              </w:tc>
              <w:tc>
                <w:tcPr>
                  <w:tcW w:w="480" w:type="pct"/>
                  <w:shd w:val="clear" w:color="auto" w:fill="auto"/>
                  <w:vAlign w:val="bottom"/>
                </w:tcPr>
                <w:p w:rsidR="00745FEA" w:rsidRPr="005C6408" w:rsidRDefault="00745FEA" w:rsidP="00745FEA">
                  <w:pPr>
                    <w:pStyle w:val="TableBodyText"/>
                    <w:spacing w:after="20"/>
                    <w:ind w:right="57"/>
                  </w:pPr>
                  <w:r w:rsidRPr="001042B0">
                    <w:t>84.1</w:t>
                  </w:r>
                </w:p>
              </w:tc>
              <w:tc>
                <w:tcPr>
                  <w:tcW w:w="480" w:type="pct"/>
                  <w:shd w:val="clear" w:color="auto" w:fill="auto"/>
                  <w:vAlign w:val="bottom"/>
                </w:tcPr>
                <w:p w:rsidR="00745FEA" w:rsidRPr="005C6408" w:rsidRDefault="00745FEA" w:rsidP="00745FEA">
                  <w:pPr>
                    <w:pStyle w:val="TableBodyText"/>
                    <w:spacing w:after="20"/>
                    <w:ind w:right="57"/>
                  </w:pPr>
                  <w:r w:rsidRPr="001042B0">
                    <w:t>82.1</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Wood and paper products</w:t>
                  </w:r>
                </w:p>
              </w:tc>
              <w:tc>
                <w:tcPr>
                  <w:tcW w:w="480" w:type="pct"/>
                  <w:vAlign w:val="bottom"/>
                </w:tcPr>
                <w:p w:rsidR="00745FEA" w:rsidRPr="005C6408" w:rsidRDefault="00745FEA" w:rsidP="00745FEA">
                  <w:pPr>
                    <w:pStyle w:val="TableBodyText"/>
                    <w:spacing w:after="20"/>
                    <w:ind w:right="57"/>
                  </w:pPr>
                  <w:r w:rsidRPr="001042B0">
                    <w:t>545.1</w:t>
                  </w:r>
                </w:p>
              </w:tc>
              <w:tc>
                <w:tcPr>
                  <w:tcW w:w="480" w:type="pct"/>
                  <w:vAlign w:val="bottom"/>
                </w:tcPr>
                <w:p w:rsidR="00745FEA" w:rsidRPr="005C6408" w:rsidRDefault="00745FEA" w:rsidP="00745FEA">
                  <w:pPr>
                    <w:pStyle w:val="TableBodyText"/>
                    <w:spacing w:after="20"/>
                    <w:ind w:right="57"/>
                  </w:pPr>
                  <w:r w:rsidRPr="001042B0">
                    <w:t>533.3</w:t>
                  </w:r>
                </w:p>
              </w:tc>
              <w:tc>
                <w:tcPr>
                  <w:tcW w:w="480" w:type="pct"/>
                  <w:vAlign w:val="bottom"/>
                </w:tcPr>
                <w:p w:rsidR="00745FEA" w:rsidRPr="005C6408" w:rsidRDefault="00745FEA" w:rsidP="00745FEA">
                  <w:pPr>
                    <w:pStyle w:val="TableBodyText"/>
                    <w:spacing w:after="20"/>
                    <w:ind w:right="57"/>
                  </w:pPr>
                  <w:r w:rsidRPr="001042B0">
                    <w:t>542.3</w:t>
                  </w:r>
                </w:p>
              </w:tc>
              <w:tc>
                <w:tcPr>
                  <w:tcW w:w="480" w:type="pct"/>
                  <w:vAlign w:val="bottom"/>
                </w:tcPr>
                <w:p w:rsidR="00745FEA" w:rsidRPr="005C6408" w:rsidRDefault="00745FEA" w:rsidP="00745FEA">
                  <w:pPr>
                    <w:pStyle w:val="TableBodyText"/>
                    <w:spacing w:after="20"/>
                    <w:ind w:right="57"/>
                  </w:pPr>
                  <w:r w:rsidRPr="001042B0">
                    <w:t>569.3</w:t>
                  </w:r>
                </w:p>
              </w:tc>
              <w:tc>
                <w:tcPr>
                  <w:tcW w:w="480" w:type="pct"/>
                  <w:shd w:val="clear" w:color="auto" w:fill="auto"/>
                  <w:vAlign w:val="bottom"/>
                </w:tcPr>
                <w:p w:rsidR="00745FEA" w:rsidRPr="005C6408" w:rsidRDefault="00745FEA" w:rsidP="00745FEA">
                  <w:pPr>
                    <w:pStyle w:val="TableBodyText"/>
                    <w:spacing w:after="20"/>
                    <w:ind w:right="57"/>
                  </w:pPr>
                  <w:r w:rsidRPr="001042B0">
                    <w:t>573.6</w:t>
                  </w:r>
                </w:p>
              </w:tc>
              <w:tc>
                <w:tcPr>
                  <w:tcW w:w="480" w:type="pct"/>
                  <w:shd w:val="clear" w:color="auto" w:fill="auto"/>
                  <w:vAlign w:val="bottom"/>
                </w:tcPr>
                <w:p w:rsidR="00745FEA" w:rsidRPr="005C6408" w:rsidRDefault="00745FEA" w:rsidP="00745FEA">
                  <w:pPr>
                    <w:pStyle w:val="TableBodyText"/>
                    <w:spacing w:after="20"/>
                    <w:ind w:right="57"/>
                  </w:pPr>
                  <w:r w:rsidRPr="001042B0">
                    <w:t>559.5</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Printing and recorded media</w:t>
                  </w:r>
                </w:p>
              </w:tc>
              <w:tc>
                <w:tcPr>
                  <w:tcW w:w="480" w:type="pct"/>
                  <w:vAlign w:val="bottom"/>
                </w:tcPr>
                <w:p w:rsidR="00745FEA" w:rsidRPr="005C6408" w:rsidRDefault="00745FEA" w:rsidP="00745FEA">
                  <w:pPr>
                    <w:pStyle w:val="TableBodyText"/>
                    <w:spacing w:after="20"/>
                    <w:ind w:right="57"/>
                  </w:pPr>
                  <w:r w:rsidRPr="001042B0">
                    <w:t>77.1</w:t>
                  </w:r>
                </w:p>
              </w:tc>
              <w:tc>
                <w:tcPr>
                  <w:tcW w:w="480" w:type="pct"/>
                  <w:vAlign w:val="bottom"/>
                </w:tcPr>
                <w:p w:rsidR="00745FEA" w:rsidRPr="005C6408" w:rsidRDefault="00745FEA" w:rsidP="00745FEA">
                  <w:pPr>
                    <w:pStyle w:val="TableBodyText"/>
                    <w:spacing w:after="20"/>
                    <w:ind w:right="57"/>
                  </w:pPr>
                  <w:r w:rsidRPr="001042B0">
                    <w:t>75.4</w:t>
                  </w:r>
                </w:p>
              </w:tc>
              <w:tc>
                <w:tcPr>
                  <w:tcW w:w="480" w:type="pct"/>
                  <w:vAlign w:val="bottom"/>
                </w:tcPr>
                <w:p w:rsidR="00745FEA" w:rsidRPr="005C6408" w:rsidRDefault="00745FEA" w:rsidP="00745FEA">
                  <w:pPr>
                    <w:pStyle w:val="TableBodyText"/>
                    <w:spacing w:after="20"/>
                    <w:ind w:right="57"/>
                  </w:pPr>
                  <w:r w:rsidRPr="001042B0">
                    <w:t>76.7</w:t>
                  </w:r>
                </w:p>
              </w:tc>
              <w:tc>
                <w:tcPr>
                  <w:tcW w:w="480" w:type="pct"/>
                  <w:vAlign w:val="bottom"/>
                </w:tcPr>
                <w:p w:rsidR="00745FEA" w:rsidRPr="005C6408" w:rsidRDefault="00745FEA" w:rsidP="00745FEA">
                  <w:pPr>
                    <w:pStyle w:val="TableBodyText"/>
                    <w:spacing w:after="20"/>
                    <w:ind w:right="57"/>
                  </w:pPr>
                  <w:r w:rsidRPr="001042B0">
                    <w:t>80.8</w:t>
                  </w:r>
                </w:p>
              </w:tc>
              <w:tc>
                <w:tcPr>
                  <w:tcW w:w="480" w:type="pct"/>
                  <w:shd w:val="clear" w:color="auto" w:fill="auto"/>
                  <w:vAlign w:val="bottom"/>
                </w:tcPr>
                <w:p w:rsidR="00745FEA" w:rsidRPr="005C6408" w:rsidRDefault="00745FEA" w:rsidP="00745FEA">
                  <w:pPr>
                    <w:pStyle w:val="TableBodyText"/>
                    <w:spacing w:after="20"/>
                    <w:ind w:right="57"/>
                  </w:pPr>
                  <w:r w:rsidRPr="001042B0">
                    <w:t>81.8</w:t>
                  </w:r>
                </w:p>
              </w:tc>
              <w:tc>
                <w:tcPr>
                  <w:tcW w:w="480" w:type="pct"/>
                  <w:shd w:val="clear" w:color="auto" w:fill="auto"/>
                  <w:vAlign w:val="bottom"/>
                </w:tcPr>
                <w:p w:rsidR="00745FEA" w:rsidRPr="005C6408" w:rsidRDefault="00745FEA" w:rsidP="00745FEA">
                  <w:pPr>
                    <w:pStyle w:val="TableBodyText"/>
                    <w:spacing w:after="20"/>
                    <w:ind w:right="57"/>
                  </w:pPr>
                  <w:r w:rsidRPr="001042B0">
                    <w:t>79.8</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Petroleum, coal, chemical and rubber</w:t>
                  </w:r>
                </w:p>
              </w:tc>
              <w:tc>
                <w:tcPr>
                  <w:tcW w:w="480" w:type="pct"/>
                  <w:vAlign w:val="bottom"/>
                </w:tcPr>
                <w:p w:rsidR="00745FEA" w:rsidRPr="005C6408" w:rsidRDefault="00745FEA" w:rsidP="00745FEA">
                  <w:pPr>
                    <w:pStyle w:val="TableBodyText"/>
                    <w:spacing w:after="20"/>
                    <w:ind w:right="57"/>
                  </w:pPr>
                  <w:r w:rsidRPr="001042B0">
                    <w:t>747.8</w:t>
                  </w:r>
                </w:p>
              </w:tc>
              <w:tc>
                <w:tcPr>
                  <w:tcW w:w="480" w:type="pct"/>
                  <w:vAlign w:val="bottom"/>
                </w:tcPr>
                <w:p w:rsidR="00745FEA" w:rsidRPr="005C6408" w:rsidRDefault="00745FEA" w:rsidP="00745FEA">
                  <w:pPr>
                    <w:pStyle w:val="TableBodyText"/>
                    <w:spacing w:after="20"/>
                    <w:ind w:right="57"/>
                  </w:pPr>
                  <w:r w:rsidRPr="001042B0">
                    <w:t>636.0</w:t>
                  </w:r>
                </w:p>
              </w:tc>
              <w:tc>
                <w:tcPr>
                  <w:tcW w:w="480" w:type="pct"/>
                  <w:vAlign w:val="bottom"/>
                </w:tcPr>
                <w:p w:rsidR="00745FEA" w:rsidRPr="005C6408" w:rsidRDefault="00745FEA" w:rsidP="00745FEA">
                  <w:pPr>
                    <w:pStyle w:val="TableBodyText"/>
                    <w:spacing w:after="20"/>
                    <w:ind w:right="57"/>
                  </w:pPr>
                  <w:r w:rsidRPr="001042B0">
                    <w:t>506.8</w:t>
                  </w:r>
                </w:p>
              </w:tc>
              <w:tc>
                <w:tcPr>
                  <w:tcW w:w="480" w:type="pct"/>
                  <w:vAlign w:val="bottom"/>
                </w:tcPr>
                <w:p w:rsidR="00745FEA" w:rsidRPr="005C6408" w:rsidRDefault="00745FEA" w:rsidP="00745FEA">
                  <w:pPr>
                    <w:pStyle w:val="TableBodyText"/>
                    <w:spacing w:after="20"/>
                    <w:ind w:right="57"/>
                  </w:pPr>
                  <w:r w:rsidRPr="001042B0">
                    <w:t>490.9</w:t>
                  </w:r>
                </w:p>
              </w:tc>
              <w:tc>
                <w:tcPr>
                  <w:tcW w:w="480" w:type="pct"/>
                  <w:shd w:val="clear" w:color="auto" w:fill="auto"/>
                  <w:vAlign w:val="bottom"/>
                </w:tcPr>
                <w:p w:rsidR="00745FEA" w:rsidRPr="005C6408" w:rsidRDefault="00745FEA" w:rsidP="00745FEA">
                  <w:pPr>
                    <w:pStyle w:val="TableBodyText"/>
                    <w:spacing w:after="20"/>
                    <w:ind w:right="57"/>
                  </w:pPr>
                  <w:r w:rsidRPr="001042B0">
                    <w:t>483.4</w:t>
                  </w:r>
                </w:p>
              </w:tc>
              <w:tc>
                <w:tcPr>
                  <w:tcW w:w="480" w:type="pct"/>
                  <w:shd w:val="clear" w:color="auto" w:fill="auto"/>
                  <w:vAlign w:val="bottom"/>
                </w:tcPr>
                <w:p w:rsidR="00745FEA" w:rsidRPr="005C6408" w:rsidRDefault="00745FEA" w:rsidP="00745FEA">
                  <w:pPr>
                    <w:pStyle w:val="TableBodyText"/>
                    <w:spacing w:after="20"/>
                    <w:ind w:right="57"/>
                  </w:pPr>
                  <w:r w:rsidRPr="001042B0">
                    <w:t>486.3</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Non</w:t>
                  </w:r>
                  <w:r>
                    <w:noBreakHyphen/>
                  </w:r>
                  <w:r w:rsidRPr="00AB1D7C">
                    <w:t>metallic mineral products</w:t>
                  </w:r>
                </w:p>
              </w:tc>
              <w:tc>
                <w:tcPr>
                  <w:tcW w:w="480" w:type="pct"/>
                  <w:vAlign w:val="bottom"/>
                </w:tcPr>
                <w:p w:rsidR="00745FEA" w:rsidRPr="005C6408" w:rsidRDefault="00745FEA" w:rsidP="00745FEA">
                  <w:pPr>
                    <w:pStyle w:val="TableBodyText"/>
                    <w:spacing w:after="20"/>
                    <w:ind w:right="57"/>
                  </w:pPr>
                  <w:r w:rsidRPr="001042B0">
                    <w:t>258.6</w:t>
                  </w:r>
                </w:p>
              </w:tc>
              <w:tc>
                <w:tcPr>
                  <w:tcW w:w="480" w:type="pct"/>
                  <w:vAlign w:val="bottom"/>
                </w:tcPr>
                <w:p w:rsidR="00745FEA" w:rsidRPr="005C6408" w:rsidRDefault="00745FEA" w:rsidP="00745FEA">
                  <w:pPr>
                    <w:pStyle w:val="TableBodyText"/>
                    <w:spacing w:after="20"/>
                    <w:ind w:right="57"/>
                  </w:pPr>
                  <w:r w:rsidRPr="001042B0">
                    <w:t>253.0</w:t>
                  </w:r>
                </w:p>
              </w:tc>
              <w:tc>
                <w:tcPr>
                  <w:tcW w:w="480" w:type="pct"/>
                  <w:vAlign w:val="bottom"/>
                </w:tcPr>
                <w:p w:rsidR="00745FEA" w:rsidRPr="005C6408" w:rsidRDefault="00745FEA" w:rsidP="00745FEA">
                  <w:pPr>
                    <w:pStyle w:val="TableBodyText"/>
                    <w:spacing w:after="20"/>
                    <w:ind w:right="57"/>
                  </w:pPr>
                  <w:r w:rsidRPr="001042B0">
                    <w:t>257.3</w:t>
                  </w:r>
                </w:p>
              </w:tc>
              <w:tc>
                <w:tcPr>
                  <w:tcW w:w="480" w:type="pct"/>
                  <w:vAlign w:val="bottom"/>
                </w:tcPr>
                <w:p w:rsidR="00745FEA" w:rsidRPr="005C6408" w:rsidRDefault="00745FEA" w:rsidP="00745FEA">
                  <w:pPr>
                    <w:pStyle w:val="TableBodyText"/>
                    <w:spacing w:after="20"/>
                    <w:ind w:right="57"/>
                  </w:pPr>
                  <w:r w:rsidRPr="001042B0">
                    <w:t>270.4</w:t>
                  </w:r>
                </w:p>
              </w:tc>
              <w:tc>
                <w:tcPr>
                  <w:tcW w:w="480" w:type="pct"/>
                  <w:shd w:val="clear" w:color="auto" w:fill="auto"/>
                  <w:vAlign w:val="bottom"/>
                </w:tcPr>
                <w:p w:rsidR="00745FEA" w:rsidRPr="005C6408" w:rsidRDefault="00745FEA" w:rsidP="00745FEA">
                  <w:pPr>
                    <w:pStyle w:val="TableBodyText"/>
                    <w:spacing w:after="20"/>
                    <w:ind w:right="57"/>
                  </w:pPr>
                  <w:r w:rsidRPr="001042B0">
                    <w:t>272.7</w:t>
                  </w:r>
                </w:p>
              </w:tc>
              <w:tc>
                <w:tcPr>
                  <w:tcW w:w="480" w:type="pct"/>
                  <w:shd w:val="clear" w:color="auto" w:fill="auto"/>
                  <w:vAlign w:val="bottom"/>
                </w:tcPr>
                <w:p w:rsidR="00745FEA" w:rsidRPr="005C6408" w:rsidRDefault="00745FEA" w:rsidP="00745FEA">
                  <w:pPr>
                    <w:pStyle w:val="TableBodyText"/>
                    <w:spacing w:after="20"/>
                    <w:ind w:right="57"/>
                  </w:pPr>
                  <w:r w:rsidRPr="001042B0">
                    <w:t>265.9</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Metal and fabricated metal products</w:t>
                  </w:r>
                </w:p>
              </w:tc>
              <w:tc>
                <w:tcPr>
                  <w:tcW w:w="480" w:type="pct"/>
                  <w:vAlign w:val="bottom"/>
                </w:tcPr>
                <w:p w:rsidR="00745FEA" w:rsidRPr="005C6408" w:rsidRDefault="00745FEA" w:rsidP="00745FEA">
                  <w:pPr>
                    <w:pStyle w:val="TableBodyText"/>
                    <w:spacing w:after="20"/>
                    <w:ind w:right="57"/>
                  </w:pPr>
                  <w:r w:rsidRPr="001042B0">
                    <w:t>903.5</w:t>
                  </w:r>
                </w:p>
              </w:tc>
              <w:tc>
                <w:tcPr>
                  <w:tcW w:w="480" w:type="pct"/>
                  <w:vAlign w:val="bottom"/>
                </w:tcPr>
                <w:p w:rsidR="00745FEA" w:rsidRPr="005C6408" w:rsidRDefault="00745FEA" w:rsidP="00745FEA">
                  <w:pPr>
                    <w:pStyle w:val="TableBodyText"/>
                    <w:spacing w:after="20"/>
                    <w:ind w:right="57"/>
                  </w:pPr>
                  <w:r w:rsidRPr="001042B0">
                    <w:t>1127.6</w:t>
                  </w:r>
                </w:p>
              </w:tc>
              <w:tc>
                <w:tcPr>
                  <w:tcW w:w="480" w:type="pct"/>
                  <w:vAlign w:val="bottom"/>
                </w:tcPr>
                <w:p w:rsidR="00745FEA" w:rsidRPr="005C6408" w:rsidRDefault="00745FEA" w:rsidP="00745FEA">
                  <w:pPr>
                    <w:pStyle w:val="TableBodyText"/>
                    <w:spacing w:after="20"/>
                    <w:ind w:right="57"/>
                  </w:pPr>
                  <w:r w:rsidRPr="001042B0">
                    <w:t>890.1</w:t>
                  </w:r>
                </w:p>
              </w:tc>
              <w:tc>
                <w:tcPr>
                  <w:tcW w:w="480" w:type="pct"/>
                  <w:vAlign w:val="bottom"/>
                </w:tcPr>
                <w:p w:rsidR="00745FEA" w:rsidRPr="005C6408" w:rsidRDefault="00745FEA" w:rsidP="00745FEA">
                  <w:pPr>
                    <w:pStyle w:val="TableBodyText"/>
                    <w:spacing w:after="20"/>
                    <w:ind w:right="57"/>
                  </w:pPr>
                  <w:r w:rsidRPr="001042B0">
                    <w:t>911.8</w:t>
                  </w:r>
                </w:p>
              </w:tc>
              <w:tc>
                <w:tcPr>
                  <w:tcW w:w="480" w:type="pct"/>
                  <w:shd w:val="clear" w:color="auto" w:fill="auto"/>
                  <w:vAlign w:val="bottom"/>
                </w:tcPr>
                <w:p w:rsidR="00745FEA" w:rsidRPr="005C6408" w:rsidRDefault="00745FEA" w:rsidP="00745FEA">
                  <w:pPr>
                    <w:pStyle w:val="TableBodyText"/>
                    <w:spacing w:after="20"/>
                    <w:ind w:right="57"/>
                  </w:pPr>
                  <w:r w:rsidRPr="001042B0">
                    <w:t>877.9</w:t>
                  </w:r>
                </w:p>
              </w:tc>
              <w:tc>
                <w:tcPr>
                  <w:tcW w:w="480" w:type="pct"/>
                  <w:shd w:val="clear" w:color="auto" w:fill="auto"/>
                  <w:vAlign w:val="bottom"/>
                </w:tcPr>
                <w:p w:rsidR="00745FEA" w:rsidRPr="005C6408" w:rsidRDefault="00745FEA" w:rsidP="00745FEA">
                  <w:pPr>
                    <w:pStyle w:val="TableBodyText"/>
                    <w:spacing w:after="20"/>
                    <w:ind w:right="57"/>
                  </w:pPr>
                  <w:r w:rsidRPr="001042B0">
                    <w:t>877.8</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Motor vehicle</w:t>
                  </w:r>
                  <w:r>
                    <w:t>s</w:t>
                  </w:r>
                  <w:r w:rsidRPr="00AB1D7C">
                    <w:t xml:space="preserve"> and parts</w:t>
                  </w:r>
                </w:p>
              </w:tc>
              <w:tc>
                <w:tcPr>
                  <w:tcW w:w="480" w:type="pct"/>
                  <w:vAlign w:val="bottom"/>
                </w:tcPr>
                <w:p w:rsidR="00745FEA" w:rsidRPr="005C6408" w:rsidRDefault="00745FEA" w:rsidP="00745FEA">
                  <w:pPr>
                    <w:pStyle w:val="TableBodyText"/>
                    <w:spacing w:after="20"/>
                    <w:ind w:right="57"/>
                  </w:pPr>
                  <w:r w:rsidRPr="001042B0">
                    <w:t>456.2</w:t>
                  </w:r>
                </w:p>
              </w:tc>
              <w:tc>
                <w:tcPr>
                  <w:tcW w:w="480" w:type="pct"/>
                  <w:vAlign w:val="bottom"/>
                </w:tcPr>
                <w:p w:rsidR="00745FEA" w:rsidRPr="005C6408" w:rsidRDefault="00745FEA" w:rsidP="00745FEA">
                  <w:pPr>
                    <w:pStyle w:val="TableBodyText"/>
                    <w:spacing w:after="20"/>
                    <w:ind w:right="57"/>
                  </w:pPr>
                  <w:r w:rsidRPr="001042B0">
                    <w:t>292.3</w:t>
                  </w:r>
                </w:p>
              </w:tc>
              <w:tc>
                <w:tcPr>
                  <w:tcW w:w="480" w:type="pct"/>
                  <w:vAlign w:val="bottom"/>
                </w:tcPr>
                <w:p w:rsidR="00745FEA" w:rsidRPr="005C6408" w:rsidRDefault="00745FEA" w:rsidP="00745FEA">
                  <w:pPr>
                    <w:pStyle w:val="TableBodyText"/>
                    <w:spacing w:after="20"/>
                    <w:ind w:right="57"/>
                  </w:pPr>
                  <w:r w:rsidRPr="001042B0">
                    <w:t>343.6</w:t>
                  </w:r>
                </w:p>
              </w:tc>
              <w:tc>
                <w:tcPr>
                  <w:tcW w:w="480" w:type="pct"/>
                  <w:vAlign w:val="bottom"/>
                </w:tcPr>
                <w:p w:rsidR="00745FEA" w:rsidRPr="005C6408" w:rsidRDefault="00745FEA" w:rsidP="00745FEA">
                  <w:pPr>
                    <w:pStyle w:val="TableBodyText"/>
                    <w:spacing w:after="20"/>
                    <w:ind w:right="57"/>
                  </w:pPr>
                  <w:r w:rsidRPr="001042B0">
                    <w:t>311.8</w:t>
                  </w:r>
                </w:p>
              </w:tc>
              <w:tc>
                <w:tcPr>
                  <w:tcW w:w="480" w:type="pct"/>
                  <w:shd w:val="clear" w:color="auto" w:fill="auto"/>
                  <w:vAlign w:val="bottom"/>
                </w:tcPr>
                <w:p w:rsidR="00745FEA" w:rsidRPr="005C6408" w:rsidRDefault="00745FEA" w:rsidP="00745FEA">
                  <w:pPr>
                    <w:pStyle w:val="TableBodyText"/>
                    <w:spacing w:after="20"/>
                    <w:ind w:right="57"/>
                  </w:pPr>
                  <w:r w:rsidRPr="001042B0">
                    <w:t>306.6</w:t>
                  </w:r>
                </w:p>
              </w:tc>
              <w:tc>
                <w:tcPr>
                  <w:tcW w:w="480" w:type="pct"/>
                  <w:shd w:val="clear" w:color="auto" w:fill="auto"/>
                  <w:vAlign w:val="bottom"/>
                </w:tcPr>
                <w:p w:rsidR="00745FEA" w:rsidRPr="005C6408" w:rsidRDefault="00745FEA" w:rsidP="00745FEA">
                  <w:pPr>
                    <w:pStyle w:val="TableBodyText"/>
                    <w:spacing w:after="20"/>
                    <w:ind w:right="57"/>
                  </w:pPr>
                  <w:r w:rsidRPr="001042B0">
                    <w:t>292.1</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Other transport equipment</w:t>
                  </w:r>
                </w:p>
              </w:tc>
              <w:tc>
                <w:tcPr>
                  <w:tcW w:w="480" w:type="pct"/>
                  <w:vAlign w:val="bottom"/>
                </w:tcPr>
                <w:p w:rsidR="00745FEA" w:rsidRPr="005C6408" w:rsidRDefault="00745FEA" w:rsidP="00745FEA">
                  <w:pPr>
                    <w:pStyle w:val="TableBodyText"/>
                    <w:spacing w:after="20"/>
                    <w:ind w:right="57"/>
                  </w:pPr>
                  <w:r w:rsidRPr="001042B0">
                    <w:t>168.2</w:t>
                  </w:r>
                </w:p>
              </w:tc>
              <w:tc>
                <w:tcPr>
                  <w:tcW w:w="480" w:type="pct"/>
                  <w:vAlign w:val="bottom"/>
                </w:tcPr>
                <w:p w:rsidR="00745FEA" w:rsidRPr="005C6408" w:rsidRDefault="00745FEA" w:rsidP="00745FEA">
                  <w:pPr>
                    <w:pStyle w:val="TableBodyText"/>
                    <w:spacing w:after="20"/>
                    <w:ind w:right="57"/>
                  </w:pPr>
                  <w:r w:rsidRPr="001042B0">
                    <w:t>204.7</w:t>
                  </w:r>
                </w:p>
              </w:tc>
              <w:tc>
                <w:tcPr>
                  <w:tcW w:w="480" w:type="pct"/>
                  <w:vAlign w:val="bottom"/>
                </w:tcPr>
                <w:p w:rsidR="00745FEA" w:rsidRPr="005C6408" w:rsidRDefault="00745FEA" w:rsidP="00745FEA">
                  <w:pPr>
                    <w:pStyle w:val="TableBodyText"/>
                    <w:spacing w:after="20"/>
                    <w:ind w:right="57"/>
                  </w:pPr>
                  <w:r w:rsidRPr="001042B0">
                    <w:t>131.1</w:t>
                  </w:r>
                </w:p>
              </w:tc>
              <w:tc>
                <w:tcPr>
                  <w:tcW w:w="480" w:type="pct"/>
                  <w:vAlign w:val="bottom"/>
                </w:tcPr>
                <w:p w:rsidR="00745FEA" w:rsidRPr="005C6408" w:rsidRDefault="00745FEA" w:rsidP="00745FEA">
                  <w:pPr>
                    <w:pStyle w:val="TableBodyText"/>
                    <w:spacing w:after="20"/>
                    <w:ind w:right="57"/>
                  </w:pPr>
                  <w:r w:rsidRPr="001042B0">
                    <w:t>178.7</w:t>
                  </w:r>
                </w:p>
              </w:tc>
              <w:tc>
                <w:tcPr>
                  <w:tcW w:w="480" w:type="pct"/>
                  <w:shd w:val="clear" w:color="auto" w:fill="auto"/>
                  <w:vAlign w:val="bottom"/>
                </w:tcPr>
                <w:p w:rsidR="00745FEA" w:rsidRPr="005C6408" w:rsidRDefault="00745FEA" w:rsidP="00745FEA">
                  <w:pPr>
                    <w:pStyle w:val="TableBodyText"/>
                    <w:spacing w:after="20"/>
                    <w:ind w:right="57"/>
                  </w:pPr>
                  <w:r w:rsidRPr="001042B0">
                    <w:t>176.3</w:t>
                  </w:r>
                </w:p>
              </w:tc>
              <w:tc>
                <w:tcPr>
                  <w:tcW w:w="480" w:type="pct"/>
                  <w:shd w:val="clear" w:color="auto" w:fill="auto"/>
                  <w:vAlign w:val="bottom"/>
                </w:tcPr>
                <w:p w:rsidR="00745FEA" w:rsidRPr="005C6408" w:rsidRDefault="00745FEA" w:rsidP="00745FEA">
                  <w:pPr>
                    <w:pStyle w:val="TableBodyText"/>
                    <w:spacing w:after="20"/>
                    <w:ind w:right="57"/>
                  </w:pPr>
                  <w:r w:rsidRPr="001042B0">
                    <w:t>167.8</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Machinery &amp; equipment manufacturing</w:t>
                  </w:r>
                </w:p>
              </w:tc>
              <w:tc>
                <w:tcPr>
                  <w:tcW w:w="480" w:type="pct"/>
                  <w:vAlign w:val="bottom"/>
                </w:tcPr>
                <w:p w:rsidR="00745FEA" w:rsidRPr="005C6408" w:rsidRDefault="00745FEA" w:rsidP="00745FEA">
                  <w:pPr>
                    <w:pStyle w:val="TableBodyText"/>
                    <w:spacing w:after="20"/>
                    <w:ind w:right="57"/>
                  </w:pPr>
                  <w:r w:rsidRPr="001042B0">
                    <w:t>329.8</w:t>
                  </w:r>
                </w:p>
              </w:tc>
              <w:tc>
                <w:tcPr>
                  <w:tcW w:w="480" w:type="pct"/>
                  <w:vAlign w:val="bottom"/>
                </w:tcPr>
                <w:p w:rsidR="00745FEA" w:rsidRPr="005C6408" w:rsidRDefault="00745FEA" w:rsidP="00745FEA">
                  <w:pPr>
                    <w:pStyle w:val="TableBodyText"/>
                    <w:spacing w:after="20"/>
                    <w:ind w:right="57"/>
                  </w:pPr>
                  <w:r w:rsidRPr="001042B0">
                    <w:t>336.3</w:t>
                  </w:r>
                </w:p>
              </w:tc>
              <w:tc>
                <w:tcPr>
                  <w:tcW w:w="480" w:type="pct"/>
                  <w:vAlign w:val="bottom"/>
                </w:tcPr>
                <w:p w:rsidR="00745FEA" w:rsidRPr="005C6408" w:rsidRDefault="00745FEA" w:rsidP="00745FEA">
                  <w:pPr>
                    <w:pStyle w:val="TableBodyText"/>
                    <w:spacing w:after="20"/>
                    <w:ind w:right="57"/>
                  </w:pPr>
                  <w:r w:rsidRPr="001042B0">
                    <w:t>331.4</w:t>
                  </w:r>
                </w:p>
              </w:tc>
              <w:tc>
                <w:tcPr>
                  <w:tcW w:w="480" w:type="pct"/>
                  <w:vAlign w:val="bottom"/>
                </w:tcPr>
                <w:p w:rsidR="00745FEA" w:rsidRPr="005C6408" w:rsidRDefault="00745FEA" w:rsidP="00745FEA">
                  <w:pPr>
                    <w:pStyle w:val="TableBodyText"/>
                    <w:spacing w:after="20"/>
                    <w:ind w:right="57"/>
                  </w:pPr>
                  <w:r w:rsidRPr="001042B0">
                    <w:t>315.8</w:t>
                  </w:r>
                </w:p>
              </w:tc>
              <w:tc>
                <w:tcPr>
                  <w:tcW w:w="480" w:type="pct"/>
                  <w:shd w:val="clear" w:color="auto" w:fill="auto"/>
                  <w:vAlign w:val="bottom"/>
                </w:tcPr>
                <w:p w:rsidR="00745FEA" w:rsidRPr="005C6408" w:rsidRDefault="00745FEA" w:rsidP="00745FEA">
                  <w:pPr>
                    <w:pStyle w:val="TableBodyText"/>
                    <w:spacing w:after="20"/>
                    <w:ind w:right="57"/>
                  </w:pPr>
                  <w:r w:rsidRPr="001042B0">
                    <w:t>311.0</w:t>
                  </w:r>
                </w:p>
              </w:tc>
              <w:tc>
                <w:tcPr>
                  <w:tcW w:w="480" w:type="pct"/>
                  <w:shd w:val="clear" w:color="auto" w:fill="auto"/>
                  <w:vAlign w:val="bottom"/>
                </w:tcPr>
                <w:p w:rsidR="00745FEA" w:rsidRPr="005C6408" w:rsidRDefault="00745FEA" w:rsidP="00745FEA">
                  <w:pPr>
                    <w:pStyle w:val="TableBodyText"/>
                    <w:spacing w:after="20"/>
                    <w:ind w:right="57"/>
                  </w:pPr>
                  <w:r w:rsidRPr="001042B0">
                    <w:t>296.1</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Furniture and other manufacturing</w:t>
                  </w:r>
                </w:p>
              </w:tc>
              <w:tc>
                <w:tcPr>
                  <w:tcW w:w="480" w:type="pct"/>
                  <w:vAlign w:val="bottom"/>
                </w:tcPr>
                <w:p w:rsidR="00745FEA" w:rsidRPr="005C6408" w:rsidRDefault="00745FEA" w:rsidP="00745FEA">
                  <w:pPr>
                    <w:pStyle w:val="TableBodyText"/>
                    <w:spacing w:after="20"/>
                    <w:ind w:right="57"/>
                  </w:pPr>
                  <w:r w:rsidRPr="001042B0">
                    <w:t>180.9</w:t>
                  </w:r>
                </w:p>
              </w:tc>
              <w:tc>
                <w:tcPr>
                  <w:tcW w:w="480" w:type="pct"/>
                  <w:vAlign w:val="bottom"/>
                </w:tcPr>
                <w:p w:rsidR="00745FEA" w:rsidRPr="005C6408" w:rsidRDefault="00745FEA" w:rsidP="00745FEA">
                  <w:pPr>
                    <w:pStyle w:val="TableBodyText"/>
                    <w:spacing w:after="20"/>
                    <w:ind w:right="57"/>
                  </w:pPr>
                  <w:r w:rsidRPr="001042B0">
                    <w:t>159.1</w:t>
                  </w:r>
                </w:p>
              </w:tc>
              <w:tc>
                <w:tcPr>
                  <w:tcW w:w="480" w:type="pct"/>
                  <w:vAlign w:val="bottom"/>
                </w:tcPr>
                <w:p w:rsidR="00745FEA" w:rsidRPr="005C6408" w:rsidRDefault="00745FEA" w:rsidP="00745FEA">
                  <w:pPr>
                    <w:pStyle w:val="TableBodyText"/>
                    <w:spacing w:after="20"/>
                    <w:ind w:right="57"/>
                  </w:pPr>
                  <w:r w:rsidRPr="001042B0">
                    <w:t>166.3</w:t>
                  </w:r>
                </w:p>
              </w:tc>
              <w:tc>
                <w:tcPr>
                  <w:tcW w:w="480" w:type="pct"/>
                  <w:vAlign w:val="bottom"/>
                </w:tcPr>
                <w:p w:rsidR="00745FEA" w:rsidRPr="005C6408" w:rsidRDefault="00745FEA" w:rsidP="00745FEA">
                  <w:pPr>
                    <w:pStyle w:val="TableBodyText"/>
                    <w:spacing w:after="20"/>
                    <w:ind w:right="57"/>
                  </w:pPr>
                  <w:r w:rsidRPr="001042B0">
                    <w:t>175.2</w:t>
                  </w:r>
                </w:p>
              </w:tc>
              <w:tc>
                <w:tcPr>
                  <w:tcW w:w="480" w:type="pct"/>
                  <w:shd w:val="clear" w:color="auto" w:fill="auto"/>
                  <w:vAlign w:val="bottom"/>
                </w:tcPr>
                <w:p w:rsidR="00745FEA" w:rsidRPr="005C6408" w:rsidRDefault="00745FEA" w:rsidP="00745FEA">
                  <w:pPr>
                    <w:pStyle w:val="TableBodyText"/>
                    <w:spacing w:after="20"/>
                    <w:ind w:right="57"/>
                  </w:pPr>
                  <w:r w:rsidRPr="001042B0">
                    <w:t>173.1</w:t>
                  </w:r>
                </w:p>
              </w:tc>
              <w:tc>
                <w:tcPr>
                  <w:tcW w:w="480" w:type="pct"/>
                  <w:shd w:val="clear" w:color="auto" w:fill="auto"/>
                  <w:vAlign w:val="bottom"/>
                </w:tcPr>
                <w:p w:rsidR="00745FEA" w:rsidRPr="005C6408" w:rsidRDefault="00745FEA" w:rsidP="00745FEA">
                  <w:pPr>
                    <w:pStyle w:val="TableBodyText"/>
                    <w:spacing w:after="20"/>
                    <w:ind w:right="57"/>
                  </w:pPr>
                  <w:r w:rsidRPr="001042B0">
                    <w:t>165.2</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Unallocated manufacturing</w:t>
                  </w:r>
                  <w:r w:rsidRPr="00C74A79">
                    <w:rPr>
                      <w:rStyle w:val="NoteLabel"/>
                    </w:rPr>
                    <w:t>b</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shd w:val="clear" w:color="auto" w:fill="auto"/>
                  <w:vAlign w:val="bottom"/>
                </w:tcPr>
                <w:p w:rsidR="00745FEA" w:rsidRPr="005C6408" w:rsidRDefault="00745FEA" w:rsidP="00745FEA">
                  <w:pPr>
                    <w:pStyle w:val="TableBodyText"/>
                    <w:ind w:right="57"/>
                  </w:pPr>
                  <w:r w:rsidRPr="001042B0">
                    <w:t xml:space="preserve">– </w:t>
                  </w:r>
                </w:p>
              </w:tc>
              <w:tc>
                <w:tcPr>
                  <w:tcW w:w="480" w:type="pct"/>
                  <w:shd w:val="clear" w:color="auto" w:fill="auto"/>
                  <w:vAlign w:val="bottom"/>
                </w:tcPr>
                <w:p w:rsidR="00745FEA" w:rsidRPr="005C6408" w:rsidRDefault="00745FEA" w:rsidP="00745FEA">
                  <w:pPr>
                    <w:pStyle w:val="TableBodyText"/>
                    <w:ind w:right="57"/>
                  </w:pPr>
                  <w:r w:rsidRPr="001042B0">
                    <w:t xml:space="preserve">– </w:t>
                  </w:r>
                </w:p>
              </w:tc>
            </w:tr>
            <w:tr w:rsidR="00745FEA" w:rsidRPr="00CD7A2D" w:rsidTr="00745FEA">
              <w:tc>
                <w:tcPr>
                  <w:tcW w:w="2119" w:type="pct"/>
                  <w:shd w:val="clear" w:color="auto" w:fill="auto"/>
                  <w:vAlign w:val="bottom"/>
                </w:tcPr>
                <w:p w:rsidR="00745FEA" w:rsidRPr="00CD7A2D" w:rsidRDefault="00745FEA" w:rsidP="00745FEA">
                  <w:pPr>
                    <w:pStyle w:val="TableBodyText"/>
                    <w:spacing w:after="0"/>
                    <w:jc w:val="left"/>
                    <w:rPr>
                      <w:b/>
                    </w:rPr>
                  </w:pPr>
                  <w:r w:rsidRPr="00CD7A2D">
                    <w:rPr>
                      <w:b/>
                    </w:rPr>
                    <w:t>Services</w:t>
                  </w:r>
                </w:p>
              </w:tc>
              <w:tc>
                <w:tcPr>
                  <w:tcW w:w="480" w:type="pct"/>
                  <w:vAlign w:val="bottom"/>
                </w:tcPr>
                <w:p w:rsidR="00745FEA" w:rsidRPr="00CD7A2D" w:rsidRDefault="00745FEA" w:rsidP="00745FEA">
                  <w:pPr>
                    <w:pStyle w:val="TableBodyText"/>
                    <w:ind w:right="57"/>
                    <w:rPr>
                      <w:b/>
                    </w:rPr>
                  </w:pPr>
                  <w:r w:rsidRPr="00CD7A2D">
                    <w:rPr>
                      <w:b/>
                    </w:rPr>
                    <w:t>-3435.8</w:t>
                  </w:r>
                </w:p>
              </w:tc>
              <w:tc>
                <w:tcPr>
                  <w:tcW w:w="480" w:type="pct"/>
                  <w:vAlign w:val="bottom"/>
                </w:tcPr>
                <w:p w:rsidR="00745FEA" w:rsidRPr="00CD7A2D" w:rsidRDefault="00745FEA" w:rsidP="00745FEA">
                  <w:pPr>
                    <w:pStyle w:val="TableBodyText"/>
                    <w:ind w:right="57"/>
                    <w:rPr>
                      <w:b/>
                    </w:rPr>
                  </w:pPr>
                  <w:r w:rsidRPr="00CD7A2D">
                    <w:rPr>
                      <w:b/>
                    </w:rPr>
                    <w:t>-3585.9</w:t>
                  </w:r>
                </w:p>
              </w:tc>
              <w:tc>
                <w:tcPr>
                  <w:tcW w:w="480" w:type="pct"/>
                  <w:vAlign w:val="bottom"/>
                </w:tcPr>
                <w:p w:rsidR="00745FEA" w:rsidRPr="00CD7A2D" w:rsidRDefault="00745FEA" w:rsidP="00745FEA">
                  <w:pPr>
                    <w:pStyle w:val="TableBodyText"/>
                    <w:ind w:right="57"/>
                    <w:rPr>
                      <w:b/>
                    </w:rPr>
                  </w:pPr>
                  <w:r w:rsidRPr="00CD7A2D">
                    <w:rPr>
                      <w:b/>
                    </w:rPr>
                    <w:t>-3712.8</w:t>
                  </w:r>
                </w:p>
              </w:tc>
              <w:tc>
                <w:tcPr>
                  <w:tcW w:w="480" w:type="pct"/>
                  <w:vAlign w:val="bottom"/>
                </w:tcPr>
                <w:p w:rsidR="00745FEA" w:rsidRPr="00CD7A2D" w:rsidRDefault="00745FEA" w:rsidP="00745FEA">
                  <w:pPr>
                    <w:pStyle w:val="TableBodyText"/>
                    <w:ind w:right="57"/>
                    <w:rPr>
                      <w:b/>
                    </w:rPr>
                  </w:pPr>
                  <w:r w:rsidRPr="00CD7A2D">
                    <w:rPr>
                      <w:b/>
                    </w:rPr>
                    <w:t>-3737.2</w:t>
                  </w:r>
                </w:p>
              </w:tc>
              <w:tc>
                <w:tcPr>
                  <w:tcW w:w="480" w:type="pct"/>
                  <w:shd w:val="clear" w:color="auto" w:fill="auto"/>
                  <w:vAlign w:val="bottom"/>
                </w:tcPr>
                <w:p w:rsidR="00745FEA" w:rsidRPr="00CD7A2D" w:rsidRDefault="00745FEA" w:rsidP="00745FEA">
                  <w:pPr>
                    <w:pStyle w:val="TableBodyText"/>
                    <w:ind w:right="57"/>
                    <w:rPr>
                      <w:b/>
                    </w:rPr>
                  </w:pPr>
                  <w:r w:rsidRPr="00CD7A2D">
                    <w:rPr>
                      <w:b/>
                    </w:rPr>
                    <w:t>-3718.4</w:t>
                  </w:r>
                </w:p>
              </w:tc>
              <w:tc>
                <w:tcPr>
                  <w:tcW w:w="480" w:type="pct"/>
                  <w:shd w:val="clear" w:color="auto" w:fill="auto"/>
                  <w:vAlign w:val="bottom"/>
                </w:tcPr>
                <w:p w:rsidR="00745FEA" w:rsidRPr="00CD7A2D" w:rsidRDefault="00745FEA" w:rsidP="00745FEA">
                  <w:pPr>
                    <w:pStyle w:val="TableBodyText"/>
                    <w:ind w:right="57"/>
                    <w:rPr>
                      <w:b/>
                    </w:rPr>
                  </w:pPr>
                  <w:r w:rsidRPr="00CD7A2D">
                    <w:rPr>
                      <w:b/>
                    </w:rPr>
                    <w:t>-3767.6</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Electricity, gas, water &amp; waste services</w:t>
                  </w:r>
                </w:p>
              </w:tc>
              <w:tc>
                <w:tcPr>
                  <w:tcW w:w="480" w:type="pct"/>
                  <w:vAlign w:val="bottom"/>
                </w:tcPr>
                <w:p w:rsidR="00745FEA" w:rsidRPr="005C6408" w:rsidRDefault="00745FEA" w:rsidP="00745FEA">
                  <w:pPr>
                    <w:pStyle w:val="TableBodyText"/>
                    <w:spacing w:after="20"/>
                    <w:ind w:right="57"/>
                  </w:pPr>
                  <w:r w:rsidRPr="001042B0">
                    <w:t>-65.2</w:t>
                  </w:r>
                </w:p>
              </w:tc>
              <w:tc>
                <w:tcPr>
                  <w:tcW w:w="480" w:type="pct"/>
                  <w:vAlign w:val="bottom"/>
                </w:tcPr>
                <w:p w:rsidR="00745FEA" w:rsidRPr="005C6408" w:rsidRDefault="00745FEA" w:rsidP="00745FEA">
                  <w:pPr>
                    <w:pStyle w:val="TableBodyText"/>
                    <w:spacing w:after="20"/>
                    <w:ind w:right="57"/>
                  </w:pPr>
                  <w:r w:rsidRPr="001042B0">
                    <w:t>-74.0</w:t>
                  </w:r>
                </w:p>
              </w:tc>
              <w:tc>
                <w:tcPr>
                  <w:tcW w:w="480" w:type="pct"/>
                  <w:vAlign w:val="bottom"/>
                </w:tcPr>
                <w:p w:rsidR="00745FEA" w:rsidRPr="005C6408" w:rsidRDefault="00745FEA" w:rsidP="00745FEA">
                  <w:pPr>
                    <w:pStyle w:val="TableBodyText"/>
                    <w:spacing w:after="20"/>
                    <w:ind w:right="57"/>
                  </w:pPr>
                  <w:r w:rsidRPr="001042B0">
                    <w:t>-73.3</w:t>
                  </w:r>
                </w:p>
              </w:tc>
              <w:tc>
                <w:tcPr>
                  <w:tcW w:w="480" w:type="pct"/>
                  <w:vAlign w:val="bottom"/>
                </w:tcPr>
                <w:p w:rsidR="00745FEA" w:rsidRPr="005C6408" w:rsidRDefault="00745FEA" w:rsidP="00745FEA">
                  <w:pPr>
                    <w:pStyle w:val="TableBodyText"/>
                    <w:spacing w:after="20"/>
                    <w:ind w:right="57"/>
                  </w:pPr>
                  <w:r w:rsidRPr="001042B0">
                    <w:t>-70.1</w:t>
                  </w:r>
                </w:p>
              </w:tc>
              <w:tc>
                <w:tcPr>
                  <w:tcW w:w="480" w:type="pct"/>
                  <w:shd w:val="clear" w:color="auto" w:fill="auto"/>
                  <w:vAlign w:val="bottom"/>
                </w:tcPr>
                <w:p w:rsidR="00745FEA" w:rsidRPr="005C6408" w:rsidRDefault="00745FEA" w:rsidP="00745FEA">
                  <w:pPr>
                    <w:pStyle w:val="TableBodyText"/>
                    <w:spacing w:after="20"/>
                    <w:ind w:right="57"/>
                  </w:pPr>
                  <w:r w:rsidRPr="001042B0">
                    <w:t>-68.2</w:t>
                  </w:r>
                </w:p>
              </w:tc>
              <w:tc>
                <w:tcPr>
                  <w:tcW w:w="480" w:type="pct"/>
                  <w:shd w:val="clear" w:color="auto" w:fill="auto"/>
                  <w:vAlign w:val="bottom"/>
                </w:tcPr>
                <w:p w:rsidR="00745FEA" w:rsidRPr="005C6408" w:rsidRDefault="00745FEA" w:rsidP="00745FEA">
                  <w:pPr>
                    <w:pStyle w:val="TableBodyText"/>
                    <w:spacing w:after="20"/>
                    <w:ind w:right="57"/>
                  </w:pPr>
                  <w:r w:rsidRPr="001042B0">
                    <w:t>-69.9</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Construction</w:t>
                  </w:r>
                </w:p>
              </w:tc>
              <w:tc>
                <w:tcPr>
                  <w:tcW w:w="480" w:type="pct"/>
                  <w:vAlign w:val="bottom"/>
                </w:tcPr>
                <w:p w:rsidR="00745FEA" w:rsidRPr="005C6408" w:rsidRDefault="00745FEA" w:rsidP="00745FEA">
                  <w:pPr>
                    <w:pStyle w:val="TableBodyText"/>
                    <w:spacing w:after="20"/>
                    <w:ind w:right="57"/>
                  </w:pPr>
                  <w:r w:rsidRPr="001042B0">
                    <w:t>-1329.5</w:t>
                  </w:r>
                </w:p>
              </w:tc>
              <w:tc>
                <w:tcPr>
                  <w:tcW w:w="480" w:type="pct"/>
                  <w:vAlign w:val="bottom"/>
                </w:tcPr>
                <w:p w:rsidR="00745FEA" w:rsidRPr="005C6408" w:rsidRDefault="00745FEA" w:rsidP="00745FEA">
                  <w:pPr>
                    <w:pStyle w:val="TableBodyText"/>
                    <w:spacing w:after="20"/>
                    <w:ind w:right="57"/>
                  </w:pPr>
                  <w:r w:rsidRPr="001042B0">
                    <w:t>-1410.7</w:t>
                  </w:r>
                </w:p>
              </w:tc>
              <w:tc>
                <w:tcPr>
                  <w:tcW w:w="480" w:type="pct"/>
                  <w:vAlign w:val="bottom"/>
                </w:tcPr>
                <w:p w:rsidR="00745FEA" w:rsidRPr="005C6408" w:rsidRDefault="00745FEA" w:rsidP="00745FEA">
                  <w:pPr>
                    <w:pStyle w:val="TableBodyText"/>
                    <w:spacing w:after="20"/>
                    <w:ind w:right="57"/>
                  </w:pPr>
                  <w:r w:rsidRPr="001042B0">
                    <w:t>-1479.7</w:t>
                  </w:r>
                </w:p>
              </w:tc>
              <w:tc>
                <w:tcPr>
                  <w:tcW w:w="480" w:type="pct"/>
                  <w:vAlign w:val="bottom"/>
                </w:tcPr>
                <w:p w:rsidR="00745FEA" w:rsidRPr="005C6408" w:rsidRDefault="00745FEA" w:rsidP="00745FEA">
                  <w:pPr>
                    <w:pStyle w:val="TableBodyText"/>
                    <w:spacing w:after="20"/>
                    <w:ind w:right="57"/>
                  </w:pPr>
                  <w:r w:rsidRPr="001042B0">
                    <w:t>-1500.7</w:t>
                  </w:r>
                </w:p>
              </w:tc>
              <w:tc>
                <w:tcPr>
                  <w:tcW w:w="480" w:type="pct"/>
                  <w:shd w:val="clear" w:color="auto" w:fill="auto"/>
                  <w:vAlign w:val="bottom"/>
                </w:tcPr>
                <w:p w:rsidR="00745FEA" w:rsidRPr="005C6408" w:rsidRDefault="00745FEA" w:rsidP="00745FEA">
                  <w:pPr>
                    <w:pStyle w:val="TableBodyText"/>
                    <w:spacing w:after="20"/>
                    <w:ind w:right="57"/>
                  </w:pPr>
                  <w:r w:rsidRPr="001042B0">
                    <w:t>-1489.6</w:t>
                  </w:r>
                </w:p>
              </w:tc>
              <w:tc>
                <w:tcPr>
                  <w:tcW w:w="480" w:type="pct"/>
                  <w:shd w:val="clear" w:color="auto" w:fill="auto"/>
                  <w:vAlign w:val="bottom"/>
                </w:tcPr>
                <w:p w:rsidR="00745FEA" w:rsidRPr="005C6408" w:rsidRDefault="00745FEA" w:rsidP="00745FEA">
                  <w:pPr>
                    <w:pStyle w:val="TableBodyText"/>
                    <w:spacing w:after="20"/>
                    <w:ind w:right="57"/>
                  </w:pPr>
                  <w:r w:rsidRPr="001042B0">
                    <w:t>-1505.4</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Wholesale trade</w:t>
                  </w:r>
                </w:p>
              </w:tc>
              <w:tc>
                <w:tcPr>
                  <w:tcW w:w="480" w:type="pct"/>
                  <w:vAlign w:val="bottom"/>
                </w:tcPr>
                <w:p w:rsidR="00745FEA" w:rsidRPr="005C6408" w:rsidRDefault="00745FEA" w:rsidP="00745FEA">
                  <w:pPr>
                    <w:pStyle w:val="TableBodyText"/>
                    <w:spacing w:after="20"/>
                    <w:ind w:right="57"/>
                  </w:pPr>
                  <w:r w:rsidRPr="001042B0">
                    <w:t>-229.7</w:t>
                  </w:r>
                </w:p>
              </w:tc>
              <w:tc>
                <w:tcPr>
                  <w:tcW w:w="480" w:type="pct"/>
                  <w:vAlign w:val="bottom"/>
                </w:tcPr>
                <w:p w:rsidR="00745FEA" w:rsidRPr="005C6408" w:rsidRDefault="00745FEA" w:rsidP="00745FEA">
                  <w:pPr>
                    <w:pStyle w:val="TableBodyText"/>
                    <w:spacing w:after="20"/>
                    <w:ind w:right="57"/>
                  </w:pPr>
                  <w:r w:rsidRPr="001042B0">
                    <w:t>-237.6</w:t>
                  </w:r>
                </w:p>
              </w:tc>
              <w:tc>
                <w:tcPr>
                  <w:tcW w:w="480" w:type="pct"/>
                  <w:vAlign w:val="bottom"/>
                </w:tcPr>
                <w:p w:rsidR="00745FEA" w:rsidRPr="005C6408" w:rsidRDefault="00745FEA" w:rsidP="00745FEA">
                  <w:pPr>
                    <w:pStyle w:val="TableBodyText"/>
                    <w:spacing w:after="20"/>
                    <w:ind w:right="57"/>
                  </w:pPr>
                  <w:r w:rsidRPr="001042B0">
                    <w:t>-236.2</w:t>
                  </w:r>
                </w:p>
              </w:tc>
              <w:tc>
                <w:tcPr>
                  <w:tcW w:w="480" w:type="pct"/>
                  <w:vAlign w:val="bottom"/>
                </w:tcPr>
                <w:p w:rsidR="00745FEA" w:rsidRPr="005C6408" w:rsidRDefault="00745FEA" w:rsidP="00745FEA">
                  <w:pPr>
                    <w:pStyle w:val="TableBodyText"/>
                    <w:spacing w:after="20"/>
                    <w:ind w:right="57"/>
                  </w:pPr>
                  <w:r w:rsidRPr="001042B0">
                    <w:t>-228.0</w:t>
                  </w:r>
                </w:p>
              </w:tc>
              <w:tc>
                <w:tcPr>
                  <w:tcW w:w="480" w:type="pct"/>
                  <w:shd w:val="clear" w:color="auto" w:fill="auto"/>
                  <w:vAlign w:val="bottom"/>
                </w:tcPr>
                <w:p w:rsidR="00745FEA" w:rsidRPr="005C6408" w:rsidRDefault="00745FEA" w:rsidP="00745FEA">
                  <w:pPr>
                    <w:pStyle w:val="TableBodyText"/>
                    <w:spacing w:after="20"/>
                    <w:ind w:right="57"/>
                  </w:pPr>
                  <w:r w:rsidRPr="001042B0">
                    <w:t>-226.7</w:t>
                  </w:r>
                </w:p>
              </w:tc>
              <w:tc>
                <w:tcPr>
                  <w:tcW w:w="480" w:type="pct"/>
                  <w:shd w:val="clear" w:color="auto" w:fill="auto"/>
                  <w:vAlign w:val="bottom"/>
                </w:tcPr>
                <w:p w:rsidR="00745FEA" w:rsidRPr="005C6408" w:rsidRDefault="00745FEA" w:rsidP="00745FEA">
                  <w:pPr>
                    <w:pStyle w:val="TableBodyText"/>
                    <w:spacing w:after="20"/>
                    <w:ind w:right="57"/>
                  </w:pPr>
                  <w:r w:rsidRPr="001042B0">
                    <w:t>-228.9</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Retail trade</w:t>
                  </w:r>
                </w:p>
              </w:tc>
              <w:tc>
                <w:tcPr>
                  <w:tcW w:w="480" w:type="pct"/>
                  <w:vAlign w:val="bottom"/>
                </w:tcPr>
                <w:p w:rsidR="00745FEA" w:rsidRPr="005C6408" w:rsidRDefault="00745FEA" w:rsidP="00745FEA">
                  <w:pPr>
                    <w:pStyle w:val="TableBodyText"/>
                    <w:spacing w:after="20"/>
                    <w:ind w:right="57"/>
                  </w:pPr>
                  <w:r w:rsidRPr="001042B0">
                    <w:t>-138.3</w:t>
                  </w:r>
                </w:p>
              </w:tc>
              <w:tc>
                <w:tcPr>
                  <w:tcW w:w="480" w:type="pct"/>
                  <w:vAlign w:val="bottom"/>
                </w:tcPr>
                <w:p w:rsidR="00745FEA" w:rsidRPr="005C6408" w:rsidRDefault="00745FEA" w:rsidP="00745FEA">
                  <w:pPr>
                    <w:pStyle w:val="TableBodyText"/>
                    <w:spacing w:after="20"/>
                    <w:ind w:right="57"/>
                  </w:pPr>
                  <w:r w:rsidRPr="001042B0">
                    <w:t>-141.4</w:t>
                  </w:r>
                </w:p>
              </w:tc>
              <w:tc>
                <w:tcPr>
                  <w:tcW w:w="480" w:type="pct"/>
                  <w:vAlign w:val="bottom"/>
                </w:tcPr>
                <w:p w:rsidR="00745FEA" w:rsidRPr="005C6408" w:rsidRDefault="00745FEA" w:rsidP="00745FEA">
                  <w:pPr>
                    <w:pStyle w:val="TableBodyText"/>
                    <w:spacing w:after="20"/>
                    <w:ind w:right="57"/>
                  </w:pPr>
                  <w:r w:rsidRPr="001042B0">
                    <w:t>-141.9</w:t>
                  </w:r>
                </w:p>
              </w:tc>
              <w:tc>
                <w:tcPr>
                  <w:tcW w:w="480" w:type="pct"/>
                  <w:vAlign w:val="bottom"/>
                </w:tcPr>
                <w:p w:rsidR="00745FEA" w:rsidRPr="005C6408" w:rsidRDefault="00745FEA" w:rsidP="00745FEA">
                  <w:pPr>
                    <w:pStyle w:val="TableBodyText"/>
                    <w:spacing w:after="20"/>
                    <w:ind w:right="57"/>
                  </w:pPr>
                  <w:r w:rsidRPr="001042B0">
                    <w:t>-140.3</w:t>
                  </w:r>
                </w:p>
              </w:tc>
              <w:tc>
                <w:tcPr>
                  <w:tcW w:w="480" w:type="pct"/>
                  <w:shd w:val="clear" w:color="auto" w:fill="auto"/>
                  <w:vAlign w:val="bottom"/>
                </w:tcPr>
                <w:p w:rsidR="00745FEA" w:rsidRPr="005C6408" w:rsidRDefault="00745FEA" w:rsidP="00745FEA">
                  <w:pPr>
                    <w:pStyle w:val="TableBodyText"/>
                    <w:spacing w:after="20"/>
                    <w:ind w:right="57"/>
                  </w:pPr>
                  <w:r w:rsidRPr="001042B0">
                    <w:t>-142.3</w:t>
                  </w:r>
                </w:p>
              </w:tc>
              <w:tc>
                <w:tcPr>
                  <w:tcW w:w="480" w:type="pct"/>
                  <w:shd w:val="clear" w:color="auto" w:fill="auto"/>
                  <w:vAlign w:val="bottom"/>
                </w:tcPr>
                <w:p w:rsidR="00745FEA" w:rsidRPr="005C6408" w:rsidRDefault="00745FEA" w:rsidP="00745FEA">
                  <w:pPr>
                    <w:pStyle w:val="TableBodyText"/>
                    <w:spacing w:after="20"/>
                    <w:ind w:right="57"/>
                  </w:pPr>
                  <w:r w:rsidRPr="001042B0">
                    <w:t>-146.5</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Accommodation &amp; food services</w:t>
                  </w:r>
                </w:p>
              </w:tc>
              <w:tc>
                <w:tcPr>
                  <w:tcW w:w="480" w:type="pct"/>
                  <w:vAlign w:val="bottom"/>
                </w:tcPr>
                <w:p w:rsidR="00745FEA" w:rsidRPr="005C6408" w:rsidRDefault="00745FEA" w:rsidP="00745FEA">
                  <w:pPr>
                    <w:pStyle w:val="TableBodyText"/>
                    <w:spacing w:after="20"/>
                    <w:ind w:right="57"/>
                  </w:pPr>
                  <w:r w:rsidRPr="001042B0">
                    <w:t>-266.1</w:t>
                  </w:r>
                </w:p>
              </w:tc>
              <w:tc>
                <w:tcPr>
                  <w:tcW w:w="480" w:type="pct"/>
                  <w:vAlign w:val="bottom"/>
                </w:tcPr>
                <w:p w:rsidR="00745FEA" w:rsidRPr="005C6408" w:rsidRDefault="00745FEA" w:rsidP="00745FEA">
                  <w:pPr>
                    <w:pStyle w:val="TableBodyText"/>
                    <w:spacing w:after="20"/>
                    <w:ind w:right="57"/>
                  </w:pPr>
                  <w:r w:rsidRPr="001042B0">
                    <w:t>-275.1</w:t>
                  </w:r>
                </w:p>
              </w:tc>
              <w:tc>
                <w:tcPr>
                  <w:tcW w:w="480" w:type="pct"/>
                  <w:vAlign w:val="bottom"/>
                </w:tcPr>
                <w:p w:rsidR="00745FEA" w:rsidRPr="005C6408" w:rsidRDefault="00745FEA" w:rsidP="00745FEA">
                  <w:pPr>
                    <w:pStyle w:val="TableBodyText"/>
                    <w:spacing w:after="20"/>
                    <w:ind w:right="57"/>
                  </w:pPr>
                  <w:r w:rsidRPr="001042B0">
                    <w:t>-280.1</w:t>
                  </w:r>
                </w:p>
              </w:tc>
              <w:tc>
                <w:tcPr>
                  <w:tcW w:w="480" w:type="pct"/>
                  <w:vAlign w:val="bottom"/>
                </w:tcPr>
                <w:p w:rsidR="00745FEA" w:rsidRPr="005C6408" w:rsidRDefault="00745FEA" w:rsidP="00745FEA">
                  <w:pPr>
                    <w:pStyle w:val="TableBodyText"/>
                    <w:spacing w:after="20"/>
                    <w:ind w:right="57"/>
                  </w:pPr>
                  <w:r w:rsidRPr="001042B0">
                    <w:t>-292.6</w:t>
                  </w:r>
                </w:p>
              </w:tc>
              <w:tc>
                <w:tcPr>
                  <w:tcW w:w="480" w:type="pct"/>
                  <w:shd w:val="clear" w:color="auto" w:fill="auto"/>
                  <w:vAlign w:val="bottom"/>
                </w:tcPr>
                <w:p w:rsidR="00745FEA" w:rsidRPr="005C6408" w:rsidRDefault="00745FEA" w:rsidP="00745FEA">
                  <w:pPr>
                    <w:pStyle w:val="TableBodyText"/>
                    <w:spacing w:after="20"/>
                    <w:ind w:right="57"/>
                  </w:pPr>
                  <w:r w:rsidRPr="001042B0">
                    <w:t>-302.3</w:t>
                  </w:r>
                </w:p>
              </w:tc>
              <w:tc>
                <w:tcPr>
                  <w:tcW w:w="480" w:type="pct"/>
                  <w:shd w:val="clear" w:color="auto" w:fill="auto"/>
                  <w:vAlign w:val="bottom"/>
                </w:tcPr>
                <w:p w:rsidR="00745FEA" w:rsidRPr="005C6408" w:rsidRDefault="00745FEA" w:rsidP="00745FEA">
                  <w:pPr>
                    <w:pStyle w:val="TableBodyText"/>
                    <w:spacing w:after="20"/>
                    <w:ind w:right="57"/>
                  </w:pPr>
                  <w:r w:rsidRPr="001042B0">
                    <w:t>-293.4</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Transport, postal &amp; warehousing</w:t>
                  </w:r>
                </w:p>
              </w:tc>
              <w:tc>
                <w:tcPr>
                  <w:tcW w:w="480" w:type="pct"/>
                  <w:vAlign w:val="bottom"/>
                </w:tcPr>
                <w:p w:rsidR="00745FEA" w:rsidRPr="005C6408" w:rsidRDefault="00745FEA" w:rsidP="00745FEA">
                  <w:pPr>
                    <w:pStyle w:val="TableBodyText"/>
                    <w:spacing w:after="20"/>
                    <w:ind w:right="57"/>
                  </w:pPr>
                  <w:r w:rsidRPr="001042B0">
                    <w:t>-187.5</w:t>
                  </w:r>
                </w:p>
              </w:tc>
              <w:tc>
                <w:tcPr>
                  <w:tcW w:w="480" w:type="pct"/>
                  <w:vAlign w:val="bottom"/>
                </w:tcPr>
                <w:p w:rsidR="00745FEA" w:rsidRPr="005C6408" w:rsidRDefault="00745FEA" w:rsidP="00745FEA">
                  <w:pPr>
                    <w:pStyle w:val="TableBodyText"/>
                    <w:spacing w:after="20"/>
                    <w:ind w:right="57"/>
                  </w:pPr>
                  <w:r w:rsidRPr="001042B0">
                    <w:t>-196.7</w:t>
                  </w:r>
                </w:p>
              </w:tc>
              <w:tc>
                <w:tcPr>
                  <w:tcW w:w="480" w:type="pct"/>
                  <w:vAlign w:val="bottom"/>
                </w:tcPr>
                <w:p w:rsidR="00745FEA" w:rsidRPr="005C6408" w:rsidRDefault="00745FEA" w:rsidP="00745FEA">
                  <w:pPr>
                    <w:pStyle w:val="TableBodyText"/>
                    <w:spacing w:after="20"/>
                    <w:ind w:right="57"/>
                  </w:pPr>
                  <w:r w:rsidRPr="001042B0">
                    <w:t>-197.3</w:t>
                  </w:r>
                </w:p>
              </w:tc>
              <w:tc>
                <w:tcPr>
                  <w:tcW w:w="480" w:type="pct"/>
                  <w:vAlign w:val="bottom"/>
                </w:tcPr>
                <w:p w:rsidR="00745FEA" w:rsidRPr="005C6408" w:rsidRDefault="00745FEA" w:rsidP="00745FEA">
                  <w:pPr>
                    <w:pStyle w:val="TableBodyText"/>
                    <w:spacing w:after="20"/>
                    <w:ind w:right="57"/>
                  </w:pPr>
                  <w:r w:rsidRPr="001042B0">
                    <w:t>-202.3</w:t>
                  </w:r>
                </w:p>
              </w:tc>
              <w:tc>
                <w:tcPr>
                  <w:tcW w:w="480" w:type="pct"/>
                  <w:shd w:val="clear" w:color="auto" w:fill="auto"/>
                  <w:vAlign w:val="bottom"/>
                </w:tcPr>
                <w:p w:rsidR="00745FEA" w:rsidRPr="005C6408" w:rsidRDefault="00745FEA" w:rsidP="00745FEA">
                  <w:pPr>
                    <w:pStyle w:val="TableBodyText"/>
                    <w:spacing w:after="20"/>
                    <w:ind w:right="57"/>
                  </w:pPr>
                  <w:r w:rsidRPr="001042B0">
                    <w:t>-204.2</w:t>
                  </w:r>
                </w:p>
              </w:tc>
              <w:tc>
                <w:tcPr>
                  <w:tcW w:w="480" w:type="pct"/>
                  <w:shd w:val="clear" w:color="auto" w:fill="auto"/>
                  <w:vAlign w:val="bottom"/>
                </w:tcPr>
                <w:p w:rsidR="00745FEA" w:rsidRPr="005C6408" w:rsidRDefault="00745FEA" w:rsidP="00745FEA">
                  <w:pPr>
                    <w:pStyle w:val="TableBodyText"/>
                    <w:spacing w:after="20"/>
                    <w:ind w:right="57"/>
                  </w:pPr>
                  <w:r w:rsidRPr="001042B0">
                    <w:t>-203.5</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Information &amp; telecommunications</w:t>
                  </w:r>
                </w:p>
              </w:tc>
              <w:tc>
                <w:tcPr>
                  <w:tcW w:w="480" w:type="pct"/>
                  <w:vAlign w:val="bottom"/>
                </w:tcPr>
                <w:p w:rsidR="00745FEA" w:rsidRPr="005C6408" w:rsidRDefault="00745FEA" w:rsidP="00745FEA">
                  <w:pPr>
                    <w:pStyle w:val="TableBodyText"/>
                    <w:spacing w:after="20"/>
                    <w:ind w:right="57"/>
                  </w:pPr>
                  <w:r w:rsidRPr="001042B0">
                    <w:t>-71.8</w:t>
                  </w:r>
                </w:p>
              </w:tc>
              <w:tc>
                <w:tcPr>
                  <w:tcW w:w="480" w:type="pct"/>
                  <w:vAlign w:val="bottom"/>
                </w:tcPr>
                <w:p w:rsidR="00745FEA" w:rsidRPr="005C6408" w:rsidRDefault="00745FEA" w:rsidP="00745FEA">
                  <w:pPr>
                    <w:pStyle w:val="TableBodyText"/>
                    <w:spacing w:after="20"/>
                    <w:ind w:right="57"/>
                  </w:pPr>
                  <w:r w:rsidRPr="001042B0">
                    <w:t>-72.2</w:t>
                  </w:r>
                </w:p>
              </w:tc>
              <w:tc>
                <w:tcPr>
                  <w:tcW w:w="480" w:type="pct"/>
                  <w:vAlign w:val="bottom"/>
                </w:tcPr>
                <w:p w:rsidR="00745FEA" w:rsidRPr="005C6408" w:rsidRDefault="00745FEA" w:rsidP="00745FEA">
                  <w:pPr>
                    <w:pStyle w:val="TableBodyText"/>
                    <w:spacing w:after="20"/>
                    <w:ind w:right="57"/>
                  </w:pPr>
                  <w:r w:rsidRPr="001042B0">
                    <w:t>-73.3</w:t>
                  </w:r>
                </w:p>
              </w:tc>
              <w:tc>
                <w:tcPr>
                  <w:tcW w:w="480" w:type="pct"/>
                  <w:vAlign w:val="bottom"/>
                </w:tcPr>
                <w:p w:rsidR="00745FEA" w:rsidRPr="005C6408" w:rsidRDefault="00745FEA" w:rsidP="00745FEA">
                  <w:pPr>
                    <w:pStyle w:val="TableBodyText"/>
                    <w:spacing w:after="20"/>
                    <w:ind w:right="57"/>
                  </w:pPr>
                  <w:r w:rsidRPr="001042B0">
                    <w:t>-73.0</w:t>
                  </w:r>
                </w:p>
              </w:tc>
              <w:tc>
                <w:tcPr>
                  <w:tcW w:w="480" w:type="pct"/>
                  <w:shd w:val="clear" w:color="auto" w:fill="auto"/>
                  <w:vAlign w:val="bottom"/>
                </w:tcPr>
                <w:p w:rsidR="00745FEA" w:rsidRPr="005C6408" w:rsidRDefault="00745FEA" w:rsidP="00745FEA">
                  <w:pPr>
                    <w:pStyle w:val="TableBodyText"/>
                    <w:spacing w:after="20"/>
                    <w:ind w:right="57"/>
                  </w:pPr>
                  <w:r w:rsidRPr="001042B0">
                    <w:t>-71.7</w:t>
                  </w:r>
                </w:p>
              </w:tc>
              <w:tc>
                <w:tcPr>
                  <w:tcW w:w="480" w:type="pct"/>
                  <w:shd w:val="clear" w:color="auto" w:fill="auto"/>
                  <w:vAlign w:val="bottom"/>
                </w:tcPr>
                <w:p w:rsidR="00745FEA" w:rsidRPr="005C6408" w:rsidRDefault="00745FEA" w:rsidP="00745FEA">
                  <w:pPr>
                    <w:pStyle w:val="TableBodyText"/>
                    <w:spacing w:after="20"/>
                    <w:ind w:right="57"/>
                  </w:pPr>
                  <w:r w:rsidRPr="001042B0">
                    <w:t>-71.3</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Financial and insurance services</w:t>
                  </w:r>
                </w:p>
              </w:tc>
              <w:tc>
                <w:tcPr>
                  <w:tcW w:w="480" w:type="pct"/>
                  <w:vAlign w:val="bottom"/>
                </w:tcPr>
                <w:p w:rsidR="00745FEA" w:rsidRPr="005C6408" w:rsidRDefault="00745FEA" w:rsidP="00745FEA">
                  <w:pPr>
                    <w:pStyle w:val="TableBodyText"/>
                    <w:spacing w:after="20"/>
                    <w:ind w:right="57"/>
                  </w:pPr>
                  <w:r w:rsidRPr="001042B0">
                    <w:t>-12.6</w:t>
                  </w:r>
                </w:p>
              </w:tc>
              <w:tc>
                <w:tcPr>
                  <w:tcW w:w="480" w:type="pct"/>
                  <w:vAlign w:val="bottom"/>
                </w:tcPr>
                <w:p w:rsidR="00745FEA" w:rsidRPr="005C6408" w:rsidRDefault="00745FEA" w:rsidP="00745FEA">
                  <w:pPr>
                    <w:pStyle w:val="TableBodyText"/>
                    <w:spacing w:after="20"/>
                    <w:ind w:right="57"/>
                  </w:pPr>
                  <w:r w:rsidRPr="001042B0">
                    <w:t>-13.2</w:t>
                  </w:r>
                </w:p>
              </w:tc>
              <w:tc>
                <w:tcPr>
                  <w:tcW w:w="480" w:type="pct"/>
                  <w:vAlign w:val="bottom"/>
                </w:tcPr>
                <w:p w:rsidR="00745FEA" w:rsidRPr="005C6408" w:rsidRDefault="00745FEA" w:rsidP="00745FEA">
                  <w:pPr>
                    <w:pStyle w:val="TableBodyText"/>
                    <w:spacing w:after="20"/>
                    <w:ind w:right="57"/>
                  </w:pPr>
                  <w:r w:rsidRPr="001042B0">
                    <w:t>-13.8</w:t>
                  </w:r>
                </w:p>
              </w:tc>
              <w:tc>
                <w:tcPr>
                  <w:tcW w:w="480" w:type="pct"/>
                  <w:vAlign w:val="bottom"/>
                </w:tcPr>
                <w:p w:rsidR="00745FEA" w:rsidRPr="005C6408" w:rsidRDefault="00745FEA" w:rsidP="00745FEA">
                  <w:pPr>
                    <w:pStyle w:val="TableBodyText"/>
                    <w:spacing w:after="20"/>
                    <w:ind w:right="57"/>
                  </w:pPr>
                  <w:r w:rsidRPr="001042B0">
                    <w:t>-14.6</w:t>
                  </w:r>
                </w:p>
              </w:tc>
              <w:tc>
                <w:tcPr>
                  <w:tcW w:w="480" w:type="pct"/>
                  <w:shd w:val="clear" w:color="auto" w:fill="auto"/>
                  <w:vAlign w:val="bottom"/>
                </w:tcPr>
                <w:p w:rsidR="00745FEA" w:rsidRPr="005C6408" w:rsidRDefault="00745FEA" w:rsidP="00745FEA">
                  <w:pPr>
                    <w:pStyle w:val="TableBodyText"/>
                    <w:spacing w:after="20"/>
                    <w:ind w:right="57"/>
                  </w:pPr>
                  <w:r w:rsidRPr="001042B0">
                    <w:t>-15.1</w:t>
                  </w:r>
                </w:p>
              </w:tc>
              <w:tc>
                <w:tcPr>
                  <w:tcW w:w="480" w:type="pct"/>
                  <w:shd w:val="clear" w:color="auto" w:fill="auto"/>
                  <w:vAlign w:val="bottom"/>
                </w:tcPr>
                <w:p w:rsidR="00745FEA" w:rsidRPr="005C6408" w:rsidRDefault="00745FEA" w:rsidP="00745FEA">
                  <w:pPr>
                    <w:pStyle w:val="TableBodyText"/>
                    <w:spacing w:after="20"/>
                    <w:ind w:right="57"/>
                  </w:pPr>
                  <w:r w:rsidRPr="001042B0">
                    <w:t>-16.0</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Property, professional &amp; admin.</w:t>
                  </w:r>
                </w:p>
              </w:tc>
              <w:tc>
                <w:tcPr>
                  <w:tcW w:w="480" w:type="pct"/>
                  <w:vAlign w:val="bottom"/>
                </w:tcPr>
                <w:p w:rsidR="00745FEA" w:rsidRPr="005C6408" w:rsidRDefault="00745FEA" w:rsidP="00745FEA">
                  <w:pPr>
                    <w:pStyle w:val="TableBodyText"/>
                    <w:spacing w:after="20"/>
                    <w:ind w:right="57"/>
                  </w:pPr>
                  <w:r w:rsidRPr="001042B0">
                    <w:t>-340.0</w:t>
                  </w:r>
                </w:p>
              </w:tc>
              <w:tc>
                <w:tcPr>
                  <w:tcW w:w="480" w:type="pct"/>
                  <w:vAlign w:val="bottom"/>
                </w:tcPr>
                <w:p w:rsidR="00745FEA" w:rsidRPr="005C6408" w:rsidRDefault="00745FEA" w:rsidP="00745FEA">
                  <w:pPr>
                    <w:pStyle w:val="TableBodyText"/>
                    <w:spacing w:after="20"/>
                    <w:ind w:right="57"/>
                  </w:pPr>
                  <w:r w:rsidRPr="001042B0">
                    <w:t>-356.2</w:t>
                  </w:r>
                </w:p>
              </w:tc>
              <w:tc>
                <w:tcPr>
                  <w:tcW w:w="480" w:type="pct"/>
                  <w:vAlign w:val="bottom"/>
                </w:tcPr>
                <w:p w:rsidR="00745FEA" w:rsidRPr="005C6408" w:rsidRDefault="00745FEA" w:rsidP="00745FEA">
                  <w:pPr>
                    <w:pStyle w:val="TableBodyText"/>
                    <w:spacing w:after="20"/>
                    <w:ind w:right="57"/>
                  </w:pPr>
                  <w:r w:rsidRPr="001042B0">
                    <w:t>-365.3</w:t>
                  </w:r>
                </w:p>
              </w:tc>
              <w:tc>
                <w:tcPr>
                  <w:tcW w:w="480" w:type="pct"/>
                  <w:vAlign w:val="bottom"/>
                </w:tcPr>
                <w:p w:rsidR="00745FEA" w:rsidRPr="005C6408" w:rsidRDefault="00745FEA" w:rsidP="00745FEA">
                  <w:pPr>
                    <w:pStyle w:val="TableBodyText"/>
                    <w:spacing w:after="20"/>
                    <w:ind w:right="57"/>
                  </w:pPr>
                  <w:r w:rsidRPr="001042B0">
                    <w:t>-372.5</w:t>
                  </w:r>
                </w:p>
              </w:tc>
              <w:tc>
                <w:tcPr>
                  <w:tcW w:w="480" w:type="pct"/>
                  <w:shd w:val="clear" w:color="auto" w:fill="auto"/>
                  <w:vAlign w:val="bottom"/>
                </w:tcPr>
                <w:p w:rsidR="00745FEA" w:rsidRPr="005C6408" w:rsidRDefault="00745FEA" w:rsidP="00745FEA">
                  <w:pPr>
                    <w:pStyle w:val="TableBodyText"/>
                    <w:spacing w:after="20"/>
                    <w:ind w:right="57"/>
                  </w:pPr>
                  <w:r w:rsidRPr="001042B0">
                    <w:t>-375.7</w:t>
                  </w:r>
                </w:p>
              </w:tc>
              <w:tc>
                <w:tcPr>
                  <w:tcW w:w="480" w:type="pct"/>
                  <w:shd w:val="clear" w:color="auto" w:fill="auto"/>
                  <w:vAlign w:val="bottom"/>
                </w:tcPr>
                <w:p w:rsidR="00745FEA" w:rsidRPr="005C6408" w:rsidRDefault="00745FEA" w:rsidP="00745FEA">
                  <w:pPr>
                    <w:pStyle w:val="TableBodyText"/>
                    <w:spacing w:after="20"/>
                    <w:ind w:right="57"/>
                  </w:pPr>
                  <w:r w:rsidRPr="001042B0">
                    <w:t>-406.1</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Public administration and safety</w:t>
                  </w:r>
                </w:p>
              </w:tc>
              <w:tc>
                <w:tcPr>
                  <w:tcW w:w="480" w:type="pct"/>
                  <w:vAlign w:val="bottom"/>
                </w:tcPr>
                <w:p w:rsidR="00745FEA" w:rsidRPr="005C6408" w:rsidRDefault="00745FEA" w:rsidP="00745FEA">
                  <w:pPr>
                    <w:pStyle w:val="TableBodyText"/>
                    <w:spacing w:after="20"/>
                    <w:ind w:right="57"/>
                  </w:pPr>
                  <w:r w:rsidRPr="001042B0">
                    <w:t>-136.2</w:t>
                  </w:r>
                </w:p>
              </w:tc>
              <w:tc>
                <w:tcPr>
                  <w:tcW w:w="480" w:type="pct"/>
                  <w:vAlign w:val="bottom"/>
                </w:tcPr>
                <w:p w:rsidR="00745FEA" w:rsidRPr="005C6408" w:rsidRDefault="00745FEA" w:rsidP="00745FEA">
                  <w:pPr>
                    <w:pStyle w:val="TableBodyText"/>
                    <w:spacing w:after="20"/>
                    <w:ind w:right="57"/>
                  </w:pPr>
                  <w:r w:rsidRPr="001042B0">
                    <w:t>-140.4</w:t>
                  </w:r>
                </w:p>
              </w:tc>
              <w:tc>
                <w:tcPr>
                  <w:tcW w:w="480" w:type="pct"/>
                  <w:vAlign w:val="bottom"/>
                </w:tcPr>
                <w:p w:rsidR="00745FEA" w:rsidRPr="005C6408" w:rsidRDefault="00745FEA" w:rsidP="00745FEA">
                  <w:pPr>
                    <w:pStyle w:val="TableBodyText"/>
                    <w:spacing w:after="20"/>
                    <w:ind w:right="57"/>
                  </w:pPr>
                  <w:r w:rsidRPr="001042B0">
                    <w:t>-145.2</w:t>
                  </w:r>
                </w:p>
              </w:tc>
              <w:tc>
                <w:tcPr>
                  <w:tcW w:w="480" w:type="pct"/>
                  <w:vAlign w:val="bottom"/>
                </w:tcPr>
                <w:p w:rsidR="00745FEA" w:rsidRPr="005C6408" w:rsidRDefault="00745FEA" w:rsidP="00745FEA">
                  <w:pPr>
                    <w:pStyle w:val="TableBodyText"/>
                    <w:spacing w:after="20"/>
                    <w:ind w:right="57"/>
                  </w:pPr>
                  <w:r w:rsidRPr="001042B0">
                    <w:t>-140.9</w:t>
                  </w:r>
                </w:p>
              </w:tc>
              <w:tc>
                <w:tcPr>
                  <w:tcW w:w="480" w:type="pct"/>
                  <w:shd w:val="clear" w:color="auto" w:fill="auto"/>
                  <w:vAlign w:val="bottom"/>
                </w:tcPr>
                <w:p w:rsidR="00745FEA" w:rsidRPr="005C6408" w:rsidRDefault="00745FEA" w:rsidP="00745FEA">
                  <w:pPr>
                    <w:pStyle w:val="TableBodyText"/>
                    <w:spacing w:after="20"/>
                    <w:ind w:right="57"/>
                  </w:pPr>
                  <w:r w:rsidRPr="001042B0">
                    <w:t>-143.1</w:t>
                  </w:r>
                </w:p>
              </w:tc>
              <w:tc>
                <w:tcPr>
                  <w:tcW w:w="480" w:type="pct"/>
                  <w:shd w:val="clear" w:color="auto" w:fill="auto"/>
                  <w:vAlign w:val="bottom"/>
                </w:tcPr>
                <w:p w:rsidR="00745FEA" w:rsidRPr="005C6408" w:rsidRDefault="00745FEA" w:rsidP="00745FEA">
                  <w:pPr>
                    <w:pStyle w:val="TableBodyText"/>
                    <w:spacing w:after="20"/>
                    <w:ind w:right="57"/>
                  </w:pPr>
                  <w:r w:rsidRPr="001042B0">
                    <w:t>-144.9</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Education and training</w:t>
                  </w:r>
                </w:p>
              </w:tc>
              <w:tc>
                <w:tcPr>
                  <w:tcW w:w="480" w:type="pct"/>
                  <w:vAlign w:val="bottom"/>
                </w:tcPr>
                <w:p w:rsidR="00745FEA" w:rsidRPr="005C6408" w:rsidRDefault="00745FEA" w:rsidP="00745FEA">
                  <w:pPr>
                    <w:pStyle w:val="TableBodyText"/>
                    <w:spacing w:after="20"/>
                    <w:ind w:right="57"/>
                  </w:pPr>
                  <w:r w:rsidRPr="001042B0">
                    <w:t>-43.6</w:t>
                  </w:r>
                </w:p>
              </w:tc>
              <w:tc>
                <w:tcPr>
                  <w:tcW w:w="480" w:type="pct"/>
                  <w:vAlign w:val="bottom"/>
                </w:tcPr>
                <w:p w:rsidR="00745FEA" w:rsidRPr="005C6408" w:rsidRDefault="00745FEA" w:rsidP="00745FEA">
                  <w:pPr>
                    <w:pStyle w:val="TableBodyText"/>
                    <w:spacing w:after="20"/>
                    <w:ind w:right="57"/>
                  </w:pPr>
                  <w:r w:rsidRPr="001042B0">
                    <w:t>-45.7</w:t>
                  </w:r>
                </w:p>
              </w:tc>
              <w:tc>
                <w:tcPr>
                  <w:tcW w:w="480" w:type="pct"/>
                  <w:vAlign w:val="bottom"/>
                </w:tcPr>
                <w:p w:rsidR="00745FEA" w:rsidRPr="005C6408" w:rsidRDefault="00745FEA" w:rsidP="00745FEA">
                  <w:pPr>
                    <w:pStyle w:val="TableBodyText"/>
                    <w:spacing w:after="20"/>
                    <w:ind w:right="57"/>
                  </w:pPr>
                  <w:r w:rsidRPr="001042B0">
                    <w:t>-47.9</w:t>
                  </w:r>
                </w:p>
              </w:tc>
              <w:tc>
                <w:tcPr>
                  <w:tcW w:w="480" w:type="pct"/>
                  <w:vAlign w:val="bottom"/>
                </w:tcPr>
                <w:p w:rsidR="00745FEA" w:rsidRPr="005C6408" w:rsidRDefault="00745FEA" w:rsidP="00745FEA">
                  <w:pPr>
                    <w:pStyle w:val="TableBodyText"/>
                    <w:spacing w:after="20"/>
                    <w:ind w:right="57"/>
                  </w:pPr>
                  <w:r w:rsidRPr="001042B0">
                    <w:t>-48.6</w:t>
                  </w:r>
                </w:p>
              </w:tc>
              <w:tc>
                <w:tcPr>
                  <w:tcW w:w="480" w:type="pct"/>
                  <w:shd w:val="clear" w:color="auto" w:fill="auto"/>
                  <w:vAlign w:val="bottom"/>
                </w:tcPr>
                <w:p w:rsidR="00745FEA" w:rsidRPr="005C6408" w:rsidRDefault="00745FEA" w:rsidP="00745FEA">
                  <w:pPr>
                    <w:pStyle w:val="TableBodyText"/>
                    <w:spacing w:after="20"/>
                    <w:ind w:right="57"/>
                  </w:pPr>
                  <w:r w:rsidRPr="001042B0">
                    <w:t>-49.4</w:t>
                  </w:r>
                </w:p>
              </w:tc>
              <w:tc>
                <w:tcPr>
                  <w:tcW w:w="480" w:type="pct"/>
                  <w:shd w:val="clear" w:color="auto" w:fill="auto"/>
                  <w:vAlign w:val="bottom"/>
                </w:tcPr>
                <w:p w:rsidR="00745FEA" w:rsidRPr="005C6408" w:rsidRDefault="00745FEA" w:rsidP="00745FEA">
                  <w:pPr>
                    <w:pStyle w:val="TableBodyText"/>
                    <w:spacing w:after="20"/>
                    <w:ind w:right="57"/>
                  </w:pPr>
                  <w:r w:rsidRPr="001042B0">
                    <w:t>-51.5</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Health care and social assistance</w:t>
                  </w:r>
                </w:p>
              </w:tc>
              <w:tc>
                <w:tcPr>
                  <w:tcW w:w="480" w:type="pct"/>
                  <w:vAlign w:val="bottom"/>
                </w:tcPr>
                <w:p w:rsidR="00745FEA" w:rsidRPr="005C6408" w:rsidRDefault="00745FEA" w:rsidP="00745FEA">
                  <w:pPr>
                    <w:pStyle w:val="TableBodyText"/>
                    <w:spacing w:after="20"/>
                    <w:ind w:right="57"/>
                  </w:pPr>
                  <w:r w:rsidRPr="001042B0">
                    <w:t>-209.2</w:t>
                  </w:r>
                </w:p>
              </w:tc>
              <w:tc>
                <w:tcPr>
                  <w:tcW w:w="480" w:type="pct"/>
                  <w:vAlign w:val="bottom"/>
                </w:tcPr>
                <w:p w:rsidR="00745FEA" w:rsidRPr="005C6408" w:rsidRDefault="00745FEA" w:rsidP="00745FEA">
                  <w:pPr>
                    <w:pStyle w:val="TableBodyText"/>
                    <w:spacing w:after="20"/>
                    <w:ind w:right="57"/>
                  </w:pPr>
                  <w:r w:rsidRPr="001042B0">
                    <w:t>-220.7</w:t>
                  </w:r>
                </w:p>
              </w:tc>
              <w:tc>
                <w:tcPr>
                  <w:tcW w:w="480" w:type="pct"/>
                  <w:vAlign w:val="bottom"/>
                </w:tcPr>
                <w:p w:rsidR="00745FEA" w:rsidRPr="005C6408" w:rsidRDefault="00745FEA" w:rsidP="00745FEA">
                  <w:pPr>
                    <w:pStyle w:val="TableBodyText"/>
                    <w:spacing w:after="20"/>
                    <w:ind w:right="57"/>
                  </w:pPr>
                  <w:r w:rsidRPr="001042B0">
                    <w:t>-232.0</w:t>
                  </w:r>
                </w:p>
              </w:tc>
              <w:tc>
                <w:tcPr>
                  <w:tcW w:w="480" w:type="pct"/>
                  <w:vAlign w:val="bottom"/>
                </w:tcPr>
                <w:p w:rsidR="00745FEA" w:rsidRPr="005C6408" w:rsidRDefault="00745FEA" w:rsidP="00745FEA">
                  <w:pPr>
                    <w:pStyle w:val="TableBodyText"/>
                    <w:spacing w:after="20"/>
                    <w:ind w:right="57"/>
                  </w:pPr>
                  <w:r w:rsidRPr="001042B0">
                    <w:t>-228.8</w:t>
                  </w:r>
                </w:p>
              </w:tc>
              <w:tc>
                <w:tcPr>
                  <w:tcW w:w="480" w:type="pct"/>
                  <w:shd w:val="clear" w:color="auto" w:fill="auto"/>
                  <w:vAlign w:val="bottom"/>
                </w:tcPr>
                <w:p w:rsidR="00745FEA" w:rsidRPr="005C6408" w:rsidRDefault="00745FEA" w:rsidP="00745FEA">
                  <w:pPr>
                    <w:pStyle w:val="TableBodyText"/>
                    <w:spacing w:after="20"/>
                    <w:ind w:right="57"/>
                  </w:pPr>
                  <w:r w:rsidRPr="001042B0">
                    <w:t>-217.4</w:t>
                  </w:r>
                </w:p>
              </w:tc>
              <w:tc>
                <w:tcPr>
                  <w:tcW w:w="480" w:type="pct"/>
                  <w:shd w:val="clear" w:color="auto" w:fill="auto"/>
                  <w:vAlign w:val="bottom"/>
                </w:tcPr>
                <w:p w:rsidR="00745FEA" w:rsidRPr="005C6408" w:rsidRDefault="00745FEA" w:rsidP="00745FEA">
                  <w:pPr>
                    <w:pStyle w:val="TableBodyText"/>
                    <w:spacing w:after="20"/>
                    <w:ind w:right="57"/>
                  </w:pPr>
                  <w:r w:rsidRPr="001042B0">
                    <w:t>-228.5</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Arts and recreation services</w:t>
                  </w:r>
                </w:p>
              </w:tc>
              <w:tc>
                <w:tcPr>
                  <w:tcW w:w="480" w:type="pct"/>
                  <w:vAlign w:val="bottom"/>
                </w:tcPr>
                <w:p w:rsidR="00745FEA" w:rsidRPr="005C6408" w:rsidRDefault="00745FEA" w:rsidP="00745FEA">
                  <w:pPr>
                    <w:pStyle w:val="TableBodyText"/>
                    <w:spacing w:after="20"/>
                    <w:ind w:right="57"/>
                  </w:pPr>
                  <w:r w:rsidRPr="001042B0">
                    <w:t>-68.1</w:t>
                  </w:r>
                </w:p>
              </w:tc>
              <w:tc>
                <w:tcPr>
                  <w:tcW w:w="480" w:type="pct"/>
                  <w:vAlign w:val="bottom"/>
                </w:tcPr>
                <w:p w:rsidR="00745FEA" w:rsidRPr="005C6408" w:rsidRDefault="00745FEA" w:rsidP="00745FEA">
                  <w:pPr>
                    <w:pStyle w:val="TableBodyText"/>
                    <w:spacing w:after="20"/>
                    <w:ind w:right="57"/>
                  </w:pPr>
                  <w:r w:rsidRPr="001042B0">
                    <w:t>-68.4</w:t>
                  </w:r>
                </w:p>
              </w:tc>
              <w:tc>
                <w:tcPr>
                  <w:tcW w:w="480" w:type="pct"/>
                  <w:vAlign w:val="bottom"/>
                </w:tcPr>
                <w:p w:rsidR="00745FEA" w:rsidRPr="005C6408" w:rsidRDefault="00745FEA" w:rsidP="00745FEA">
                  <w:pPr>
                    <w:pStyle w:val="TableBodyText"/>
                    <w:spacing w:after="20"/>
                    <w:ind w:right="57"/>
                  </w:pPr>
                  <w:r w:rsidRPr="001042B0">
                    <w:t>-72.9</w:t>
                  </w:r>
                </w:p>
              </w:tc>
              <w:tc>
                <w:tcPr>
                  <w:tcW w:w="480" w:type="pct"/>
                  <w:vAlign w:val="bottom"/>
                </w:tcPr>
                <w:p w:rsidR="00745FEA" w:rsidRPr="005C6408" w:rsidRDefault="00745FEA" w:rsidP="00745FEA">
                  <w:pPr>
                    <w:pStyle w:val="TableBodyText"/>
                    <w:spacing w:after="20"/>
                    <w:ind w:right="57"/>
                  </w:pPr>
                  <w:r w:rsidRPr="001042B0">
                    <w:t>-74.0</w:t>
                  </w:r>
                </w:p>
              </w:tc>
              <w:tc>
                <w:tcPr>
                  <w:tcW w:w="480" w:type="pct"/>
                  <w:shd w:val="clear" w:color="auto" w:fill="auto"/>
                  <w:vAlign w:val="bottom"/>
                </w:tcPr>
                <w:p w:rsidR="00745FEA" w:rsidRPr="005C6408" w:rsidRDefault="00745FEA" w:rsidP="00745FEA">
                  <w:pPr>
                    <w:pStyle w:val="TableBodyText"/>
                    <w:spacing w:after="20"/>
                    <w:ind w:right="57"/>
                  </w:pPr>
                  <w:r w:rsidRPr="001042B0">
                    <w:t>-75.0</w:t>
                  </w:r>
                </w:p>
              </w:tc>
              <w:tc>
                <w:tcPr>
                  <w:tcW w:w="480" w:type="pct"/>
                  <w:shd w:val="clear" w:color="auto" w:fill="auto"/>
                  <w:vAlign w:val="bottom"/>
                </w:tcPr>
                <w:p w:rsidR="00745FEA" w:rsidRPr="005C6408" w:rsidRDefault="00745FEA" w:rsidP="00745FEA">
                  <w:pPr>
                    <w:pStyle w:val="TableBodyText"/>
                    <w:spacing w:after="20"/>
                    <w:ind w:right="57"/>
                  </w:pPr>
                  <w:r w:rsidRPr="001042B0">
                    <w:t>-74.7</w:t>
                  </w:r>
                </w:p>
              </w:tc>
            </w:tr>
            <w:tr w:rsidR="00745FEA" w:rsidTr="00745FEA">
              <w:tc>
                <w:tcPr>
                  <w:tcW w:w="2119" w:type="pct"/>
                  <w:shd w:val="clear" w:color="auto" w:fill="auto"/>
                  <w:vAlign w:val="center"/>
                </w:tcPr>
                <w:p w:rsidR="00745FEA" w:rsidRPr="00AB1D7C" w:rsidRDefault="00745FEA" w:rsidP="00745FEA">
                  <w:pPr>
                    <w:pStyle w:val="TableBodyText"/>
                    <w:spacing w:after="20"/>
                    <w:jc w:val="left"/>
                  </w:pPr>
                  <w:r w:rsidRPr="00AB1D7C">
                    <w:t>Other services</w:t>
                  </w:r>
                </w:p>
              </w:tc>
              <w:tc>
                <w:tcPr>
                  <w:tcW w:w="480" w:type="pct"/>
                  <w:vAlign w:val="bottom"/>
                </w:tcPr>
                <w:p w:rsidR="00745FEA" w:rsidRPr="005C6408" w:rsidRDefault="00745FEA" w:rsidP="00745FEA">
                  <w:pPr>
                    <w:pStyle w:val="TableBodyText"/>
                    <w:spacing w:after="20"/>
                    <w:ind w:right="57"/>
                  </w:pPr>
                  <w:r w:rsidRPr="001042B0">
                    <w:t>-338.0</w:t>
                  </w:r>
                </w:p>
              </w:tc>
              <w:tc>
                <w:tcPr>
                  <w:tcW w:w="480" w:type="pct"/>
                  <w:vAlign w:val="bottom"/>
                </w:tcPr>
                <w:p w:rsidR="00745FEA" w:rsidRPr="005C6408" w:rsidRDefault="00745FEA" w:rsidP="00745FEA">
                  <w:pPr>
                    <w:pStyle w:val="TableBodyText"/>
                    <w:spacing w:after="20"/>
                    <w:ind w:right="57"/>
                  </w:pPr>
                  <w:r w:rsidRPr="001042B0">
                    <w:t>-333.7</w:t>
                  </w:r>
                </w:p>
              </w:tc>
              <w:tc>
                <w:tcPr>
                  <w:tcW w:w="480" w:type="pct"/>
                  <w:vAlign w:val="bottom"/>
                </w:tcPr>
                <w:p w:rsidR="00745FEA" w:rsidRPr="005C6408" w:rsidRDefault="00745FEA" w:rsidP="00745FEA">
                  <w:pPr>
                    <w:pStyle w:val="TableBodyText"/>
                    <w:spacing w:after="20"/>
                    <w:ind w:right="57"/>
                  </w:pPr>
                  <w:r w:rsidRPr="001042B0">
                    <w:t>-353.8</w:t>
                  </w:r>
                </w:p>
              </w:tc>
              <w:tc>
                <w:tcPr>
                  <w:tcW w:w="480" w:type="pct"/>
                  <w:vAlign w:val="bottom"/>
                </w:tcPr>
                <w:p w:rsidR="00745FEA" w:rsidRPr="005C6408" w:rsidRDefault="00745FEA" w:rsidP="00745FEA">
                  <w:pPr>
                    <w:pStyle w:val="TableBodyText"/>
                    <w:spacing w:after="20"/>
                    <w:ind w:right="57"/>
                  </w:pPr>
                  <w:r w:rsidRPr="001042B0">
                    <w:t>-350.9</w:t>
                  </w:r>
                </w:p>
              </w:tc>
              <w:tc>
                <w:tcPr>
                  <w:tcW w:w="480" w:type="pct"/>
                  <w:shd w:val="clear" w:color="auto" w:fill="auto"/>
                  <w:vAlign w:val="bottom"/>
                </w:tcPr>
                <w:p w:rsidR="00745FEA" w:rsidRPr="005C6408" w:rsidRDefault="00745FEA" w:rsidP="00745FEA">
                  <w:pPr>
                    <w:pStyle w:val="TableBodyText"/>
                    <w:spacing w:after="20"/>
                    <w:ind w:right="57"/>
                  </w:pPr>
                  <w:r w:rsidRPr="001042B0">
                    <w:t>-337.6</w:t>
                  </w:r>
                </w:p>
              </w:tc>
              <w:tc>
                <w:tcPr>
                  <w:tcW w:w="480" w:type="pct"/>
                  <w:shd w:val="clear" w:color="auto" w:fill="auto"/>
                  <w:vAlign w:val="bottom"/>
                </w:tcPr>
                <w:p w:rsidR="00745FEA" w:rsidRPr="005C6408" w:rsidRDefault="00745FEA" w:rsidP="00745FEA">
                  <w:pPr>
                    <w:pStyle w:val="TableBodyText"/>
                    <w:spacing w:after="20"/>
                    <w:ind w:right="57"/>
                  </w:pPr>
                  <w:r w:rsidRPr="001042B0">
                    <w:t>-327.1</w:t>
                  </w:r>
                </w:p>
              </w:tc>
            </w:tr>
            <w:tr w:rsidR="00745FEA" w:rsidTr="00745FEA">
              <w:tc>
                <w:tcPr>
                  <w:tcW w:w="2119" w:type="pct"/>
                  <w:shd w:val="clear" w:color="auto" w:fill="auto"/>
                  <w:vAlign w:val="center"/>
                </w:tcPr>
                <w:p w:rsidR="00745FEA" w:rsidRPr="00AB1D7C" w:rsidRDefault="00745FEA" w:rsidP="00745FEA">
                  <w:pPr>
                    <w:pStyle w:val="TableBodyText"/>
                    <w:spacing w:after="0"/>
                    <w:jc w:val="left"/>
                  </w:pPr>
                  <w:r w:rsidRPr="00AB1D7C">
                    <w:t>Unallocated services</w:t>
                  </w:r>
                  <w:r w:rsidRPr="00C74A79">
                    <w:rPr>
                      <w:rStyle w:val="NoteLabel"/>
                    </w:rPr>
                    <w:t>b</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vAlign w:val="bottom"/>
                </w:tcPr>
                <w:p w:rsidR="00745FEA" w:rsidRPr="005C6408" w:rsidRDefault="00745FEA" w:rsidP="00745FEA">
                  <w:pPr>
                    <w:pStyle w:val="TableBodyText"/>
                    <w:ind w:right="57"/>
                  </w:pPr>
                  <w:r w:rsidRPr="001042B0">
                    <w:t xml:space="preserve">– </w:t>
                  </w:r>
                </w:p>
              </w:tc>
              <w:tc>
                <w:tcPr>
                  <w:tcW w:w="480" w:type="pct"/>
                  <w:shd w:val="clear" w:color="auto" w:fill="auto"/>
                  <w:vAlign w:val="bottom"/>
                </w:tcPr>
                <w:p w:rsidR="00745FEA" w:rsidRPr="005C6408" w:rsidRDefault="00745FEA" w:rsidP="00745FEA">
                  <w:pPr>
                    <w:pStyle w:val="TableBodyText"/>
                    <w:ind w:right="57"/>
                  </w:pPr>
                  <w:r w:rsidRPr="001042B0">
                    <w:t xml:space="preserve">– </w:t>
                  </w:r>
                </w:p>
              </w:tc>
              <w:tc>
                <w:tcPr>
                  <w:tcW w:w="480" w:type="pct"/>
                  <w:shd w:val="clear" w:color="auto" w:fill="auto"/>
                  <w:vAlign w:val="bottom"/>
                </w:tcPr>
                <w:p w:rsidR="00745FEA" w:rsidRPr="005C6408" w:rsidRDefault="00745FEA" w:rsidP="00745FEA">
                  <w:pPr>
                    <w:pStyle w:val="TableBodyText"/>
                    <w:ind w:right="57"/>
                  </w:pPr>
                  <w:r w:rsidRPr="001042B0">
                    <w:t xml:space="preserve">– </w:t>
                  </w:r>
                </w:p>
              </w:tc>
            </w:tr>
            <w:tr w:rsidR="00745FEA" w:rsidRPr="00CD7A2D" w:rsidTr="00745FEA">
              <w:tc>
                <w:tcPr>
                  <w:tcW w:w="2119" w:type="pct"/>
                  <w:shd w:val="clear" w:color="auto" w:fill="auto"/>
                  <w:vAlign w:val="center"/>
                </w:tcPr>
                <w:p w:rsidR="00745FEA" w:rsidRPr="00CD7A2D" w:rsidRDefault="00745FEA" w:rsidP="00745FEA">
                  <w:pPr>
                    <w:pStyle w:val="TableBodyText"/>
                    <w:spacing w:after="20"/>
                    <w:jc w:val="left"/>
                    <w:rPr>
                      <w:b/>
                    </w:rPr>
                  </w:pPr>
                  <w:r w:rsidRPr="00CD7A2D">
                    <w:rPr>
                      <w:b/>
                    </w:rPr>
                    <w:t>Unallocated other</w:t>
                  </w:r>
                  <w:r w:rsidRPr="005D59CA">
                    <w:rPr>
                      <w:rStyle w:val="NoteLabel"/>
                      <w:b w:val="0"/>
                    </w:rPr>
                    <w:t>b</w:t>
                  </w:r>
                </w:p>
              </w:tc>
              <w:tc>
                <w:tcPr>
                  <w:tcW w:w="480" w:type="pct"/>
                  <w:vAlign w:val="bottom"/>
                </w:tcPr>
                <w:p w:rsidR="00745FEA" w:rsidRPr="00CD7A2D" w:rsidRDefault="00745FEA" w:rsidP="00745FEA">
                  <w:pPr>
                    <w:pStyle w:val="TableBodyText"/>
                    <w:ind w:right="57"/>
                    <w:rPr>
                      <w:b/>
                    </w:rPr>
                  </w:pPr>
                  <w:r w:rsidRPr="00CD7A2D">
                    <w:rPr>
                      <w:b/>
                    </w:rPr>
                    <w:t xml:space="preserve">– </w:t>
                  </w:r>
                </w:p>
              </w:tc>
              <w:tc>
                <w:tcPr>
                  <w:tcW w:w="480" w:type="pct"/>
                  <w:vAlign w:val="bottom"/>
                </w:tcPr>
                <w:p w:rsidR="00745FEA" w:rsidRPr="00CD7A2D" w:rsidRDefault="00745FEA" w:rsidP="00745FEA">
                  <w:pPr>
                    <w:pStyle w:val="TableBodyText"/>
                    <w:ind w:right="57"/>
                    <w:rPr>
                      <w:b/>
                    </w:rPr>
                  </w:pPr>
                  <w:r w:rsidRPr="00CD7A2D">
                    <w:rPr>
                      <w:b/>
                    </w:rPr>
                    <w:t xml:space="preserve">– </w:t>
                  </w:r>
                </w:p>
              </w:tc>
              <w:tc>
                <w:tcPr>
                  <w:tcW w:w="480" w:type="pct"/>
                  <w:vAlign w:val="bottom"/>
                </w:tcPr>
                <w:p w:rsidR="00745FEA" w:rsidRPr="00CD7A2D" w:rsidRDefault="00745FEA" w:rsidP="00745FEA">
                  <w:pPr>
                    <w:pStyle w:val="TableBodyText"/>
                    <w:ind w:right="57"/>
                    <w:rPr>
                      <w:b/>
                    </w:rPr>
                  </w:pPr>
                  <w:r w:rsidRPr="00CD7A2D">
                    <w:rPr>
                      <w:b/>
                    </w:rPr>
                    <w:t xml:space="preserve">– </w:t>
                  </w:r>
                </w:p>
              </w:tc>
              <w:tc>
                <w:tcPr>
                  <w:tcW w:w="480" w:type="pct"/>
                  <w:vAlign w:val="bottom"/>
                </w:tcPr>
                <w:p w:rsidR="00745FEA" w:rsidRPr="00CD7A2D" w:rsidRDefault="00745FEA" w:rsidP="00745FEA">
                  <w:pPr>
                    <w:pStyle w:val="TableBodyText"/>
                    <w:ind w:right="57"/>
                    <w:rPr>
                      <w:b/>
                    </w:rPr>
                  </w:pPr>
                  <w:r w:rsidRPr="00CD7A2D">
                    <w:rPr>
                      <w:b/>
                    </w:rPr>
                    <w:t xml:space="preserve">– </w:t>
                  </w:r>
                </w:p>
              </w:tc>
              <w:tc>
                <w:tcPr>
                  <w:tcW w:w="480" w:type="pct"/>
                  <w:shd w:val="clear" w:color="auto" w:fill="auto"/>
                  <w:vAlign w:val="bottom"/>
                </w:tcPr>
                <w:p w:rsidR="00745FEA" w:rsidRPr="00CD7A2D" w:rsidRDefault="00745FEA" w:rsidP="00745FEA">
                  <w:pPr>
                    <w:pStyle w:val="TableBodyText"/>
                    <w:ind w:right="57"/>
                    <w:rPr>
                      <w:b/>
                    </w:rPr>
                  </w:pPr>
                  <w:r w:rsidRPr="00CD7A2D">
                    <w:rPr>
                      <w:b/>
                    </w:rPr>
                    <w:t xml:space="preserve">– </w:t>
                  </w:r>
                </w:p>
              </w:tc>
              <w:tc>
                <w:tcPr>
                  <w:tcW w:w="480" w:type="pct"/>
                  <w:shd w:val="clear" w:color="auto" w:fill="auto"/>
                  <w:vAlign w:val="bottom"/>
                </w:tcPr>
                <w:p w:rsidR="00745FEA" w:rsidRPr="00CD7A2D" w:rsidRDefault="00745FEA" w:rsidP="00745FEA">
                  <w:pPr>
                    <w:pStyle w:val="TableBodyText"/>
                    <w:ind w:right="57"/>
                    <w:rPr>
                      <w:b/>
                    </w:rPr>
                  </w:pPr>
                  <w:r w:rsidRPr="00CD7A2D">
                    <w:rPr>
                      <w:b/>
                    </w:rPr>
                    <w:t xml:space="preserve">– </w:t>
                  </w:r>
                </w:p>
              </w:tc>
            </w:tr>
            <w:tr w:rsidR="00745FEA" w:rsidRPr="00CD7A2D" w:rsidTr="00745FEA">
              <w:tc>
                <w:tcPr>
                  <w:tcW w:w="2119" w:type="pct"/>
                  <w:tcBorders>
                    <w:bottom w:val="single" w:sz="6" w:space="0" w:color="BFBFBF"/>
                  </w:tcBorders>
                  <w:shd w:val="clear" w:color="auto" w:fill="auto"/>
                  <w:vAlign w:val="center"/>
                </w:tcPr>
                <w:p w:rsidR="00745FEA" w:rsidRPr="00CD7A2D" w:rsidRDefault="00745FEA" w:rsidP="00745FEA">
                  <w:pPr>
                    <w:pStyle w:val="TableBodyText"/>
                    <w:jc w:val="left"/>
                    <w:rPr>
                      <w:b/>
                    </w:rPr>
                  </w:pPr>
                  <w:r w:rsidRPr="00CD7A2D">
                    <w:rPr>
                      <w:b/>
                    </w:rPr>
                    <w:t>Total</w:t>
                  </w:r>
                </w:p>
              </w:tc>
              <w:tc>
                <w:tcPr>
                  <w:tcW w:w="480" w:type="pct"/>
                  <w:tcBorders>
                    <w:bottom w:val="single" w:sz="6" w:space="0" w:color="BFBFBF"/>
                  </w:tcBorders>
                  <w:vAlign w:val="bottom"/>
                </w:tcPr>
                <w:p w:rsidR="00745FEA" w:rsidRPr="00CD7A2D" w:rsidRDefault="00745FEA" w:rsidP="00745FEA">
                  <w:pPr>
                    <w:pStyle w:val="TableBodyText"/>
                    <w:ind w:right="57"/>
                    <w:rPr>
                      <w:b/>
                    </w:rPr>
                  </w:pPr>
                  <w:r w:rsidRPr="00CD7A2D">
                    <w:rPr>
                      <w:b/>
                    </w:rPr>
                    <w:t>1610.5</w:t>
                  </w:r>
                </w:p>
              </w:tc>
              <w:tc>
                <w:tcPr>
                  <w:tcW w:w="480" w:type="pct"/>
                  <w:tcBorders>
                    <w:bottom w:val="single" w:sz="6" w:space="0" w:color="BFBFBF"/>
                  </w:tcBorders>
                  <w:vAlign w:val="bottom"/>
                </w:tcPr>
                <w:p w:rsidR="00745FEA" w:rsidRPr="00CD7A2D" w:rsidRDefault="00745FEA" w:rsidP="00745FEA">
                  <w:pPr>
                    <w:pStyle w:val="TableBodyText"/>
                    <w:ind w:right="57"/>
                    <w:rPr>
                      <w:b/>
                    </w:rPr>
                  </w:pPr>
                  <w:r w:rsidRPr="00CD7A2D">
                    <w:rPr>
                      <w:b/>
                    </w:rPr>
                    <w:t>1444.7</w:t>
                  </w:r>
                </w:p>
              </w:tc>
              <w:tc>
                <w:tcPr>
                  <w:tcW w:w="480" w:type="pct"/>
                  <w:tcBorders>
                    <w:bottom w:val="single" w:sz="6" w:space="0" w:color="BFBFBF"/>
                  </w:tcBorders>
                  <w:vAlign w:val="bottom"/>
                </w:tcPr>
                <w:p w:rsidR="00745FEA" w:rsidRPr="00CD7A2D" w:rsidRDefault="00745FEA" w:rsidP="00745FEA">
                  <w:pPr>
                    <w:pStyle w:val="TableBodyText"/>
                    <w:ind w:right="57"/>
                    <w:rPr>
                      <w:b/>
                    </w:rPr>
                  </w:pPr>
                  <w:r w:rsidRPr="00CD7A2D">
                    <w:rPr>
                      <w:b/>
                    </w:rPr>
                    <w:t>886.9</w:t>
                  </w:r>
                </w:p>
              </w:tc>
              <w:tc>
                <w:tcPr>
                  <w:tcW w:w="480" w:type="pct"/>
                  <w:tcBorders>
                    <w:bottom w:val="single" w:sz="6" w:space="0" w:color="BFBFBF"/>
                  </w:tcBorders>
                  <w:vAlign w:val="bottom"/>
                </w:tcPr>
                <w:p w:rsidR="00745FEA" w:rsidRPr="00CD7A2D" w:rsidRDefault="00745FEA" w:rsidP="00745FEA">
                  <w:pPr>
                    <w:pStyle w:val="TableBodyText"/>
                    <w:ind w:right="57"/>
                    <w:rPr>
                      <w:b/>
                    </w:rPr>
                  </w:pPr>
                  <w:r w:rsidRPr="00CD7A2D">
                    <w:rPr>
                      <w:b/>
                    </w:rPr>
                    <w:t>915.6</w:t>
                  </w:r>
                </w:p>
              </w:tc>
              <w:tc>
                <w:tcPr>
                  <w:tcW w:w="480" w:type="pct"/>
                  <w:tcBorders>
                    <w:bottom w:val="single" w:sz="6" w:space="0" w:color="BFBFBF"/>
                  </w:tcBorders>
                  <w:shd w:val="clear" w:color="auto" w:fill="auto"/>
                  <w:vAlign w:val="bottom"/>
                </w:tcPr>
                <w:p w:rsidR="00745FEA" w:rsidRPr="00CD7A2D" w:rsidRDefault="00745FEA" w:rsidP="00745FEA">
                  <w:pPr>
                    <w:pStyle w:val="TableBodyText"/>
                    <w:ind w:right="57"/>
                    <w:rPr>
                      <w:b/>
                    </w:rPr>
                  </w:pPr>
                  <w:r w:rsidRPr="00CD7A2D">
                    <w:rPr>
                      <w:b/>
                    </w:rPr>
                    <w:t>859.1</w:t>
                  </w:r>
                </w:p>
              </w:tc>
              <w:tc>
                <w:tcPr>
                  <w:tcW w:w="480" w:type="pct"/>
                  <w:tcBorders>
                    <w:bottom w:val="single" w:sz="6" w:space="0" w:color="BFBFBF"/>
                  </w:tcBorders>
                  <w:shd w:val="clear" w:color="auto" w:fill="auto"/>
                  <w:vAlign w:val="bottom"/>
                </w:tcPr>
                <w:p w:rsidR="00745FEA" w:rsidRPr="00CD7A2D" w:rsidRDefault="00745FEA" w:rsidP="00745FEA">
                  <w:pPr>
                    <w:pStyle w:val="TableBodyText"/>
                    <w:ind w:right="57"/>
                    <w:rPr>
                      <w:b/>
                    </w:rPr>
                  </w:pPr>
                  <w:r w:rsidRPr="00CD7A2D">
                    <w:rPr>
                      <w:b/>
                    </w:rPr>
                    <w:t>864.6</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rPr>
                <w:rStyle w:val="NoteLabel"/>
              </w:rPr>
              <w:t> </w:t>
            </w:r>
            <w:r w:rsidRPr="00C74A79">
              <w:t>Tariff assistance estimates are derived using ABS Industry Gross Value Added and other supporting data.</w:t>
            </w:r>
            <w:r>
              <w:t xml:space="preserve"> </w:t>
            </w:r>
            <w:r>
              <w:rPr>
                <w:rStyle w:val="NoteLabel"/>
              </w:rPr>
              <w:t>b </w:t>
            </w:r>
            <w:r w:rsidRPr="00C74A79">
              <w:t>Unallocated includes budgetary measures where details of beneficiaries are unknown. These categories are not applicable for tariff assistance.</w:t>
            </w:r>
            <w:r>
              <w:t xml:space="preserve"> </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spacing w:before="60"/>
            </w:pPr>
            <w:r>
              <w:rPr>
                <w:i/>
              </w:rPr>
              <w:t>Source</w:t>
            </w:r>
            <w:r w:rsidRPr="00167F06">
              <w:t xml:space="preserve">: </w:t>
            </w:r>
            <w:r>
              <w:t xml:space="preserve">Commission estimates. </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keepNext w:val="0"/>
              <w:spacing w:before="0" w:line="120" w:lineRule="exact"/>
            </w:pPr>
          </w:p>
        </w:tc>
      </w:tr>
    </w:tbl>
    <w:p w:rsidR="00BA33CF" w:rsidRDefault="00BA33CF" w:rsidP="00BA33C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9C28CC">
        <w:trPr>
          <w:tblHeader/>
        </w:trPr>
        <w:tc>
          <w:tcPr>
            <w:tcW w:w="5000" w:type="pct"/>
            <w:tcBorders>
              <w:top w:val="single" w:sz="6" w:space="0" w:color="78A22F"/>
              <w:left w:val="nil"/>
              <w:bottom w:val="nil"/>
              <w:right w:val="nil"/>
            </w:tcBorders>
            <w:shd w:val="clear" w:color="auto" w:fill="auto"/>
          </w:tcPr>
          <w:p w:rsidR="00745FEA" w:rsidRPr="00745FEA" w:rsidRDefault="00745FEA" w:rsidP="00745FEA">
            <w:pPr>
              <w:pStyle w:val="TableTitle"/>
              <w:ind w:left="1304" w:hanging="1304"/>
              <w:rPr>
                <w:spacing w:val="-2"/>
              </w:rPr>
            </w:pPr>
            <w:r>
              <w:rPr>
                <w:b w:val="0"/>
              </w:rPr>
              <w:t>Table A.</w:t>
            </w:r>
            <w:r>
              <w:rPr>
                <w:b w:val="0"/>
                <w:noProof/>
              </w:rPr>
              <w:t>2</w:t>
            </w:r>
            <w:r>
              <w:tab/>
            </w:r>
            <w:r w:rsidRPr="00745FEA">
              <w:rPr>
                <w:rFonts w:ascii="Arial Bold" w:hAnsi="Arial Bold"/>
                <w:spacing w:val="-2"/>
              </w:rPr>
              <w:t>Budgetary assistance by industry grouping, 2011</w:t>
            </w:r>
            <w:r w:rsidRPr="00745FEA">
              <w:rPr>
                <w:rFonts w:ascii="Arial Bold" w:hAnsi="Arial Bold"/>
                <w:spacing w:val="-2"/>
              </w:rPr>
              <w:noBreakHyphen/>
              <w:t>12 to 2016</w:t>
            </w:r>
            <w:r w:rsidRPr="00745FEA">
              <w:rPr>
                <w:rFonts w:ascii="Arial Bold" w:hAnsi="Arial Bold"/>
                <w:spacing w:val="-2"/>
              </w:rPr>
              <w:noBreakHyphen/>
              <w:t>17</w:t>
            </w:r>
          </w:p>
          <w:p w:rsidR="00745FEA" w:rsidRPr="00784A05" w:rsidRDefault="00745FEA" w:rsidP="00745FEA">
            <w:pPr>
              <w:pStyle w:val="Subtitle"/>
              <w:ind w:left="1304"/>
            </w:pPr>
            <w:r>
              <w:t>$ million (nominal)</w:t>
            </w:r>
          </w:p>
        </w:tc>
      </w:tr>
      <w:tr w:rsidR="00745FEA" w:rsidTr="00745FEA">
        <w:trPr>
          <w:cantSplit/>
        </w:trPr>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237"/>
              <w:gridCol w:w="878"/>
              <w:gridCol w:w="878"/>
              <w:gridCol w:w="880"/>
              <w:gridCol w:w="878"/>
              <w:gridCol w:w="878"/>
              <w:gridCol w:w="878"/>
            </w:tblGrid>
            <w:tr w:rsidR="00745FEA" w:rsidRPr="002B6A72" w:rsidTr="009C28CC">
              <w:trPr>
                <w:tblHeader/>
              </w:trPr>
              <w:tc>
                <w:tcPr>
                  <w:tcW w:w="1903" w:type="pct"/>
                  <w:tcBorders>
                    <w:top w:val="single" w:sz="6" w:space="0" w:color="BFBFBF"/>
                    <w:bottom w:val="single" w:sz="6" w:space="0" w:color="BFBFBF"/>
                  </w:tcBorders>
                  <w:shd w:val="clear" w:color="auto" w:fill="auto"/>
                  <w:tcMar>
                    <w:top w:w="28" w:type="dxa"/>
                  </w:tcMar>
                </w:tcPr>
                <w:p w:rsidR="00745FEA" w:rsidRPr="002B6A72" w:rsidRDefault="00745FEA" w:rsidP="00745FEA">
                  <w:pPr>
                    <w:pStyle w:val="TableColumnHeading"/>
                    <w:jc w:val="left"/>
                    <w:rPr>
                      <w:szCs w:val="18"/>
                    </w:rPr>
                  </w:pPr>
                  <w:r w:rsidRPr="002B6A72">
                    <w:rPr>
                      <w:szCs w:val="18"/>
                    </w:rPr>
                    <w:t>Industry grouping</w:t>
                  </w:r>
                </w:p>
              </w:tc>
              <w:tc>
                <w:tcPr>
                  <w:tcW w:w="51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51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51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51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51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51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F4344E" w:rsidTr="00745FEA">
              <w:tc>
                <w:tcPr>
                  <w:tcW w:w="1903" w:type="pct"/>
                  <w:tcBorders>
                    <w:top w:val="single" w:sz="6" w:space="0" w:color="BFBFBF"/>
                  </w:tcBorders>
                  <w:vAlign w:val="bottom"/>
                </w:tcPr>
                <w:p w:rsidR="00745FEA" w:rsidRPr="00F4344E" w:rsidRDefault="00745FEA" w:rsidP="00745FEA">
                  <w:pPr>
                    <w:pStyle w:val="TableBodyText"/>
                    <w:jc w:val="left"/>
                    <w:rPr>
                      <w:b/>
                    </w:rPr>
                  </w:pPr>
                  <w:r w:rsidRPr="00F4344E">
                    <w:rPr>
                      <w:b/>
                    </w:rPr>
                    <w:t>Primary production</w:t>
                  </w:r>
                </w:p>
              </w:tc>
              <w:tc>
                <w:tcPr>
                  <w:tcW w:w="516" w:type="pct"/>
                  <w:tcBorders>
                    <w:top w:val="single" w:sz="6" w:space="0" w:color="BFBFBF"/>
                  </w:tcBorders>
                  <w:vAlign w:val="bottom"/>
                </w:tcPr>
                <w:p w:rsidR="00745FEA" w:rsidRPr="00F4344E" w:rsidRDefault="00745FEA" w:rsidP="00745FEA">
                  <w:pPr>
                    <w:pStyle w:val="TableBodyText"/>
                    <w:ind w:right="57"/>
                    <w:rPr>
                      <w:b/>
                    </w:rPr>
                  </w:pPr>
                  <w:r w:rsidRPr="00F4344E">
                    <w:rPr>
                      <w:b/>
                    </w:rPr>
                    <w:t>1553.1</w:t>
                  </w:r>
                </w:p>
              </w:tc>
              <w:tc>
                <w:tcPr>
                  <w:tcW w:w="516" w:type="pct"/>
                  <w:tcBorders>
                    <w:top w:val="single" w:sz="6" w:space="0" w:color="BFBFBF"/>
                  </w:tcBorders>
                  <w:vAlign w:val="bottom"/>
                </w:tcPr>
                <w:p w:rsidR="00745FEA" w:rsidRPr="00F4344E" w:rsidRDefault="00745FEA" w:rsidP="00745FEA">
                  <w:pPr>
                    <w:pStyle w:val="TableBodyText"/>
                    <w:ind w:right="57"/>
                    <w:rPr>
                      <w:b/>
                    </w:rPr>
                  </w:pPr>
                  <w:r w:rsidRPr="00F4344E">
                    <w:rPr>
                      <w:b/>
                    </w:rPr>
                    <w:t>1243.6</w:t>
                  </w:r>
                </w:p>
              </w:tc>
              <w:tc>
                <w:tcPr>
                  <w:tcW w:w="517" w:type="pct"/>
                  <w:tcBorders>
                    <w:top w:val="single" w:sz="6" w:space="0" w:color="BFBFBF"/>
                  </w:tcBorders>
                  <w:vAlign w:val="bottom"/>
                </w:tcPr>
                <w:p w:rsidR="00745FEA" w:rsidRPr="00F4344E" w:rsidRDefault="00745FEA" w:rsidP="00745FEA">
                  <w:pPr>
                    <w:pStyle w:val="TableBodyText"/>
                    <w:ind w:right="57"/>
                    <w:rPr>
                      <w:b/>
                    </w:rPr>
                  </w:pPr>
                  <w:r w:rsidRPr="00F4344E">
                    <w:rPr>
                      <w:b/>
                    </w:rPr>
                    <w:t>1300.8</w:t>
                  </w:r>
                </w:p>
              </w:tc>
              <w:tc>
                <w:tcPr>
                  <w:tcW w:w="516" w:type="pct"/>
                  <w:tcBorders>
                    <w:top w:val="single" w:sz="6" w:space="0" w:color="BFBFBF"/>
                  </w:tcBorders>
                  <w:vAlign w:val="bottom"/>
                </w:tcPr>
                <w:p w:rsidR="00745FEA" w:rsidRPr="00F4344E" w:rsidRDefault="00745FEA" w:rsidP="00745FEA">
                  <w:pPr>
                    <w:pStyle w:val="TableBodyText"/>
                    <w:ind w:right="57"/>
                    <w:rPr>
                      <w:b/>
                    </w:rPr>
                  </w:pPr>
                  <w:r w:rsidRPr="00F4344E">
                    <w:rPr>
                      <w:b/>
                    </w:rPr>
                    <w:t>1372.3</w:t>
                  </w:r>
                </w:p>
              </w:tc>
              <w:tc>
                <w:tcPr>
                  <w:tcW w:w="516" w:type="pct"/>
                  <w:tcBorders>
                    <w:top w:val="single" w:sz="6" w:space="0" w:color="BFBFBF"/>
                  </w:tcBorders>
                  <w:vAlign w:val="bottom"/>
                </w:tcPr>
                <w:p w:rsidR="00745FEA" w:rsidRPr="00F4344E" w:rsidRDefault="00745FEA" w:rsidP="00745FEA">
                  <w:pPr>
                    <w:pStyle w:val="TableBodyText"/>
                    <w:ind w:right="57"/>
                    <w:rPr>
                      <w:b/>
                    </w:rPr>
                  </w:pPr>
                  <w:r w:rsidRPr="00F4344E">
                    <w:rPr>
                      <w:b/>
                    </w:rPr>
                    <w:t>1374.3</w:t>
                  </w:r>
                </w:p>
              </w:tc>
              <w:tc>
                <w:tcPr>
                  <w:tcW w:w="516" w:type="pct"/>
                  <w:tcBorders>
                    <w:top w:val="single" w:sz="6" w:space="0" w:color="BFBFBF"/>
                  </w:tcBorders>
                  <w:vAlign w:val="bottom"/>
                </w:tcPr>
                <w:p w:rsidR="00745FEA" w:rsidRPr="00F4344E" w:rsidRDefault="00745FEA" w:rsidP="00745FEA">
                  <w:pPr>
                    <w:pStyle w:val="TableBodyText"/>
                    <w:ind w:right="57"/>
                    <w:rPr>
                      <w:b/>
                    </w:rPr>
                  </w:pPr>
                  <w:r w:rsidRPr="00F4344E">
                    <w:rPr>
                      <w:b/>
                    </w:rPr>
                    <w:t>1639.8</w:t>
                  </w:r>
                </w:p>
              </w:tc>
            </w:tr>
            <w:tr w:rsidR="00745FEA" w:rsidRPr="002B6A72" w:rsidTr="00745FEA">
              <w:tc>
                <w:tcPr>
                  <w:tcW w:w="1903" w:type="pct"/>
                  <w:vAlign w:val="center"/>
                </w:tcPr>
                <w:p w:rsidR="00745FEA" w:rsidRPr="002B6A72" w:rsidRDefault="00745FEA" w:rsidP="00745FEA">
                  <w:pPr>
                    <w:pStyle w:val="TableBodyText"/>
                    <w:spacing w:after="20"/>
                    <w:jc w:val="left"/>
                  </w:pPr>
                  <w:r w:rsidRPr="002B6A72">
                    <w:t>Horticulture and fruit growing</w:t>
                  </w:r>
                </w:p>
              </w:tc>
              <w:tc>
                <w:tcPr>
                  <w:tcW w:w="516" w:type="pct"/>
                  <w:vAlign w:val="bottom"/>
                </w:tcPr>
                <w:p w:rsidR="00745FEA" w:rsidRPr="00857C3C" w:rsidRDefault="00745FEA" w:rsidP="00745FEA">
                  <w:pPr>
                    <w:pStyle w:val="TableBodyText"/>
                    <w:spacing w:after="20"/>
                    <w:ind w:right="57"/>
                  </w:pPr>
                  <w:r w:rsidRPr="00F73322">
                    <w:t>136.3</w:t>
                  </w:r>
                </w:p>
              </w:tc>
              <w:tc>
                <w:tcPr>
                  <w:tcW w:w="516" w:type="pct"/>
                  <w:vAlign w:val="bottom"/>
                </w:tcPr>
                <w:p w:rsidR="00745FEA" w:rsidRPr="00857C3C" w:rsidRDefault="00745FEA" w:rsidP="00745FEA">
                  <w:pPr>
                    <w:pStyle w:val="TableBodyText"/>
                    <w:spacing w:after="20"/>
                    <w:ind w:right="57"/>
                  </w:pPr>
                  <w:r w:rsidRPr="00F73322">
                    <w:t>130.3</w:t>
                  </w:r>
                </w:p>
              </w:tc>
              <w:tc>
                <w:tcPr>
                  <w:tcW w:w="517" w:type="pct"/>
                  <w:vAlign w:val="bottom"/>
                </w:tcPr>
                <w:p w:rsidR="00745FEA" w:rsidRPr="00857C3C" w:rsidRDefault="00745FEA" w:rsidP="00745FEA">
                  <w:pPr>
                    <w:pStyle w:val="TableBodyText"/>
                    <w:spacing w:after="20"/>
                    <w:ind w:right="57"/>
                  </w:pPr>
                  <w:r w:rsidRPr="00F73322">
                    <w:t>131.5</w:t>
                  </w:r>
                </w:p>
              </w:tc>
              <w:tc>
                <w:tcPr>
                  <w:tcW w:w="516" w:type="pct"/>
                  <w:vAlign w:val="bottom"/>
                </w:tcPr>
                <w:p w:rsidR="00745FEA" w:rsidRPr="00857C3C" w:rsidRDefault="00745FEA" w:rsidP="00745FEA">
                  <w:pPr>
                    <w:pStyle w:val="TableBodyText"/>
                    <w:spacing w:after="20"/>
                    <w:ind w:right="57"/>
                  </w:pPr>
                  <w:r w:rsidRPr="00F73322">
                    <w:t>126.0</w:t>
                  </w:r>
                </w:p>
              </w:tc>
              <w:tc>
                <w:tcPr>
                  <w:tcW w:w="516" w:type="pct"/>
                  <w:vAlign w:val="bottom"/>
                </w:tcPr>
                <w:p w:rsidR="00745FEA" w:rsidRPr="00857C3C" w:rsidRDefault="00745FEA" w:rsidP="00745FEA">
                  <w:pPr>
                    <w:pStyle w:val="TableBodyText"/>
                    <w:spacing w:after="20"/>
                    <w:ind w:right="57"/>
                  </w:pPr>
                  <w:r w:rsidRPr="00F73322">
                    <w:t>146.1</w:t>
                  </w:r>
                </w:p>
              </w:tc>
              <w:tc>
                <w:tcPr>
                  <w:tcW w:w="516" w:type="pct"/>
                  <w:vAlign w:val="bottom"/>
                </w:tcPr>
                <w:p w:rsidR="00745FEA" w:rsidRPr="00B81566" w:rsidRDefault="00745FEA" w:rsidP="00745FEA">
                  <w:pPr>
                    <w:pStyle w:val="TableBodyText"/>
                    <w:spacing w:after="20"/>
                    <w:ind w:right="57"/>
                  </w:pPr>
                  <w:r w:rsidRPr="00F73322">
                    <w:t>175.1</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Sheep, beef cattle and grain farming</w:t>
                  </w:r>
                </w:p>
              </w:tc>
              <w:tc>
                <w:tcPr>
                  <w:tcW w:w="516" w:type="pct"/>
                  <w:vAlign w:val="bottom"/>
                </w:tcPr>
                <w:p w:rsidR="00745FEA" w:rsidRPr="00857C3C" w:rsidRDefault="00745FEA" w:rsidP="00745FEA">
                  <w:pPr>
                    <w:pStyle w:val="TableBodyText"/>
                    <w:spacing w:after="20"/>
                    <w:ind w:right="57"/>
                  </w:pPr>
                  <w:r w:rsidRPr="00F73322">
                    <w:t>662.7</w:t>
                  </w:r>
                </w:p>
              </w:tc>
              <w:tc>
                <w:tcPr>
                  <w:tcW w:w="516" w:type="pct"/>
                  <w:vAlign w:val="bottom"/>
                </w:tcPr>
                <w:p w:rsidR="00745FEA" w:rsidRPr="00857C3C" w:rsidRDefault="00745FEA" w:rsidP="00745FEA">
                  <w:pPr>
                    <w:pStyle w:val="TableBodyText"/>
                    <w:spacing w:after="20"/>
                    <w:ind w:right="57"/>
                  </w:pPr>
                  <w:r w:rsidRPr="00F73322">
                    <w:t>526.2</w:t>
                  </w:r>
                </w:p>
              </w:tc>
              <w:tc>
                <w:tcPr>
                  <w:tcW w:w="517" w:type="pct"/>
                  <w:vAlign w:val="bottom"/>
                </w:tcPr>
                <w:p w:rsidR="00745FEA" w:rsidRPr="00857C3C" w:rsidRDefault="00745FEA" w:rsidP="00745FEA">
                  <w:pPr>
                    <w:pStyle w:val="TableBodyText"/>
                    <w:spacing w:after="20"/>
                    <w:ind w:right="57"/>
                  </w:pPr>
                  <w:r w:rsidRPr="00F73322">
                    <w:t>606.5</w:t>
                  </w:r>
                </w:p>
              </w:tc>
              <w:tc>
                <w:tcPr>
                  <w:tcW w:w="516" w:type="pct"/>
                  <w:vAlign w:val="bottom"/>
                </w:tcPr>
                <w:p w:rsidR="00745FEA" w:rsidRPr="00857C3C" w:rsidRDefault="00745FEA" w:rsidP="00745FEA">
                  <w:pPr>
                    <w:pStyle w:val="TableBodyText"/>
                    <w:spacing w:after="20"/>
                    <w:ind w:right="57"/>
                  </w:pPr>
                  <w:r w:rsidRPr="00F73322">
                    <w:t>603.9</w:t>
                  </w:r>
                </w:p>
              </w:tc>
              <w:tc>
                <w:tcPr>
                  <w:tcW w:w="516" w:type="pct"/>
                  <w:shd w:val="clear" w:color="auto" w:fill="auto"/>
                  <w:vAlign w:val="bottom"/>
                </w:tcPr>
                <w:p w:rsidR="00745FEA" w:rsidRPr="00857C3C" w:rsidRDefault="00745FEA" w:rsidP="00745FEA">
                  <w:pPr>
                    <w:pStyle w:val="TableBodyText"/>
                    <w:spacing w:after="20"/>
                    <w:ind w:right="57"/>
                  </w:pPr>
                  <w:r w:rsidRPr="00F73322">
                    <w:t>632.0</w:t>
                  </w:r>
                </w:p>
              </w:tc>
              <w:tc>
                <w:tcPr>
                  <w:tcW w:w="516" w:type="pct"/>
                  <w:shd w:val="clear" w:color="auto" w:fill="auto"/>
                  <w:vAlign w:val="bottom"/>
                </w:tcPr>
                <w:p w:rsidR="00745FEA" w:rsidRPr="00B81566" w:rsidRDefault="00745FEA" w:rsidP="00745FEA">
                  <w:pPr>
                    <w:pStyle w:val="TableBodyText"/>
                    <w:spacing w:after="20"/>
                    <w:ind w:right="57"/>
                  </w:pPr>
                  <w:r w:rsidRPr="00F73322">
                    <w:t>758.4</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Other crop growing</w:t>
                  </w:r>
                </w:p>
              </w:tc>
              <w:tc>
                <w:tcPr>
                  <w:tcW w:w="516" w:type="pct"/>
                  <w:vAlign w:val="bottom"/>
                </w:tcPr>
                <w:p w:rsidR="00745FEA" w:rsidRPr="00857C3C" w:rsidRDefault="00745FEA" w:rsidP="00745FEA">
                  <w:pPr>
                    <w:pStyle w:val="TableBodyText"/>
                    <w:spacing w:after="20"/>
                    <w:ind w:right="57"/>
                  </w:pPr>
                  <w:r w:rsidRPr="00F73322">
                    <w:t>94.1</w:t>
                  </w:r>
                </w:p>
              </w:tc>
              <w:tc>
                <w:tcPr>
                  <w:tcW w:w="516" w:type="pct"/>
                  <w:vAlign w:val="bottom"/>
                </w:tcPr>
                <w:p w:rsidR="00745FEA" w:rsidRPr="00857C3C" w:rsidRDefault="00745FEA" w:rsidP="00745FEA">
                  <w:pPr>
                    <w:pStyle w:val="TableBodyText"/>
                    <w:spacing w:after="20"/>
                    <w:ind w:right="57"/>
                  </w:pPr>
                  <w:r w:rsidRPr="00F73322">
                    <w:t>94.4</w:t>
                  </w:r>
                </w:p>
              </w:tc>
              <w:tc>
                <w:tcPr>
                  <w:tcW w:w="517" w:type="pct"/>
                  <w:vAlign w:val="bottom"/>
                </w:tcPr>
                <w:p w:rsidR="00745FEA" w:rsidRPr="00857C3C" w:rsidRDefault="00745FEA" w:rsidP="00745FEA">
                  <w:pPr>
                    <w:pStyle w:val="TableBodyText"/>
                    <w:spacing w:after="20"/>
                    <w:ind w:right="57"/>
                  </w:pPr>
                  <w:r w:rsidRPr="00F73322">
                    <w:t>102.6</w:t>
                  </w:r>
                </w:p>
              </w:tc>
              <w:tc>
                <w:tcPr>
                  <w:tcW w:w="516" w:type="pct"/>
                  <w:vAlign w:val="bottom"/>
                </w:tcPr>
                <w:p w:rsidR="00745FEA" w:rsidRPr="00857C3C" w:rsidRDefault="00745FEA" w:rsidP="00745FEA">
                  <w:pPr>
                    <w:pStyle w:val="TableBodyText"/>
                    <w:spacing w:after="20"/>
                    <w:ind w:right="57"/>
                  </w:pPr>
                  <w:r w:rsidRPr="00F73322">
                    <w:t>81.9</w:t>
                  </w:r>
                </w:p>
              </w:tc>
              <w:tc>
                <w:tcPr>
                  <w:tcW w:w="516" w:type="pct"/>
                  <w:shd w:val="clear" w:color="auto" w:fill="auto"/>
                  <w:vAlign w:val="bottom"/>
                </w:tcPr>
                <w:p w:rsidR="00745FEA" w:rsidRPr="00857C3C" w:rsidRDefault="00745FEA" w:rsidP="00745FEA">
                  <w:pPr>
                    <w:pStyle w:val="TableBodyText"/>
                    <w:spacing w:after="20"/>
                    <w:ind w:right="57"/>
                  </w:pPr>
                  <w:r w:rsidRPr="00F73322">
                    <w:t>91.2</w:t>
                  </w:r>
                </w:p>
              </w:tc>
              <w:tc>
                <w:tcPr>
                  <w:tcW w:w="516" w:type="pct"/>
                  <w:shd w:val="clear" w:color="auto" w:fill="auto"/>
                  <w:vAlign w:val="bottom"/>
                </w:tcPr>
                <w:p w:rsidR="00745FEA" w:rsidRPr="00B81566" w:rsidRDefault="00745FEA" w:rsidP="00745FEA">
                  <w:pPr>
                    <w:pStyle w:val="TableBodyText"/>
                    <w:spacing w:after="20"/>
                    <w:ind w:right="57"/>
                  </w:pPr>
                  <w:r w:rsidRPr="00F73322">
                    <w:t>95.9</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Dairy cattle farming</w:t>
                  </w:r>
                </w:p>
              </w:tc>
              <w:tc>
                <w:tcPr>
                  <w:tcW w:w="516" w:type="pct"/>
                  <w:vAlign w:val="bottom"/>
                </w:tcPr>
                <w:p w:rsidR="00745FEA" w:rsidRPr="00857C3C" w:rsidRDefault="00745FEA" w:rsidP="00745FEA">
                  <w:pPr>
                    <w:pStyle w:val="TableBodyText"/>
                    <w:spacing w:after="20"/>
                    <w:ind w:right="57"/>
                  </w:pPr>
                  <w:r w:rsidRPr="00F73322">
                    <w:t>78.0</w:t>
                  </w:r>
                </w:p>
              </w:tc>
              <w:tc>
                <w:tcPr>
                  <w:tcW w:w="516" w:type="pct"/>
                  <w:vAlign w:val="bottom"/>
                </w:tcPr>
                <w:p w:rsidR="00745FEA" w:rsidRPr="00857C3C" w:rsidRDefault="00745FEA" w:rsidP="00745FEA">
                  <w:pPr>
                    <w:pStyle w:val="TableBodyText"/>
                    <w:spacing w:after="20"/>
                    <w:ind w:right="57"/>
                  </w:pPr>
                  <w:r w:rsidRPr="00F73322">
                    <w:t>51.5</w:t>
                  </w:r>
                </w:p>
              </w:tc>
              <w:tc>
                <w:tcPr>
                  <w:tcW w:w="517" w:type="pct"/>
                  <w:vAlign w:val="bottom"/>
                </w:tcPr>
                <w:p w:rsidR="00745FEA" w:rsidRPr="00857C3C" w:rsidRDefault="00745FEA" w:rsidP="00745FEA">
                  <w:pPr>
                    <w:pStyle w:val="TableBodyText"/>
                    <w:spacing w:after="20"/>
                    <w:ind w:right="57"/>
                  </w:pPr>
                  <w:r w:rsidRPr="00F73322">
                    <w:t>60.9</w:t>
                  </w:r>
                </w:p>
              </w:tc>
              <w:tc>
                <w:tcPr>
                  <w:tcW w:w="516" w:type="pct"/>
                  <w:vAlign w:val="bottom"/>
                </w:tcPr>
                <w:p w:rsidR="00745FEA" w:rsidRPr="00857C3C" w:rsidRDefault="00745FEA" w:rsidP="00745FEA">
                  <w:pPr>
                    <w:pStyle w:val="TableBodyText"/>
                    <w:spacing w:after="20"/>
                    <w:ind w:right="57"/>
                  </w:pPr>
                  <w:r w:rsidRPr="00F73322">
                    <w:t>74.4</w:t>
                  </w:r>
                </w:p>
              </w:tc>
              <w:tc>
                <w:tcPr>
                  <w:tcW w:w="516" w:type="pct"/>
                  <w:shd w:val="clear" w:color="auto" w:fill="auto"/>
                  <w:vAlign w:val="bottom"/>
                </w:tcPr>
                <w:p w:rsidR="00745FEA" w:rsidRPr="00857C3C" w:rsidRDefault="00745FEA" w:rsidP="00745FEA">
                  <w:pPr>
                    <w:pStyle w:val="TableBodyText"/>
                    <w:spacing w:after="20"/>
                    <w:ind w:right="57"/>
                  </w:pPr>
                  <w:r w:rsidRPr="00F73322">
                    <w:t>77.4</w:t>
                  </w:r>
                </w:p>
              </w:tc>
              <w:tc>
                <w:tcPr>
                  <w:tcW w:w="516" w:type="pct"/>
                  <w:shd w:val="clear" w:color="auto" w:fill="auto"/>
                  <w:vAlign w:val="bottom"/>
                </w:tcPr>
                <w:p w:rsidR="00745FEA" w:rsidRPr="00B81566" w:rsidRDefault="00745FEA" w:rsidP="00745FEA">
                  <w:pPr>
                    <w:pStyle w:val="TableBodyText"/>
                    <w:spacing w:after="20"/>
                    <w:ind w:right="57"/>
                  </w:pPr>
                  <w:r w:rsidRPr="00F73322">
                    <w:t>65.5</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Other livestock farming</w:t>
                  </w:r>
                </w:p>
              </w:tc>
              <w:tc>
                <w:tcPr>
                  <w:tcW w:w="516" w:type="pct"/>
                  <w:vAlign w:val="bottom"/>
                </w:tcPr>
                <w:p w:rsidR="00745FEA" w:rsidRPr="00857C3C" w:rsidRDefault="00745FEA" w:rsidP="00745FEA">
                  <w:pPr>
                    <w:pStyle w:val="TableBodyText"/>
                    <w:spacing w:after="20"/>
                    <w:ind w:right="57"/>
                  </w:pPr>
                  <w:r w:rsidRPr="00F73322">
                    <w:t>66.2</w:t>
                  </w:r>
                </w:p>
              </w:tc>
              <w:tc>
                <w:tcPr>
                  <w:tcW w:w="516" w:type="pct"/>
                  <w:vAlign w:val="bottom"/>
                </w:tcPr>
                <w:p w:rsidR="00745FEA" w:rsidRPr="00857C3C" w:rsidRDefault="00745FEA" w:rsidP="00745FEA">
                  <w:pPr>
                    <w:pStyle w:val="TableBodyText"/>
                    <w:spacing w:after="20"/>
                    <w:ind w:right="57"/>
                  </w:pPr>
                  <w:r w:rsidRPr="00F73322">
                    <w:t>46.4</w:t>
                  </w:r>
                </w:p>
              </w:tc>
              <w:tc>
                <w:tcPr>
                  <w:tcW w:w="517" w:type="pct"/>
                  <w:vAlign w:val="bottom"/>
                </w:tcPr>
                <w:p w:rsidR="00745FEA" w:rsidRPr="00857C3C" w:rsidRDefault="00745FEA" w:rsidP="00745FEA">
                  <w:pPr>
                    <w:pStyle w:val="TableBodyText"/>
                    <w:spacing w:after="20"/>
                    <w:ind w:right="57"/>
                  </w:pPr>
                  <w:r w:rsidRPr="00F73322">
                    <w:t>42.6</w:t>
                  </w:r>
                </w:p>
              </w:tc>
              <w:tc>
                <w:tcPr>
                  <w:tcW w:w="516" w:type="pct"/>
                  <w:vAlign w:val="bottom"/>
                </w:tcPr>
                <w:p w:rsidR="00745FEA" w:rsidRPr="00857C3C" w:rsidRDefault="00745FEA" w:rsidP="00745FEA">
                  <w:pPr>
                    <w:pStyle w:val="TableBodyText"/>
                    <w:spacing w:after="20"/>
                    <w:ind w:right="57"/>
                  </w:pPr>
                  <w:r w:rsidRPr="00F73322">
                    <w:t>51.5</w:t>
                  </w:r>
                </w:p>
              </w:tc>
              <w:tc>
                <w:tcPr>
                  <w:tcW w:w="516" w:type="pct"/>
                  <w:shd w:val="clear" w:color="auto" w:fill="auto"/>
                  <w:vAlign w:val="bottom"/>
                </w:tcPr>
                <w:p w:rsidR="00745FEA" w:rsidRPr="00857C3C" w:rsidRDefault="00745FEA" w:rsidP="00745FEA">
                  <w:pPr>
                    <w:pStyle w:val="TableBodyText"/>
                    <w:spacing w:after="20"/>
                    <w:ind w:right="57"/>
                  </w:pPr>
                  <w:r w:rsidRPr="00F73322">
                    <w:t>57.5</w:t>
                  </w:r>
                </w:p>
              </w:tc>
              <w:tc>
                <w:tcPr>
                  <w:tcW w:w="516" w:type="pct"/>
                  <w:shd w:val="clear" w:color="auto" w:fill="auto"/>
                  <w:vAlign w:val="bottom"/>
                </w:tcPr>
                <w:p w:rsidR="00745FEA" w:rsidRPr="00B81566" w:rsidRDefault="00745FEA" w:rsidP="00745FEA">
                  <w:pPr>
                    <w:pStyle w:val="TableBodyText"/>
                    <w:spacing w:after="20"/>
                    <w:ind w:right="57"/>
                  </w:pPr>
                  <w:r w:rsidRPr="00F73322">
                    <w:t>63.1</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Aquaculture and fishing</w:t>
                  </w:r>
                </w:p>
              </w:tc>
              <w:tc>
                <w:tcPr>
                  <w:tcW w:w="516" w:type="pct"/>
                  <w:vAlign w:val="bottom"/>
                </w:tcPr>
                <w:p w:rsidR="00745FEA" w:rsidRPr="00857C3C" w:rsidRDefault="00745FEA" w:rsidP="00745FEA">
                  <w:pPr>
                    <w:pStyle w:val="TableBodyText"/>
                    <w:spacing w:after="20"/>
                    <w:ind w:right="57"/>
                  </w:pPr>
                  <w:r w:rsidRPr="00F73322">
                    <w:t>67.2</w:t>
                  </w:r>
                </w:p>
              </w:tc>
              <w:tc>
                <w:tcPr>
                  <w:tcW w:w="516" w:type="pct"/>
                  <w:vAlign w:val="bottom"/>
                </w:tcPr>
                <w:p w:rsidR="00745FEA" w:rsidRPr="00857C3C" w:rsidRDefault="00745FEA" w:rsidP="00745FEA">
                  <w:pPr>
                    <w:pStyle w:val="TableBodyText"/>
                    <w:spacing w:after="20"/>
                    <w:ind w:right="57"/>
                  </w:pPr>
                  <w:r w:rsidRPr="00F73322">
                    <w:t>70.4</w:t>
                  </w:r>
                </w:p>
              </w:tc>
              <w:tc>
                <w:tcPr>
                  <w:tcW w:w="517" w:type="pct"/>
                  <w:vAlign w:val="bottom"/>
                </w:tcPr>
                <w:p w:rsidR="00745FEA" w:rsidRPr="00857C3C" w:rsidRDefault="00745FEA" w:rsidP="00745FEA">
                  <w:pPr>
                    <w:pStyle w:val="TableBodyText"/>
                    <w:spacing w:after="20"/>
                    <w:ind w:right="57"/>
                  </w:pPr>
                  <w:r w:rsidRPr="00F73322">
                    <w:t>72.1</w:t>
                  </w:r>
                </w:p>
              </w:tc>
              <w:tc>
                <w:tcPr>
                  <w:tcW w:w="516" w:type="pct"/>
                  <w:vAlign w:val="bottom"/>
                </w:tcPr>
                <w:p w:rsidR="00745FEA" w:rsidRPr="00857C3C" w:rsidRDefault="00745FEA" w:rsidP="00745FEA">
                  <w:pPr>
                    <w:pStyle w:val="TableBodyText"/>
                    <w:spacing w:after="20"/>
                    <w:ind w:right="57"/>
                  </w:pPr>
                  <w:r w:rsidRPr="00F73322">
                    <w:t>83.8</w:t>
                  </w:r>
                </w:p>
              </w:tc>
              <w:tc>
                <w:tcPr>
                  <w:tcW w:w="516" w:type="pct"/>
                  <w:shd w:val="clear" w:color="auto" w:fill="auto"/>
                  <w:vAlign w:val="bottom"/>
                </w:tcPr>
                <w:p w:rsidR="00745FEA" w:rsidRPr="00857C3C" w:rsidRDefault="00745FEA" w:rsidP="00745FEA">
                  <w:pPr>
                    <w:pStyle w:val="TableBodyText"/>
                    <w:spacing w:after="20"/>
                    <w:ind w:right="57"/>
                  </w:pPr>
                  <w:r w:rsidRPr="00F73322">
                    <w:t>87.5</w:t>
                  </w:r>
                </w:p>
              </w:tc>
              <w:tc>
                <w:tcPr>
                  <w:tcW w:w="516" w:type="pct"/>
                  <w:shd w:val="clear" w:color="auto" w:fill="auto"/>
                  <w:vAlign w:val="bottom"/>
                </w:tcPr>
                <w:p w:rsidR="00745FEA" w:rsidRPr="00B81566" w:rsidRDefault="00745FEA" w:rsidP="00745FEA">
                  <w:pPr>
                    <w:pStyle w:val="TableBodyText"/>
                    <w:spacing w:after="20"/>
                    <w:ind w:right="57"/>
                  </w:pPr>
                  <w:r w:rsidRPr="00F73322">
                    <w:t>96.1</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Forestry and logging</w:t>
                  </w:r>
                </w:p>
              </w:tc>
              <w:tc>
                <w:tcPr>
                  <w:tcW w:w="516" w:type="pct"/>
                  <w:vAlign w:val="bottom"/>
                </w:tcPr>
                <w:p w:rsidR="00745FEA" w:rsidRPr="00857C3C" w:rsidRDefault="00745FEA" w:rsidP="00745FEA">
                  <w:pPr>
                    <w:pStyle w:val="TableBodyText"/>
                    <w:spacing w:after="20"/>
                    <w:ind w:right="57"/>
                  </w:pPr>
                  <w:r w:rsidRPr="00F73322">
                    <w:t>72.3</w:t>
                  </w:r>
                </w:p>
              </w:tc>
              <w:tc>
                <w:tcPr>
                  <w:tcW w:w="516" w:type="pct"/>
                  <w:vAlign w:val="bottom"/>
                </w:tcPr>
                <w:p w:rsidR="00745FEA" w:rsidRPr="00857C3C" w:rsidRDefault="00745FEA" w:rsidP="00745FEA">
                  <w:pPr>
                    <w:pStyle w:val="TableBodyText"/>
                    <w:spacing w:after="20"/>
                    <w:ind w:right="57"/>
                  </w:pPr>
                  <w:r w:rsidRPr="00F73322">
                    <w:t>46.6</w:t>
                  </w:r>
                </w:p>
              </w:tc>
              <w:tc>
                <w:tcPr>
                  <w:tcW w:w="517" w:type="pct"/>
                  <w:vAlign w:val="bottom"/>
                </w:tcPr>
                <w:p w:rsidR="00745FEA" w:rsidRPr="00857C3C" w:rsidRDefault="00745FEA" w:rsidP="00745FEA">
                  <w:pPr>
                    <w:pStyle w:val="TableBodyText"/>
                    <w:spacing w:after="20"/>
                    <w:ind w:right="57"/>
                  </w:pPr>
                  <w:r w:rsidRPr="00F73322">
                    <w:t>26.9</w:t>
                  </w:r>
                </w:p>
              </w:tc>
              <w:tc>
                <w:tcPr>
                  <w:tcW w:w="516" w:type="pct"/>
                  <w:vAlign w:val="bottom"/>
                </w:tcPr>
                <w:p w:rsidR="00745FEA" w:rsidRPr="00857C3C" w:rsidRDefault="00745FEA" w:rsidP="00745FEA">
                  <w:pPr>
                    <w:pStyle w:val="TableBodyText"/>
                    <w:spacing w:after="20"/>
                    <w:ind w:right="57"/>
                  </w:pPr>
                  <w:r w:rsidRPr="00F73322">
                    <w:t>27.6</w:t>
                  </w:r>
                </w:p>
              </w:tc>
              <w:tc>
                <w:tcPr>
                  <w:tcW w:w="516" w:type="pct"/>
                  <w:shd w:val="clear" w:color="auto" w:fill="auto"/>
                  <w:vAlign w:val="bottom"/>
                </w:tcPr>
                <w:p w:rsidR="00745FEA" w:rsidRPr="00857C3C" w:rsidRDefault="00745FEA" w:rsidP="00745FEA">
                  <w:pPr>
                    <w:pStyle w:val="TableBodyText"/>
                    <w:spacing w:after="20"/>
                    <w:ind w:right="57"/>
                  </w:pPr>
                  <w:r w:rsidRPr="00F73322">
                    <w:t>27.8</w:t>
                  </w:r>
                </w:p>
              </w:tc>
              <w:tc>
                <w:tcPr>
                  <w:tcW w:w="516" w:type="pct"/>
                  <w:shd w:val="clear" w:color="auto" w:fill="auto"/>
                  <w:vAlign w:val="bottom"/>
                </w:tcPr>
                <w:p w:rsidR="00745FEA" w:rsidRPr="00B81566" w:rsidRDefault="00745FEA" w:rsidP="00745FEA">
                  <w:pPr>
                    <w:pStyle w:val="TableBodyText"/>
                    <w:spacing w:after="20"/>
                    <w:ind w:right="57"/>
                  </w:pPr>
                  <w:r w:rsidRPr="00F73322">
                    <w:t>34.4</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Primary production support services</w:t>
                  </w:r>
                </w:p>
              </w:tc>
              <w:tc>
                <w:tcPr>
                  <w:tcW w:w="516" w:type="pct"/>
                  <w:vAlign w:val="bottom"/>
                </w:tcPr>
                <w:p w:rsidR="00745FEA" w:rsidRPr="00857C3C" w:rsidRDefault="00745FEA" w:rsidP="00745FEA">
                  <w:pPr>
                    <w:pStyle w:val="TableBodyText"/>
                    <w:spacing w:after="20"/>
                    <w:ind w:right="57"/>
                  </w:pPr>
                  <w:r w:rsidRPr="00F73322">
                    <w:t>21.9</w:t>
                  </w:r>
                </w:p>
              </w:tc>
              <w:tc>
                <w:tcPr>
                  <w:tcW w:w="516" w:type="pct"/>
                  <w:vAlign w:val="bottom"/>
                </w:tcPr>
                <w:p w:rsidR="00745FEA" w:rsidRPr="00857C3C" w:rsidRDefault="00745FEA" w:rsidP="00745FEA">
                  <w:pPr>
                    <w:pStyle w:val="TableBodyText"/>
                    <w:spacing w:after="20"/>
                    <w:ind w:right="57"/>
                  </w:pPr>
                  <w:r w:rsidRPr="00F73322">
                    <w:t>27.1</w:t>
                  </w:r>
                </w:p>
              </w:tc>
              <w:tc>
                <w:tcPr>
                  <w:tcW w:w="517" w:type="pct"/>
                  <w:vAlign w:val="bottom"/>
                </w:tcPr>
                <w:p w:rsidR="00745FEA" w:rsidRPr="00857C3C" w:rsidRDefault="00745FEA" w:rsidP="00745FEA">
                  <w:pPr>
                    <w:pStyle w:val="TableBodyText"/>
                    <w:spacing w:after="20"/>
                    <w:ind w:right="57"/>
                  </w:pPr>
                  <w:r w:rsidRPr="00F73322">
                    <w:t>29.5</w:t>
                  </w:r>
                </w:p>
              </w:tc>
              <w:tc>
                <w:tcPr>
                  <w:tcW w:w="516" w:type="pct"/>
                  <w:vAlign w:val="bottom"/>
                </w:tcPr>
                <w:p w:rsidR="00745FEA" w:rsidRPr="00857C3C" w:rsidRDefault="00745FEA" w:rsidP="00745FEA">
                  <w:pPr>
                    <w:pStyle w:val="TableBodyText"/>
                    <w:spacing w:after="20"/>
                    <w:ind w:right="57"/>
                  </w:pPr>
                  <w:r w:rsidRPr="00F73322">
                    <w:t>27.2</w:t>
                  </w:r>
                </w:p>
              </w:tc>
              <w:tc>
                <w:tcPr>
                  <w:tcW w:w="516" w:type="pct"/>
                  <w:shd w:val="clear" w:color="auto" w:fill="auto"/>
                  <w:vAlign w:val="bottom"/>
                </w:tcPr>
                <w:p w:rsidR="00745FEA" w:rsidRPr="00857C3C" w:rsidRDefault="00745FEA" w:rsidP="00745FEA">
                  <w:pPr>
                    <w:pStyle w:val="TableBodyText"/>
                    <w:spacing w:after="20"/>
                    <w:ind w:right="57"/>
                  </w:pPr>
                  <w:r w:rsidRPr="00F73322">
                    <w:t>28.0</w:t>
                  </w:r>
                </w:p>
              </w:tc>
              <w:tc>
                <w:tcPr>
                  <w:tcW w:w="516" w:type="pct"/>
                  <w:shd w:val="clear" w:color="auto" w:fill="auto"/>
                  <w:vAlign w:val="bottom"/>
                </w:tcPr>
                <w:p w:rsidR="00745FEA" w:rsidRPr="00B81566" w:rsidRDefault="00745FEA" w:rsidP="00745FEA">
                  <w:pPr>
                    <w:pStyle w:val="TableBodyText"/>
                    <w:spacing w:after="20"/>
                    <w:ind w:right="57"/>
                  </w:pPr>
                  <w:r w:rsidRPr="00F73322">
                    <w:t>36.7</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Unallocated primary production</w:t>
                  </w:r>
                  <w:r>
                    <w:rPr>
                      <w:rStyle w:val="NoteLabel"/>
                    </w:rPr>
                    <w:t>a</w:t>
                  </w:r>
                </w:p>
              </w:tc>
              <w:tc>
                <w:tcPr>
                  <w:tcW w:w="516" w:type="pct"/>
                  <w:vAlign w:val="bottom"/>
                </w:tcPr>
                <w:p w:rsidR="00745FEA" w:rsidRPr="00857C3C" w:rsidRDefault="00745FEA" w:rsidP="00745FEA">
                  <w:pPr>
                    <w:pStyle w:val="TableBodyText"/>
                    <w:ind w:right="57"/>
                  </w:pPr>
                  <w:r w:rsidRPr="00F73322">
                    <w:t>354.3</w:t>
                  </w:r>
                </w:p>
              </w:tc>
              <w:tc>
                <w:tcPr>
                  <w:tcW w:w="516" w:type="pct"/>
                  <w:vAlign w:val="bottom"/>
                </w:tcPr>
                <w:p w:rsidR="00745FEA" w:rsidRPr="00857C3C" w:rsidRDefault="00745FEA" w:rsidP="00745FEA">
                  <w:pPr>
                    <w:pStyle w:val="TableBodyText"/>
                    <w:ind w:right="57"/>
                  </w:pPr>
                  <w:r w:rsidRPr="00F73322">
                    <w:t>250.6</w:t>
                  </w:r>
                </w:p>
              </w:tc>
              <w:tc>
                <w:tcPr>
                  <w:tcW w:w="517" w:type="pct"/>
                  <w:vAlign w:val="bottom"/>
                </w:tcPr>
                <w:p w:rsidR="00745FEA" w:rsidRPr="00857C3C" w:rsidRDefault="00745FEA" w:rsidP="00745FEA">
                  <w:pPr>
                    <w:pStyle w:val="TableBodyText"/>
                    <w:ind w:right="57"/>
                  </w:pPr>
                  <w:r w:rsidRPr="00F73322">
                    <w:t>228.1</w:t>
                  </w:r>
                </w:p>
              </w:tc>
              <w:tc>
                <w:tcPr>
                  <w:tcW w:w="516" w:type="pct"/>
                  <w:vAlign w:val="bottom"/>
                </w:tcPr>
                <w:p w:rsidR="00745FEA" w:rsidRPr="00857C3C" w:rsidRDefault="00745FEA" w:rsidP="00745FEA">
                  <w:pPr>
                    <w:pStyle w:val="TableBodyText"/>
                    <w:ind w:right="57"/>
                  </w:pPr>
                  <w:r w:rsidRPr="00F73322">
                    <w:t>296.1</w:t>
                  </w:r>
                </w:p>
              </w:tc>
              <w:tc>
                <w:tcPr>
                  <w:tcW w:w="516" w:type="pct"/>
                  <w:shd w:val="clear" w:color="auto" w:fill="auto"/>
                  <w:vAlign w:val="bottom"/>
                </w:tcPr>
                <w:p w:rsidR="00745FEA" w:rsidRPr="00857C3C" w:rsidRDefault="00745FEA" w:rsidP="00745FEA">
                  <w:pPr>
                    <w:pStyle w:val="TableBodyText"/>
                    <w:ind w:right="57"/>
                  </w:pPr>
                  <w:r w:rsidRPr="00F73322">
                    <w:t>226.7</w:t>
                  </w:r>
                </w:p>
              </w:tc>
              <w:tc>
                <w:tcPr>
                  <w:tcW w:w="516" w:type="pct"/>
                  <w:shd w:val="clear" w:color="auto" w:fill="auto"/>
                  <w:vAlign w:val="bottom"/>
                </w:tcPr>
                <w:p w:rsidR="00745FEA" w:rsidRDefault="00745FEA" w:rsidP="00745FEA">
                  <w:pPr>
                    <w:pStyle w:val="TableBodyText"/>
                    <w:ind w:right="57"/>
                  </w:pPr>
                  <w:r w:rsidRPr="00F73322">
                    <w:t>314.7</w:t>
                  </w:r>
                </w:p>
              </w:tc>
            </w:tr>
            <w:tr w:rsidR="00745FEA" w:rsidRPr="00F4344E" w:rsidTr="00745FEA">
              <w:tc>
                <w:tcPr>
                  <w:tcW w:w="1903" w:type="pct"/>
                  <w:shd w:val="clear" w:color="auto" w:fill="auto"/>
                  <w:vAlign w:val="bottom"/>
                </w:tcPr>
                <w:p w:rsidR="00745FEA" w:rsidRPr="00F4344E" w:rsidRDefault="00745FEA" w:rsidP="00745FEA">
                  <w:pPr>
                    <w:pStyle w:val="TableBodyText"/>
                    <w:jc w:val="left"/>
                    <w:rPr>
                      <w:b/>
                    </w:rPr>
                  </w:pPr>
                  <w:r w:rsidRPr="00F4344E">
                    <w:rPr>
                      <w:b/>
                    </w:rPr>
                    <w:t>Mining</w:t>
                  </w:r>
                </w:p>
              </w:tc>
              <w:tc>
                <w:tcPr>
                  <w:tcW w:w="516" w:type="pct"/>
                  <w:vAlign w:val="bottom"/>
                </w:tcPr>
                <w:p w:rsidR="00745FEA" w:rsidRPr="00F4344E" w:rsidRDefault="00745FEA" w:rsidP="00745FEA">
                  <w:pPr>
                    <w:pStyle w:val="TableBodyText"/>
                    <w:ind w:right="57"/>
                    <w:rPr>
                      <w:b/>
                    </w:rPr>
                  </w:pPr>
                  <w:r w:rsidRPr="00F4344E">
                    <w:rPr>
                      <w:b/>
                    </w:rPr>
                    <w:t>745.6</w:t>
                  </w:r>
                </w:p>
              </w:tc>
              <w:tc>
                <w:tcPr>
                  <w:tcW w:w="516" w:type="pct"/>
                  <w:vAlign w:val="bottom"/>
                </w:tcPr>
                <w:p w:rsidR="00745FEA" w:rsidRPr="00F4344E" w:rsidRDefault="00745FEA" w:rsidP="00745FEA">
                  <w:pPr>
                    <w:pStyle w:val="TableBodyText"/>
                    <w:ind w:right="57"/>
                    <w:rPr>
                      <w:b/>
                    </w:rPr>
                  </w:pPr>
                  <w:r w:rsidRPr="00F4344E">
                    <w:rPr>
                      <w:b/>
                    </w:rPr>
                    <w:t>483.3</w:t>
                  </w:r>
                </w:p>
              </w:tc>
              <w:tc>
                <w:tcPr>
                  <w:tcW w:w="517" w:type="pct"/>
                  <w:vAlign w:val="bottom"/>
                </w:tcPr>
                <w:p w:rsidR="00745FEA" w:rsidRPr="00F4344E" w:rsidRDefault="00745FEA" w:rsidP="00745FEA">
                  <w:pPr>
                    <w:pStyle w:val="TableBodyText"/>
                    <w:ind w:right="57"/>
                    <w:rPr>
                      <w:b/>
                    </w:rPr>
                  </w:pPr>
                  <w:r w:rsidRPr="00F4344E">
                    <w:rPr>
                      <w:b/>
                    </w:rPr>
                    <w:t>515.6</w:t>
                  </w:r>
                </w:p>
              </w:tc>
              <w:tc>
                <w:tcPr>
                  <w:tcW w:w="516" w:type="pct"/>
                  <w:vAlign w:val="bottom"/>
                </w:tcPr>
                <w:p w:rsidR="00745FEA" w:rsidRPr="00F4344E" w:rsidRDefault="00745FEA" w:rsidP="00745FEA">
                  <w:pPr>
                    <w:pStyle w:val="TableBodyText"/>
                    <w:ind w:right="57"/>
                    <w:rPr>
                      <w:b/>
                    </w:rPr>
                  </w:pPr>
                  <w:r w:rsidRPr="00F4344E">
                    <w:rPr>
                      <w:b/>
                    </w:rPr>
                    <w:t>524.6</w:t>
                  </w:r>
                </w:p>
              </w:tc>
              <w:tc>
                <w:tcPr>
                  <w:tcW w:w="516" w:type="pct"/>
                  <w:shd w:val="clear" w:color="auto" w:fill="auto"/>
                  <w:vAlign w:val="bottom"/>
                </w:tcPr>
                <w:p w:rsidR="00745FEA" w:rsidRPr="00F4344E" w:rsidRDefault="00745FEA" w:rsidP="00745FEA">
                  <w:pPr>
                    <w:pStyle w:val="TableBodyText"/>
                    <w:ind w:right="57"/>
                    <w:rPr>
                      <w:b/>
                    </w:rPr>
                  </w:pPr>
                  <w:r w:rsidRPr="00F4344E">
                    <w:rPr>
                      <w:b/>
                    </w:rPr>
                    <w:t>515.7</w:t>
                  </w:r>
                </w:p>
              </w:tc>
              <w:tc>
                <w:tcPr>
                  <w:tcW w:w="516" w:type="pct"/>
                  <w:shd w:val="clear" w:color="auto" w:fill="auto"/>
                  <w:vAlign w:val="bottom"/>
                </w:tcPr>
                <w:p w:rsidR="00745FEA" w:rsidRPr="00F4344E" w:rsidRDefault="00745FEA" w:rsidP="00745FEA">
                  <w:pPr>
                    <w:pStyle w:val="TableBodyText"/>
                    <w:ind w:right="57"/>
                    <w:rPr>
                      <w:b/>
                    </w:rPr>
                  </w:pPr>
                  <w:r w:rsidRPr="00F4344E">
                    <w:rPr>
                      <w:b/>
                    </w:rPr>
                    <w:t>521.8</w:t>
                  </w:r>
                </w:p>
              </w:tc>
            </w:tr>
            <w:tr w:rsidR="00745FEA" w:rsidRPr="00F4344E" w:rsidTr="00745FEA">
              <w:tc>
                <w:tcPr>
                  <w:tcW w:w="1903" w:type="pct"/>
                  <w:shd w:val="clear" w:color="auto" w:fill="auto"/>
                  <w:vAlign w:val="bottom"/>
                </w:tcPr>
                <w:p w:rsidR="00745FEA" w:rsidRPr="00F4344E" w:rsidRDefault="00745FEA" w:rsidP="00745FEA">
                  <w:pPr>
                    <w:pStyle w:val="TableBodyText"/>
                    <w:jc w:val="left"/>
                    <w:rPr>
                      <w:b/>
                    </w:rPr>
                  </w:pPr>
                  <w:r w:rsidRPr="00F4344E">
                    <w:rPr>
                      <w:b/>
                    </w:rPr>
                    <w:t>Manufacturing</w:t>
                  </w:r>
                </w:p>
              </w:tc>
              <w:tc>
                <w:tcPr>
                  <w:tcW w:w="516" w:type="pct"/>
                  <w:vAlign w:val="bottom"/>
                </w:tcPr>
                <w:p w:rsidR="00745FEA" w:rsidRPr="00F4344E" w:rsidRDefault="00745FEA" w:rsidP="00745FEA">
                  <w:pPr>
                    <w:pStyle w:val="TableBodyText"/>
                    <w:ind w:right="57"/>
                    <w:rPr>
                      <w:b/>
                    </w:rPr>
                  </w:pPr>
                  <w:r w:rsidRPr="00F4344E">
                    <w:rPr>
                      <w:b/>
                    </w:rPr>
                    <w:t>1851.5</w:t>
                  </w:r>
                </w:p>
              </w:tc>
              <w:tc>
                <w:tcPr>
                  <w:tcW w:w="516" w:type="pct"/>
                  <w:vAlign w:val="bottom"/>
                </w:tcPr>
                <w:p w:rsidR="00745FEA" w:rsidRPr="00F4344E" w:rsidRDefault="00745FEA" w:rsidP="00745FEA">
                  <w:pPr>
                    <w:pStyle w:val="TableBodyText"/>
                    <w:ind w:right="57"/>
                    <w:rPr>
                      <w:b/>
                    </w:rPr>
                  </w:pPr>
                  <w:r w:rsidRPr="00F4344E">
                    <w:rPr>
                      <w:b/>
                    </w:rPr>
                    <w:t>1934.4</w:t>
                  </w:r>
                </w:p>
              </w:tc>
              <w:tc>
                <w:tcPr>
                  <w:tcW w:w="517" w:type="pct"/>
                  <w:vAlign w:val="bottom"/>
                </w:tcPr>
                <w:p w:rsidR="00745FEA" w:rsidRPr="00F4344E" w:rsidRDefault="00745FEA" w:rsidP="00745FEA">
                  <w:pPr>
                    <w:pStyle w:val="TableBodyText"/>
                    <w:ind w:right="57"/>
                    <w:rPr>
                      <w:b/>
                    </w:rPr>
                  </w:pPr>
                  <w:r w:rsidRPr="00F4344E">
                    <w:rPr>
                      <w:b/>
                    </w:rPr>
                    <w:t>1836.9</w:t>
                  </w:r>
                </w:p>
              </w:tc>
              <w:tc>
                <w:tcPr>
                  <w:tcW w:w="516" w:type="pct"/>
                  <w:vAlign w:val="bottom"/>
                </w:tcPr>
                <w:p w:rsidR="00745FEA" w:rsidRPr="00F4344E" w:rsidRDefault="00745FEA" w:rsidP="00745FEA">
                  <w:pPr>
                    <w:pStyle w:val="TableBodyText"/>
                    <w:ind w:right="57"/>
                    <w:rPr>
                      <w:b/>
                    </w:rPr>
                  </w:pPr>
                  <w:r w:rsidRPr="00F4344E">
                    <w:rPr>
                      <w:b/>
                    </w:rPr>
                    <w:t>1778.7</w:t>
                  </w:r>
                </w:p>
              </w:tc>
              <w:tc>
                <w:tcPr>
                  <w:tcW w:w="516" w:type="pct"/>
                  <w:shd w:val="clear" w:color="auto" w:fill="auto"/>
                  <w:vAlign w:val="bottom"/>
                </w:tcPr>
                <w:p w:rsidR="00745FEA" w:rsidRPr="00F4344E" w:rsidRDefault="00745FEA" w:rsidP="00745FEA">
                  <w:pPr>
                    <w:pStyle w:val="TableBodyText"/>
                    <w:ind w:right="57"/>
                    <w:rPr>
                      <w:b/>
                    </w:rPr>
                  </w:pPr>
                  <w:r w:rsidRPr="00F4344E">
                    <w:rPr>
                      <w:b/>
                    </w:rPr>
                    <w:t>1680.9</w:t>
                  </w:r>
                </w:p>
              </w:tc>
              <w:tc>
                <w:tcPr>
                  <w:tcW w:w="516" w:type="pct"/>
                  <w:shd w:val="clear" w:color="auto" w:fill="auto"/>
                  <w:vAlign w:val="bottom"/>
                </w:tcPr>
                <w:p w:rsidR="00745FEA" w:rsidRPr="00F4344E" w:rsidRDefault="00745FEA" w:rsidP="00745FEA">
                  <w:pPr>
                    <w:pStyle w:val="TableBodyText"/>
                    <w:ind w:right="57"/>
                    <w:rPr>
                      <w:b/>
                    </w:rPr>
                  </w:pPr>
                  <w:r w:rsidRPr="00F4344E">
                    <w:rPr>
                      <w:b/>
                    </w:rPr>
                    <w:t>1729.8</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Food, beverages and tobacco</w:t>
                  </w:r>
                </w:p>
              </w:tc>
              <w:tc>
                <w:tcPr>
                  <w:tcW w:w="516" w:type="pct"/>
                  <w:vAlign w:val="bottom"/>
                </w:tcPr>
                <w:p w:rsidR="00745FEA" w:rsidRPr="00857C3C" w:rsidRDefault="00745FEA" w:rsidP="00745FEA">
                  <w:pPr>
                    <w:pStyle w:val="TableBodyText"/>
                    <w:spacing w:after="20"/>
                    <w:ind w:right="57"/>
                  </w:pPr>
                  <w:r w:rsidRPr="00F73322">
                    <w:t>108.5</w:t>
                  </w:r>
                </w:p>
              </w:tc>
              <w:tc>
                <w:tcPr>
                  <w:tcW w:w="516" w:type="pct"/>
                  <w:vAlign w:val="bottom"/>
                </w:tcPr>
                <w:p w:rsidR="00745FEA" w:rsidRPr="00857C3C" w:rsidRDefault="00745FEA" w:rsidP="00745FEA">
                  <w:pPr>
                    <w:pStyle w:val="TableBodyText"/>
                    <w:spacing w:after="20"/>
                    <w:ind w:right="57"/>
                  </w:pPr>
                  <w:r w:rsidRPr="00F73322">
                    <w:t>126.7</w:t>
                  </w:r>
                </w:p>
              </w:tc>
              <w:tc>
                <w:tcPr>
                  <w:tcW w:w="517" w:type="pct"/>
                  <w:vAlign w:val="bottom"/>
                </w:tcPr>
                <w:p w:rsidR="00745FEA" w:rsidRPr="00857C3C" w:rsidRDefault="00745FEA" w:rsidP="00745FEA">
                  <w:pPr>
                    <w:pStyle w:val="TableBodyText"/>
                    <w:spacing w:after="20"/>
                    <w:ind w:right="57"/>
                  </w:pPr>
                  <w:r w:rsidRPr="00F73322">
                    <w:t>184.5</w:t>
                  </w:r>
                </w:p>
              </w:tc>
              <w:tc>
                <w:tcPr>
                  <w:tcW w:w="516" w:type="pct"/>
                  <w:vAlign w:val="bottom"/>
                </w:tcPr>
                <w:p w:rsidR="00745FEA" w:rsidRPr="00857C3C" w:rsidRDefault="00745FEA" w:rsidP="00745FEA">
                  <w:pPr>
                    <w:pStyle w:val="TableBodyText"/>
                    <w:spacing w:after="20"/>
                    <w:ind w:right="57"/>
                  </w:pPr>
                  <w:r w:rsidRPr="00F73322">
                    <w:t>173.0</w:t>
                  </w:r>
                </w:p>
              </w:tc>
              <w:tc>
                <w:tcPr>
                  <w:tcW w:w="516" w:type="pct"/>
                  <w:shd w:val="clear" w:color="auto" w:fill="auto"/>
                  <w:vAlign w:val="bottom"/>
                </w:tcPr>
                <w:p w:rsidR="00745FEA" w:rsidRPr="00857C3C" w:rsidRDefault="00745FEA" w:rsidP="00745FEA">
                  <w:pPr>
                    <w:pStyle w:val="TableBodyText"/>
                    <w:spacing w:after="20"/>
                    <w:ind w:right="57"/>
                  </w:pPr>
                  <w:r w:rsidRPr="00F73322">
                    <w:t>149.0</w:t>
                  </w:r>
                </w:p>
              </w:tc>
              <w:tc>
                <w:tcPr>
                  <w:tcW w:w="516" w:type="pct"/>
                  <w:shd w:val="clear" w:color="auto" w:fill="auto"/>
                  <w:vAlign w:val="bottom"/>
                </w:tcPr>
                <w:p w:rsidR="00745FEA" w:rsidRPr="00857C3C" w:rsidRDefault="00745FEA" w:rsidP="00745FEA">
                  <w:pPr>
                    <w:pStyle w:val="TableBodyText"/>
                    <w:spacing w:after="20"/>
                    <w:ind w:right="57"/>
                  </w:pPr>
                  <w:r w:rsidRPr="00F73322">
                    <w:t>134.7</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Textile</w:t>
                  </w:r>
                  <w:r>
                    <w:t>s</w:t>
                  </w:r>
                  <w:r w:rsidRPr="002B6A72">
                    <w:t>, leather, clothing and footwear</w:t>
                  </w:r>
                </w:p>
              </w:tc>
              <w:tc>
                <w:tcPr>
                  <w:tcW w:w="516" w:type="pct"/>
                  <w:vAlign w:val="bottom"/>
                </w:tcPr>
                <w:p w:rsidR="00745FEA" w:rsidRPr="00857C3C" w:rsidRDefault="00745FEA" w:rsidP="00745FEA">
                  <w:pPr>
                    <w:pStyle w:val="TableBodyText"/>
                    <w:spacing w:after="20"/>
                    <w:ind w:right="57"/>
                  </w:pPr>
                  <w:r w:rsidRPr="00F73322">
                    <w:t>61.0</w:t>
                  </w:r>
                </w:p>
              </w:tc>
              <w:tc>
                <w:tcPr>
                  <w:tcW w:w="516" w:type="pct"/>
                  <w:vAlign w:val="bottom"/>
                </w:tcPr>
                <w:p w:rsidR="00745FEA" w:rsidRPr="00857C3C" w:rsidRDefault="00745FEA" w:rsidP="00745FEA">
                  <w:pPr>
                    <w:pStyle w:val="TableBodyText"/>
                    <w:spacing w:after="20"/>
                    <w:ind w:right="57"/>
                  </w:pPr>
                  <w:r w:rsidRPr="00F73322">
                    <w:t>57.2</w:t>
                  </w:r>
                </w:p>
              </w:tc>
              <w:tc>
                <w:tcPr>
                  <w:tcW w:w="517" w:type="pct"/>
                  <w:vAlign w:val="bottom"/>
                </w:tcPr>
                <w:p w:rsidR="00745FEA" w:rsidRPr="00857C3C" w:rsidRDefault="00745FEA" w:rsidP="00745FEA">
                  <w:pPr>
                    <w:pStyle w:val="TableBodyText"/>
                    <w:spacing w:after="20"/>
                    <w:ind w:right="57"/>
                  </w:pPr>
                  <w:r w:rsidRPr="00F73322">
                    <w:t>61.6</w:t>
                  </w:r>
                </w:p>
              </w:tc>
              <w:tc>
                <w:tcPr>
                  <w:tcW w:w="516" w:type="pct"/>
                  <w:vAlign w:val="bottom"/>
                </w:tcPr>
                <w:p w:rsidR="00745FEA" w:rsidRPr="00857C3C" w:rsidRDefault="00745FEA" w:rsidP="00745FEA">
                  <w:pPr>
                    <w:pStyle w:val="TableBodyText"/>
                    <w:spacing w:after="20"/>
                    <w:ind w:right="57"/>
                  </w:pPr>
                  <w:r w:rsidRPr="00F73322">
                    <w:t>56.2</w:t>
                  </w:r>
                </w:p>
              </w:tc>
              <w:tc>
                <w:tcPr>
                  <w:tcW w:w="516" w:type="pct"/>
                  <w:shd w:val="clear" w:color="auto" w:fill="auto"/>
                  <w:vAlign w:val="bottom"/>
                </w:tcPr>
                <w:p w:rsidR="00745FEA" w:rsidRPr="00857C3C" w:rsidRDefault="00745FEA" w:rsidP="00745FEA">
                  <w:pPr>
                    <w:pStyle w:val="TableBodyText"/>
                    <w:spacing w:after="20"/>
                    <w:ind w:right="57"/>
                  </w:pPr>
                  <w:r w:rsidRPr="00F73322">
                    <w:t>51.6</w:t>
                  </w:r>
                </w:p>
              </w:tc>
              <w:tc>
                <w:tcPr>
                  <w:tcW w:w="516" w:type="pct"/>
                  <w:shd w:val="clear" w:color="auto" w:fill="auto"/>
                  <w:vAlign w:val="bottom"/>
                </w:tcPr>
                <w:p w:rsidR="00745FEA" w:rsidRPr="00857C3C" w:rsidRDefault="00745FEA" w:rsidP="00745FEA">
                  <w:pPr>
                    <w:pStyle w:val="TableBodyText"/>
                    <w:spacing w:after="20"/>
                    <w:ind w:right="57"/>
                  </w:pPr>
                  <w:r w:rsidRPr="00F73322">
                    <w:t>37.9</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Wood and paper products</w:t>
                  </w:r>
                </w:p>
              </w:tc>
              <w:tc>
                <w:tcPr>
                  <w:tcW w:w="516" w:type="pct"/>
                  <w:vAlign w:val="bottom"/>
                </w:tcPr>
                <w:p w:rsidR="00745FEA" w:rsidRPr="00857C3C" w:rsidRDefault="00745FEA" w:rsidP="00745FEA">
                  <w:pPr>
                    <w:pStyle w:val="TableBodyText"/>
                    <w:spacing w:after="20"/>
                    <w:ind w:right="57"/>
                  </w:pPr>
                  <w:r w:rsidRPr="00F73322">
                    <w:t>17.3</w:t>
                  </w:r>
                </w:p>
              </w:tc>
              <w:tc>
                <w:tcPr>
                  <w:tcW w:w="516" w:type="pct"/>
                  <w:vAlign w:val="bottom"/>
                </w:tcPr>
                <w:p w:rsidR="00745FEA" w:rsidRPr="00857C3C" w:rsidRDefault="00745FEA" w:rsidP="00745FEA">
                  <w:pPr>
                    <w:pStyle w:val="TableBodyText"/>
                    <w:spacing w:after="20"/>
                    <w:ind w:right="57"/>
                  </w:pPr>
                  <w:r w:rsidRPr="00F73322">
                    <w:t>29.0</w:t>
                  </w:r>
                </w:p>
              </w:tc>
              <w:tc>
                <w:tcPr>
                  <w:tcW w:w="517" w:type="pct"/>
                  <w:vAlign w:val="bottom"/>
                </w:tcPr>
                <w:p w:rsidR="00745FEA" w:rsidRPr="00857C3C" w:rsidRDefault="00745FEA" w:rsidP="00745FEA">
                  <w:pPr>
                    <w:pStyle w:val="TableBodyText"/>
                    <w:spacing w:after="20"/>
                    <w:ind w:right="57"/>
                  </w:pPr>
                  <w:r w:rsidRPr="00F73322">
                    <w:t>22.0</w:t>
                  </w:r>
                </w:p>
              </w:tc>
              <w:tc>
                <w:tcPr>
                  <w:tcW w:w="516" w:type="pct"/>
                  <w:vAlign w:val="bottom"/>
                </w:tcPr>
                <w:p w:rsidR="00745FEA" w:rsidRPr="00857C3C" w:rsidRDefault="00745FEA" w:rsidP="00745FEA">
                  <w:pPr>
                    <w:pStyle w:val="TableBodyText"/>
                    <w:spacing w:after="20"/>
                    <w:ind w:right="57"/>
                  </w:pPr>
                  <w:r w:rsidRPr="00F73322">
                    <w:t>19.6</w:t>
                  </w:r>
                </w:p>
              </w:tc>
              <w:tc>
                <w:tcPr>
                  <w:tcW w:w="516" w:type="pct"/>
                  <w:shd w:val="clear" w:color="auto" w:fill="auto"/>
                  <w:vAlign w:val="bottom"/>
                </w:tcPr>
                <w:p w:rsidR="00745FEA" w:rsidRPr="00857C3C" w:rsidRDefault="00745FEA" w:rsidP="00745FEA">
                  <w:pPr>
                    <w:pStyle w:val="TableBodyText"/>
                    <w:spacing w:after="20"/>
                    <w:ind w:right="57"/>
                  </w:pPr>
                  <w:r w:rsidRPr="00F73322">
                    <w:t>17.3</w:t>
                  </w:r>
                </w:p>
              </w:tc>
              <w:tc>
                <w:tcPr>
                  <w:tcW w:w="516" w:type="pct"/>
                  <w:shd w:val="clear" w:color="auto" w:fill="auto"/>
                  <w:vAlign w:val="bottom"/>
                </w:tcPr>
                <w:p w:rsidR="00745FEA" w:rsidRPr="00857C3C" w:rsidRDefault="00745FEA" w:rsidP="00745FEA">
                  <w:pPr>
                    <w:pStyle w:val="TableBodyText"/>
                    <w:spacing w:after="20"/>
                    <w:ind w:right="57"/>
                  </w:pPr>
                  <w:r w:rsidRPr="00F73322">
                    <w:t>30.2</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Printing and recorded media</w:t>
                  </w:r>
                </w:p>
              </w:tc>
              <w:tc>
                <w:tcPr>
                  <w:tcW w:w="516" w:type="pct"/>
                  <w:vAlign w:val="bottom"/>
                </w:tcPr>
                <w:p w:rsidR="00745FEA" w:rsidRPr="00857C3C" w:rsidRDefault="00745FEA" w:rsidP="00745FEA">
                  <w:pPr>
                    <w:pStyle w:val="TableBodyText"/>
                    <w:spacing w:after="20"/>
                    <w:ind w:right="57"/>
                  </w:pPr>
                  <w:r w:rsidRPr="00F73322">
                    <w:t>16.3</w:t>
                  </w:r>
                </w:p>
              </w:tc>
              <w:tc>
                <w:tcPr>
                  <w:tcW w:w="516" w:type="pct"/>
                  <w:vAlign w:val="bottom"/>
                </w:tcPr>
                <w:p w:rsidR="00745FEA" w:rsidRPr="00857C3C" w:rsidRDefault="00745FEA" w:rsidP="00745FEA">
                  <w:pPr>
                    <w:pStyle w:val="TableBodyText"/>
                    <w:spacing w:after="20"/>
                    <w:ind w:right="57"/>
                  </w:pPr>
                  <w:r w:rsidRPr="00F73322">
                    <w:t>45.7</w:t>
                  </w:r>
                </w:p>
              </w:tc>
              <w:tc>
                <w:tcPr>
                  <w:tcW w:w="517" w:type="pct"/>
                  <w:vAlign w:val="bottom"/>
                </w:tcPr>
                <w:p w:rsidR="00745FEA" w:rsidRPr="00857C3C" w:rsidRDefault="00745FEA" w:rsidP="00745FEA">
                  <w:pPr>
                    <w:pStyle w:val="TableBodyText"/>
                    <w:spacing w:after="20"/>
                    <w:ind w:right="57"/>
                  </w:pPr>
                  <w:r w:rsidRPr="00F73322">
                    <w:t>45.4</w:t>
                  </w:r>
                </w:p>
              </w:tc>
              <w:tc>
                <w:tcPr>
                  <w:tcW w:w="516" w:type="pct"/>
                  <w:vAlign w:val="bottom"/>
                </w:tcPr>
                <w:p w:rsidR="00745FEA" w:rsidRPr="00857C3C" w:rsidRDefault="00745FEA" w:rsidP="00745FEA">
                  <w:pPr>
                    <w:pStyle w:val="TableBodyText"/>
                    <w:spacing w:after="20"/>
                    <w:ind w:right="57"/>
                  </w:pPr>
                  <w:r w:rsidRPr="00F73322">
                    <w:t>52.0</w:t>
                  </w:r>
                </w:p>
              </w:tc>
              <w:tc>
                <w:tcPr>
                  <w:tcW w:w="516" w:type="pct"/>
                  <w:shd w:val="clear" w:color="auto" w:fill="auto"/>
                  <w:vAlign w:val="bottom"/>
                </w:tcPr>
                <w:p w:rsidR="00745FEA" w:rsidRPr="00857C3C" w:rsidRDefault="00745FEA" w:rsidP="00745FEA">
                  <w:pPr>
                    <w:pStyle w:val="TableBodyText"/>
                    <w:spacing w:after="20"/>
                    <w:ind w:right="57"/>
                  </w:pPr>
                  <w:r w:rsidRPr="00F73322">
                    <w:t>59.7</w:t>
                  </w:r>
                </w:p>
              </w:tc>
              <w:tc>
                <w:tcPr>
                  <w:tcW w:w="516" w:type="pct"/>
                  <w:shd w:val="clear" w:color="auto" w:fill="auto"/>
                  <w:vAlign w:val="bottom"/>
                </w:tcPr>
                <w:p w:rsidR="00745FEA" w:rsidRPr="00857C3C" w:rsidRDefault="00745FEA" w:rsidP="00745FEA">
                  <w:pPr>
                    <w:pStyle w:val="TableBodyText"/>
                    <w:spacing w:after="20"/>
                    <w:ind w:right="57"/>
                  </w:pPr>
                  <w:r w:rsidRPr="00F73322">
                    <w:t>73.4</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Petroleum, coal, chemical and rubber</w:t>
                  </w:r>
                </w:p>
              </w:tc>
              <w:tc>
                <w:tcPr>
                  <w:tcW w:w="516" w:type="pct"/>
                  <w:vAlign w:val="bottom"/>
                </w:tcPr>
                <w:p w:rsidR="00745FEA" w:rsidRPr="00857C3C" w:rsidRDefault="00745FEA" w:rsidP="00745FEA">
                  <w:pPr>
                    <w:pStyle w:val="TableBodyText"/>
                    <w:spacing w:after="20"/>
                    <w:ind w:right="57"/>
                  </w:pPr>
                  <w:r w:rsidRPr="00F73322">
                    <w:t>279.2</w:t>
                  </w:r>
                </w:p>
              </w:tc>
              <w:tc>
                <w:tcPr>
                  <w:tcW w:w="516" w:type="pct"/>
                  <w:vAlign w:val="bottom"/>
                </w:tcPr>
                <w:p w:rsidR="00745FEA" w:rsidRPr="00857C3C" w:rsidRDefault="00745FEA" w:rsidP="00745FEA">
                  <w:pPr>
                    <w:pStyle w:val="TableBodyText"/>
                    <w:spacing w:after="20"/>
                    <w:ind w:right="57"/>
                  </w:pPr>
                  <w:r w:rsidRPr="00F73322">
                    <w:t>334.4</w:t>
                  </w:r>
                </w:p>
              </w:tc>
              <w:tc>
                <w:tcPr>
                  <w:tcW w:w="517" w:type="pct"/>
                  <w:vAlign w:val="bottom"/>
                </w:tcPr>
                <w:p w:rsidR="00745FEA" w:rsidRPr="00857C3C" w:rsidRDefault="00745FEA" w:rsidP="00745FEA">
                  <w:pPr>
                    <w:pStyle w:val="TableBodyText"/>
                    <w:spacing w:after="20"/>
                    <w:ind w:right="57"/>
                  </w:pPr>
                  <w:r w:rsidRPr="00F73322">
                    <w:t>333.9</w:t>
                  </w:r>
                </w:p>
              </w:tc>
              <w:tc>
                <w:tcPr>
                  <w:tcW w:w="516" w:type="pct"/>
                  <w:vAlign w:val="bottom"/>
                </w:tcPr>
                <w:p w:rsidR="00745FEA" w:rsidRPr="00857C3C" w:rsidRDefault="00745FEA" w:rsidP="00745FEA">
                  <w:pPr>
                    <w:pStyle w:val="TableBodyText"/>
                    <w:spacing w:after="20"/>
                    <w:ind w:right="57"/>
                  </w:pPr>
                  <w:r w:rsidRPr="00F73322">
                    <w:t>315.7</w:t>
                  </w:r>
                </w:p>
              </w:tc>
              <w:tc>
                <w:tcPr>
                  <w:tcW w:w="516" w:type="pct"/>
                  <w:shd w:val="clear" w:color="auto" w:fill="auto"/>
                  <w:vAlign w:val="bottom"/>
                </w:tcPr>
                <w:p w:rsidR="00745FEA" w:rsidRPr="00857C3C" w:rsidRDefault="00745FEA" w:rsidP="00745FEA">
                  <w:pPr>
                    <w:pStyle w:val="TableBodyText"/>
                    <w:spacing w:after="20"/>
                    <w:ind w:right="57"/>
                  </w:pPr>
                  <w:r w:rsidRPr="00F73322">
                    <w:t>236.6</w:t>
                  </w:r>
                </w:p>
              </w:tc>
              <w:tc>
                <w:tcPr>
                  <w:tcW w:w="516" w:type="pct"/>
                  <w:shd w:val="clear" w:color="auto" w:fill="auto"/>
                  <w:vAlign w:val="bottom"/>
                </w:tcPr>
                <w:p w:rsidR="00745FEA" w:rsidRPr="00857C3C" w:rsidRDefault="00745FEA" w:rsidP="00745FEA">
                  <w:pPr>
                    <w:pStyle w:val="TableBodyText"/>
                    <w:spacing w:after="20"/>
                    <w:ind w:right="57"/>
                  </w:pPr>
                  <w:r w:rsidRPr="00F73322">
                    <w:t>238.8</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Non</w:t>
                  </w:r>
                  <w:r>
                    <w:noBreakHyphen/>
                  </w:r>
                  <w:r w:rsidRPr="002B6A72">
                    <w:t>metallic mineral products</w:t>
                  </w:r>
                </w:p>
              </w:tc>
              <w:tc>
                <w:tcPr>
                  <w:tcW w:w="516" w:type="pct"/>
                  <w:vAlign w:val="bottom"/>
                </w:tcPr>
                <w:p w:rsidR="00745FEA" w:rsidRPr="00857C3C" w:rsidRDefault="00745FEA" w:rsidP="00745FEA">
                  <w:pPr>
                    <w:pStyle w:val="TableBodyText"/>
                    <w:spacing w:after="20"/>
                    <w:ind w:right="57"/>
                  </w:pPr>
                  <w:r w:rsidRPr="00F73322">
                    <w:t>16.7</w:t>
                  </w:r>
                </w:p>
              </w:tc>
              <w:tc>
                <w:tcPr>
                  <w:tcW w:w="516" w:type="pct"/>
                  <w:vAlign w:val="bottom"/>
                </w:tcPr>
                <w:p w:rsidR="00745FEA" w:rsidRPr="00857C3C" w:rsidRDefault="00745FEA" w:rsidP="00745FEA">
                  <w:pPr>
                    <w:pStyle w:val="TableBodyText"/>
                    <w:spacing w:after="20"/>
                    <w:ind w:right="57"/>
                  </w:pPr>
                  <w:r w:rsidRPr="00F73322">
                    <w:t>23.7</w:t>
                  </w:r>
                </w:p>
              </w:tc>
              <w:tc>
                <w:tcPr>
                  <w:tcW w:w="517" w:type="pct"/>
                  <w:vAlign w:val="bottom"/>
                </w:tcPr>
                <w:p w:rsidR="00745FEA" w:rsidRPr="00857C3C" w:rsidRDefault="00745FEA" w:rsidP="00745FEA">
                  <w:pPr>
                    <w:pStyle w:val="TableBodyText"/>
                    <w:spacing w:after="20"/>
                    <w:ind w:right="57"/>
                  </w:pPr>
                  <w:r w:rsidRPr="00F73322">
                    <w:t>34.1</w:t>
                  </w:r>
                </w:p>
              </w:tc>
              <w:tc>
                <w:tcPr>
                  <w:tcW w:w="516" w:type="pct"/>
                  <w:vAlign w:val="bottom"/>
                </w:tcPr>
                <w:p w:rsidR="00745FEA" w:rsidRPr="00857C3C" w:rsidRDefault="00745FEA" w:rsidP="00745FEA">
                  <w:pPr>
                    <w:pStyle w:val="TableBodyText"/>
                    <w:spacing w:after="20"/>
                    <w:ind w:right="57"/>
                  </w:pPr>
                  <w:r w:rsidRPr="00F73322">
                    <w:t>26.4</w:t>
                  </w:r>
                </w:p>
              </w:tc>
              <w:tc>
                <w:tcPr>
                  <w:tcW w:w="516" w:type="pct"/>
                  <w:shd w:val="clear" w:color="auto" w:fill="auto"/>
                  <w:vAlign w:val="bottom"/>
                </w:tcPr>
                <w:p w:rsidR="00745FEA" w:rsidRPr="00857C3C" w:rsidRDefault="00745FEA" w:rsidP="00745FEA">
                  <w:pPr>
                    <w:pStyle w:val="TableBodyText"/>
                    <w:spacing w:after="20"/>
                    <w:ind w:right="57"/>
                  </w:pPr>
                  <w:r w:rsidRPr="00F73322">
                    <w:t>24.3</w:t>
                  </w:r>
                </w:p>
              </w:tc>
              <w:tc>
                <w:tcPr>
                  <w:tcW w:w="516" w:type="pct"/>
                  <w:shd w:val="clear" w:color="auto" w:fill="auto"/>
                  <w:vAlign w:val="bottom"/>
                </w:tcPr>
                <w:p w:rsidR="00745FEA" w:rsidRPr="00857C3C" w:rsidRDefault="00745FEA" w:rsidP="00745FEA">
                  <w:pPr>
                    <w:pStyle w:val="TableBodyText"/>
                    <w:spacing w:after="20"/>
                    <w:ind w:right="57"/>
                  </w:pPr>
                  <w:r w:rsidRPr="00F73322">
                    <w:t>26.5</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Metal and fabricated metal products</w:t>
                  </w:r>
                </w:p>
              </w:tc>
              <w:tc>
                <w:tcPr>
                  <w:tcW w:w="516" w:type="pct"/>
                  <w:vAlign w:val="bottom"/>
                </w:tcPr>
                <w:p w:rsidR="00745FEA" w:rsidRPr="00857C3C" w:rsidRDefault="00745FEA" w:rsidP="00745FEA">
                  <w:pPr>
                    <w:pStyle w:val="TableBodyText"/>
                    <w:spacing w:after="20"/>
                    <w:ind w:right="57"/>
                  </w:pPr>
                  <w:r w:rsidRPr="00F73322">
                    <w:t>288.7</w:t>
                  </w:r>
                </w:p>
              </w:tc>
              <w:tc>
                <w:tcPr>
                  <w:tcW w:w="516" w:type="pct"/>
                  <w:vAlign w:val="bottom"/>
                </w:tcPr>
                <w:p w:rsidR="00745FEA" w:rsidRPr="00857C3C" w:rsidRDefault="00745FEA" w:rsidP="00745FEA">
                  <w:pPr>
                    <w:pStyle w:val="TableBodyText"/>
                    <w:spacing w:after="20"/>
                    <w:ind w:right="57"/>
                  </w:pPr>
                  <w:r w:rsidRPr="00F73322">
                    <w:t>362.2</w:t>
                  </w:r>
                </w:p>
              </w:tc>
              <w:tc>
                <w:tcPr>
                  <w:tcW w:w="517" w:type="pct"/>
                  <w:vAlign w:val="bottom"/>
                </w:tcPr>
                <w:p w:rsidR="00745FEA" w:rsidRPr="00857C3C" w:rsidRDefault="00745FEA" w:rsidP="00745FEA">
                  <w:pPr>
                    <w:pStyle w:val="TableBodyText"/>
                    <w:spacing w:after="20"/>
                    <w:ind w:right="57"/>
                  </w:pPr>
                  <w:r w:rsidRPr="00F73322">
                    <w:t>298.7</w:t>
                  </w:r>
                </w:p>
              </w:tc>
              <w:tc>
                <w:tcPr>
                  <w:tcW w:w="516" w:type="pct"/>
                  <w:vAlign w:val="bottom"/>
                </w:tcPr>
                <w:p w:rsidR="00745FEA" w:rsidRPr="00857C3C" w:rsidRDefault="00745FEA" w:rsidP="00745FEA">
                  <w:pPr>
                    <w:pStyle w:val="TableBodyText"/>
                    <w:spacing w:after="20"/>
                    <w:ind w:right="57"/>
                  </w:pPr>
                  <w:r w:rsidRPr="00F73322">
                    <w:t>255.8</w:t>
                  </w:r>
                </w:p>
              </w:tc>
              <w:tc>
                <w:tcPr>
                  <w:tcW w:w="516" w:type="pct"/>
                  <w:shd w:val="clear" w:color="auto" w:fill="auto"/>
                  <w:vAlign w:val="bottom"/>
                </w:tcPr>
                <w:p w:rsidR="00745FEA" w:rsidRPr="00857C3C" w:rsidRDefault="00745FEA" w:rsidP="00745FEA">
                  <w:pPr>
                    <w:pStyle w:val="TableBodyText"/>
                    <w:spacing w:after="20"/>
                    <w:ind w:right="57"/>
                  </w:pPr>
                  <w:r w:rsidRPr="00F73322">
                    <w:t>208.8</w:t>
                  </w:r>
                </w:p>
              </w:tc>
              <w:tc>
                <w:tcPr>
                  <w:tcW w:w="516" w:type="pct"/>
                  <w:shd w:val="clear" w:color="auto" w:fill="auto"/>
                  <w:vAlign w:val="bottom"/>
                </w:tcPr>
                <w:p w:rsidR="00745FEA" w:rsidRPr="00857C3C" w:rsidRDefault="00745FEA" w:rsidP="00745FEA">
                  <w:pPr>
                    <w:pStyle w:val="TableBodyText"/>
                    <w:spacing w:after="20"/>
                    <w:ind w:right="57"/>
                  </w:pPr>
                  <w:r w:rsidRPr="00F73322">
                    <w:t>263.8</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Motor vehicle</w:t>
                  </w:r>
                  <w:r>
                    <w:t>s</w:t>
                  </w:r>
                  <w:r w:rsidRPr="002B6A72">
                    <w:t xml:space="preserve"> and parts</w:t>
                  </w:r>
                </w:p>
              </w:tc>
              <w:tc>
                <w:tcPr>
                  <w:tcW w:w="516" w:type="pct"/>
                  <w:vAlign w:val="bottom"/>
                </w:tcPr>
                <w:p w:rsidR="00745FEA" w:rsidRPr="00857C3C" w:rsidRDefault="00745FEA" w:rsidP="00745FEA">
                  <w:pPr>
                    <w:pStyle w:val="TableBodyText"/>
                    <w:spacing w:after="20"/>
                    <w:ind w:right="57"/>
                  </w:pPr>
                  <w:r w:rsidRPr="00F73322">
                    <w:t>625.4</w:t>
                  </w:r>
                </w:p>
              </w:tc>
              <w:tc>
                <w:tcPr>
                  <w:tcW w:w="516" w:type="pct"/>
                  <w:vAlign w:val="bottom"/>
                </w:tcPr>
                <w:p w:rsidR="00745FEA" w:rsidRPr="00857C3C" w:rsidRDefault="00745FEA" w:rsidP="00745FEA">
                  <w:pPr>
                    <w:pStyle w:val="TableBodyText"/>
                    <w:spacing w:after="20"/>
                    <w:ind w:right="57"/>
                  </w:pPr>
                  <w:r w:rsidRPr="00F73322">
                    <w:t>458.6</w:t>
                  </w:r>
                </w:p>
              </w:tc>
              <w:tc>
                <w:tcPr>
                  <w:tcW w:w="517" w:type="pct"/>
                  <w:vAlign w:val="bottom"/>
                </w:tcPr>
                <w:p w:rsidR="00745FEA" w:rsidRPr="00857C3C" w:rsidRDefault="00745FEA" w:rsidP="00745FEA">
                  <w:pPr>
                    <w:pStyle w:val="TableBodyText"/>
                    <w:spacing w:after="20"/>
                    <w:ind w:right="57"/>
                  </w:pPr>
                  <w:r w:rsidRPr="00F73322">
                    <w:t>399.9</w:t>
                  </w:r>
                </w:p>
              </w:tc>
              <w:tc>
                <w:tcPr>
                  <w:tcW w:w="516" w:type="pct"/>
                  <w:vAlign w:val="bottom"/>
                </w:tcPr>
                <w:p w:rsidR="00745FEA" w:rsidRPr="00857C3C" w:rsidRDefault="00745FEA" w:rsidP="00745FEA">
                  <w:pPr>
                    <w:pStyle w:val="TableBodyText"/>
                    <w:spacing w:after="20"/>
                    <w:ind w:right="57"/>
                  </w:pPr>
                  <w:r w:rsidRPr="00F73322">
                    <w:t>351.8</w:t>
                  </w:r>
                </w:p>
              </w:tc>
              <w:tc>
                <w:tcPr>
                  <w:tcW w:w="516" w:type="pct"/>
                  <w:shd w:val="clear" w:color="auto" w:fill="auto"/>
                  <w:vAlign w:val="bottom"/>
                </w:tcPr>
                <w:p w:rsidR="00745FEA" w:rsidRPr="00857C3C" w:rsidRDefault="00745FEA" w:rsidP="00745FEA">
                  <w:pPr>
                    <w:pStyle w:val="TableBodyText"/>
                    <w:spacing w:after="20"/>
                    <w:ind w:right="57"/>
                  </w:pPr>
                  <w:r w:rsidRPr="00F73322">
                    <w:t>299.4</w:t>
                  </w:r>
                </w:p>
              </w:tc>
              <w:tc>
                <w:tcPr>
                  <w:tcW w:w="516" w:type="pct"/>
                  <w:shd w:val="clear" w:color="auto" w:fill="auto"/>
                  <w:vAlign w:val="bottom"/>
                </w:tcPr>
                <w:p w:rsidR="00745FEA" w:rsidRPr="00857C3C" w:rsidRDefault="00745FEA" w:rsidP="00745FEA">
                  <w:pPr>
                    <w:pStyle w:val="TableBodyText"/>
                    <w:spacing w:after="20"/>
                    <w:ind w:right="57"/>
                  </w:pPr>
                  <w:r w:rsidRPr="00F73322">
                    <w:t>243.4</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Other transport equipment</w:t>
                  </w:r>
                </w:p>
              </w:tc>
              <w:tc>
                <w:tcPr>
                  <w:tcW w:w="516" w:type="pct"/>
                  <w:vAlign w:val="bottom"/>
                </w:tcPr>
                <w:p w:rsidR="00745FEA" w:rsidRPr="00857C3C" w:rsidRDefault="00745FEA" w:rsidP="00745FEA">
                  <w:pPr>
                    <w:pStyle w:val="TableBodyText"/>
                    <w:spacing w:after="20"/>
                    <w:ind w:right="57"/>
                  </w:pPr>
                  <w:r w:rsidRPr="00F73322">
                    <w:t>22.0</w:t>
                  </w:r>
                </w:p>
              </w:tc>
              <w:tc>
                <w:tcPr>
                  <w:tcW w:w="516" w:type="pct"/>
                  <w:vAlign w:val="bottom"/>
                </w:tcPr>
                <w:p w:rsidR="00745FEA" w:rsidRPr="00857C3C" w:rsidRDefault="00745FEA" w:rsidP="00745FEA">
                  <w:pPr>
                    <w:pStyle w:val="TableBodyText"/>
                    <w:spacing w:after="20"/>
                    <w:ind w:right="57"/>
                  </w:pPr>
                  <w:r w:rsidRPr="00F73322">
                    <w:t>24.3</w:t>
                  </w:r>
                </w:p>
              </w:tc>
              <w:tc>
                <w:tcPr>
                  <w:tcW w:w="517" w:type="pct"/>
                  <w:vAlign w:val="bottom"/>
                </w:tcPr>
                <w:p w:rsidR="00745FEA" w:rsidRPr="00857C3C" w:rsidRDefault="00745FEA" w:rsidP="00745FEA">
                  <w:pPr>
                    <w:pStyle w:val="TableBodyText"/>
                    <w:spacing w:after="20"/>
                    <w:ind w:right="57"/>
                  </w:pPr>
                  <w:r w:rsidRPr="00F73322">
                    <w:t>22.3</w:t>
                  </w:r>
                </w:p>
              </w:tc>
              <w:tc>
                <w:tcPr>
                  <w:tcW w:w="516" w:type="pct"/>
                  <w:vAlign w:val="bottom"/>
                </w:tcPr>
                <w:p w:rsidR="00745FEA" w:rsidRPr="00857C3C" w:rsidRDefault="00745FEA" w:rsidP="00745FEA">
                  <w:pPr>
                    <w:pStyle w:val="TableBodyText"/>
                    <w:spacing w:after="20"/>
                    <w:ind w:right="57"/>
                  </w:pPr>
                  <w:r w:rsidRPr="00F73322">
                    <w:t>30.7</w:t>
                  </w:r>
                </w:p>
              </w:tc>
              <w:tc>
                <w:tcPr>
                  <w:tcW w:w="516" w:type="pct"/>
                  <w:shd w:val="clear" w:color="auto" w:fill="auto"/>
                  <w:vAlign w:val="bottom"/>
                </w:tcPr>
                <w:p w:rsidR="00745FEA" w:rsidRPr="00857C3C" w:rsidRDefault="00745FEA" w:rsidP="00745FEA">
                  <w:pPr>
                    <w:pStyle w:val="TableBodyText"/>
                    <w:spacing w:after="20"/>
                    <w:ind w:right="57"/>
                  </w:pPr>
                  <w:r w:rsidRPr="00F73322">
                    <w:t>42.5</w:t>
                  </w:r>
                </w:p>
              </w:tc>
              <w:tc>
                <w:tcPr>
                  <w:tcW w:w="516" w:type="pct"/>
                  <w:shd w:val="clear" w:color="auto" w:fill="auto"/>
                  <w:vAlign w:val="bottom"/>
                </w:tcPr>
                <w:p w:rsidR="00745FEA" w:rsidRPr="00857C3C" w:rsidRDefault="00745FEA" w:rsidP="00745FEA">
                  <w:pPr>
                    <w:pStyle w:val="TableBodyText"/>
                    <w:spacing w:after="20"/>
                    <w:ind w:right="57"/>
                  </w:pPr>
                  <w:r w:rsidRPr="00F73322">
                    <w:t>36.2</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Machinery &amp; equipment manufacturing</w:t>
                  </w:r>
                </w:p>
              </w:tc>
              <w:tc>
                <w:tcPr>
                  <w:tcW w:w="516" w:type="pct"/>
                  <w:vAlign w:val="bottom"/>
                </w:tcPr>
                <w:p w:rsidR="00745FEA" w:rsidRPr="00857C3C" w:rsidRDefault="00745FEA" w:rsidP="00745FEA">
                  <w:pPr>
                    <w:pStyle w:val="TableBodyText"/>
                    <w:spacing w:after="20"/>
                    <w:ind w:right="57"/>
                  </w:pPr>
                  <w:r w:rsidRPr="00F73322">
                    <w:t>154.0</w:t>
                  </w:r>
                </w:p>
              </w:tc>
              <w:tc>
                <w:tcPr>
                  <w:tcW w:w="516" w:type="pct"/>
                  <w:vAlign w:val="bottom"/>
                </w:tcPr>
                <w:p w:rsidR="00745FEA" w:rsidRPr="00857C3C" w:rsidRDefault="00745FEA" w:rsidP="00745FEA">
                  <w:pPr>
                    <w:pStyle w:val="TableBodyText"/>
                    <w:spacing w:after="20"/>
                    <w:ind w:right="57"/>
                  </w:pPr>
                  <w:r w:rsidRPr="00F73322">
                    <w:t>234.7</w:t>
                  </w:r>
                </w:p>
              </w:tc>
              <w:tc>
                <w:tcPr>
                  <w:tcW w:w="517" w:type="pct"/>
                  <w:vAlign w:val="bottom"/>
                </w:tcPr>
                <w:p w:rsidR="00745FEA" w:rsidRPr="00857C3C" w:rsidRDefault="00745FEA" w:rsidP="00745FEA">
                  <w:pPr>
                    <w:pStyle w:val="TableBodyText"/>
                    <w:spacing w:after="20"/>
                    <w:ind w:right="57"/>
                  </w:pPr>
                  <w:r w:rsidRPr="00F73322">
                    <w:t>206.9</w:t>
                  </w:r>
                </w:p>
              </w:tc>
              <w:tc>
                <w:tcPr>
                  <w:tcW w:w="516" w:type="pct"/>
                  <w:vAlign w:val="bottom"/>
                </w:tcPr>
                <w:p w:rsidR="00745FEA" w:rsidRPr="00857C3C" w:rsidRDefault="00745FEA" w:rsidP="00745FEA">
                  <w:pPr>
                    <w:pStyle w:val="TableBodyText"/>
                    <w:spacing w:after="20"/>
                    <w:ind w:right="57"/>
                  </w:pPr>
                  <w:r w:rsidRPr="00F73322">
                    <w:t>236.7</w:t>
                  </w:r>
                </w:p>
              </w:tc>
              <w:tc>
                <w:tcPr>
                  <w:tcW w:w="516" w:type="pct"/>
                  <w:shd w:val="clear" w:color="auto" w:fill="auto"/>
                  <w:vAlign w:val="bottom"/>
                </w:tcPr>
                <w:p w:rsidR="00745FEA" w:rsidRPr="00857C3C" w:rsidRDefault="00745FEA" w:rsidP="00745FEA">
                  <w:pPr>
                    <w:pStyle w:val="TableBodyText"/>
                    <w:spacing w:after="20"/>
                    <w:ind w:right="57"/>
                  </w:pPr>
                  <w:r w:rsidRPr="00F73322">
                    <w:t>243.0</w:t>
                  </w:r>
                </w:p>
              </w:tc>
              <w:tc>
                <w:tcPr>
                  <w:tcW w:w="516" w:type="pct"/>
                  <w:shd w:val="clear" w:color="auto" w:fill="auto"/>
                  <w:vAlign w:val="bottom"/>
                </w:tcPr>
                <w:p w:rsidR="00745FEA" w:rsidRPr="00857C3C" w:rsidRDefault="00745FEA" w:rsidP="00745FEA">
                  <w:pPr>
                    <w:pStyle w:val="TableBodyText"/>
                    <w:spacing w:after="20"/>
                    <w:ind w:right="57"/>
                  </w:pPr>
                  <w:r w:rsidRPr="00F73322">
                    <w:t>275.3</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Furniture and other manufacturing</w:t>
                  </w:r>
                </w:p>
              </w:tc>
              <w:tc>
                <w:tcPr>
                  <w:tcW w:w="516" w:type="pct"/>
                  <w:vAlign w:val="bottom"/>
                </w:tcPr>
                <w:p w:rsidR="00745FEA" w:rsidRPr="00857C3C" w:rsidRDefault="00745FEA" w:rsidP="00745FEA">
                  <w:pPr>
                    <w:pStyle w:val="TableBodyText"/>
                    <w:spacing w:after="20"/>
                    <w:ind w:right="57"/>
                  </w:pPr>
                  <w:r w:rsidRPr="00F73322">
                    <w:t>32.3</w:t>
                  </w:r>
                </w:p>
              </w:tc>
              <w:tc>
                <w:tcPr>
                  <w:tcW w:w="516" w:type="pct"/>
                  <w:vAlign w:val="bottom"/>
                </w:tcPr>
                <w:p w:rsidR="00745FEA" w:rsidRPr="00857C3C" w:rsidRDefault="00745FEA" w:rsidP="00745FEA">
                  <w:pPr>
                    <w:pStyle w:val="TableBodyText"/>
                    <w:spacing w:after="20"/>
                    <w:ind w:right="57"/>
                  </w:pPr>
                  <w:r w:rsidRPr="00F73322">
                    <w:t>34.7</w:t>
                  </w:r>
                </w:p>
              </w:tc>
              <w:tc>
                <w:tcPr>
                  <w:tcW w:w="517" w:type="pct"/>
                  <w:vAlign w:val="bottom"/>
                </w:tcPr>
                <w:p w:rsidR="00745FEA" w:rsidRPr="00857C3C" w:rsidRDefault="00745FEA" w:rsidP="00745FEA">
                  <w:pPr>
                    <w:pStyle w:val="TableBodyText"/>
                    <w:spacing w:after="20"/>
                    <w:ind w:right="57"/>
                  </w:pPr>
                  <w:r w:rsidRPr="00F73322">
                    <w:t>29.8</w:t>
                  </w:r>
                </w:p>
              </w:tc>
              <w:tc>
                <w:tcPr>
                  <w:tcW w:w="516" w:type="pct"/>
                  <w:vAlign w:val="bottom"/>
                </w:tcPr>
                <w:p w:rsidR="00745FEA" w:rsidRPr="00857C3C" w:rsidRDefault="00745FEA" w:rsidP="00745FEA">
                  <w:pPr>
                    <w:pStyle w:val="TableBodyText"/>
                    <w:spacing w:after="20"/>
                    <w:ind w:right="57"/>
                  </w:pPr>
                  <w:r w:rsidRPr="00F73322">
                    <w:t>23.0</w:t>
                  </w:r>
                </w:p>
              </w:tc>
              <w:tc>
                <w:tcPr>
                  <w:tcW w:w="516" w:type="pct"/>
                  <w:shd w:val="clear" w:color="auto" w:fill="auto"/>
                  <w:vAlign w:val="bottom"/>
                </w:tcPr>
                <w:p w:rsidR="00745FEA" w:rsidRPr="00857C3C" w:rsidRDefault="00745FEA" w:rsidP="00745FEA">
                  <w:pPr>
                    <w:pStyle w:val="TableBodyText"/>
                    <w:spacing w:after="20"/>
                    <w:ind w:right="57"/>
                  </w:pPr>
                  <w:r w:rsidRPr="00F73322">
                    <w:t>22.4</w:t>
                  </w:r>
                </w:p>
              </w:tc>
              <w:tc>
                <w:tcPr>
                  <w:tcW w:w="516" w:type="pct"/>
                  <w:shd w:val="clear" w:color="auto" w:fill="auto"/>
                  <w:vAlign w:val="bottom"/>
                </w:tcPr>
                <w:p w:rsidR="00745FEA" w:rsidRPr="00857C3C" w:rsidRDefault="00745FEA" w:rsidP="00745FEA">
                  <w:pPr>
                    <w:pStyle w:val="TableBodyText"/>
                    <w:spacing w:after="20"/>
                    <w:ind w:right="57"/>
                  </w:pPr>
                  <w:r w:rsidRPr="00F73322">
                    <w:t>31.9</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 xml:space="preserve">Unallocated </w:t>
                  </w:r>
                  <w:r>
                    <w:t>manufacturing</w:t>
                  </w:r>
                  <w:r>
                    <w:rPr>
                      <w:rStyle w:val="NoteLabel"/>
                    </w:rPr>
                    <w:t>a</w:t>
                  </w:r>
                </w:p>
              </w:tc>
              <w:tc>
                <w:tcPr>
                  <w:tcW w:w="516" w:type="pct"/>
                  <w:vAlign w:val="bottom"/>
                </w:tcPr>
                <w:p w:rsidR="00745FEA" w:rsidRPr="00857C3C" w:rsidRDefault="00745FEA" w:rsidP="00745FEA">
                  <w:pPr>
                    <w:pStyle w:val="TableBodyText"/>
                    <w:ind w:right="57"/>
                  </w:pPr>
                  <w:r w:rsidRPr="00F73322">
                    <w:t>230.0</w:t>
                  </w:r>
                </w:p>
              </w:tc>
              <w:tc>
                <w:tcPr>
                  <w:tcW w:w="516" w:type="pct"/>
                  <w:vAlign w:val="bottom"/>
                </w:tcPr>
                <w:p w:rsidR="00745FEA" w:rsidRPr="00857C3C" w:rsidRDefault="00745FEA" w:rsidP="00745FEA">
                  <w:pPr>
                    <w:pStyle w:val="TableBodyText"/>
                    <w:ind w:right="57"/>
                  </w:pPr>
                  <w:r w:rsidRPr="00F73322">
                    <w:t>203.2</w:t>
                  </w:r>
                </w:p>
              </w:tc>
              <w:tc>
                <w:tcPr>
                  <w:tcW w:w="517" w:type="pct"/>
                  <w:vAlign w:val="bottom"/>
                </w:tcPr>
                <w:p w:rsidR="00745FEA" w:rsidRPr="00857C3C" w:rsidRDefault="00745FEA" w:rsidP="00745FEA">
                  <w:pPr>
                    <w:pStyle w:val="TableBodyText"/>
                    <w:ind w:right="57"/>
                  </w:pPr>
                  <w:r w:rsidRPr="00F73322">
                    <w:t>197.9</w:t>
                  </w:r>
                </w:p>
              </w:tc>
              <w:tc>
                <w:tcPr>
                  <w:tcW w:w="516" w:type="pct"/>
                  <w:vAlign w:val="bottom"/>
                </w:tcPr>
                <w:p w:rsidR="00745FEA" w:rsidRPr="00857C3C" w:rsidRDefault="00745FEA" w:rsidP="00745FEA">
                  <w:pPr>
                    <w:pStyle w:val="TableBodyText"/>
                    <w:ind w:right="57"/>
                  </w:pPr>
                  <w:r w:rsidRPr="00F73322">
                    <w:t>237.7</w:t>
                  </w:r>
                </w:p>
              </w:tc>
              <w:tc>
                <w:tcPr>
                  <w:tcW w:w="516" w:type="pct"/>
                  <w:shd w:val="clear" w:color="auto" w:fill="auto"/>
                  <w:vAlign w:val="bottom"/>
                </w:tcPr>
                <w:p w:rsidR="00745FEA" w:rsidRPr="00857C3C" w:rsidRDefault="00745FEA" w:rsidP="00745FEA">
                  <w:pPr>
                    <w:pStyle w:val="TableBodyText"/>
                    <w:ind w:right="57"/>
                  </w:pPr>
                  <w:r w:rsidRPr="00F73322">
                    <w:t>326.2</w:t>
                  </w:r>
                </w:p>
              </w:tc>
              <w:tc>
                <w:tcPr>
                  <w:tcW w:w="516" w:type="pct"/>
                  <w:shd w:val="clear" w:color="auto" w:fill="auto"/>
                  <w:vAlign w:val="bottom"/>
                </w:tcPr>
                <w:p w:rsidR="00745FEA" w:rsidRPr="00857C3C" w:rsidRDefault="00745FEA" w:rsidP="00745FEA">
                  <w:pPr>
                    <w:pStyle w:val="TableBodyText"/>
                    <w:ind w:right="57"/>
                  </w:pPr>
                  <w:r w:rsidRPr="00F73322">
                    <w:t>337.8</w:t>
                  </w:r>
                </w:p>
              </w:tc>
            </w:tr>
            <w:tr w:rsidR="00745FEA" w:rsidRPr="00F4344E" w:rsidTr="00745FEA">
              <w:tc>
                <w:tcPr>
                  <w:tcW w:w="1903" w:type="pct"/>
                  <w:shd w:val="clear" w:color="auto" w:fill="auto"/>
                  <w:vAlign w:val="bottom"/>
                </w:tcPr>
                <w:p w:rsidR="00745FEA" w:rsidRPr="00F4344E" w:rsidRDefault="00745FEA" w:rsidP="00745FEA">
                  <w:pPr>
                    <w:pStyle w:val="TableBodyText"/>
                    <w:jc w:val="left"/>
                    <w:rPr>
                      <w:b/>
                    </w:rPr>
                  </w:pPr>
                  <w:r w:rsidRPr="00F4344E">
                    <w:rPr>
                      <w:b/>
                    </w:rPr>
                    <w:t>Services</w:t>
                  </w:r>
                </w:p>
              </w:tc>
              <w:tc>
                <w:tcPr>
                  <w:tcW w:w="516" w:type="pct"/>
                  <w:vAlign w:val="bottom"/>
                </w:tcPr>
                <w:p w:rsidR="00745FEA" w:rsidRPr="00F4344E" w:rsidRDefault="00745FEA" w:rsidP="00745FEA">
                  <w:pPr>
                    <w:pStyle w:val="TableBodyText"/>
                    <w:ind w:right="57"/>
                    <w:rPr>
                      <w:b/>
                    </w:rPr>
                  </w:pPr>
                  <w:r w:rsidRPr="00F4344E">
                    <w:rPr>
                      <w:b/>
                    </w:rPr>
                    <w:t>5083.0</w:t>
                  </w:r>
                </w:p>
              </w:tc>
              <w:tc>
                <w:tcPr>
                  <w:tcW w:w="516" w:type="pct"/>
                  <w:vAlign w:val="bottom"/>
                </w:tcPr>
                <w:p w:rsidR="00745FEA" w:rsidRPr="00F4344E" w:rsidRDefault="00745FEA" w:rsidP="00745FEA">
                  <w:pPr>
                    <w:pStyle w:val="TableBodyText"/>
                    <w:ind w:right="57"/>
                    <w:rPr>
                      <w:b/>
                    </w:rPr>
                  </w:pPr>
                  <w:r w:rsidRPr="00F4344E">
                    <w:rPr>
                      <w:b/>
                    </w:rPr>
                    <w:t>4252.9</w:t>
                  </w:r>
                </w:p>
              </w:tc>
              <w:tc>
                <w:tcPr>
                  <w:tcW w:w="517" w:type="pct"/>
                  <w:vAlign w:val="bottom"/>
                </w:tcPr>
                <w:p w:rsidR="00745FEA" w:rsidRPr="00F4344E" w:rsidRDefault="00745FEA" w:rsidP="00745FEA">
                  <w:pPr>
                    <w:pStyle w:val="TableBodyText"/>
                    <w:ind w:right="57"/>
                    <w:rPr>
                      <w:b/>
                    </w:rPr>
                  </w:pPr>
                  <w:r w:rsidRPr="00F4344E">
                    <w:rPr>
                      <w:b/>
                    </w:rPr>
                    <w:t>3965.0</w:t>
                  </w:r>
                </w:p>
              </w:tc>
              <w:tc>
                <w:tcPr>
                  <w:tcW w:w="516" w:type="pct"/>
                  <w:vAlign w:val="bottom"/>
                </w:tcPr>
                <w:p w:rsidR="00745FEA" w:rsidRPr="00F4344E" w:rsidRDefault="00745FEA" w:rsidP="00745FEA">
                  <w:pPr>
                    <w:pStyle w:val="TableBodyText"/>
                    <w:ind w:right="57"/>
                    <w:rPr>
                      <w:b/>
                    </w:rPr>
                  </w:pPr>
                  <w:r w:rsidRPr="00F4344E">
                    <w:rPr>
                      <w:b/>
                    </w:rPr>
                    <w:t>4105.8</w:t>
                  </w:r>
                </w:p>
              </w:tc>
              <w:tc>
                <w:tcPr>
                  <w:tcW w:w="516" w:type="pct"/>
                  <w:shd w:val="clear" w:color="auto" w:fill="auto"/>
                  <w:vAlign w:val="bottom"/>
                </w:tcPr>
                <w:p w:rsidR="00745FEA" w:rsidRPr="00F4344E" w:rsidRDefault="00745FEA" w:rsidP="00745FEA">
                  <w:pPr>
                    <w:pStyle w:val="TableBodyText"/>
                    <w:ind w:right="57"/>
                    <w:rPr>
                      <w:b/>
                    </w:rPr>
                  </w:pPr>
                  <w:r w:rsidRPr="00F4344E">
                    <w:rPr>
                      <w:b/>
                    </w:rPr>
                    <w:t>4227.5</w:t>
                  </w:r>
                </w:p>
              </w:tc>
              <w:tc>
                <w:tcPr>
                  <w:tcW w:w="516" w:type="pct"/>
                  <w:shd w:val="clear" w:color="auto" w:fill="auto"/>
                  <w:vAlign w:val="bottom"/>
                </w:tcPr>
                <w:p w:rsidR="00745FEA" w:rsidRPr="00F4344E" w:rsidRDefault="00745FEA" w:rsidP="00745FEA">
                  <w:pPr>
                    <w:pStyle w:val="TableBodyText"/>
                    <w:ind w:right="57"/>
                    <w:rPr>
                      <w:b/>
                    </w:rPr>
                  </w:pPr>
                  <w:r w:rsidRPr="00F4344E">
                    <w:rPr>
                      <w:b/>
                    </w:rPr>
                    <w:t>5478.0</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Electricity, gas, water &amp; waste services</w:t>
                  </w:r>
                </w:p>
              </w:tc>
              <w:tc>
                <w:tcPr>
                  <w:tcW w:w="516" w:type="pct"/>
                  <w:vAlign w:val="bottom"/>
                </w:tcPr>
                <w:p w:rsidR="00745FEA" w:rsidRPr="00857C3C" w:rsidRDefault="00745FEA" w:rsidP="00745FEA">
                  <w:pPr>
                    <w:pStyle w:val="TableBodyText"/>
                    <w:spacing w:after="20"/>
                    <w:ind w:right="57"/>
                  </w:pPr>
                  <w:r w:rsidRPr="00F73322">
                    <w:t>1106.1</w:t>
                  </w:r>
                </w:p>
              </w:tc>
              <w:tc>
                <w:tcPr>
                  <w:tcW w:w="516" w:type="pct"/>
                  <w:vAlign w:val="bottom"/>
                </w:tcPr>
                <w:p w:rsidR="00745FEA" w:rsidRPr="00857C3C" w:rsidRDefault="00745FEA" w:rsidP="00745FEA">
                  <w:pPr>
                    <w:pStyle w:val="TableBodyText"/>
                    <w:spacing w:after="20"/>
                    <w:ind w:right="57"/>
                  </w:pPr>
                  <w:r w:rsidRPr="00F73322">
                    <w:t>142.9</w:t>
                  </w:r>
                </w:p>
              </w:tc>
              <w:tc>
                <w:tcPr>
                  <w:tcW w:w="517" w:type="pct"/>
                  <w:vAlign w:val="bottom"/>
                </w:tcPr>
                <w:p w:rsidR="00745FEA" w:rsidRPr="00857C3C" w:rsidRDefault="00745FEA" w:rsidP="00745FEA">
                  <w:pPr>
                    <w:pStyle w:val="TableBodyText"/>
                    <w:spacing w:after="20"/>
                    <w:ind w:right="57"/>
                  </w:pPr>
                  <w:r w:rsidRPr="00F73322">
                    <w:t>166.5</w:t>
                  </w:r>
                </w:p>
              </w:tc>
              <w:tc>
                <w:tcPr>
                  <w:tcW w:w="516" w:type="pct"/>
                  <w:vAlign w:val="bottom"/>
                </w:tcPr>
                <w:p w:rsidR="00745FEA" w:rsidRPr="00857C3C" w:rsidRDefault="00745FEA" w:rsidP="00745FEA">
                  <w:pPr>
                    <w:pStyle w:val="TableBodyText"/>
                    <w:spacing w:after="20"/>
                    <w:ind w:right="57"/>
                  </w:pPr>
                  <w:r w:rsidRPr="00F73322">
                    <w:t>231.5</w:t>
                  </w:r>
                </w:p>
              </w:tc>
              <w:tc>
                <w:tcPr>
                  <w:tcW w:w="516" w:type="pct"/>
                  <w:shd w:val="clear" w:color="auto" w:fill="auto"/>
                  <w:vAlign w:val="bottom"/>
                </w:tcPr>
                <w:p w:rsidR="00745FEA" w:rsidRPr="00857C3C" w:rsidRDefault="00745FEA" w:rsidP="00745FEA">
                  <w:pPr>
                    <w:pStyle w:val="TableBodyText"/>
                    <w:spacing w:after="20"/>
                    <w:ind w:right="57"/>
                  </w:pPr>
                  <w:r w:rsidRPr="00F73322">
                    <w:t>157.7</w:t>
                  </w:r>
                </w:p>
              </w:tc>
              <w:tc>
                <w:tcPr>
                  <w:tcW w:w="516" w:type="pct"/>
                  <w:shd w:val="clear" w:color="auto" w:fill="auto"/>
                  <w:vAlign w:val="bottom"/>
                </w:tcPr>
                <w:p w:rsidR="00745FEA" w:rsidRPr="00857C3C" w:rsidRDefault="00745FEA" w:rsidP="00745FEA">
                  <w:pPr>
                    <w:pStyle w:val="TableBodyText"/>
                    <w:spacing w:after="20"/>
                    <w:ind w:right="57"/>
                  </w:pPr>
                  <w:r w:rsidRPr="00F73322">
                    <w:t>149.3</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Construction</w:t>
                  </w:r>
                </w:p>
              </w:tc>
              <w:tc>
                <w:tcPr>
                  <w:tcW w:w="516" w:type="pct"/>
                  <w:vAlign w:val="bottom"/>
                </w:tcPr>
                <w:p w:rsidR="00745FEA" w:rsidRPr="00857C3C" w:rsidRDefault="00745FEA" w:rsidP="00745FEA">
                  <w:pPr>
                    <w:pStyle w:val="TableBodyText"/>
                    <w:spacing w:after="20"/>
                    <w:ind w:right="57"/>
                  </w:pPr>
                  <w:r w:rsidRPr="00F73322">
                    <w:t>210.6</w:t>
                  </w:r>
                </w:p>
              </w:tc>
              <w:tc>
                <w:tcPr>
                  <w:tcW w:w="516" w:type="pct"/>
                  <w:vAlign w:val="bottom"/>
                </w:tcPr>
                <w:p w:rsidR="00745FEA" w:rsidRPr="00857C3C" w:rsidRDefault="00745FEA" w:rsidP="00745FEA">
                  <w:pPr>
                    <w:pStyle w:val="TableBodyText"/>
                    <w:spacing w:after="20"/>
                    <w:ind w:right="57"/>
                  </w:pPr>
                  <w:r w:rsidRPr="00F73322">
                    <w:t>197.6</w:t>
                  </w:r>
                </w:p>
              </w:tc>
              <w:tc>
                <w:tcPr>
                  <w:tcW w:w="517" w:type="pct"/>
                  <w:vAlign w:val="bottom"/>
                </w:tcPr>
                <w:p w:rsidR="00745FEA" w:rsidRPr="00857C3C" w:rsidRDefault="00745FEA" w:rsidP="00745FEA">
                  <w:pPr>
                    <w:pStyle w:val="TableBodyText"/>
                    <w:spacing w:after="20"/>
                    <w:ind w:right="57"/>
                  </w:pPr>
                  <w:r w:rsidRPr="00F73322">
                    <w:t>157.6</w:t>
                  </w:r>
                </w:p>
              </w:tc>
              <w:tc>
                <w:tcPr>
                  <w:tcW w:w="516" w:type="pct"/>
                  <w:vAlign w:val="bottom"/>
                </w:tcPr>
                <w:p w:rsidR="00745FEA" w:rsidRPr="00857C3C" w:rsidRDefault="00745FEA" w:rsidP="00745FEA">
                  <w:pPr>
                    <w:pStyle w:val="TableBodyText"/>
                    <w:spacing w:after="20"/>
                    <w:ind w:right="57"/>
                  </w:pPr>
                  <w:r w:rsidRPr="00F73322">
                    <w:t>131.7</w:t>
                  </w:r>
                </w:p>
              </w:tc>
              <w:tc>
                <w:tcPr>
                  <w:tcW w:w="516" w:type="pct"/>
                  <w:shd w:val="clear" w:color="auto" w:fill="auto"/>
                  <w:vAlign w:val="bottom"/>
                </w:tcPr>
                <w:p w:rsidR="00745FEA" w:rsidRPr="00857C3C" w:rsidRDefault="00745FEA" w:rsidP="00745FEA">
                  <w:pPr>
                    <w:pStyle w:val="TableBodyText"/>
                    <w:spacing w:after="20"/>
                    <w:ind w:right="57"/>
                  </w:pPr>
                  <w:r w:rsidRPr="00F73322">
                    <w:t>113.0</w:t>
                  </w:r>
                </w:p>
              </w:tc>
              <w:tc>
                <w:tcPr>
                  <w:tcW w:w="516" w:type="pct"/>
                  <w:shd w:val="clear" w:color="auto" w:fill="auto"/>
                  <w:vAlign w:val="bottom"/>
                </w:tcPr>
                <w:p w:rsidR="00745FEA" w:rsidRPr="00857C3C" w:rsidRDefault="00745FEA" w:rsidP="00745FEA">
                  <w:pPr>
                    <w:pStyle w:val="TableBodyText"/>
                    <w:spacing w:after="20"/>
                    <w:ind w:right="57"/>
                  </w:pPr>
                  <w:r w:rsidRPr="00F73322">
                    <w:t>329.0</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Wholesale trade</w:t>
                  </w:r>
                </w:p>
              </w:tc>
              <w:tc>
                <w:tcPr>
                  <w:tcW w:w="516" w:type="pct"/>
                  <w:vAlign w:val="bottom"/>
                </w:tcPr>
                <w:p w:rsidR="00745FEA" w:rsidRPr="00857C3C" w:rsidRDefault="00745FEA" w:rsidP="00745FEA">
                  <w:pPr>
                    <w:pStyle w:val="TableBodyText"/>
                    <w:spacing w:after="20"/>
                    <w:ind w:right="57"/>
                  </w:pPr>
                  <w:r w:rsidRPr="00F73322">
                    <w:t>285.6</w:t>
                  </w:r>
                </w:p>
              </w:tc>
              <w:tc>
                <w:tcPr>
                  <w:tcW w:w="516" w:type="pct"/>
                  <w:vAlign w:val="bottom"/>
                </w:tcPr>
                <w:p w:rsidR="00745FEA" w:rsidRPr="00857C3C" w:rsidRDefault="00745FEA" w:rsidP="00745FEA">
                  <w:pPr>
                    <w:pStyle w:val="TableBodyText"/>
                    <w:spacing w:after="20"/>
                    <w:ind w:right="57"/>
                  </w:pPr>
                  <w:r w:rsidRPr="00F73322">
                    <w:t>202.6</w:t>
                  </w:r>
                </w:p>
              </w:tc>
              <w:tc>
                <w:tcPr>
                  <w:tcW w:w="517" w:type="pct"/>
                  <w:vAlign w:val="bottom"/>
                </w:tcPr>
                <w:p w:rsidR="00745FEA" w:rsidRPr="00857C3C" w:rsidRDefault="00745FEA" w:rsidP="00745FEA">
                  <w:pPr>
                    <w:pStyle w:val="TableBodyText"/>
                    <w:spacing w:after="20"/>
                    <w:ind w:right="57"/>
                  </w:pPr>
                  <w:r w:rsidRPr="00F73322">
                    <w:t>175.6</w:t>
                  </w:r>
                </w:p>
              </w:tc>
              <w:tc>
                <w:tcPr>
                  <w:tcW w:w="516" w:type="pct"/>
                  <w:vAlign w:val="bottom"/>
                </w:tcPr>
                <w:p w:rsidR="00745FEA" w:rsidRPr="00857C3C" w:rsidRDefault="00745FEA" w:rsidP="00745FEA">
                  <w:pPr>
                    <w:pStyle w:val="TableBodyText"/>
                    <w:spacing w:after="20"/>
                    <w:ind w:right="57"/>
                  </w:pPr>
                  <w:r w:rsidRPr="00F73322">
                    <w:t>189.5</w:t>
                  </w:r>
                </w:p>
              </w:tc>
              <w:tc>
                <w:tcPr>
                  <w:tcW w:w="516" w:type="pct"/>
                  <w:shd w:val="clear" w:color="auto" w:fill="auto"/>
                  <w:vAlign w:val="bottom"/>
                </w:tcPr>
                <w:p w:rsidR="00745FEA" w:rsidRPr="00857C3C" w:rsidRDefault="00745FEA" w:rsidP="00745FEA">
                  <w:pPr>
                    <w:pStyle w:val="TableBodyText"/>
                    <w:spacing w:after="20"/>
                    <w:ind w:right="57"/>
                  </w:pPr>
                  <w:r w:rsidRPr="00F73322">
                    <w:t>161.5</w:t>
                  </w:r>
                </w:p>
              </w:tc>
              <w:tc>
                <w:tcPr>
                  <w:tcW w:w="516" w:type="pct"/>
                  <w:shd w:val="clear" w:color="auto" w:fill="auto"/>
                  <w:vAlign w:val="bottom"/>
                </w:tcPr>
                <w:p w:rsidR="00745FEA" w:rsidRPr="00857C3C" w:rsidRDefault="00745FEA" w:rsidP="00745FEA">
                  <w:pPr>
                    <w:pStyle w:val="TableBodyText"/>
                    <w:spacing w:after="20"/>
                    <w:ind w:right="57"/>
                  </w:pPr>
                  <w:r w:rsidRPr="00F73322">
                    <w:t>218.2</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Retail trade</w:t>
                  </w:r>
                </w:p>
              </w:tc>
              <w:tc>
                <w:tcPr>
                  <w:tcW w:w="516" w:type="pct"/>
                  <w:vAlign w:val="bottom"/>
                </w:tcPr>
                <w:p w:rsidR="00745FEA" w:rsidRPr="00857C3C" w:rsidRDefault="00745FEA" w:rsidP="00745FEA">
                  <w:pPr>
                    <w:pStyle w:val="TableBodyText"/>
                    <w:spacing w:after="20"/>
                    <w:ind w:right="57"/>
                  </w:pPr>
                  <w:r w:rsidRPr="00F73322">
                    <w:t>136.2</w:t>
                  </w:r>
                </w:p>
              </w:tc>
              <w:tc>
                <w:tcPr>
                  <w:tcW w:w="516" w:type="pct"/>
                  <w:vAlign w:val="bottom"/>
                </w:tcPr>
                <w:p w:rsidR="00745FEA" w:rsidRPr="00857C3C" w:rsidRDefault="00745FEA" w:rsidP="00745FEA">
                  <w:pPr>
                    <w:pStyle w:val="TableBodyText"/>
                    <w:spacing w:after="20"/>
                    <w:ind w:right="57"/>
                  </w:pPr>
                  <w:r w:rsidRPr="00F73322">
                    <w:t>128.8</w:t>
                  </w:r>
                </w:p>
              </w:tc>
              <w:tc>
                <w:tcPr>
                  <w:tcW w:w="517" w:type="pct"/>
                  <w:vAlign w:val="bottom"/>
                </w:tcPr>
                <w:p w:rsidR="00745FEA" w:rsidRPr="00857C3C" w:rsidRDefault="00745FEA" w:rsidP="00745FEA">
                  <w:pPr>
                    <w:pStyle w:val="TableBodyText"/>
                    <w:spacing w:after="20"/>
                    <w:ind w:right="57"/>
                  </w:pPr>
                  <w:r w:rsidRPr="00F73322">
                    <w:t>112.0</w:t>
                  </w:r>
                </w:p>
              </w:tc>
              <w:tc>
                <w:tcPr>
                  <w:tcW w:w="516" w:type="pct"/>
                  <w:vAlign w:val="bottom"/>
                </w:tcPr>
                <w:p w:rsidR="00745FEA" w:rsidRPr="00857C3C" w:rsidRDefault="00745FEA" w:rsidP="00745FEA">
                  <w:pPr>
                    <w:pStyle w:val="TableBodyText"/>
                    <w:spacing w:after="20"/>
                    <w:ind w:right="57"/>
                  </w:pPr>
                  <w:r w:rsidRPr="00F73322">
                    <w:t>120.7</w:t>
                  </w:r>
                </w:p>
              </w:tc>
              <w:tc>
                <w:tcPr>
                  <w:tcW w:w="516" w:type="pct"/>
                  <w:shd w:val="clear" w:color="auto" w:fill="auto"/>
                  <w:vAlign w:val="bottom"/>
                </w:tcPr>
                <w:p w:rsidR="00745FEA" w:rsidRPr="00857C3C" w:rsidRDefault="00745FEA" w:rsidP="00745FEA">
                  <w:pPr>
                    <w:pStyle w:val="TableBodyText"/>
                    <w:spacing w:after="20"/>
                    <w:ind w:right="57"/>
                  </w:pPr>
                  <w:r w:rsidRPr="00F73322">
                    <w:t>112.1</w:t>
                  </w:r>
                </w:p>
              </w:tc>
              <w:tc>
                <w:tcPr>
                  <w:tcW w:w="516" w:type="pct"/>
                  <w:shd w:val="clear" w:color="auto" w:fill="auto"/>
                  <w:vAlign w:val="bottom"/>
                </w:tcPr>
                <w:p w:rsidR="00745FEA" w:rsidRPr="00857C3C" w:rsidRDefault="00745FEA" w:rsidP="00745FEA">
                  <w:pPr>
                    <w:pStyle w:val="TableBodyText"/>
                    <w:spacing w:after="20"/>
                    <w:ind w:right="57"/>
                  </w:pPr>
                  <w:r w:rsidRPr="00F73322">
                    <w:t>186.0</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Accommodation &amp; food services</w:t>
                  </w:r>
                </w:p>
              </w:tc>
              <w:tc>
                <w:tcPr>
                  <w:tcW w:w="516" w:type="pct"/>
                  <w:vAlign w:val="bottom"/>
                </w:tcPr>
                <w:p w:rsidR="00745FEA" w:rsidRPr="00857C3C" w:rsidRDefault="00745FEA" w:rsidP="00745FEA">
                  <w:pPr>
                    <w:pStyle w:val="TableBodyText"/>
                    <w:spacing w:after="20"/>
                    <w:ind w:right="57"/>
                  </w:pPr>
                  <w:r w:rsidRPr="00F73322">
                    <w:t>67.7</w:t>
                  </w:r>
                </w:p>
              </w:tc>
              <w:tc>
                <w:tcPr>
                  <w:tcW w:w="516" w:type="pct"/>
                  <w:vAlign w:val="bottom"/>
                </w:tcPr>
                <w:p w:rsidR="00745FEA" w:rsidRPr="00857C3C" w:rsidRDefault="00745FEA" w:rsidP="00745FEA">
                  <w:pPr>
                    <w:pStyle w:val="TableBodyText"/>
                    <w:spacing w:after="20"/>
                    <w:ind w:right="57"/>
                  </w:pPr>
                  <w:r w:rsidRPr="00F73322">
                    <w:t>70.8</w:t>
                  </w:r>
                </w:p>
              </w:tc>
              <w:tc>
                <w:tcPr>
                  <w:tcW w:w="517" w:type="pct"/>
                  <w:vAlign w:val="bottom"/>
                </w:tcPr>
                <w:p w:rsidR="00745FEA" w:rsidRPr="00857C3C" w:rsidRDefault="00745FEA" w:rsidP="00745FEA">
                  <w:pPr>
                    <w:pStyle w:val="TableBodyText"/>
                    <w:spacing w:after="20"/>
                    <w:ind w:right="57"/>
                  </w:pPr>
                  <w:r w:rsidRPr="00F73322">
                    <w:t>76.9</w:t>
                  </w:r>
                </w:p>
              </w:tc>
              <w:tc>
                <w:tcPr>
                  <w:tcW w:w="516" w:type="pct"/>
                  <w:vAlign w:val="bottom"/>
                </w:tcPr>
                <w:p w:rsidR="00745FEA" w:rsidRPr="00857C3C" w:rsidRDefault="00745FEA" w:rsidP="00745FEA">
                  <w:pPr>
                    <w:pStyle w:val="TableBodyText"/>
                    <w:spacing w:after="20"/>
                    <w:ind w:right="57"/>
                  </w:pPr>
                  <w:r w:rsidRPr="00F73322">
                    <w:t>82.2</w:t>
                  </w:r>
                </w:p>
              </w:tc>
              <w:tc>
                <w:tcPr>
                  <w:tcW w:w="516" w:type="pct"/>
                  <w:shd w:val="clear" w:color="auto" w:fill="auto"/>
                  <w:vAlign w:val="bottom"/>
                </w:tcPr>
                <w:p w:rsidR="00745FEA" w:rsidRPr="00857C3C" w:rsidRDefault="00745FEA" w:rsidP="00745FEA">
                  <w:pPr>
                    <w:pStyle w:val="TableBodyText"/>
                    <w:spacing w:after="20"/>
                    <w:ind w:right="57"/>
                  </w:pPr>
                  <w:r w:rsidRPr="00F73322">
                    <w:t>69.0</w:t>
                  </w:r>
                </w:p>
              </w:tc>
              <w:tc>
                <w:tcPr>
                  <w:tcW w:w="516" w:type="pct"/>
                  <w:shd w:val="clear" w:color="auto" w:fill="auto"/>
                  <w:vAlign w:val="bottom"/>
                </w:tcPr>
                <w:p w:rsidR="00745FEA" w:rsidRPr="00857C3C" w:rsidRDefault="00745FEA" w:rsidP="00745FEA">
                  <w:pPr>
                    <w:pStyle w:val="TableBodyText"/>
                    <w:spacing w:after="20"/>
                    <w:ind w:right="57"/>
                  </w:pPr>
                  <w:r w:rsidRPr="00F73322">
                    <w:t>125.4</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Transport, postal &amp; warehousing</w:t>
                  </w:r>
                </w:p>
              </w:tc>
              <w:tc>
                <w:tcPr>
                  <w:tcW w:w="516" w:type="pct"/>
                  <w:vAlign w:val="bottom"/>
                </w:tcPr>
                <w:p w:rsidR="00745FEA" w:rsidRPr="00857C3C" w:rsidRDefault="00745FEA" w:rsidP="00745FEA">
                  <w:pPr>
                    <w:pStyle w:val="TableBodyText"/>
                    <w:spacing w:after="20"/>
                    <w:ind w:right="57"/>
                  </w:pPr>
                  <w:r w:rsidRPr="00F73322">
                    <w:t>245.7</w:t>
                  </w:r>
                </w:p>
              </w:tc>
              <w:tc>
                <w:tcPr>
                  <w:tcW w:w="516" w:type="pct"/>
                  <w:vAlign w:val="bottom"/>
                </w:tcPr>
                <w:p w:rsidR="00745FEA" w:rsidRPr="00857C3C" w:rsidRDefault="00745FEA" w:rsidP="00745FEA">
                  <w:pPr>
                    <w:pStyle w:val="TableBodyText"/>
                    <w:spacing w:after="20"/>
                    <w:ind w:right="57"/>
                  </w:pPr>
                  <w:r w:rsidRPr="00F73322">
                    <w:t>181.0</w:t>
                  </w:r>
                </w:p>
              </w:tc>
              <w:tc>
                <w:tcPr>
                  <w:tcW w:w="517" w:type="pct"/>
                  <w:vAlign w:val="bottom"/>
                </w:tcPr>
                <w:p w:rsidR="00745FEA" w:rsidRPr="00857C3C" w:rsidRDefault="00745FEA" w:rsidP="00745FEA">
                  <w:pPr>
                    <w:pStyle w:val="TableBodyText"/>
                    <w:spacing w:after="20"/>
                    <w:ind w:right="57"/>
                  </w:pPr>
                  <w:r w:rsidRPr="00F73322">
                    <w:t>130.7</w:t>
                  </w:r>
                </w:p>
              </w:tc>
              <w:tc>
                <w:tcPr>
                  <w:tcW w:w="516" w:type="pct"/>
                  <w:vAlign w:val="bottom"/>
                </w:tcPr>
                <w:p w:rsidR="00745FEA" w:rsidRPr="00857C3C" w:rsidRDefault="00745FEA" w:rsidP="00745FEA">
                  <w:pPr>
                    <w:pStyle w:val="TableBodyText"/>
                    <w:spacing w:after="20"/>
                    <w:ind w:right="57"/>
                  </w:pPr>
                  <w:r w:rsidRPr="00F73322">
                    <w:t>105.6</w:t>
                  </w:r>
                </w:p>
              </w:tc>
              <w:tc>
                <w:tcPr>
                  <w:tcW w:w="516" w:type="pct"/>
                  <w:shd w:val="clear" w:color="auto" w:fill="auto"/>
                  <w:vAlign w:val="bottom"/>
                </w:tcPr>
                <w:p w:rsidR="00745FEA" w:rsidRPr="00857C3C" w:rsidRDefault="00745FEA" w:rsidP="00745FEA">
                  <w:pPr>
                    <w:pStyle w:val="TableBodyText"/>
                    <w:spacing w:after="20"/>
                    <w:ind w:right="57"/>
                  </w:pPr>
                  <w:r w:rsidRPr="00F73322">
                    <w:t>95.9</w:t>
                  </w:r>
                </w:p>
              </w:tc>
              <w:tc>
                <w:tcPr>
                  <w:tcW w:w="516" w:type="pct"/>
                  <w:shd w:val="clear" w:color="auto" w:fill="auto"/>
                  <w:vAlign w:val="bottom"/>
                </w:tcPr>
                <w:p w:rsidR="00745FEA" w:rsidRPr="00857C3C" w:rsidRDefault="00745FEA" w:rsidP="00745FEA">
                  <w:pPr>
                    <w:pStyle w:val="TableBodyText"/>
                    <w:spacing w:after="20"/>
                    <w:ind w:right="57"/>
                  </w:pPr>
                  <w:r w:rsidRPr="00F73322">
                    <w:t>188.5</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Information &amp; telecommunications</w:t>
                  </w:r>
                </w:p>
              </w:tc>
              <w:tc>
                <w:tcPr>
                  <w:tcW w:w="516" w:type="pct"/>
                  <w:vAlign w:val="bottom"/>
                </w:tcPr>
                <w:p w:rsidR="00745FEA" w:rsidRPr="00857C3C" w:rsidRDefault="00745FEA" w:rsidP="00745FEA">
                  <w:pPr>
                    <w:pStyle w:val="TableBodyText"/>
                    <w:spacing w:after="20"/>
                    <w:ind w:right="57"/>
                  </w:pPr>
                  <w:r w:rsidRPr="00F73322">
                    <w:t>293.6</w:t>
                  </w:r>
                </w:p>
              </w:tc>
              <w:tc>
                <w:tcPr>
                  <w:tcW w:w="516" w:type="pct"/>
                  <w:vAlign w:val="bottom"/>
                </w:tcPr>
                <w:p w:rsidR="00745FEA" w:rsidRPr="00857C3C" w:rsidRDefault="00745FEA" w:rsidP="00745FEA">
                  <w:pPr>
                    <w:pStyle w:val="TableBodyText"/>
                    <w:spacing w:after="20"/>
                    <w:ind w:right="57"/>
                  </w:pPr>
                  <w:r w:rsidRPr="00F73322">
                    <w:t>390.8</w:t>
                  </w:r>
                </w:p>
              </w:tc>
              <w:tc>
                <w:tcPr>
                  <w:tcW w:w="517" w:type="pct"/>
                  <w:vAlign w:val="bottom"/>
                </w:tcPr>
                <w:p w:rsidR="00745FEA" w:rsidRPr="00857C3C" w:rsidRDefault="00745FEA" w:rsidP="00745FEA">
                  <w:pPr>
                    <w:pStyle w:val="TableBodyText"/>
                    <w:spacing w:after="20"/>
                    <w:ind w:right="57"/>
                  </w:pPr>
                  <w:r w:rsidRPr="00F73322">
                    <w:t>233.5</w:t>
                  </w:r>
                </w:p>
              </w:tc>
              <w:tc>
                <w:tcPr>
                  <w:tcW w:w="516" w:type="pct"/>
                  <w:vAlign w:val="bottom"/>
                </w:tcPr>
                <w:p w:rsidR="00745FEA" w:rsidRPr="00857C3C" w:rsidRDefault="00745FEA" w:rsidP="00745FEA">
                  <w:pPr>
                    <w:pStyle w:val="TableBodyText"/>
                    <w:spacing w:after="20"/>
                    <w:ind w:right="57"/>
                  </w:pPr>
                  <w:r w:rsidRPr="00F73322">
                    <w:t>233.4</w:t>
                  </w:r>
                </w:p>
              </w:tc>
              <w:tc>
                <w:tcPr>
                  <w:tcW w:w="516" w:type="pct"/>
                  <w:shd w:val="clear" w:color="auto" w:fill="auto"/>
                  <w:vAlign w:val="bottom"/>
                </w:tcPr>
                <w:p w:rsidR="00745FEA" w:rsidRPr="00857C3C" w:rsidRDefault="00745FEA" w:rsidP="00745FEA">
                  <w:pPr>
                    <w:pStyle w:val="TableBodyText"/>
                    <w:spacing w:after="20"/>
                    <w:ind w:right="57"/>
                  </w:pPr>
                  <w:r w:rsidRPr="00F73322">
                    <w:t>232.6</w:t>
                  </w:r>
                </w:p>
              </w:tc>
              <w:tc>
                <w:tcPr>
                  <w:tcW w:w="516" w:type="pct"/>
                  <w:shd w:val="clear" w:color="auto" w:fill="auto"/>
                  <w:vAlign w:val="bottom"/>
                </w:tcPr>
                <w:p w:rsidR="00745FEA" w:rsidRPr="00857C3C" w:rsidRDefault="00745FEA" w:rsidP="00745FEA">
                  <w:pPr>
                    <w:pStyle w:val="TableBodyText"/>
                    <w:spacing w:after="20"/>
                    <w:ind w:right="57"/>
                  </w:pPr>
                  <w:r w:rsidRPr="00F73322">
                    <w:t>403.8</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Financial and insurance services</w:t>
                  </w:r>
                </w:p>
              </w:tc>
              <w:tc>
                <w:tcPr>
                  <w:tcW w:w="516" w:type="pct"/>
                  <w:vAlign w:val="bottom"/>
                </w:tcPr>
                <w:p w:rsidR="00745FEA" w:rsidRPr="00857C3C" w:rsidRDefault="00745FEA" w:rsidP="00745FEA">
                  <w:pPr>
                    <w:pStyle w:val="TableBodyText"/>
                    <w:spacing w:after="20"/>
                    <w:ind w:right="57"/>
                  </w:pPr>
                  <w:r w:rsidRPr="00F73322">
                    <w:t>1036.4</w:t>
                  </w:r>
                </w:p>
              </w:tc>
              <w:tc>
                <w:tcPr>
                  <w:tcW w:w="516" w:type="pct"/>
                  <w:vAlign w:val="bottom"/>
                </w:tcPr>
                <w:p w:rsidR="00745FEA" w:rsidRPr="00857C3C" w:rsidRDefault="00745FEA" w:rsidP="00745FEA">
                  <w:pPr>
                    <w:pStyle w:val="TableBodyText"/>
                    <w:spacing w:after="20"/>
                    <w:ind w:right="57"/>
                  </w:pPr>
                  <w:r w:rsidRPr="00F73322">
                    <w:t>834.8</w:t>
                  </w:r>
                </w:p>
              </w:tc>
              <w:tc>
                <w:tcPr>
                  <w:tcW w:w="517" w:type="pct"/>
                  <w:vAlign w:val="bottom"/>
                </w:tcPr>
                <w:p w:rsidR="00745FEA" w:rsidRPr="00857C3C" w:rsidRDefault="00745FEA" w:rsidP="00745FEA">
                  <w:pPr>
                    <w:pStyle w:val="TableBodyText"/>
                    <w:spacing w:after="20"/>
                    <w:ind w:right="57"/>
                  </w:pPr>
                  <w:r w:rsidRPr="00F73322">
                    <w:t>919.9</w:t>
                  </w:r>
                </w:p>
              </w:tc>
              <w:tc>
                <w:tcPr>
                  <w:tcW w:w="516" w:type="pct"/>
                  <w:vAlign w:val="bottom"/>
                </w:tcPr>
                <w:p w:rsidR="00745FEA" w:rsidRPr="00857C3C" w:rsidRDefault="00745FEA" w:rsidP="00745FEA">
                  <w:pPr>
                    <w:pStyle w:val="TableBodyText"/>
                    <w:spacing w:after="20"/>
                    <w:ind w:right="57"/>
                  </w:pPr>
                  <w:r w:rsidRPr="00F73322">
                    <w:t>947.7</w:t>
                  </w:r>
                </w:p>
              </w:tc>
              <w:tc>
                <w:tcPr>
                  <w:tcW w:w="516" w:type="pct"/>
                  <w:shd w:val="clear" w:color="auto" w:fill="auto"/>
                  <w:vAlign w:val="bottom"/>
                </w:tcPr>
                <w:p w:rsidR="00745FEA" w:rsidRPr="00857C3C" w:rsidRDefault="00745FEA" w:rsidP="00745FEA">
                  <w:pPr>
                    <w:pStyle w:val="TableBodyText"/>
                    <w:spacing w:after="20"/>
                    <w:ind w:right="57"/>
                  </w:pPr>
                  <w:r w:rsidRPr="00F73322">
                    <w:t>1060.3</w:t>
                  </w:r>
                </w:p>
              </w:tc>
              <w:tc>
                <w:tcPr>
                  <w:tcW w:w="516" w:type="pct"/>
                  <w:shd w:val="clear" w:color="auto" w:fill="auto"/>
                  <w:vAlign w:val="bottom"/>
                </w:tcPr>
                <w:p w:rsidR="00745FEA" w:rsidRPr="00857C3C" w:rsidRDefault="00745FEA" w:rsidP="00745FEA">
                  <w:pPr>
                    <w:pStyle w:val="TableBodyText"/>
                    <w:spacing w:after="20"/>
                    <w:ind w:right="57"/>
                  </w:pPr>
                  <w:r w:rsidRPr="00F73322">
                    <w:t>955.3</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Property, professional &amp; admin.</w:t>
                  </w:r>
                </w:p>
              </w:tc>
              <w:tc>
                <w:tcPr>
                  <w:tcW w:w="516" w:type="pct"/>
                  <w:vAlign w:val="bottom"/>
                </w:tcPr>
                <w:p w:rsidR="00745FEA" w:rsidRPr="00857C3C" w:rsidRDefault="00745FEA" w:rsidP="00745FEA">
                  <w:pPr>
                    <w:pStyle w:val="TableBodyText"/>
                    <w:spacing w:after="20"/>
                    <w:ind w:right="57"/>
                  </w:pPr>
                  <w:r w:rsidRPr="00F73322">
                    <w:t>859.1</w:t>
                  </w:r>
                </w:p>
              </w:tc>
              <w:tc>
                <w:tcPr>
                  <w:tcW w:w="516" w:type="pct"/>
                  <w:vAlign w:val="bottom"/>
                </w:tcPr>
                <w:p w:rsidR="00745FEA" w:rsidRPr="00857C3C" w:rsidRDefault="00745FEA" w:rsidP="00745FEA">
                  <w:pPr>
                    <w:pStyle w:val="TableBodyText"/>
                    <w:spacing w:after="20"/>
                    <w:ind w:right="57"/>
                  </w:pPr>
                  <w:r w:rsidRPr="00F73322">
                    <w:t>1217.3</w:t>
                  </w:r>
                </w:p>
              </w:tc>
              <w:tc>
                <w:tcPr>
                  <w:tcW w:w="517" w:type="pct"/>
                  <w:vAlign w:val="bottom"/>
                </w:tcPr>
                <w:p w:rsidR="00745FEA" w:rsidRPr="00857C3C" w:rsidRDefault="00745FEA" w:rsidP="00745FEA">
                  <w:pPr>
                    <w:pStyle w:val="TableBodyText"/>
                    <w:spacing w:after="20"/>
                    <w:ind w:right="57"/>
                  </w:pPr>
                  <w:r w:rsidRPr="00F73322">
                    <w:t>1098.6</w:t>
                  </w:r>
                </w:p>
              </w:tc>
              <w:tc>
                <w:tcPr>
                  <w:tcW w:w="516" w:type="pct"/>
                  <w:vAlign w:val="bottom"/>
                </w:tcPr>
                <w:p w:rsidR="00745FEA" w:rsidRPr="00857C3C" w:rsidRDefault="00745FEA" w:rsidP="00745FEA">
                  <w:pPr>
                    <w:pStyle w:val="TableBodyText"/>
                    <w:spacing w:after="20"/>
                    <w:ind w:right="57"/>
                  </w:pPr>
                  <w:r w:rsidRPr="00F73322">
                    <w:t>1306.9</w:t>
                  </w:r>
                </w:p>
              </w:tc>
              <w:tc>
                <w:tcPr>
                  <w:tcW w:w="516" w:type="pct"/>
                  <w:shd w:val="clear" w:color="auto" w:fill="auto"/>
                  <w:vAlign w:val="bottom"/>
                </w:tcPr>
                <w:p w:rsidR="00745FEA" w:rsidRPr="00857C3C" w:rsidRDefault="00745FEA" w:rsidP="00745FEA">
                  <w:pPr>
                    <w:pStyle w:val="TableBodyText"/>
                    <w:spacing w:after="20"/>
                    <w:ind w:right="57"/>
                  </w:pPr>
                  <w:r w:rsidRPr="00F73322">
                    <w:t>1309.2</w:t>
                  </w:r>
                </w:p>
              </w:tc>
              <w:tc>
                <w:tcPr>
                  <w:tcW w:w="516" w:type="pct"/>
                  <w:shd w:val="clear" w:color="auto" w:fill="auto"/>
                  <w:vAlign w:val="bottom"/>
                </w:tcPr>
                <w:p w:rsidR="00745FEA" w:rsidRPr="00857C3C" w:rsidRDefault="00745FEA" w:rsidP="00745FEA">
                  <w:pPr>
                    <w:pStyle w:val="TableBodyText"/>
                    <w:spacing w:after="20"/>
                    <w:ind w:right="57"/>
                  </w:pPr>
                  <w:r w:rsidRPr="00F73322">
                    <w:t>1847.9</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Public administration and safety</w:t>
                  </w:r>
                </w:p>
              </w:tc>
              <w:tc>
                <w:tcPr>
                  <w:tcW w:w="516" w:type="pct"/>
                  <w:vAlign w:val="bottom"/>
                </w:tcPr>
                <w:p w:rsidR="00745FEA" w:rsidRPr="00857C3C" w:rsidRDefault="00745FEA" w:rsidP="00745FEA">
                  <w:pPr>
                    <w:pStyle w:val="TableBodyText"/>
                    <w:spacing w:after="20"/>
                    <w:ind w:right="57"/>
                  </w:pPr>
                  <w:r w:rsidRPr="00F73322">
                    <w:t>15.9</w:t>
                  </w:r>
                </w:p>
              </w:tc>
              <w:tc>
                <w:tcPr>
                  <w:tcW w:w="516" w:type="pct"/>
                  <w:vAlign w:val="bottom"/>
                </w:tcPr>
                <w:p w:rsidR="00745FEA" w:rsidRPr="00857C3C" w:rsidRDefault="00745FEA" w:rsidP="00745FEA">
                  <w:pPr>
                    <w:pStyle w:val="TableBodyText"/>
                    <w:spacing w:after="20"/>
                    <w:ind w:right="57"/>
                  </w:pPr>
                  <w:r w:rsidRPr="00F73322">
                    <w:t>16.6</w:t>
                  </w:r>
                </w:p>
              </w:tc>
              <w:tc>
                <w:tcPr>
                  <w:tcW w:w="517" w:type="pct"/>
                  <w:vAlign w:val="bottom"/>
                </w:tcPr>
                <w:p w:rsidR="00745FEA" w:rsidRPr="00857C3C" w:rsidRDefault="00745FEA" w:rsidP="00745FEA">
                  <w:pPr>
                    <w:pStyle w:val="TableBodyText"/>
                    <w:spacing w:after="20"/>
                    <w:ind w:right="57"/>
                  </w:pPr>
                  <w:r w:rsidRPr="00F73322">
                    <w:t>13.7</w:t>
                  </w:r>
                </w:p>
              </w:tc>
              <w:tc>
                <w:tcPr>
                  <w:tcW w:w="516" w:type="pct"/>
                  <w:vAlign w:val="bottom"/>
                </w:tcPr>
                <w:p w:rsidR="00745FEA" w:rsidRPr="00857C3C" w:rsidRDefault="00745FEA" w:rsidP="00745FEA">
                  <w:pPr>
                    <w:pStyle w:val="TableBodyText"/>
                    <w:spacing w:after="20"/>
                    <w:ind w:right="57"/>
                  </w:pPr>
                  <w:r w:rsidRPr="00F73322">
                    <w:t>18.2</w:t>
                  </w:r>
                </w:p>
              </w:tc>
              <w:tc>
                <w:tcPr>
                  <w:tcW w:w="516" w:type="pct"/>
                  <w:shd w:val="clear" w:color="auto" w:fill="auto"/>
                  <w:vAlign w:val="bottom"/>
                </w:tcPr>
                <w:p w:rsidR="00745FEA" w:rsidRPr="00857C3C" w:rsidRDefault="00745FEA" w:rsidP="00745FEA">
                  <w:pPr>
                    <w:pStyle w:val="TableBodyText"/>
                    <w:spacing w:after="20"/>
                    <w:ind w:right="57"/>
                  </w:pPr>
                  <w:r w:rsidRPr="00F73322">
                    <w:t>20.1</w:t>
                  </w:r>
                </w:p>
              </w:tc>
              <w:tc>
                <w:tcPr>
                  <w:tcW w:w="516" w:type="pct"/>
                  <w:shd w:val="clear" w:color="auto" w:fill="auto"/>
                  <w:vAlign w:val="bottom"/>
                </w:tcPr>
                <w:p w:rsidR="00745FEA" w:rsidRPr="00857C3C" w:rsidRDefault="00745FEA" w:rsidP="00745FEA">
                  <w:pPr>
                    <w:pStyle w:val="TableBodyText"/>
                    <w:spacing w:after="20"/>
                    <w:ind w:right="57"/>
                  </w:pPr>
                  <w:r w:rsidRPr="00F73322">
                    <w:t>29.5</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Education and training</w:t>
                  </w:r>
                </w:p>
              </w:tc>
              <w:tc>
                <w:tcPr>
                  <w:tcW w:w="516" w:type="pct"/>
                  <w:vAlign w:val="bottom"/>
                </w:tcPr>
                <w:p w:rsidR="00745FEA" w:rsidRPr="00857C3C" w:rsidRDefault="00745FEA" w:rsidP="00745FEA">
                  <w:pPr>
                    <w:pStyle w:val="TableBodyText"/>
                    <w:spacing w:after="20"/>
                    <w:ind w:right="57"/>
                  </w:pPr>
                  <w:r w:rsidRPr="00F73322">
                    <w:t>32.7</w:t>
                  </w:r>
                </w:p>
              </w:tc>
              <w:tc>
                <w:tcPr>
                  <w:tcW w:w="516" w:type="pct"/>
                  <w:vAlign w:val="bottom"/>
                </w:tcPr>
                <w:p w:rsidR="00745FEA" w:rsidRPr="00857C3C" w:rsidRDefault="00745FEA" w:rsidP="00745FEA">
                  <w:pPr>
                    <w:pStyle w:val="TableBodyText"/>
                    <w:spacing w:after="20"/>
                    <w:ind w:right="57"/>
                  </w:pPr>
                  <w:r w:rsidRPr="00F73322">
                    <w:t>35.1</w:t>
                  </w:r>
                </w:p>
              </w:tc>
              <w:tc>
                <w:tcPr>
                  <w:tcW w:w="517" w:type="pct"/>
                  <w:vAlign w:val="bottom"/>
                </w:tcPr>
                <w:p w:rsidR="00745FEA" w:rsidRPr="00857C3C" w:rsidRDefault="00745FEA" w:rsidP="00745FEA">
                  <w:pPr>
                    <w:pStyle w:val="TableBodyText"/>
                    <w:spacing w:after="20"/>
                    <w:ind w:right="57"/>
                  </w:pPr>
                  <w:r w:rsidRPr="00F73322">
                    <w:t>27.8</w:t>
                  </w:r>
                </w:p>
              </w:tc>
              <w:tc>
                <w:tcPr>
                  <w:tcW w:w="516" w:type="pct"/>
                  <w:vAlign w:val="bottom"/>
                </w:tcPr>
                <w:p w:rsidR="00745FEA" w:rsidRPr="00857C3C" w:rsidRDefault="00745FEA" w:rsidP="00745FEA">
                  <w:pPr>
                    <w:pStyle w:val="TableBodyText"/>
                    <w:spacing w:after="20"/>
                    <w:ind w:right="57"/>
                  </w:pPr>
                  <w:r w:rsidRPr="00F73322">
                    <w:t>32.4</w:t>
                  </w:r>
                </w:p>
              </w:tc>
              <w:tc>
                <w:tcPr>
                  <w:tcW w:w="516" w:type="pct"/>
                  <w:shd w:val="clear" w:color="auto" w:fill="auto"/>
                  <w:vAlign w:val="bottom"/>
                </w:tcPr>
                <w:p w:rsidR="00745FEA" w:rsidRPr="00857C3C" w:rsidRDefault="00745FEA" w:rsidP="00745FEA">
                  <w:pPr>
                    <w:pStyle w:val="TableBodyText"/>
                    <w:spacing w:after="20"/>
                    <w:ind w:right="57"/>
                  </w:pPr>
                  <w:r w:rsidRPr="00F73322">
                    <w:t>28.5</w:t>
                  </w:r>
                </w:p>
              </w:tc>
              <w:tc>
                <w:tcPr>
                  <w:tcW w:w="516" w:type="pct"/>
                  <w:shd w:val="clear" w:color="auto" w:fill="auto"/>
                  <w:vAlign w:val="bottom"/>
                </w:tcPr>
                <w:p w:rsidR="00745FEA" w:rsidRPr="00857C3C" w:rsidRDefault="00745FEA" w:rsidP="00745FEA">
                  <w:pPr>
                    <w:pStyle w:val="TableBodyText"/>
                    <w:spacing w:after="20"/>
                    <w:ind w:right="57"/>
                  </w:pPr>
                  <w:r w:rsidRPr="00F73322">
                    <w:t>46.7</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Health care and social assistance</w:t>
                  </w:r>
                </w:p>
              </w:tc>
              <w:tc>
                <w:tcPr>
                  <w:tcW w:w="516" w:type="pct"/>
                  <w:vAlign w:val="bottom"/>
                </w:tcPr>
                <w:p w:rsidR="00745FEA" w:rsidRPr="00857C3C" w:rsidRDefault="00745FEA" w:rsidP="00745FEA">
                  <w:pPr>
                    <w:pStyle w:val="TableBodyText"/>
                    <w:spacing w:after="20"/>
                    <w:ind w:right="57"/>
                  </w:pPr>
                  <w:r w:rsidRPr="00F73322">
                    <w:t>184.4</w:t>
                  </w:r>
                </w:p>
              </w:tc>
              <w:tc>
                <w:tcPr>
                  <w:tcW w:w="516" w:type="pct"/>
                  <w:vAlign w:val="bottom"/>
                </w:tcPr>
                <w:p w:rsidR="00745FEA" w:rsidRPr="00857C3C" w:rsidRDefault="00745FEA" w:rsidP="00745FEA">
                  <w:pPr>
                    <w:pStyle w:val="TableBodyText"/>
                    <w:spacing w:after="20"/>
                    <w:ind w:right="57"/>
                  </w:pPr>
                  <w:r w:rsidRPr="00F73322">
                    <w:t>183.8</w:t>
                  </w:r>
                </w:p>
              </w:tc>
              <w:tc>
                <w:tcPr>
                  <w:tcW w:w="517" w:type="pct"/>
                  <w:vAlign w:val="bottom"/>
                </w:tcPr>
                <w:p w:rsidR="00745FEA" w:rsidRPr="00857C3C" w:rsidRDefault="00745FEA" w:rsidP="00745FEA">
                  <w:pPr>
                    <w:pStyle w:val="TableBodyText"/>
                    <w:spacing w:after="20"/>
                    <w:ind w:right="57"/>
                  </w:pPr>
                  <w:r w:rsidRPr="00F73322">
                    <w:t>194.2</w:t>
                  </w:r>
                </w:p>
              </w:tc>
              <w:tc>
                <w:tcPr>
                  <w:tcW w:w="516" w:type="pct"/>
                  <w:vAlign w:val="bottom"/>
                </w:tcPr>
                <w:p w:rsidR="00745FEA" w:rsidRPr="00857C3C" w:rsidRDefault="00745FEA" w:rsidP="00745FEA">
                  <w:pPr>
                    <w:pStyle w:val="TableBodyText"/>
                    <w:spacing w:after="20"/>
                    <w:ind w:right="57"/>
                  </w:pPr>
                  <w:r w:rsidRPr="00F73322">
                    <w:t>197.2</w:t>
                  </w:r>
                </w:p>
              </w:tc>
              <w:tc>
                <w:tcPr>
                  <w:tcW w:w="516" w:type="pct"/>
                  <w:shd w:val="clear" w:color="auto" w:fill="auto"/>
                  <w:vAlign w:val="bottom"/>
                </w:tcPr>
                <w:p w:rsidR="00745FEA" w:rsidRPr="00857C3C" w:rsidRDefault="00745FEA" w:rsidP="00745FEA">
                  <w:pPr>
                    <w:pStyle w:val="TableBodyText"/>
                    <w:spacing w:after="20"/>
                    <w:ind w:right="57"/>
                  </w:pPr>
                  <w:r w:rsidRPr="00F73322">
                    <w:t>187.4</w:t>
                  </w:r>
                </w:p>
              </w:tc>
              <w:tc>
                <w:tcPr>
                  <w:tcW w:w="516" w:type="pct"/>
                  <w:shd w:val="clear" w:color="auto" w:fill="auto"/>
                  <w:vAlign w:val="bottom"/>
                </w:tcPr>
                <w:p w:rsidR="00745FEA" w:rsidRPr="00857C3C" w:rsidRDefault="00745FEA" w:rsidP="00745FEA">
                  <w:pPr>
                    <w:pStyle w:val="TableBodyText"/>
                    <w:spacing w:after="20"/>
                    <w:ind w:right="57"/>
                  </w:pPr>
                  <w:r w:rsidRPr="00F73322">
                    <w:t>244.9</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Arts and recreation services</w:t>
                  </w:r>
                </w:p>
              </w:tc>
              <w:tc>
                <w:tcPr>
                  <w:tcW w:w="516" w:type="pct"/>
                  <w:vAlign w:val="bottom"/>
                </w:tcPr>
                <w:p w:rsidR="00745FEA" w:rsidRPr="00857C3C" w:rsidRDefault="00745FEA" w:rsidP="00745FEA">
                  <w:pPr>
                    <w:pStyle w:val="TableBodyText"/>
                    <w:spacing w:after="20"/>
                    <w:ind w:right="57"/>
                  </w:pPr>
                  <w:r w:rsidRPr="00F73322">
                    <w:t>362.0</w:t>
                  </w:r>
                </w:p>
              </w:tc>
              <w:tc>
                <w:tcPr>
                  <w:tcW w:w="516" w:type="pct"/>
                  <w:vAlign w:val="bottom"/>
                </w:tcPr>
                <w:p w:rsidR="00745FEA" w:rsidRPr="00857C3C" w:rsidRDefault="00745FEA" w:rsidP="00745FEA">
                  <w:pPr>
                    <w:pStyle w:val="TableBodyText"/>
                    <w:spacing w:after="20"/>
                    <w:ind w:right="57"/>
                  </w:pPr>
                  <w:r w:rsidRPr="00F73322">
                    <w:t>413.5</w:t>
                  </w:r>
                </w:p>
              </w:tc>
              <w:tc>
                <w:tcPr>
                  <w:tcW w:w="517" w:type="pct"/>
                  <w:vAlign w:val="bottom"/>
                </w:tcPr>
                <w:p w:rsidR="00745FEA" w:rsidRPr="00857C3C" w:rsidRDefault="00745FEA" w:rsidP="00745FEA">
                  <w:pPr>
                    <w:pStyle w:val="TableBodyText"/>
                    <w:spacing w:after="20"/>
                    <w:ind w:right="57"/>
                  </w:pPr>
                  <w:r w:rsidRPr="00F73322">
                    <w:t>446.6</w:t>
                  </w:r>
                </w:p>
              </w:tc>
              <w:tc>
                <w:tcPr>
                  <w:tcW w:w="516" w:type="pct"/>
                  <w:vAlign w:val="bottom"/>
                </w:tcPr>
                <w:p w:rsidR="00745FEA" w:rsidRPr="00857C3C" w:rsidRDefault="00745FEA" w:rsidP="00745FEA">
                  <w:pPr>
                    <w:pStyle w:val="TableBodyText"/>
                    <w:spacing w:after="20"/>
                    <w:ind w:right="57"/>
                  </w:pPr>
                  <w:r w:rsidRPr="00F73322">
                    <w:t>328.6</w:t>
                  </w:r>
                </w:p>
              </w:tc>
              <w:tc>
                <w:tcPr>
                  <w:tcW w:w="516" w:type="pct"/>
                  <w:shd w:val="clear" w:color="auto" w:fill="auto"/>
                  <w:vAlign w:val="bottom"/>
                </w:tcPr>
                <w:p w:rsidR="00745FEA" w:rsidRPr="00857C3C" w:rsidRDefault="00745FEA" w:rsidP="00745FEA">
                  <w:pPr>
                    <w:pStyle w:val="TableBodyText"/>
                    <w:spacing w:after="20"/>
                    <w:ind w:right="57"/>
                  </w:pPr>
                  <w:r w:rsidRPr="00F73322">
                    <w:t>495.6</w:t>
                  </w:r>
                </w:p>
              </w:tc>
              <w:tc>
                <w:tcPr>
                  <w:tcW w:w="516" w:type="pct"/>
                  <w:shd w:val="clear" w:color="auto" w:fill="auto"/>
                  <w:vAlign w:val="bottom"/>
                </w:tcPr>
                <w:p w:rsidR="00745FEA" w:rsidRPr="00857C3C" w:rsidRDefault="00745FEA" w:rsidP="00745FEA">
                  <w:pPr>
                    <w:pStyle w:val="TableBodyText"/>
                    <w:spacing w:after="20"/>
                    <w:ind w:right="57"/>
                  </w:pPr>
                  <w:r w:rsidRPr="00F73322">
                    <w:t>515.4</w:t>
                  </w:r>
                </w:p>
              </w:tc>
            </w:tr>
            <w:tr w:rsidR="00745FEA" w:rsidRPr="002B6A72" w:rsidTr="00745FEA">
              <w:tc>
                <w:tcPr>
                  <w:tcW w:w="1903" w:type="pct"/>
                  <w:shd w:val="clear" w:color="auto" w:fill="auto"/>
                  <w:vAlign w:val="center"/>
                </w:tcPr>
                <w:p w:rsidR="00745FEA" w:rsidRPr="002B6A72" w:rsidRDefault="00745FEA" w:rsidP="00745FEA">
                  <w:pPr>
                    <w:pStyle w:val="TableBodyText"/>
                    <w:spacing w:after="20"/>
                    <w:jc w:val="left"/>
                  </w:pPr>
                  <w:r w:rsidRPr="002B6A72">
                    <w:t>Other services</w:t>
                  </w:r>
                </w:p>
              </w:tc>
              <w:tc>
                <w:tcPr>
                  <w:tcW w:w="516" w:type="pct"/>
                  <w:vAlign w:val="bottom"/>
                </w:tcPr>
                <w:p w:rsidR="00745FEA" w:rsidRPr="00857C3C" w:rsidRDefault="00745FEA" w:rsidP="00745FEA">
                  <w:pPr>
                    <w:pStyle w:val="TableBodyText"/>
                    <w:spacing w:after="20"/>
                    <w:ind w:right="57"/>
                  </w:pPr>
                  <w:r w:rsidRPr="00F73322">
                    <w:t>68.0</w:t>
                  </w:r>
                </w:p>
              </w:tc>
              <w:tc>
                <w:tcPr>
                  <w:tcW w:w="516" w:type="pct"/>
                  <w:vAlign w:val="bottom"/>
                </w:tcPr>
                <w:p w:rsidR="00745FEA" w:rsidRPr="00857C3C" w:rsidRDefault="00745FEA" w:rsidP="00745FEA">
                  <w:pPr>
                    <w:pStyle w:val="TableBodyText"/>
                    <w:spacing w:after="20"/>
                    <w:ind w:right="57"/>
                  </w:pPr>
                  <w:r w:rsidRPr="00F73322">
                    <w:t>66.4</w:t>
                  </w:r>
                </w:p>
              </w:tc>
              <w:tc>
                <w:tcPr>
                  <w:tcW w:w="517" w:type="pct"/>
                  <w:vAlign w:val="bottom"/>
                </w:tcPr>
                <w:p w:rsidR="00745FEA" w:rsidRPr="00857C3C" w:rsidRDefault="00745FEA" w:rsidP="00745FEA">
                  <w:pPr>
                    <w:pStyle w:val="TableBodyText"/>
                    <w:spacing w:after="20"/>
                    <w:ind w:right="57"/>
                  </w:pPr>
                  <w:r w:rsidRPr="00F73322">
                    <w:t>54.6</w:t>
                  </w:r>
                </w:p>
              </w:tc>
              <w:tc>
                <w:tcPr>
                  <w:tcW w:w="516" w:type="pct"/>
                  <w:vAlign w:val="bottom"/>
                </w:tcPr>
                <w:p w:rsidR="00745FEA" w:rsidRPr="00857C3C" w:rsidRDefault="00745FEA" w:rsidP="00745FEA">
                  <w:pPr>
                    <w:pStyle w:val="TableBodyText"/>
                    <w:spacing w:after="20"/>
                    <w:ind w:right="57"/>
                  </w:pPr>
                  <w:r w:rsidRPr="00F73322">
                    <w:t>41.4</w:t>
                  </w:r>
                </w:p>
              </w:tc>
              <w:tc>
                <w:tcPr>
                  <w:tcW w:w="516" w:type="pct"/>
                  <w:shd w:val="clear" w:color="auto" w:fill="auto"/>
                  <w:vAlign w:val="bottom"/>
                </w:tcPr>
                <w:p w:rsidR="00745FEA" w:rsidRPr="00857C3C" w:rsidRDefault="00745FEA" w:rsidP="00745FEA">
                  <w:pPr>
                    <w:pStyle w:val="TableBodyText"/>
                    <w:spacing w:after="20"/>
                    <w:ind w:right="57"/>
                  </w:pPr>
                  <w:r w:rsidRPr="00F73322">
                    <w:t>40.6</w:t>
                  </w:r>
                </w:p>
              </w:tc>
              <w:tc>
                <w:tcPr>
                  <w:tcW w:w="516" w:type="pct"/>
                  <w:shd w:val="clear" w:color="auto" w:fill="auto"/>
                  <w:vAlign w:val="bottom"/>
                </w:tcPr>
                <w:p w:rsidR="00745FEA" w:rsidRPr="00857C3C" w:rsidRDefault="00745FEA" w:rsidP="00745FEA">
                  <w:pPr>
                    <w:pStyle w:val="TableBodyText"/>
                    <w:spacing w:after="20"/>
                    <w:ind w:right="57"/>
                  </w:pPr>
                  <w:r w:rsidRPr="00F73322">
                    <w:t>95.6</w:t>
                  </w:r>
                </w:p>
              </w:tc>
            </w:tr>
            <w:tr w:rsidR="00745FEA" w:rsidRPr="002B6A72" w:rsidTr="00745FEA">
              <w:tc>
                <w:tcPr>
                  <w:tcW w:w="1903" w:type="pct"/>
                  <w:shd w:val="clear" w:color="auto" w:fill="auto"/>
                  <w:vAlign w:val="center"/>
                </w:tcPr>
                <w:p w:rsidR="00745FEA" w:rsidRPr="0001641F" w:rsidRDefault="00745FEA" w:rsidP="00745FEA">
                  <w:pPr>
                    <w:pStyle w:val="TableBodyText"/>
                    <w:spacing w:after="20"/>
                    <w:jc w:val="left"/>
                  </w:pPr>
                  <w:r w:rsidRPr="0001641F">
                    <w:t>Unallocated services</w:t>
                  </w:r>
                  <w:r>
                    <w:rPr>
                      <w:rStyle w:val="NoteLabel"/>
                    </w:rPr>
                    <w:t>a</w:t>
                  </w:r>
                </w:p>
              </w:tc>
              <w:tc>
                <w:tcPr>
                  <w:tcW w:w="516" w:type="pct"/>
                  <w:vAlign w:val="bottom"/>
                </w:tcPr>
                <w:p w:rsidR="00745FEA" w:rsidRPr="00857C3C" w:rsidRDefault="00745FEA" w:rsidP="00745FEA">
                  <w:pPr>
                    <w:pStyle w:val="TableBodyText"/>
                    <w:ind w:right="57"/>
                  </w:pPr>
                  <w:r w:rsidRPr="00F73322">
                    <w:t>179.0</w:t>
                  </w:r>
                </w:p>
              </w:tc>
              <w:tc>
                <w:tcPr>
                  <w:tcW w:w="516" w:type="pct"/>
                  <w:vAlign w:val="bottom"/>
                </w:tcPr>
                <w:p w:rsidR="00745FEA" w:rsidRPr="00857C3C" w:rsidRDefault="00745FEA" w:rsidP="00745FEA">
                  <w:pPr>
                    <w:pStyle w:val="TableBodyText"/>
                    <w:ind w:right="57"/>
                  </w:pPr>
                  <w:r w:rsidRPr="00F73322">
                    <w:t>170.8</w:t>
                  </w:r>
                </w:p>
              </w:tc>
              <w:tc>
                <w:tcPr>
                  <w:tcW w:w="517" w:type="pct"/>
                  <w:vAlign w:val="bottom"/>
                </w:tcPr>
                <w:p w:rsidR="00745FEA" w:rsidRPr="00857C3C" w:rsidRDefault="00745FEA" w:rsidP="00745FEA">
                  <w:pPr>
                    <w:pStyle w:val="TableBodyText"/>
                    <w:ind w:right="57"/>
                  </w:pPr>
                  <w:r w:rsidRPr="00F73322">
                    <w:t>156.8</w:t>
                  </w:r>
                </w:p>
              </w:tc>
              <w:tc>
                <w:tcPr>
                  <w:tcW w:w="516" w:type="pct"/>
                  <w:vAlign w:val="bottom"/>
                </w:tcPr>
                <w:p w:rsidR="00745FEA" w:rsidRPr="00857C3C" w:rsidRDefault="00745FEA" w:rsidP="00745FEA">
                  <w:pPr>
                    <w:pStyle w:val="TableBodyText"/>
                    <w:ind w:right="57"/>
                  </w:pPr>
                  <w:r w:rsidRPr="00F73322">
                    <w:t>138.9</w:t>
                  </w:r>
                </w:p>
              </w:tc>
              <w:tc>
                <w:tcPr>
                  <w:tcW w:w="516" w:type="pct"/>
                  <w:shd w:val="clear" w:color="auto" w:fill="auto"/>
                  <w:vAlign w:val="bottom"/>
                </w:tcPr>
                <w:p w:rsidR="00745FEA" w:rsidRPr="00857C3C" w:rsidRDefault="00745FEA" w:rsidP="00745FEA">
                  <w:pPr>
                    <w:pStyle w:val="TableBodyText"/>
                    <w:ind w:right="57"/>
                  </w:pPr>
                  <w:r w:rsidRPr="00F73322">
                    <w:t>144.1</w:t>
                  </w:r>
                </w:p>
              </w:tc>
              <w:tc>
                <w:tcPr>
                  <w:tcW w:w="516" w:type="pct"/>
                  <w:shd w:val="clear" w:color="auto" w:fill="auto"/>
                  <w:vAlign w:val="bottom"/>
                </w:tcPr>
                <w:p w:rsidR="00745FEA" w:rsidRPr="00857C3C" w:rsidRDefault="00745FEA" w:rsidP="00745FEA">
                  <w:pPr>
                    <w:pStyle w:val="TableBodyText"/>
                    <w:ind w:right="57"/>
                  </w:pPr>
                  <w:r w:rsidRPr="00F73322">
                    <w:t>142.4</w:t>
                  </w:r>
                </w:p>
              </w:tc>
            </w:tr>
            <w:tr w:rsidR="00745FEA" w:rsidRPr="00F4344E" w:rsidTr="00745FEA">
              <w:tc>
                <w:tcPr>
                  <w:tcW w:w="1903" w:type="pct"/>
                  <w:shd w:val="clear" w:color="auto" w:fill="auto"/>
                  <w:vAlign w:val="center"/>
                </w:tcPr>
                <w:p w:rsidR="00745FEA" w:rsidRPr="00F4344E" w:rsidRDefault="00745FEA" w:rsidP="00745FEA">
                  <w:pPr>
                    <w:pStyle w:val="TableBodyText"/>
                    <w:jc w:val="left"/>
                    <w:rPr>
                      <w:b/>
                    </w:rPr>
                  </w:pPr>
                  <w:r w:rsidRPr="00F4344E">
                    <w:rPr>
                      <w:b/>
                    </w:rPr>
                    <w:t>Unallocated other</w:t>
                  </w:r>
                  <w:r w:rsidRPr="005D59CA">
                    <w:rPr>
                      <w:rStyle w:val="NoteLabel"/>
                      <w:b w:val="0"/>
                    </w:rPr>
                    <w:t>a</w:t>
                  </w:r>
                </w:p>
              </w:tc>
              <w:tc>
                <w:tcPr>
                  <w:tcW w:w="516" w:type="pct"/>
                  <w:vAlign w:val="bottom"/>
                </w:tcPr>
                <w:p w:rsidR="00745FEA" w:rsidRPr="00F4344E" w:rsidRDefault="00745FEA" w:rsidP="00745FEA">
                  <w:pPr>
                    <w:pStyle w:val="TableBodyText"/>
                    <w:ind w:right="57"/>
                    <w:rPr>
                      <w:b/>
                    </w:rPr>
                  </w:pPr>
                  <w:r w:rsidRPr="00F4344E">
                    <w:rPr>
                      <w:b/>
                    </w:rPr>
                    <w:t>972.5</w:t>
                  </w:r>
                </w:p>
              </w:tc>
              <w:tc>
                <w:tcPr>
                  <w:tcW w:w="516" w:type="pct"/>
                  <w:vAlign w:val="bottom"/>
                </w:tcPr>
                <w:p w:rsidR="00745FEA" w:rsidRPr="00F4344E" w:rsidRDefault="00745FEA" w:rsidP="00745FEA">
                  <w:pPr>
                    <w:pStyle w:val="TableBodyText"/>
                    <w:ind w:right="57"/>
                    <w:rPr>
                      <w:b/>
                    </w:rPr>
                  </w:pPr>
                  <w:r w:rsidRPr="00F4344E">
                    <w:rPr>
                      <w:b/>
                    </w:rPr>
                    <w:t>972.1</w:t>
                  </w:r>
                </w:p>
              </w:tc>
              <w:tc>
                <w:tcPr>
                  <w:tcW w:w="517" w:type="pct"/>
                  <w:vAlign w:val="bottom"/>
                </w:tcPr>
                <w:p w:rsidR="00745FEA" w:rsidRPr="00F4344E" w:rsidRDefault="00745FEA" w:rsidP="00745FEA">
                  <w:pPr>
                    <w:pStyle w:val="TableBodyText"/>
                    <w:ind w:right="57"/>
                    <w:rPr>
                      <w:b/>
                    </w:rPr>
                  </w:pPr>
                  <w:r w:rsidRPr="00F4344E">
                    <w:rPr>
                      <w:b/>
                    </w:rPr>
                    <w:t>1160.6</w:t>
                  </w:r>
                </w:p>
              </w:tc>
              <w:tc>
                <w:tcPr>
                  <w:tcW w:w="516" w:type="pct"/>
                  <w:vAlign w:val="bottom"/>
                </w:tcPr>
                <w:p w:rsidR="00745FEA" w:rsidRPr="00F4344E" w:rsidRDefault="00745FEA" w:rsidP="00745FEA">
                  <w:pPr>
                    <w:pStyle w:val="TableBodyText"/>
                    <w:ind w:right="57"/>
                    <w:rPr>
                      <w:b/>
                    </w:rPr>
                  </w:pPr>
                  <w:r w:rsidRPr="00F4344E">
                    <w:rPr>
                      <w:b/>
                    </w:rPr>
                    <w:t>700.1</w:t>
                  </w:r>
                </w:p>
              </w:tc>
              <w:tc>
                <w:tcPr>
                  <w:tcW w:w="516" w:type="pct"/>
                  <w:shd w:val="clear" w:color="auto" w:fill="auto"/>
                  <w:vAlign w:val="bottom"/>
                </w:tcPr>
                <w:p w:rsidR="00745FEA" w:rsidRPr="00F4344E" w:rsidRDefault="00745FEA" w:rsidP="00745FEA">
                  <w:pPr>
                    <w:pStyle w:val="TableBodyText"/>
                    <w:ind w:right="57"/>
                    <w:rPr>
                      <w:b/>
                    </w:rPr>
                  </w:pPr>
                  <w:r w:rsidRPr="00F4344E">
                    <w:rPr>
                      <w:b/>
                    </w:rPr>
                    <w:t>1080.9</w:t>
                  </w:r>
                </w:p>
              </w:tc>
              <w:tc>
                <w:tcPr>
                  <w:tcW w:w="516" w:type="pct"/>
                  <w:shd w:val="clear" w:color="auto" w:fill="auto"/>
                  <w:vAlign w:val="bottom"/>
                </w:tcPr>
                <w:p w:rsidR="00745FEA" w:rsidRPr="00F4344E" w:rsidRDefault="00745FEA" w:rsidP="00745FEA">
                  <w:pPr>
                    <w:pStyle w:val="TableBodyText"/>
                    <w:ind w:right="57"/>
                    <w:rPr>
                      <w:b/>
                    </w:rPr>
                  </w:pPr>
                  <w:r w:rsidRPr="00F4344E">
                    <w:rPr>
                      <w:b/>
                    </w:rPr>
                    <w:t>3134.1</w:t>
                  </w:r>
                </w:p>
              </w:tc>
            </w:tr>
            <w:tr w:rsidR="00745FEA" w:rsidRPr="00F4344E" w:rsidTr="00745FEA">
              <w:tc>
                <w:tcPr>
                  <w:tcW w:w="1903" w:type="pct"/>
                  <w:tcBorders>
                    <w:bottom w:val="single" w:sz="6" w:space="0" w:color="BFBFBF"/>
                  </w:tcBorders>
                  <w:shd w:val="clear" w:color="auto" w:fill="auto"/>
                  <w:vAlign w:val="center"/>
                </w:tcPr>
                <w:p w:rsidR="00745FEA" w:rsidRPr="00F4344E" w:rsidRDefault="00745FEA" w:rsidP="00745FEA">
                  <w:pPr>
                    <w:pStyle w:val="TableBodyText"/>
                    <w:jc w:val="left"/>
                    <w:rPr>
                      <w:b/>
                    </w:rPr>
                  </w:pPr>
                  <w:r w:rsidRPr="00F4344E">
                    <w:rPr>
                      <w:b/>
                    </w:rPr>
                    <w:t>Total</w:t>
                  </w:r>
                </w:p>
              </w:tc>
              <w:tc>
                <w:tcPr>
                  <w:tcW w:w="516" w:type="pct"/>
                  <w:tcBorders>
                    <w:bottom w:val="single" w:sz="6" w:space="0" w:color="BFBFBF"/>
                  </w:tcBorders>
                  <w:vAlign w:val="bottom"/>
                </w:tcPr>
                <w:p w:rsidR="00745FEA" w:rsidRPr="00F4344E" w:rsidRDefault="00745FEA" w:rsidP="00745FEA">
                  <w:pPr>
                    <w:pStyle w:val="TableBodyText"/>
                    <w:ind w:right="57"/>
                    <w:rPr>
                      <w:b/>
                    </w:rPr>
                  </w:pPr>
                  <w:r w:rsidRPr="00F4344E">
                    <w:rPr>
                      <w:b/>
                    </w:rPr>
                    <w:t>10205.7</w:t>
                  </w:r>
                </w:p>
              </w:tc>
              <w:tc>
                <w:tcPr>
                  <w:tcW w:w="516" w:type="pct"/>
                  <w:tcBorders>
                    <w:bottom w:val="single" w:sz="6" w:space="0" w:color="BFBFBF"/>
                  </w:tcBorders>
                  <w:vAlign w:val="bottom"/>
                </w:tcPr>
                <w:p w:rsidR="00745FEA" w:rsidRPr="00F4344E" w:rsidRDefault="00745FEA" w:rsidP="00745FEA">
                  <w:pPr>
                    <w:pStyle w:val="TableBodyText"/>
                    <w:ind w:right="57"/>
                    <w:rPr>
                      <w:b/>
                    </w:rPr>
                  </w:pPr>
                  <w:r w:rsidRPr="00F4344E">
                    <w:rPr>
                      <w:b/>
                    </w:rPr>
                    <w:t>8886.3</w:t>
                  </w:r>
                </w:p>
              </w:tc>
              <w:tc>
                <w:tcPr>
                  <w:tcW w:w="517" w:type="pct"/>
                  <w:tcBorders>
                    <w:bottom w:val="single" w:sz="6" w:space="0" w:color="BFBFBF"/>
                  </w:tcBorders>
                  <w:vAlign w:val="bottom"/>
                </w:tcPr>
                <w:p w:rsidR="00745FEA" w:rsidRPr="00F4344E" w:rsidRDefault="00745FEA" w:rsidP="00745FEA">
                  <w:pPr>
                    <w:pStyle w:val="TableBodyText"/>
                    <w:ind w:right="57"/>
                    <w:rPr>
                      <w:b/>
                    </w:rPr>
                  </w:pPr>
                  <w:r w:rsidRPr="00F4344E">
                    <w:rPr>
                      <w:b/>
                    </w:rPr>
                    <w:t>8779.0</w:t>
                  </w:r>
                </w:p>
              </w:tc>
              <w:tc>
                <w:tcPr>
                  <w:tcW w:w="516" w:type="pct"/>
                  <w:tcBorders>
                    <w:bottom w:val="single" w:sz="6" w:space="0" w:color="BFBFBF"/>
                  </w:tcBorders>
                  <w:vAlign w:val="bottom"/>
                </w:tcPr>
                <w:p w:rsidR="00745FEA" w:rsidRPr="00F4344E" w:rsidRDefault="00745FEA" w:rsidP="00745FEA">
                  <w:pPr>
                    <w:pStyle w:val="TableBodyText"/>
                    <w:ind w:right="57"/>
                    <w:rPr>
                      <w:b/>
                    </w:rPr>
                  </w:pPr>
                  <w:r w:rsidRPr="00F4344E">
                    <w:rPr>
                      <w:b/>
                    </w:rPr>
                    <w:t>8481.5</w:t>
                  </w:r>
                </w:p>
              </w:tc>
              <w:tc>
                <w:tcPr>
                  <w:tcW w:w="516" w:type="pct"/>
                  <w:tcBorders>
                    <w:bottom w:val="single" w:sz="6" w:space="0" w:color="BFBFBF"/>
                  </w:tcBorders>
                  <w:shd w:val="clear" w:color="auto" w:fill="auto"/>
                  <w:vAlign w:val="bottom"/>
                </w:tcPr>
                <w:p w:rsidR="00745FEA" w:rsidRPr="00F4344E" w:rsidRDefault="00745FEA" w:rsidP="00745FEA">
                  <w:pPr>
                    <w:pStyle w:val="TableBodyText"/>
                    <w:ind w:right="57"/>
                    <w:rPr>
                      <w:b/>
                    </w:rPr>
                  </w:pPr>
                  <w:r w:rsidRPr="00F4344E">
                    <w:rPr>
                      <w:b/>
                    </w:rPr>
                    <w:t>8879.3</w:t>
                  </w:r>
                </w:p>
              </w:tc>
              <w:tc>
                <w:tcPr>
                  <w:tcW w:w="516" w:type="pct"/>
                  <w:tcBorders>
                    <w:bottom w:val="single" w:sz="6" w:space="0" w:color="BFBFBF"/>
                  </w:tcBorders>
                  <w:shd w:val="clear" w:color="auto" w:fill="auto"/>
                  <w:vAlign w:val="bottom"/>
                </w:tcPr>
                <w:p w:rsidR="00745FEA" w:rsidRPr="00F4344E" w:rsidRDefault="00745FEA" w:rsidP="00745FEA">
                  <w:pPr>
                    <w:pStyle w:val="TableBodyText"/>
                    <w:ind w:right="57"/>
                    <w:rPr>
                      <w:b/>
                    </w:rPr>
                  </w:pPr>
                  <w:r w:rsidRPr="00F4344E">
                    <w:rPr>
                      <w:b/>
                    </w:rPr>
                    <w:t>12503.5</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spacing w:before="40"/>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rPr>
                <w:rStyle w:val="NoteLabel"/>
              </w:rPr>
              <w:t> </w:t>
            </w:r>
            <w:r w:rsidRPr="0001641F">
              <w:t>Unallocated includes budgetary measures where details of beneficiaries are unknown.</w:t>
            </w:r>
            <w:r>
              <w:t xml:space="preserve"> </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keepNext w:val="0"/>
              <w:spacing w:before="0" w:line="120" w:lineRule="exact"/>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spacing w:before="40" w:after="0"/>
            </w:pPr>
            <w:r>
              <w:rPr>
                <w:b w:val="0"/>
              </w:rPr>
              <w:t>Table A.</w:t>
            </w:r>
            <w:r>
              <w:rPr>
                <w:b w:val="0"/>
                <w:noProof/>
              </w:rPr>
              <w:t>3</w:t>
            </w:r>
            <w:r>
              <w:tab/>
            </w:r>
            <w:r w:rsidRPr="00BE7B87">
              <w:t xml:space="preserve">Net combined assistance by industry grouping, </w:t>
            </w:r>
            <w:r>
              <w:br/>
            </w:r>
            <w:r w:rsidRPr="00BE7B87">
              <w:t>20</w:t>
            </w:r>
            <w:r>
              <w:t>11</w:t>
            </w:r>
            <w:r>
              <w:noBreakHyphen/>
              <w:t>12</w:t>
            </w:r>
            <w:r w:rsidRPr="00BE7B87">
              <w:t xml:space="preserve"> to 201</w:t>
            </w:r>
            <w:r>
              <w:t>6</w:t>
            </w:r>
            <w:r>
              <w:noBreakHyphen/>
            </w:r>
            <w:r w:rsidRPr="00BE7B87">
              <w:t>1</w:t>
            </w:r>
            <w:r>
              <w:t>7</w:t>
            </w:r>
            <w:r w:rsidRPr="009E76C0">
              <w:rPr>
                <w:rStyle w:val="NoteLabel"/>
                <w:b/>
                <w:position w:val="10"/>
              </w:rPr>
              <w:t>a</w:t>
            </w:r>
          </w:p>
          <w:p w:rsidR="00745FEA" w:rsidRPr="00784A05" w:rsidRDefault="00745FEA" w:rsidP="00745FEA">
            <w:pPr>
              <w:pStyle w:val="Subtitle"/>
              <w:spacing w:before="40" w:after="0"/>
            </w:pPr>
            <w:r w:rsidRPr="00BE7B87">
              <w:t>$ million (nominal)</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331"/>
              <w:gridCol w:w="838"/>
              <w:gridCol w:w="839"/>
              <w:gridCol w:w="839"/>
              <w:gridCol w:w="839"/>
              <w:gridCol w:w="839"/>
              <w:gridCol w:w="980"/>
            </w:tblGrid>
            <w:tr w:rsidR="00745FEA" w:rsidTr="00C719FB">
              <w:trPr>
                <w:tblHeader/>
              </w:trPr>
              <w:tc>
                <w:tcPr>
                  <w:tcW w:w="1959" w:type="pct"/>
                  <w:tcBorders>
                    <w:top w:val="single" w:sz="6" w:space="0" w:color="BFBFBF"/>
                    <w:bottom w:val="single" w:sz="6" w:space="0" w:color="BFBFBF"/>
                  </w:tcBorders>
                  <w:shd w:val="clear" w:color="auto" w:fill="auto"/>
                  <w:tcMar>
                    <w:top w:w="28" w:type="dxa"/>
                  </w:tcMar>
                </w:tcPr>
                <w:p w:rsidR="00745FEA" w:rsidRPr="00BE7B87" w:rsidRDefault="00745FEA" w:rsidP="00745FEA">
                  <w:pPr>
                    <w:pStyle w:val="TableColumnHeading"/>
                    <w:spacing w:before="60" w:after="60"/>
                    <w:jc w:val="left"/>
                    <w:rPr>
                      <w:szCs w:val="18"/>
                    </w:rPr>
                  </w:pPr>
                  <w:r w:rsidRPr="00BE7B87">
                    <w:rPr>
                      <w:szCs w:val="18"/>
                    </w:rPr>
                    <w:t>Industry grouping</w:t>
                  </w:r>
                </w:p>
              </w:tc>
              <w:tc>
                <w:tcPr>
                  <w:tcW w:w="493"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93"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93"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93"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93"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57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F4344E" w:rsidTr="00745FEA">
              <w:tc>
                <w:tcPr>
                  <w:tcW w:w="1959" w:type="pct"/>
                  <w:tcBorders>
                    <w:top w:val="single" w:sz="6" w:space="0" w:color="BFBFBF"/>
                  </w:tcBorders>
                  <w:vAlign w:val="bottom"/>
                </w:tcPr>
                <w:p w:rsidR="00745FEA" w:rsidRPr="00F4344E" w:rsidRDefault="00745FEA" w:rsidP="00745FEA">
                  <w:pPr>
                    <w:spacing w:after="20"/>
                    <w:rPr>
                      <w:rFonts w:ascii="Arial" w:hAnsi="Arial" w:cs="Arial"/>
                      <w:b/>
                      <w:bCs/>
                      <w:sz w:val="18"/>
                      <w:szCs w:val="18"/>
                    </w:rPr>
                  </w:pPr>
                  <w:r w:rsidRPr="00F4344E">
                    <w:rPr>
                      <w:rFonts w:ascii="Arial" w:hAnsi="Arial" w:cs="Arial"/>
                      <w:b/>
                      <w:bCs/>
                      <w:sz w:val="18"/>
                      <w:szCs w:val="18"/>
                    </w:rPr>
                    <w:t>Primary production</w:t>
                  </w:r>
                </w:p>
              </w:tc>
              <w:tc>
                <w:tcPr>
                  <w:tcW w:w="493" w:type="pct"/>
                  <w:tcBorders>
                    <w:top w:val="single" w:sz="6" w:space="0" w:color="BFBFBF"/>
                  </w:tcBorders>
                  <w:vAlign w:val="bottom"/>
                </w:tcPr>
                <w:p w:rsidR="00745FEA" w:rsidRPr="00F4344E" w:rsidRDefault="00745FEA" w:rsidP="00745FEA">
                  <w:pPr>
                    <w:pStyle w:val="TableBodyText"/>
                    <w:spacing w:after="20"/>
                    <w:ind w:right="57"/>
                    <w:rPr>
                      <w:b/>
                    </w:rPr>
                  </w:pPr>
                  <w:r w:rsidRPr="00F4344E">
                    <w:rPr>
                      <w:b/>
                    </w:rPr>
                    <w:t>1781.7</w:t>
                  </w:r>
                </w:p>
              </w:tc>
              <w:tc>
                <w:tcPr>
                  <w:tcW w:w="493" w:type="pct"/>
                  <w:tcBorders>
                    <w:top w:val="single" w:sz="6" w:space="0" w:color="BFBFBF"/>
                  </w:tcBorders>
                  <w:vAlign w:val="bottom"/>
                </w:tcPr>
                <w:p w:rsidR="00745FEA" w:rsidRPr="00F4344E" w:rsidRDefault="00745FEA" w:rsidP="00745FEA">
                  <w:pPr>
                    <w:pStyle w:val="TableBodyText"/>
                    <w:spacing w:after="20"/>
                    <w:ind w:right="57"/>
                    <w:rPr>
                      <w:b/>
                    </w:rPr>
                  </w:pPr>
                  <w:r w:rsidRPr="00F4344E">
                    <w:rPr>
                      <w:b/>
                    </w:rPr>
                    <w:t>1512.0</w:t>
                  </w:r>
                </w:p>
              </w:tc>
              <w:tc>
                <w:tcPr>
                  <w:tcW w:w="493" w:type="pct"/>
                  <w:tcBorders>
                    <w:top w:val="single" w:sz="6" w:space="0" w:color="BFBFBF"/>
                  </w:tcBorders>
                  <w:vAlign w:val="bottom"/>
                </w:tcPr>
                <w:p w:rsidR="00745FEA" w:rsidRPr="00F4344E" w:rsidRDefault="00745FEA" w:rsidP="00745FEA">
                  <w:pPr>
                    <w:pStyle w:val="TableBodyText"/>
                    <w:spacing w:after="20"/>
                    <w:ind w:right="57"/>
                    <w:rPr>
                      <w:b/>
                    </w:rPr>
                  </w:pPr>
                  <w:r w:rsidRPr="00F4344E">
                    <w:rPr>
                      <w:b/>
                    </w:rPr>
                    <w:t>1513.3</w:t>
                  </w:r>
                </w:p>
              </w:tc>
              <w:tc>
                <w:tcPr>
                  <w:tcW w:w="493" w:type="pct"/>
                  <w:tcBorders>
                    <w:top w:val="single" w:sz="6" w:space="0" w:color="BFBFBF"/>
                  </w:tcBorders>
                  <w:vAlign w:val="bottom"/>
                </w:tcPr>
                <w:p w:rsidR="00745FEA" w:rsidRPr="00F4344E" w:rsidRDefault="00745FEA" w:rsidP="00745FEA">
                  <w:pPr>
                    <w:pStyle w:val="TableBodyText"/>
                    <w:spacing w:after="20"/>
                    <w:ind w:right="57"/>
                    <w:rPr>
                      <w:b/>
                    </w:rPr>
                  </w:pPr>
                  <w:r w:rsidRPr="00F4344E">
                    <w:rPr>
                      <w:b/>
                    </w:rPr>
                    <w:t>1598.5</w:t>
                  </w:r>
                </w:p>
              </w:tc>
              <w:tc>
                <w:tcPr>
                  <w:tcW w:w="493" w:type="pct"/>
                  <w:tcBorders>
                    <w:top w:val="single" w:sz="6" w:space="0" w:color="BFBFBF"/>
                  </w:tcBorders>
                  <w:vAlign w:val="bottom"/>
                </w:tcPr>
                <w:p w:rsidR="00745FEA" w:rsidRPr="00F4344E" w:rsidRDefault="00745FEA" w:rsidP="00745FEA">
                  <w:pPr>
                    <w:pStyle w:val="TableBodyText"/>
                    <w:spacing w:after="20"/>
                    <w:ind w:right="57"/>
                    <w:rPr>
                      <w:b/>
                    </w:rPr>
                  </w:pPr>
                  <w:r w:rsidRPr="00F4344E">
                    <w:rPr>
                      <w:b/>
                    </w:rPr>
                    <w:t>1612.3</w:t>
                  </w:r>
                </w:p>
              </w:tc>
              <w:tc>
                <w:tcPr>
                  <w:tcW w:w="577" w:type="pct"/>
                  <w:tcBorders>
                    <w:top w:val="single" w:sz="6" w:space="0" w:color="BFBFBF"/>
                  </w:tcBorders>
                  <w:vAlign w:val="bottom"/>
                </w:tcPr>
                <w:p w:rsidR="00745FEA" w:rsidRPr="00F4344E" w:rsidRDefault="00745FEA" w:rsidP="00745FEA">
                  <w:pPr>
                    <w:pStyle w:val="TableBodyText"/>
                    <w:spacing w:after="20"/>
                    <w:ind w:right="57"/>
                    <w:rPr>
                      <w:b/>
                    </w:rPr>
                  </w:pPr>
                  <w:r w:rsidRPr="00F4344E">
                    <w:rPr>
                      <w:b/>
                    </w:rPr>
                    <w:t>1930.6</w:t>
                  </w:r>
                </w:p>
              </w:tc>
            </w:tr>
            <w:tr w:rsidR="00745FEA" w:rsidTr="00745FEA">
              <w:tc>
                <w:tcPr>
                  <w:tcW w:w="1959" w:type="pct"/>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Horticulture and fruit growing</w:t>
                  </w:r>
                </w:p>
              </w:tc>
              <w:tc>
                <w:tcPr>
                  <w:tcW w:w="493" w:type="pct"/>
                  <w:vAlign w:val="bottom"/>
                </w:tcPr>
                <w:p w:rsidR="00745FEA" w:rsidRPr="00AC0382" w:rsidRDefault="00745FEA" w:rsidP="00745FEA">
                  <w:pPr>
                    <w:pStyle w:val="TableBodyText"/>
                    <w:spacing w:after="20"/>
                    <w:ind w:right="57"/>
                  </w:pPr>
                  <w:r w:rsidRPr="00C13552">
                    <w:t>229.5</w:t>
                  </w:r>
                </w:p>
              </w:tc>
              <w:tc>
                <w:tcPr>
                  <w:tcW w:w="493" w:type="pct"/>
                  <w:vAlign w:val="bottom"/>
                </w:tcPr>
                <w:p w:rsidR="00745FEA" w:rsidRPr="00AC0382" w:rsidRDefault="00745FEA" w:rsidP="00745FEA">
                  <w:pPr>
                    <w:pStyle w:val="TableBodyText"/>
                    <w:spacing w:after="20"/>
                    <w:ind w:right="57"/>
                  </w:pPr>
                  <w:r w:rsidRPr="00C13552">
                    <w:t>252.9</w:t>
                  </w:r>
                </w:p>
              </w:tc>
              <w:tc>
                <w:tcPr>
                  <w:tcW w:w="493" w:type="pct"/>
                  <w:vAlign w:val="bottom"/>
                </w:tcPr>
                <w:p w:rsidR="00745FEA" w:rsidRPr="00AC0382" w:rsidRDefault="00745FEA" w:rsidP="00745FEA">
                  <w:pPr>
                    <w:pStyle w:val="TableBodyText"/>
                    <w:spacing w:after="20"/>
                    <w:ind w:right="57"/>
                  </w:pPr>
                  <w:r w:rsidRPr="00C13552">
                    <w:t>232.6</w:t>
                  </w:r>
                </w:p>
              </w:tc>
              <w:tc>
                <w:tcPr>
                  <w:tcW w:w="493" w:type="pct"/>
                  <w:vAlign w:val="bottom"/>
                </w:tcPr>
                <w:p w:rsidR="00745FEA" w:rsidRPr="00AC0382" w:rsidRDefault="00745FEA" w:rsidP="00745FEA">
                  <w:pPr>
                    <w:pStyle w:val="TableBodyText"/>
                    <w:spacing w:after="20"/>
                    <w:ind w:right="57"/>
                  </w:pPr>
                  <w:r w:rsidRPr="00C13552">
                    <w:t>232.3</w:t>
                  </w:r>
                </w:p>
              </w:tc>
              <w:tc>
                <w:tcPr>
                  <w:tcW w:w="493" w:type="pct"/>
                  <w:vAlign w:val="bottom"/>
                </w:tcPr>
                <w:p w:rsidR="00745FEA" w:rsidRPr="00AC0382" w:rsidRDefault="00745FEA" w:rsidP="00745FEA">
                  <w:pPr>
                    <w:pStyle w:val="TableBodyText"/>
                    <w:spacing w:after="20"/>
                    <w:ind w:right="57"/>
                  </w:pPr>
                  <w:r w:rsidRPr="00C13552">
                    <w:t>269.3</w:t>
                  </w:r>
                </w:p>
              </w:tc>
              <w:tc>
                <w:tcPr>
                  <w:tcW w:w="577" w:type="pct"/>
                  <w:vAlign w:val="bottom"/>
                </w:tcPr>
                <w:p w:rsidR="00745FEA" w:rsidRPr="00DB4CDB" w:rsidRDefault="00745FEA" w:rsidP="00745FEA">
                  <w:pPr>
                    <w:pStyle w:val="TableBodyText"/>
                    <w:spacing w:after="20"/>
                    <w:ind w:right="57"/>
                  </w:pPr>
                  <w:r w:rsidRPr="00C13552">
                    <w:t>342.6</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Sheep, beef cattle and grain farming</w:t>
                  </w:r>
                </w:p>
              </w:tc>
              <w:tc>
                <w:tcPr>
                  <w:tcW w:w="493" w:type="pct"/>
                  <w:vAlign w:val="bottom"/>
                </w:tcPr>
                <w:p w:rsidR="00745FEA" w:rsidRPr="00AC0382" w:rsidRDefault="00745FEA" w:rsidP="00745FEA">
                  <w:pPr>
                    <w:pStyle w:val="TableBodyText"/>
                    <w:spacing w:after="20"/>
                    <w:ind w:right="57"/>
                  </w:pPr>
                  <w:r w:rsidRPr="00C13552">
                    <w:t>824.0</w:t>
                  </w:r>
                </w:p>
              </w:tc>
              <w:tc>
                <w:tcPr>
                  <w:tcW w:w="493" w:type="pct"/>
                  <w:vAlign w:val="bottom"/>
                </w:tcPr>
                <w:p w:rsidR="00745FEA" w:rsidRPr="00AC0382" w:rsidRDefault="00745FEA" w:rsidP="00745FEA">
                  <w:pPr>
                    <w:pStyle w:val="TableBodyText"/>
                    <w:spacing w:after="20"/>
                    <w:ind w:right="57"/>
                  </w:pPr>
                  <w:r w:rsidRPr="00C13552">
                    <w:t>699.0</w:t>
                  </w:r>
                </w:p>
              </w:tc>
              <w:tc>
                <w:tcPr>
                  <w:tcW w:w="493" w:type="pct"/>
                  <w:vAlign w:val="bottom"/>
                </w:tcPr>
                <w:p w:rsidR="00745FEA" w:rsidRPr="00AC0382" w:rsidRDefault="00745FEA" w:rsidP="00745FEA">
                  <w:pPr>
                    <w:pStyle w:val="TableBodyText"/>
                    <w:spacing w:after="20"/>
                    <w:ind w:right="57"/>
                  </w:pPr>
                  <w:r w:rsidRPr="00C13552">
                    <w:t>761.8</w:t>
                  </w:r>
                </w:p>
              </w:tc>
              <w:tc>
                <w:tcPr>
                  <w:tcW w:w="493" w:type="pct"/>
                  <w:vAlign w:val="bottom"/>
                </w:tcPr>
                <w:p w:rsidR="00745FEA" w:rsidRPr="00AC0382" w:rsidRDefault="00745FEA" w:rsidP="00745FEA">
                  <w:pPr>
                    <w:pStyle w:val="TableBodyText"/>
                    <w:spacing w:after="20"/>
                    <w:ind w:right="57"/>
                  </w:pPr>
                  <w:r w:rsidRPr="00C13552">
                    <w:t>772.5</w:t>
                  </w:r>
                </w:p>
              </w:tc>
              <w:tc>
                <w:tcPr>
                  <w:tcW w:w="493" w:type="pct"/>
                  <w:shd w:val="clear" w:color="auto" w:fill="auto"/>
                  <w:vAlign w:val="bottom"/>
                </w:tcPr>
                <w:p w:rsidR="00745FEA" w:rsidRPr="00AC0382" w:rsidRDefault="00745FEA" w:rsidP="00745FEA">
                  <w:pPr>
                    <w:pStyle w:val="TableBodyText"/>
                    <w:spacing w:after="20"/>
                    <w:ind w:right="57"/>
                  </w:pPr>
                  <w:r w:rsidRPr="00C13552">
                    <w:t>795.3</w:t>
                  </w:r>
                </w:p>
              </w:tc>
              <w:tc>
                <w:tcPr>
                  <w:tcW w:w="577" w:type="pct"/>
                  <w:shd w:val="clear" w:color="auto" w:fill="auto"/>
                  <w:vAlign w:val="bottom"/>
                </w:tcPr>
                <w:p w:rsidR="00745FEA" w:rsidRPr="00DB4CDB" w:rsidRDefault="00745FEA" w:rsidP="00745FEA">
                  <w:pPr>
                    <w:pStyle w:val="TableBodyText"/>
                    <w:spacing w:after="20"/>
                    <w:ind w:right="57"/>
                  </w:pPr>
                  <w:r w:rsidRPr="00C13552">
                    <w:t>942.5</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Other crop growing</w:t>
                  </w:r>
                </w:p>
              </w:tc>
              <w:tc>
                <w:tcPr>
                  <w:tcW w:w="493" w:type="pct"/>
                  <w:vAlign w:val="bottom"/>
                </w:tcPr>
                <w:p w:rsidR="00745FEA" w:rsidRPr="00AC0382" w:rsidRDefault="00745FEA" w:rsidP="00745FEA">
                  <w:pPr>
                    <w:pStyle w:val="TableBodyText"/>
                    <w:spacing w:after="20"/>
                    <w:ind w:right="57"/>
                  </w:pPr>
                  <w:r w:rsidRPr="00C13552">
                    <w:t>90.4</w:t>
                  </w:r>
                </w:p>
              </w:tc>
              <w:tc>
                <w:tcPr>
                  <w:tcW w:w="493" w:type="pct"/>
                  <w:vAlign w:val="bottom"/>
                </w:tcPr>
                <w:p w:rsidR="00745FEA" w:rsidRPr="00AC0382" w:rsidRDefault="00745FEA" w:rsidP="00745FEA">
                  <w:pPr>
                    <w:pStyle w:val="TableBodyText"/>
                    <w:spacing w:after="20"/>
                    <w:ind w:right="57"/>
                  </w:pPr>
                  <w:r w:rsidRPr="00C13552">
                    <w:t>90.5</w:t>
                  </w:r>
                </w:p>
              </w:tc>
              <w:tc>
                <w:tcPr>
                  <w:tcW w:w="493" w:type="pct"/>
                  <w:vAlign w:val="bottom"/>
                </w:tcPr>
                <w:p w:rsidR="00745FEA" w:rsidRPr="00AC0382" w:rsidRDefault="00745FEA" w:rsidP="00745FEA">
                  <w:pPr>
                    <w:pStyle w:val="TableBodyText"/>
                    <w:spacing w:after="20"/>
                    <w:ind w:right="57"/>
                  </w:pPr>
                  <w:r w:rsidRPr="00C13552">
                    <w:t>98.5</w:t>
                  </w:r>
                </w:p>
              </w:tc>
              <w:tc>
                <w:tcPr>
                  <w:tcW w:w="493" w:type="pct"/>
                  <w:vAlign w:val="bottom"/>
                </w:tcPr>
                <w:p w:rsidR="00745FEA" w:rsidRPr="00AC0382" w:rsidRDefault="00745FEA" w:rsidP="00745FEA">
                  <w:pPr>
                    <w:pStyle w:val="TableBodyText"/>
                    <w:spacing w:after="20"/>
                    <w:ind w:right="57"/>
                  </w:pPr>
                  <w:r w:rsidRPr="00C13552">
                    <w:t>77.7</w:t>
                  </w:r>
                </w:p>
              </w:tc>
              <w:tc>
                <w:tcPr>
                  <w:tcW w:w="493" w:type="pct"/>
                  <w:shd w:val="clear" w:color="auto" w:fill="auto"/>
                  <w:vAlign w:val="bottom"/>
                </w:tcPr>
                <w:p w:rsidR="00745FEA" w:rsidRPr="00AC0382" w:rsidRDefault="00745FEA" w:rsidP="00745FEA">
                  <w:pPr>
                    <w:pStyle w:val="TableBodyText"/>
                    <w:spacing w:after="20"/>
                    <w:ind w:right="57"/>
                  </w:pPr>
                  <w:r w:rsidRPr="00C13552">
                    <w:t>86.4</w:t>
                  </w:r>
                </w:p>
              </w:tc>
              <w:tc>
                <w:tcPr>
                  <w:tcW w:w="577" w:type="pct"/>
                  <w:shd w:val="clear" w:color="auto" w:fill="auto"/>
                  <w:vAlign w:val="bottom"/>
                </w:tcPr>
                <w:p w:rsidR="00745FEA" w:rsidRPr="00DB4CDB" w:rsidRDefault="00745FEA" w:rsidP="00745FEA">
                  <w:pPr>
                    <w:pStyle w:val="TableBodyText"/>
                    <w:spacing w:after="20"/>
                    <w:ind w:right="57"/>
                  </w:pPr>
                  <w:r w:rsidRPr="00C13552">
                    <w:t>89.1</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Dairy cattle farming</w:t>
                  </w:r>
                </w:p>
              </w:tc>
              <w:tc>
                <w:tcPr>
                  <w:tcW w:w="493" w:type="pct"/>
                  <w:vAlign w:val="bottom"/>
                </w:tcPr>
                <w:p w:rsidR="00745FEA" w:rsidRPr="00AC0382" w:rsidRDefault="00745FEA" w:rsidP="00745FEA">
                  <w:pPr>
                    <w:pStyle w:val="TableBodyText"/>
                    <w:spacing w:after="20"/>
                    <w:ind w:right="57"/>
                  </w:pPr>
                  <w:r w:rsidRPr="00C13552">
                    <w:t>71.0</w:t>
                  </w:r>
                </w:p>
              </w:tc>
              <w:tc>
                <w:tcPr>
                  <w:tcW w:w="493" w:type="pct"/>
                  <w:vAlign w:val="bottom"/>
                </w:tcPr>
                <w:p w:rsidR="00745FEA" w:rsidRPr="00AC0382" w:rsidRDefault="00745FEA" w:rsidP="00745FEA">
                  <w:pPr>
                    <w:pStyle w:val="TableBodyText"/>
                    <w:spacing w:after="20"/>
                    <w:ind w:right="57"/>
                  </w:pPr>
                  <w:r w:rsidRPr="00C13552">
                    <w:t>40.0</w:t>
                  </w:r>
                </w:p>
              </w:tc>
              <w:tc>
                <w:tcPr>
                  <w:tcW w:w="493" w:type="pct"/>
                  <w:vAlign w:val="bottom"/>
                </w:tcPr>
                <w:p w:rsidR="00745FEA" w:rsidRPr="00AC0382" w:rsidRDefault="00745FEA" w:rsidP="00745FEA">
                  <w:pPr>
                    <w:pStyle w:val="TableBodyText"/>
                    <w:spacing w:after="20"/>
                    <w:ind w:right="57"/>
                  </w:pPr>
                  <w:r w:rsidRPr="00C13552">
                    <w:t>48.0</w:t>
                  </w:r>
                </w:p>
              </w:tc>
              <w:tc>
                <w:tcPr>
                  <w:tcW w:w="493" w:type="pct"/>
                  <w:vAlign w:val="bottom"/>
                </w:tcPr>
                <w:p w:rsidR="00745FEA" w:rsidRPr="00AC0382" w:rsidRDefault="00745FEA" w:rsidP="00745FEA">
                  <w:pPr>
                    <w:pStyle w:val="TableBodyText"/>
                    <w:spacing w:after="20"/>
                    <w:ind w:right="57"/>
                  </w:pPr>
                  <w:r w:rsidRPr="00C13552">
                    <w:t>60.5</w:t>
                  </w:r>
                </w:p>
              </w:tc>
              <w:tc>
                <w:tcPr>
                  <w:tcW w:w="493" w:type="pct"/>
                  <w:shd w:val="clear" w:color="auto" w:fill="auto"/>
                  <w:vAlign w:val="bottom"/>
                </w:tcPr>
                <w:p w:rsidR="00745FEA" w:rsidRPr="00AC0382" w:rsidRDefault="00745FEA" w:rsidP="00745FEA">
                  <w:pPr>
                    <w:pStyle w:val="TableBodyText"/>
                    <w:spacing w:after="20"/>
                    <w:ind w:right="57"/>
                  </w:pPr>
                  <w:r w:rsidRPr="00C13552">
                    <w:t>65.3</w:t>
                  </w:r>
                </w:p>
              </w:tc>
              <w:tc>
                <w:tcPr>
                  <w:tcW w:w="577" w:type="pct"/>
                  <w:shd w:val="clear" w:color="auto" w:fill="auto"/>
                  <w:vAlign w:val="bottom"/>
                </w:tcPr>
                <w:p w:rsidR="00745FEA" w:rsidRPr="00DB4CDB" w:rsidRDefault="00745FEA" w:rsidP="00745FEA">
                  <w:pPr>
                    <w:pStyle w:val="TableBodyText"/>
                    <w:spacing w:after="20"/>
                    <w:ind w:right="57"/>
                  </w:pPr>
                  <w:r w:rsidRPr="00C13552">
                    <w:t>53.1</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Other livestock farming</w:t>
                  </w:r>
                </w:p>
              </w:tc>
              <w:tc>
                <w:tcPr>
                  <w:tcW w:w="493" w:type="pct"/>
                  <w:vAlign w:val="bottom"/>
                </w:tcPr>
                <w:p w:rsidR="00745FEA" w:rsidRPr="00AC0382" w:rsidRDefault="00745FEA" w:rsidP="00745FEA">
                  <w:pPr>
                    <w:pStyle w:val="TableBodyText"/>
                    <w:spacing w:after="20"/>
                    <w:ind w:right="57"/>
                  </w:pPr>
                  <w:r w:rsidRPr="00C13552">
                    <w:t>50.8</w:t>
                  </w:r>
                </w:p>
              </w:tc>
              <w:tc>
                <w:tcPr>
                  <w:tcW w:w="493" w:type="pct"/>
                  <w:vAlign w:val="bottom"/>
                </w:tcPr>
                <w:p w:rsidR="00745FEA" w:rsidRPr="00AC0382" w:rsidRDefault="00745FEA" w:rsidP="00745FEA">
                  <w:pPr>
                    <w:pStyle w:val="TableBodyText"/>
                    <w:spacing w:after="20"/>
                    <w:ind w:right="57"/>
                  </w:pPr>
                  <w:r w:rsidRPr="00C13552">
                    <w:t>32.7</w:t>
                  </w:r>
                </w:p>
              </w:tc>
              <w:tc>
                <w:tcPr>
                  <w:tcW w:w="493" w:type="pct"/>
                  <w:vAlign w:val="bottom"/>
                </w:tcPr>
                <w:p w:rsidR="00745FEA" w:rsidRPr="00AC0382" w:rsidRDefault="00745FEA" w:rsidP="00745FEA">
                  <w:pPr>
                    <w:pStyle w:val="TableBodyText"/>
                    <w:spacing w:after="20"/>
                    <w:ind w:right="57"/>
                  </w:pPr>
                  <w:r w:rsidRPr="00C13552">
                    <w:t>28.9</w:t>
                  </w:r>
                </w:p>
              </w:tc>
              <w:tc>
                <w:tcPr>
                  <w:tcW w:w="493" w:type="pct"/>
                  <w:vAlign w:val="bottom"/>
                </w:tcPr>
                <w:p w:rsidR="00745FEA" w:rsidRPr="00AC0382" w:rsidRDefault="00745FEA" w:rsidP="00745FEA">
                  <w:pPr>
                    <w:pStyle w:val="TableBodyText"/>
                    <w:spacing w:after="20"/>
                    <w:ind w:right="57"/>
                  </w:pPr>
                  <w:r w:rsidRPr="00C13552">
                    <w:t>34.9</w:t>
                  </w:r>
                </w:p>
              </w:tc>
              <w:tc>
                <w:tcPr>
                  <w:tcW w:w="493" w:type="pct"/>
                  <w:shd w:val="clear" w:color="auto" w:fill="auto"/>
                  <w:vAlign w:val="bottom"/>
                </w:tcPr>
                <w:p w:rsidR="00745FEA" w:rsidRPr="00AC0382" w:rsidRDefault="00745FEA" w:rsidP="00745FEA">
                  <w:pPr>
                    <w:pStyle w:val="TableBodyText"/>
                    <w:spacing w:after="20"/>
                    <w:ind w:right="57"/>
                  </w:pPr>
                  <w:r w:rsidRPr="00C13552">
                    <w:t>38.9</w:t>
                  </w:r>
                </w:p>
              </w:tc>
              <w:tc>
                <w:tcPr>
                  <w:tcW w:w="577" w:type="pct"/>
                  <w:shd w:val="clear" w:color="auto" w:fill="auto"/>
                  <w:vAlign w:val="bottom"/>
                </w:tcPr>
                <w:p w:rsidR="00745FEA" w:rsidRPr="00DB4CDB" w:rsidRDefault="00745FEA" w:rsidP="00745FEA">
                  <w:pPr>
                    <w:pStyle w:val="TableBodyText"/>
                    <w:spacing w:after="20"/>
                    <w:ind w:right="57"/>
                  </w:pPr>
                  <w:r w:rsidRPr="00C13552">
                    <w:t>37.9</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Aquaculture and fishing</w:t>
                  </w:r>
                </w:p>
              </w:tc>
              <w:tc>
                <w:tcPr>
                  <w:tcW w:w="493" w:type="pct"/>
                  <w:vAlign w:val="bottom"/>
                </w:tcPr>
                <w:p w:rsidR="00745FEA" w:rsidRPr="00AC0382" w:rsidRDefault="00745FEA" w:rsidP="00745FEA">
                  <w:pPr>
                    <w:pStyle w:val="TableBodyText"/>
                    <w:spacing w:after="20"/>
                    <w:ind w:right="57"/>
                  </w:pPr>
                  <w:r w:rsidRPr="00C13552">
                    <w:t>62.3</w:t>
                  </w:r>
                </w:p>
              </w:tc>
              <w:tc>
                <w:tcPr>
                  <w:tcW w:w="493" w:type="pct"/>
                  <w:vAlign w:val="bottom"/>
                </w:tcPr>
                <w:p w:rsidR="00745FEA" w:rsidRPr="00AC0382" w:rsidRDefault="00745FEA" w:rsidP="00745FEA">
                  <w:pPr>
                    <w:pStyle w:val="TableBodyText"/>
                    <w:spacing w:after="20"/>
                    <w:ind w:right="57"/>
                  </w:pPr>
                  <w:r w:rsidRPr="00C13552">
                    <w:t>64.1</w:t>
                  </w:r>
                </w:p>
              </w:tc>
              <w:tc>
                <w:tcPr>
                  <w:tcW w:w="493" w:type="pct"/>
                  <w:vAlign w:val="bottom"/>
                </w:tcPr>
                <w:p w:rsidR="00745FEA" w:rsidRPr="00AC0382" w:rsidRDefault="00745FEA" w:rsidP="00745FEA">
                  <w:pPr>
                    <w:pStyle w:val="TableBodyText"/>
                    <w:spacing w:after="20"/>
                    <w:ind w:right="57"/>
                  </w:pPr>
                  <w:r w:rsidRPr="00C13552">
                    <w:t>66.2</w:t>
                  </w:r>
                </w:p>
              </w:tc>
              <w:tc>
                <w:tcPr>
                  <w:tcW w:w="493" w:type="pct"/>
                  <w:vAlign w:val="bottom"/>
                </w:tcPr>
                <w:p w:rsidR="00745FEA" w:rsidRPr="00AC0382" w:rsidRDefault="00745FEA" w:rsidP="00745FEA">
                  <w:pPr>
                    <w:pStyle w:val="TableBodyText"/>
                    <w:spacing w:after="20"/>
                    <w:ind w:right="57"/>
                  </w:pPr>
                  <w:r w:rsidRPr="00C13552">
                    <w:t>77.2</w:t>
                  </w:r>
                </w:p>
              </w:tc>
              <w:tc>
                <w:tcPr>
                  <w:tcW w:w="493" w:type="pct"/>
                  <w:shd w:val="clear" w:color="auto" w:fill="auto"/>
                  <w:vAlign w:val="bottom"/>
                </w:tcPr>
                <w:p w:rsidR="00745FEA" w:rsidRPr="00AC0382" w:rsidRDefault="00745FEA" w:rsidP="00745FEA">
                  <w:pPr>
                    <w:pStyle w:val="TableBodyText"/>
                    <w:spacing w:after="20"/>
                    <w:ind w:right="57"/>
                  </w:pPr>
                  <w:r w:rsidRPr="00C13552">
                    <w:t>80.2</w:t>
                  </w:r>
                </w:p>
              </w:tc>
              <w:tc>
                <w:tcPr>
                  <w:tcW w:w="577" w:type="pct"/>
                  <w:shd w:val="clear" w:color="auto" w:fill="auto"/>
                  <w:vAlign w:val="bottom"/>
                </w:tcPr>
                <w:p w:rsidR="00745FEA" w:rsidRPr="00DB4CDB" w:rsidRDefault="00745FEA" w:rsidP="00745FEA">
                  <w:pPr>
                    <w:pStyle w:val="TableBodyText"/>
                    <w:spacing w:after="20"/>
                    <w:ind w:right="57"/>
                  </w:pPr>
                  <w:r w:rsidRPr="00C13552">
                    <w:t>87.9</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Forestry and logging</w:t>
                  </w:r>
                </w:p>
              </w:tc>
              <w:tc>
                <w:tcPr>
                  <w:tcW w:w="493" w:type="pct"/>
                  <w:vAlign w:val="bottom"/>
                </w:tcPr>
                <w:p w:rsidR="00745FEA" w:rsidRPr="00AC0382" w:rsidRDefault="00745FEA" w:rsidP="00745FEA">
                  <w:pPr>
                    <w:pStyle w:val="TableBodyText"/>
                    <w:spacing w:after="20"/>
                    <w:ind w:right="57"/>
                  </w:pPr>
                  <w:r w:rsidRPr="00C13552">
                    <w:t>88.4</w:t>
                  </w:r>
                </w:p>
              </w:tc>
              <w:tc>
                <w:tcPr>
                  <w:tcW w:w="493" w:type="pct"/>
                  <w:vAlign w:val="bottom"/>
                </w:tcPr>
                <w:p w:rsidR="00745FEA" w:rsidRPr="00AC0382" w:rsidRDefault="00745FEA" w:rsidP="00745FEA">
                  <w:pPr>
                    <w:pStyle w:val="TableBodyText"/>
                    <w:spacing w:after="20"/>
                    <w:ind w:right="57"/>
                  </w:pPr>
                  <w:r w:rsidRPr="00C13552">
                    <w:t>61.4</w:t>
                  </w:r>
                </w:p>
              </w:tc>
              <w:tc>
                <w:tcPr>
                  <w:tcW w:w="493" w:type="pct"/>
                  <w:vAlign w:val="bottom"/>
                </w:tcPr>
                <w:p w:rsidR="00745FEA" w:rsidRPr="00AC0382" w:rsidRDefault="00745FEA" w:rsidP="00745FEA">
                  <w:pPr>
                    <w:pStyle w:val="TableBodyText"/>
                    <w:spacing w:after="20"/>
                    <w:ind w:right="57"/>
                  </w:pPr>
                  <w:r w:rsidRPr="00C13552">
                    <w:t>39.8</w:t>
                  </w:r>
                </w:p>
              </w:tc>
              <w:tc>
                <w:tcPr>
                  <w:tcW w:w="493" w:type="pct"/>
                  <w:vAlign w:val="bottom"/>
                </w:tcPr>
                <w:p w:rsidR="00745FEA" w:rsidRPr="00AC0382" w:rsidRDefault="00745FEA" w:rsidP="00745FEA">
                  <w:pPr>
                    <w:pStyle w:val="TableBodyText"/>
                    <w:spacing w:after="20"/>
                    <w:ind w:right="57"/>
                  </w:pPr>
                  <w:r w:rsidRPr="00C13552">
                    <w:t>41.1</w:t>
                  </w:r>
                </w:p>
              </w:tc>
              <w:tc>
                <w:tcPr>
                  <w:tcW w:w="493" w:type="pct"/>
                  <w:shd w:val="clear" w:color="auto" w:fill="auto"/>
                  <w:vAlign w:val="bottom"/>
                </w:tcPr>
                <w:p w:rsidR="00745FEA" w:rsidRPr="00AC0382" w:rsidRDefault="00745FEA" w:rsidP="00745FEA">
                  <w:pPr>
                    <w:pStyle w:val="TableBodyText"/>
                    <w:spacing w:after="20"/>
                    <w:ind w:right="57"/>
                  </w:pPr>
                  <w:r w:rsidRPr="00C13552">
                    <w:t>43.5</w:t>
                  </w:r>
                </w:p>
              </w:tc>
              <w:tc>
                <w:tcPr>
                  <w:tcW w:w="577" w:type="pct"/>
                  <w:shd w:val="clear" w:color="auto" w:fill="auto"/>
                  <w:vAlign w:val="bottom"/>
                </w:tcPr>
                <w:p w:rsidR="00745FEA" w:rsidRPr="00DB4CDB" w:rsidRDefault="00745FEA" w:rsidP="00745FEA">
                  <w:pPr>
                    <w:pStyle w:val="TableBodyText"/>
                    <w:spacing w:after="20"/>
                    <w:ind w:right="57"/>
                  </w:pPr>
                  <w:r w:rsidRPr="00C13552">
                    <w:t>51.6</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Primary production support services</w:t>
                  </w:r>
                </w:p>
              </w:tc>
              <w:tc>
                <w:tcPr>
                  <w:tcW w:w="493" w:type="pct"/>
                  <w:vAlign w:val="bottom"/>
                </w:tcPr>
                <w:p w:rsidR="00745FEA" w:rsidRPr="00AC0382" w:rsidRDefault="00745FEA" w:rsidP="00745FEA">
                  <w:pPr>
                    <w:pStyle w:val="TableBodyText"/>
                    <w:spacing w:after="20"/>
                    <w:ind w:right="57"/>
                  </w:pPr>
                  <w:r w:rsidRPr="00C13552">
                    <w:t>10.9</w:t>
                  </w:r>
                </w:p>
              </w:tc>
              <w:tc>
                <w:tcPr>
                  <w:tcW w:w="493" w:type="pct"/>
                  <w:vAlign w:val="bottom"/>
                </w:tcPr>
                <w:p w:rsidR="00745FEA" w:rsidRPr="00AC0382" w:rsidRDefault="00745FEA" w:rsidP="00745FEA">
                  <w:pPr>
                    <w:pStyle w:val="TableBodyText"/>
                    <w:spacing w:after="20"/>
                    <w:ind w:right="57"/>
                  </w:pPr>
                  <w:r w:rsidRPr="00C13552">
                    <w:t>20.8</w:t>
                  </w:r>
                </w:p>
              </w:tc>
              <w:tc>
                <w:tcPr>
                  <w:tcW w:w="493" w:type="pct"/>
                  <w:vAlign w:val="bottom"/>
                </w:tcPr>
                <w:p w:rsidR="00745FEA" w:rsidRPr="00AC0382" w:rsidRDefault="00745FEA" w:rsidP="00745FEA">
                  <w:pPr>
                    <w:pStyle w:val="TableBodyText"/>
                    <w:spacing w:after="20"/>
                    <w:ind w:right="57"/>
                  </w:pPr>
                  <w:r w:rsidRPr="00C13552">
                    <w:t>9.3</w:t>
                  </w:r>
                </w:p>
              </w:tc>
              <w:tc>
                <w:tcPr>
                  <w:tcW w:w="493" w:type="pct"/>
                  <w:vAlign w:val="bottom"/>
                </w:tcPr>
                <w:p w:rsidR="00745FEA" w:rsidRPr="00AC0382" w:rsidRDefault="00745FEA" w:rsidP="00745FEA">
                  <w:pPr>
                    <w:pStyle w:val="TableBodyText"/>
                    <w:spacing w:after="20"/>
                    <w:ind w:right="57"/>
                  </w:pPr>
                  <w:r w:rsidRPr="00C13552">
                    <w:t>6.1</w:t>
                  </w:r>
                </w:p>
              </w:tc>
              <w:tc>
                <w:tcPr>
                  <w:tcW w:w="493" w:type="pct"/>
                  <w:shd w:val="clear" w:color="auto" w:fill="auto"/>
                  <w:vAlign w:val="bottom"/>
                </w:tcPr>
                <w:p w:rsidR="00745FEA" w:rsidRPr="00AC0382" w:rsidRDefault="00745FEA" w:rsidP="00745FEA">
                  <w:pPr>
                    <w:pStyle w:val="TableBodyText"/>
                    <w:spacing w:after="20"/>
                    <w:ind w:right="57"/>
                  </w:pPr>
                  <w:r w:rsidRPr="00C13552">
                    <w:t>6.8</w:t>
                  </w:r>
                </w:p>
              </w:tc>
              <w:tc>
                <w:tcPr>
                  <w:tcW w:w="577" w:type="pct"/>
                  <w:shd w:val="clear" w:color="auto" w:fill="auto"/>
                  <w:vAlign w:val="bottom"/>
                </w:tcPr>
                <w:p w:rsidR="00745FEA" w:rsidRPr="00DB4CDB" w:rsidRDefault="00745FEA" w:rsidP="00745FEA">
                  <w:pPr>
                    <w:pStyle w:val="TableBodyText"/>
                    <w:spacing w:after="20"/>
                    <w:ind w:right="57"/>
                  </w:pPr>
                  <w:r w:rsidRPr="00C13552">
                    <w:t>11.1</w:t>
                  </w:r>
                </w:p>
              </w:tc>
            </w:tr>
            <w:tr w:rsidR="00745FEA" w:rsidTr="00745FEA">
              <w:tc>
                <w:tcPr>
                  <w:tcW w:w="1959" w:type="pct"/>
                  <w:shd w:val="clear" w:color="auto" w:fill="auto"/>
                  <w:vAlign w:val="center"/>
                </w:tcPr>
                <w:p w:rsidR="00745FEA" w:rsidRPr="00BE7B87" w:rsidRDefault="00745FEA" w:rsidP="00745FEA">
                  <w:pPr>
                    <w:rPr>
                      <w:rFonts w:ascii="Arial" w:hAnsi="Arial" w:cs="Arial"/>
                      <w:sz w:val="18"/>
                      <w:szCs w:val="18"/>
                    </w:rPr>
                  </w:pPr>
                  <w:r w:rsidRPr="00BE7B87">
                    <w:rPr>
                      <w:rFonts w:ascii="Arial" w:hAnsi="Arial" w:cs="Arial"/>
                      <w:sz w:val="18"/>
                      <w:szCs w:val="18"/>
                    </w:rPr>
                    <w:t>Unallocated primary production</w:t>
                  </w:r>
                  <w:r w:rsidRPr="008405D4">
                    <w:rPr>
                      <w:rStyle w:val="NoteLabel"/>
                    </w:rPr>
                    <w:t>b</w:t>
                  </w:r>
                </w:p>
              </w:tc>
              <w:tc>
                <w:tcPr>
                  <w:tcW w:w="493" w:type="pct"/>
                  <w:vAlign w:val="bottom"/>
                </w:tcPr>
                <w:p w:rsidR="00745FEA" w:rsidRPr="00AC0382" w:rsidRDefault="00745FEA" w:rsidP="00745FEA">
                  <w:pPr>
                    <w:pStyle w:val="TableBodyText"/>
                    <w:ind w:right="57"/>
                  </w:pPr>
                  <w:r w:rsidRPr="00C13552">
                    <w:t>354.3</w:t>
                  </w:r>
                </w:p>
              </w:tc>
              <w:tc>
                <w:tcPr>
                  <w:tcW w:w="493" w:type="pct"/>
                  <w:vAlign w:val="bottom"/>
                </w:tcPr>
                <w:p w:rsidR="00745FEA" w:rsidRPr="00AC0382" w:rsidRDefault="00745FEA" w:rsidP="00745FEA">
                  <w:pPr>
                    <w:pStyle w:val="TableBodyText"/>
                    <w:ind w:right="57"/>
                  </w:pPr>
                  <w:r w:rsidRPr="00C13552">
                    <w:t>250.6</w:t>
                  </w:r>
                </w:p>
              </w:tc>
              <w:tc>
                <w:tcPr>
                  <w:tcW w:w="493" w:type="pct"/>
                  <w:vAlign w:val="bottom"/>
                </w:tcPr>
                <w:p w:rsidR="00745FEA" w:rsidRPr="00AC0382" w:rsidRDefault="00745FEA" w:rsidP="00745FEA">
                  <w:pPr>
                    <w:pStyle w:val="TableBodyText"/>
                    <w:ind w:right="57"/>
                  </w:pPr>
                  <w:r w:rsidRPr="00C13552">
                    <w:t>228.1</w:t>
                  </w:r>
                </w:p>
              </w:tc>
              <w:tc>
                <w:tcPr>
                  <w:tcW w:w="493" w:type="pct"/>
                  <w:vAlign w:val="bottom"/>
                </w:tcPr>
                <w:p w:rsidR="00745FEA" w:rsidRPr="00AC0382" w:rsidRDefault="00745FEA" w:rsidP="00745FEA">
                  <w:pPr>
                    <w:pStyle w:val="TableBodyText"/>
                    <w:ind w:right="57"/>
                  </w:pPr>
                  <w:r w:rsidRPr="00C13552">
                    <w:t>296.1</w:t>
                  </w:r>
                </w:p>
              </w:tc>
              <w:tc>
                <w:tcPr>
                  <w:tcW w:w="493" w:type="pct"/>
                  <w:shd w:val="clear" w:color="auto" w:fill="auto"/>
                  <w:vAlign w:val="bottom"/>
                </w:tcPr>
                <w:p w:rsidR="00745FEA" w:rsidRPr="00AC0382" w:rsidRDefault="00745FEA" w:rsidP="00745FEA">
                  <w:pPr>
                    <w:pStyle w:val="TableBodyText"/>
                    <w:ind w:right="57"/>
                  </w:pPr>
                  <w:r w:rsidRPr="00C13552">
                    <w:t>226.7</w:t>
                  </w:r>
                </w:p>
              </w:tc>
              <w:tc>
                <w:tcPr>
                  <w:tcW w:w="577" w:type="pct"/>
                  <w:shd w:val="clear" w:color="auto" w:fill="auto"/>
                  <w:vAlign w:val="bottom"/>
                </w:tcPr>
                <w:p w:rsidR="00745FEA" w:rsidRDefault="00745FEA" w:rsidP="00745FEA">
                  <w:pPr>
                    <w:pStyle w:val="TableBodyText"/>
                    <w:ind w:right="57"/>
                  </w:pPr>
                  <w:r w:rsidRPr="00C13552">
                    <w:t>314.7</w:t>
                  </w:r>
                </w:p>
              </w:tc>
            </w:tr>
            <w:tr w:rsidR="00745FEA" w:rsidRPr="00F4344E" w:rsidTr="00745FEA">
              <w:tc>
                <w:tcPr>
                  <w:tcW w:w="1959" w:type="pct"/>
                  <w:shd w:val="clear" w:color="auto" w:fill="auto"/>
                  <w:vAlign w:val="bottom"/>
                </w:tcPr>
                <w:p w:rsidR="00745FEA" w:rsidRPr="00F4344E" w:rsidRDefault="00745FEA" w:rsidP="00745FEA">
                  <w:pPr>
                    <w:spacing w:after="20"/>
                    <w:rPr>
                      <w:rFonts w:ascii="Arial" w:hAnsi="Arial" w:cs="Arial"/>
                      <w:b/>
                      <w:bCs/>
                      <w:sz w:val="18"/>
                      <w:szCs w:val="18"/>
                    </w:rPr>
                  </w:pPr>
                  <w:r w:rsidRPr="00F4344E">
                    <w:rPr>
                      <w:rFonts w:ascii="Arial" w:hAnsi="Arial" w:cs="Arial"/>
                      <w:b/>
                      <w:bCs/>
                      <w:sz w:val="18"/>
                      <w:szCs w:val="18"/>
                    </w:rPr>
                    <w:t>Mining</w:t>
                  </w:r>
                </w:p>
              </w:tc>
              <w:tc>
                <w:tcPr>
                  <w:tcW w:w="493" w:type="pct"/>
                  <w:vAlign w:val="bottom"/>
                </w:tcPr>
                <w:p w:rsidR="00745FEA" w:rsidRPr="00F4344E" w:rsidRDefault="00745FEA" w:rsidP="00745FEA">
                  <w:pPr>
                    <w:pStyle w:val="TableBodyText"/>
                    <w:spacing w:after="20"/>
                    <w:ind w:right="57"/>
                    <w:rPr>
                      <w:b/>
                    </w:rPr>
                  </w:pPr>
                  <w:r w:rsidRPr="00F4344E">
                    <w:rPr>
                      <w:b/>
                    </w:rPr>
                    <w:t>510.7</w:t>
                  </w:r>
                </w:p>
              </w:tc>
              <w:tc>
                <w:tcPr>
                  <w:tcW w:w="493" w:type="pct"/>
                  <w:vAlign w:val="bottom"/>
                </w:tcPr>
                <w:p w:rsidR="00745FEA" w:rsidRPr="00F4344E" w:rsidRDefault="00745FEA" w:rsidP="00745FEA">
                  <w:pPr>
                    <w:pStyle w:val="TableBodyText"/>
                    <w:spacing w:after="20"/>
                    <w:ind w:right="57"/>
                    <w:rPr>
                      <w:b/>
                    </w:rPr>
                  </w:pPr>
                  <w:r w:rsidRPr="00F4344E">
                    <w:rPr>
                      <w:b/>
                    </w:rPr>
                    <w:t>226.2</w:t>
                  </w:r>
                </w:p>
              </w:tc>
              <w:tc>
                <w:tcPr>
                  <w:tcW w:w="493" w:type="pct"/>
                  <w:vAlign w:val="bottom"/>
                </w:tcPr>
                <w:p w:rsidR="00745FEA" w:rsidRPr="00F4344E" w:rsidRDefault="00745FEA" w:rsidP="00745FEA">
                  <w:pPr>
                    <w:pStyle w:val="TableBodyText"/>
                    <w:spacing w:after="20"/>
                    <w:ind w:right="57"/>
                    <w:rPr>
                      <w:b/>
                    </w:rPr>
                  </w:pPr>
                  <w:r w:rsidRPr="00F4344E">
                    <w:rPr>
                      <w:b/>
                    </w:rPr>
                    <w:t>231.4</w:t>
                  </w:r>
                </w:p>
              </w:tc>
              <w:tc>
                <w:tcPr>
                  <w:tcW w:w="493" w:type="pct"/>
                  <w:vAlign w:val="bottom"/>
                </w:tcPr>
                <w:p w:rsidR="00745FEA" w:rsidRPr="00F4344E" w:rsidRDefault="00745FEA" w:rsidP="00745FEA">
                  <w:pPr>
                    <w:pStyle w:val="TableBodyText"/>
                    <w:spacing w:after="20"/>
                    <w:ind w:right="57"/>
                    <w:rPr>
                      <w:b/>
                    </w:rPr>
                  </w:pPr>
                  <w:r w:rsidRPr="00F4344E">
                    <w:rPr>
                      <w:b/>
                    </w:rPr>
                    <w:t>228.7</w:t>
                  </w:r>
                </w:p>
              </w:tc>
              <w:tc>
                <w:tcPr>
                  <w:tcW w:w="493" w:type="pct"/>
                  <w:shd w:val="clear" w:color="auto" w:fill="auto"/>
                  <w:vAlign w:val="bottom"/>
                </w:tcPr>
                <w:p w:rsidR="00745FEA" w:rsidRPr="00F4344E" w:rsidRDefault="00745FEA" w:rsidP="00745FEA">
                  <w:pPr>
                    <w:pStyle w:val="TableBodyText"/>
                    <w:spacing w:after="20"/>
                    <w:ind w:right="57"/>
                    <w:rPr>
                      <w:b/>
                    </w:rPr>
                  </w:pPr>
                  <w:r w:rsidRPr="00F4344E">
                    <w:rPr>
                      <w:b/>
                    </w:rPr>
                    <w:t>211.6</w:t>
                  </w:r>
                </w:p>
              </w:tc>
              <w:tc>
                <w:tcPr>
                  <w:tcW w:w="577" w:type="pct"/>
                  <w:shd w:val="clear" w:color="auto" w:fill="auto"/>
                  <w:vAlign w:val="bottom"/>
                </w:tcPr>
                <w:p w:rsidR="00745FEA" w:rsidRPr="00F4344E" w:rsidRDefault="00745FEA" w:rsidP="00745FEA">
                  <w:pPr>
                    <w:pStyle w:val="TableBodyText"/>
                    <w:spacing w:after="20"/>
                    <w:ind w:right="57"/>
                    <w:rPr>
                      <w:b/>
                    </w:rPr>
                  </w:pPr>
                  <w:r w:rsidRPr="00F4344E">
                    <w:rPr>
                      <w:b/>
                    </w:rPr>
                    <w:t>214.1</w:t>
                  </w:r>
                </w:p>
              </w:tc>
            </w:tr>
            <w:tr w:rsidR="00745FEA" w:rsidRPr="00F4344E" w:rsidTr="00745FEA">
              <w:tc>
                <w:tcPr>
                  <w:tcW w:w="1959" w:type="pct"/>
                  <w:shd w:val="clear" w:color="auto" w:fill="auto"/>
                  <w:vAlign w:val="bottom"/>
                </w:tcPr>
                <w:p w:rsidR="00745FEA" w:rsidRPr="00F4344E" w:rsidRDefault="00745FEA" w:rsidP="00745FEA">
                  <w:pPr>
                    <w:spacing w:after="20"/>
                    <w:rPr>
                      <w:rFonts w:ascii="Arial" w:hAnsi="Arial" w:cs="Arial"/>
                      <w:b/>
                      <w:bCs/>
                      <w:sz w:val="18"/>
                      <w:szCs w:val="18"/>
                    </w:rPr>
                  </w:pPr>
                  <w:r w:rsidRPr="00F4344E">
                    <w:rPr>
                      <w:rFonts w:ascii="Arial" w:hAnsi="Arial" w:cs="Arial"/>
                      <w:b/>
                      <w:bCs/>
                      <w:sz w:val="18"/>
                      <w:szCs w:val="18"/>
                    </w:rPr>
                    <w:t>Manufacturing</w:t>
                  </w:r>
                </w:p>
              </w:tc>
              <w:tc>
                <w:tcPr>
                  <w:tcW w:w="493" w:type="pct"/>
                  <w:vAlign w:val="bottom"/>
                </w:tcPr>
                <w:p w:rsidR="00745FEA" w:rsidRPr="00F4344E" w:rsidRDefault="00745FEA" w:rsidP="00745FEA">
                  <w:pPr>
                    <w:pStyle w:val="TableBodyText"/>
                    <w:spacing w:after="20"/>
                    <w:ind w:right="57"/>
                    <w:rPr>
                      <w:b/>
                    </w:rPr>
                  </w:pPr>
                  <w:r w:rsidRPr="00F4344E">
                    <w:rPr>
                      <w:b/>
                    </w:rPr>
                    <w:t>6904.0</w:t>
                  </w:r>
                </w:p>
              </w:tc>
              <w:tc>
                <w:tcPr>
                  <w:tcW w:w="493" w:type="pct"/>
                  <w:vAlign w:val="bottom"/>
                </w:tcPr>
                <w:p w:rsidR="00745FEA" w:rsidRPr="00F4344E" w:rsidRDefault="00745FEA" w:rsidP="00745FEA">
                  <w:pPr>
                    <w:pStyle w:val="TableBodyText"/>
                    <w:spacing w:after="20"/>
                    <w:ind w:right="57"/>
                    <w:rPr>
                      <w:b/>
                    </w:rPr>
                  </w:pPr>
                  <w:r w:rsidRPr="00F4344E">
                    <w:rPr>
                      <w:b/>
                    </w:rPr>
                    <w:t>6953.7</w:t>
                  </w:r>
                </w:p>
              </w:tc>
              <w:tc>
                <w:tcPr>
                  <w:tcW w:w="493" w:type="pct"/>
                  <w:vAlign w:val="bottom"/>
                </w:tcPr>
                <w:p w:rsidR="00745FEA" w:rsidRPr="00F4344E" w:rsidRDefault="00745FEA" w:rsidP="00745FEA">
                  <w:pPr>
                    <w:pStyle w:val="TableBodyText"/>
                    <w:spacing w:after="20"/>
                    <w:ind w:right="57"/>
                    <w:rPr>
                      <w:b/>
                    </w:rPr>
                  </w:pPr>
                  <w:r w:rsidRPr="00F4344E">
                    <w:rPr>
                      <w:b/>
                    </w:rPr>
                    <w:t>6508.2</w:t>
                  </w:r>
                </w:p>
              </w:tc>
              <w:tc>
                <w:tcPr>
                  <w:tcW w:w="493" w:type="pct"/>
                  <w:vAlign w:val="bottom"/>
                </w:tcPr>
                <w:p w:rsidR="00745FEA" w:rsidRPr="00F4344E" w:rsidRDefault="00745FEA" w:rsidP="00745FEA">
                  <w:pPr>
                    <w:pStyle w:val="TableBodyText"/>
                    <w:spacing w:after="20"/>
                    <w:ind w:right="57"/>
                    <w:rPr>
                      <w:b/>
                    </w:rPr>
                  </w:pPr>
                  <w:r w:rsidRPr="00F4344E">
                    <w:rPr>
                      <w:b/>
                    </w:rPr>
                    <w:t>6501.2</w:t>
                  </w:r>
                </w:p>
              </w:tc>
              <w:tc>
                <w:tcPr>
                  <w:tcW w:w="493" w:type="pct"/>
                  <w:shd w:val="clear" w:color="auto" w:fill="auto"/>
                  <w:vAlign w:val="bottom"/>
                </w:tcPr>
                <w:p w:rsidR="00745FEA" w:rsidRPr="00F4344E" w:rsidRDefault="00745FEA" w:rsidP="00745FEA">
                  <w:pPr>
                    <w:pStyle w:val="TableBodyText"/>
                    <w:spacing w:after="20"/>
                    <w:ind w:right="57"/>
                    <w:rPr>
                      <w:b/>
                    </w:rPr>
                  </w:pPr>
                  <w:r w:rsidRPr="00F4344E">
                    <w:rPr>
                      <w:b/>
                    </w:rPr>
                    <w:t>6324.6</w:t>
                  </w:r>
                </w:p>
              </w:tc>
              <w:tc>
                <w:tcPr>
                  <w:tcW w:w="577" w:type="pct"/>
                  <w:shd w:val="clear" w:color="auto" w:fill="auto"/>
                  <w:vAlign w:val="bottom"/>
                </w:tcPr>
                <w:p w:rsidR="00745FEA" w:rsidRPr="00F4344E" w:rsidRDefault="00745FEA" w:rsidP="00745FEA">
                  <w:pPr>
                    <w:pStyle w:val="TableBodyText"/>
                    <w:spacing w:after="20"/>
                    <w:ind w:right="57"/>
                    <w:rPr>
                      <w:b/>
                    </w:rPr>
                  </w:pPr>
                  <w:r w:rsidRPr="00F4344E">
                    <w:rPr>
                      <w:b/>
                    </w:rPr>
                    <w:t>6378.9</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Food, beverages and tobacco</w:t>
                  </w:r>
                </w:p>
              </w:tc>
              <w:tc>
                <w:tcPr>
                  <w:tcW w:w="493" w:type="pct"/>
                  <w:vAlign w:val="bottom"/>
                </w:tcPr>
                <w:p w:rsidR="00745FEA" w:rsidRPr="00AC0382" w:rsidRDefault="00745FEA" w:rsidP="00745FEA">
                  <w:pPr>
                    <w:pStyle w:val="TableBodyText"/>
                    <w:spacing w:after="20"/>
                    <w:ind w:right="57"/>
                  </w:pPr>
                  <w:r w:rsidRPr="00C13552">
                    <w:t>1382.0</w:t>
                  </w:r>
                </w:p>
              </w:tc>
              <w:tc>
                <w:tcPr>
                  <w:tcW w:w="493" w:type="pct"/>
                  <w:vAlign w:val="bottom"/>
                </w:tcPr>
                <w:p w:rsidR="00745FEA" w:rsidRPr="00AC0382" w:rsidRDefault="00745FEA" w:rsidP="00745FEA">
                  <w:pPr>
                    <w:pStyle w:val="TableBodyText"/>
                    <w:spacing w:after="20"/>
                    <w:ind w:right="57"/>
                  </w:pPr>
                  <w:r w:rsidRPr="00C13552">
                    <w:t>1418.9</w:t>
                  </w:r>
                </w:p>
              </w:tc>
              <w:tc>
                <w:tcPr>
                  <w:tcW w:w="493" w:type="pct"/>
                  <w:vAlign w:val="bottom"/>
                </w:tcPr>
                <w:p w:rsidR="00745FEA" w:rsidRPr="00AC0382" w:rsidRDefault="00745FEA" w:rsidP="00745FEA">
                  <w:pPr>
                    <w:pStyle w:val="TableBodyText"/>
                    <w:spacing w:after="20"/>
                    <w:ind w:right="57"/>
                  </w:pPr>
                  <w:r w:rsidRPr="00C13552">
                    <w:t>1498.9</w:t>
                  </w:r>
                </w:p>
              </w:tc>
              <w:tc>
                <w:tcPr>
                  <w:tcW w:w="493" w:type="pct"/>
                  <w:vAlign w:val="bottom"/>
                </w:tcPr>
                <w:p w:rsidR="00745FEA" w:rsidRPr="00AC0382" w:rsidRDefault="00745FEA" w:rsidP="00745FEA">
                  <w:pPr>
                    <w:pStyle w:val="TableBodyText"/>
                    <w:spacing w:after="20"/>
                    <w:ind w:right="57"/>
                  </w:pPr>
                  <w:r w:rsidRPr="00C13552">
                    <w:t>1490.8</w:t>
                  </w:r>
                </w:p>
              </w:tc>
              <w:tc>
                <w:tcPr>
                  <w:tcW w:w="493" w:type="pct"/>
                  <w:shd w:val="clear" w:color="auto" w:fill="auto"/>
                  <w:vAlign w:val="bottom"/>
                </w:tcPr>
                <w:p w:rsidR="00745FEA" w:rsidRPr="00AC0382" w:rsidRDefault="00745FEA" w:rsidP="00745FEA">
                  <w:pPr>
                    <w:pStyle w:val="TableBodyText"/>
                    <w:spacing w:after="20"/>
                    <w:ind w:right="57"/>
                  </w:pPr>
                  <w:r w:rsidRPr="00C13552">
                    <w:t>1452.1</w:t>
                  </w:r>
                </w:p>
              </w:tc>
              <w:tc>
                <w:tcPr>
                  <w:tcW w:w="577" w:type="pct"/>
                  <w:shd w:val="clear" w:color="auto" w:fill="auto"/>
                  <w:vAlign w:val="bottom"/>
                </w:tcPr>
                <w:p w:rsidR="00745FEA" w:rsidRPr="00AC0382" w:rsidRDefault="00745FEA" w:rsidP="00745FEA">
                  <w:pPr>
                    <w:pStyle w:val="TableBodyText"/>
                    <w:spacing w:after="20"/>
                    <w:ind w:right="57"/>
                  </w:pPr>
                  <w:r w:rsidRPr="00C13552">
                    <w:t>1511.1</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Textile</w:t>
                  </w:r>
                  <w:r>
                    <w:rPr>
                      <w:rFonts w:ascii="Arial" w:hAnsi="Arial" w:cs="Arial"/>
                      <w:sz w:val="18"/>
                      <w:szCs w:val="18"/>
                    </w:rPr>
                    <w:t>s</w:t>
                  </w:r>
                  <w:r w:rsidRPr="00BE7B87">
                    <w:rPr>
                      <w:rFonts w:ascii="Arial" w:hAnsi="Arial" w:cs="Arial"/>
                      <w:sz w:val="18"/>
                      <w:szCs w:val="18"/>
                    </w:rPr>
                    <w:t>, leather, clothing and footwear</w:t>
                  </w:r>
                </w:p>
              </w:tc>
              <w:tc>
                <w:tcPr>
                  <w:tcW w:w="493" w:type="pct"/>
                  <w:vAlign w:val="bottom"/>
                </w:tcPr>
                <w:p w:rsidR="00745FEA" w:rsidRPr="00AC0382" w:rsidRDefault="00745FEA" w:rsidP="00745FEA">
                  <w:pPr>
                    <w:pStyle w:val="TableBodyText"/>
                    <w:spacing w:after="20"/>
                    <w:ind w:right="57"/>
                  </w:pPr>
                  <w:r w:rsidRPr="00C13552">
                    <w:t>172.8</w:t>
                  </w:r>
                </w:p>
              </w:tc>
              <w:tc>
                <w:tcPr>
                  <w:tcW w:w="493" w:type="pct"/>
                  <w:vAlign w:val="bottom"/>
                </w:tcPr>
                <w:p w:rsidR="00745FEA" w:rsidRPr="00AC0382" w:rsidRDefault="00745FEA" w:rsidP="00745FEA">
                  <w:pPr>
                    <w:pStyle w:val="TableBodyText"/>
                    <w:spacing w:after="20"/>
                    <w:ind w:right="57"/>
                  </w:pPr>
                  <w:r w:rsidRPr="00C13552">
                    <w:t>166.6</w:t>
                  </w:r>
                </w:p>
              </w:tc>
              <w:tc>
                <w:tcPr>
                  <w:tcW w:w="493" w:type="pct"/>
                  <w:vAlign w:val="bottom"/>
                </w:tcPr>
                <w:p w:rsidR="00745FEA" w:rsidRPr="00AC0382" w:rsidRDefault="00745FEA" w:rsidP="00745FEA">
                  <w:pPr>
                    <w:pStyle w:val="TableBodyText"/>
                    <w:spacing w:after="20"/>
                    <w:ind w:right="57"/>
                  </w:pPr>
                  <w:r w:rsidRPr="00C13552">
                    <w:t>172.9</w:t>
                  </w:r>
                </w:p>
              </w:tc>
              <w:tc>
                <w:tcPr>
                  <w:tcW w:w="493" w:type="pct"/>
                  <w:vAlign w:val="bottom"/>
                </w:tcPr>
                <w:p w:rsidR="00745FEA" w:rsidRPr="00AC0382" w:rsidRDefault="00745FEA" w:rsidP="00745FEA">
                  <w:pPr>
                    <w:pStyle w:val="TableBodyText"/>
                    <w:spacing w:after="20"/>
                    <w:ind w:right="57"/>
                  </w:pPr>
                  <w:r w:rsidRPr="00C13552">
                    <w:t>156.4</w:t>
                  </w:r>
                </w:p>
              </w:tc>
              <w:tc>
                <w:tcPr>
                  <w:tcW w:w="493" w:type="pct"/>
                  <w:shd w:val="clear" w:color="auto" w:fill="auto"/>
                  <w:vAlign w:val="bottom"/>
                </w:tcPr>
                <w:p w:rsidR="00745FEA" w:rsidRPr="00AC0382" w:rsidRDefault="00745FEA" w:rsidP="00745FEA">
                  <w:pPr>
                    <w:pStyle w:val="TableBodyText"/>
                    <w:spacing w:after="20"/>
                    <w:ind w:right="57"/>
                  </w:pPr>
                  <w:r w:rsidRPr="00C13552">
                    <w:t>135.7</w:t>
                  </w:r>
                </w:p>
              </w:tc>
              <w:tc>
                <w:tcPr>
                  <w:tcW w:w="577" w:type="pct"/>
                  <w:shd w:val="clear" w:color="auto" w:fill="auto"/>
                  <w:vAlign w:val="bottom"/>
                </w:tcPr>
                <w:p w:rsidR="00745FEA" w:rsidRPr="00AC0382" w:rsidRDefault="00745FEA" w:rsidP="00745FEA">
                  <w:pPr>
                    <w:pStyle w:val="TableBodyText"/>
                    <w:spacing w:after="20"/>
                    <w:ind w:right="57"/>
                  </w:pPr>
                  <w:r w:rsidRPr="00C13552">
                    <w:t>120.0</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Wood and paper products</w:t>
                  </w:r>
                </w:p>
              </w:tc>
              <w:tc>
                <w:tcPr>
                  <w:tcW w:w="493" w:type="pct"/>
                  <w:vAlign w:val="bottom"/>
                </w:tcPr>
                <w:p w:rsidR="00745FEA" w:rsidRPr="00AC0382" w:rsidRDefault="00745FEA" w:rsidP="00745FEA">
                  <w:pPr>
                    <w:pStyle w:val="TableBodyText"/>
                    <w:spacing w:after="20"/>
                    <w:ind w:right="57"/>
                  </w:pPr>
                  <w:r w:rsidRPr="00C13552">
                    <w:t>562.5</w:t>
                  </w:r>
                </w:p>
              </w:tc>
              <w:tc>
                <w:tcPr>
                  <w:tcW w:w="493" w:type="pct"/>
                  <w:vAlign w:val="bottom"/>
                </w:tcPr>
                <w:p w:rsidR="00745FEA" w:rsidRPr="00AC0382" w:rsidRDefault="00745FEA" w:rsidP="00745FEA">
                  <w:pPr>
                    <w:pStyle w:val="TableBodyText"/>
                    <w:spacing w:after="20"/>
                    <w:ind w:right="57"/>
                  </w:pPr>
                  <w:r w:rsidRPr="00C13552">
                    <w:t>562.3</w:t>
                  </w:r>
                </w:p>
              </w:tc>
              <w:tc>
                <w:tcPr>
                  <w:tcW w:w="493" w:type="pct"/>
                  <w:vAlign w:val="bottom"/>
                </w:tcPr>
                <w:p w:rsidR="00745FEA" w:rsidRPr="00AC0382" w:rsidRDefault="00745FEA" w:rsidP="00745FEA">
                  <w:pPr>
                    <w:pStyle w:val="TableBodyText"/>
                    <w:spacing w:after="20"/>
                    <w:ind w:right="57"/>
                  </w:pPr>
                  <w:r w:rsidRPr="00C13552">
                    <w:t>564.4</w:t>
                  </w:r>
                </w:p>
              </w:tc>
              <w:tc>
                <w:tcPr>
                  <w:tcW w:w="493" w:type="pct"/>
                  <w:vAlign w:val="bottom"/>
                </w:tcPr>
                <w:p w:rsidR="00745FEA" w:rsidRPr="00AC0382" w:rsidRDefault="00745FEA" w:rsidP="00745FEA">
                  <w:pPr>
                    <w:pStyle w:val="TableBodyText"/>
                    <w:spacing w:after="20"/>
                    <w:ind w:right="57"/>
                  </w:pPr>
                  <w:r w:rsidRPr="00C13552">
                    <w:t>588.9</w:t>
                  </w:r>
                </w:p>
              </w:tc>
              <w:tc>
                <w:tcPr>
                  <w:tcW w:w="493" w:type="pct"/>
                  <w:shd w:val="clear" w:color="auto" w:fill="auto"/>
                  <w:vAlign w:val="bottom"/>
                </w:tcPr>
                <w:p w:rsidR="00745FEA" w:rsidRPr="00AC0382" w:rsidRDefault="00745FEA" w:rsidP="00745FEA">
                  <w:pPr>
                    <w:pStyle w:val="TableBodyText"/>
                    <w:spacing w:after="20"/>
                    <w:ind w:right="57"/>
                  </w:pPr>
                  <w:r w:rsidRPr="00C13552">
                    <w:t>591.0</w:t>
                  </w:r>
                </w:p>
              </w:tc>
              <w:tc>
                <w:tcPr>
                  <w:tcW w:w="577" w:type="pct"/>
                  <w:shd w:val="clear" w:color="auto" w:fill="auto"/>
                  <w:vAlign w:val="bottom"/>
                </w:tcPr>
                <w:p w:rsidR="00745FEA" w:rsidRPr="00AC0382" w:rsidRDefault="00745FEA" w:rsidP="00745FEA">
                  <w:pPr>
                    <w:pStyle w:val="TableBodyText"/>
                    <w:spacing w:after="20"/>
                    <w:ind w:right="57"/>
                  </w:pPr>
                  <w:r w:rsidRPr="00C13552">
                    <w:t>589.7</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Printing and recorded media</w:t>
                  </w:r>
                </w:p>
              </w:tc>
              <w:tc>
                <w:tcPr>
                  <w:tcW w:w="493" w:type="pct"/>
                  <w:vAlign w:val="bottom"/>
                </w:tcPr>
                <w:p w:rsidR="00745FEA" w:rsidRPr="00AC0382" w:rsidRDefault="00745FEA" w:rsidP="00745FEA">
                  <w:pPr>
                    <w:pStyle w:val="TableBodyText"/>
                    <w:spacing w:after="20"/>
                    <w:ind w:right="57"/>
                  </w:pPr>
                  <w:r w:rsidRPr="00C13552">
                    <w:t>93.4</w:t>
                  </w:r>
                </w:p>
              </w:tc>
              <w:tc>
                <w:tcPr>
                  <w:tcW w:w="493" w:type="pct"/>
                  <w:vAlign w:val="bottom"/>
                </w:tcPr>
                <w:p w:rsidR="00745FEA" w:rsidRPr="00AC0382" w:rsidRDefault="00745FEA" w:rsidP="00745FEA">
                  <w:pPr>
                    <w:pStyle w:val="TableBodyText"/>
                    <w:spacing w:after="20"/>
                    <w:ind w:right="57"/>
                  </w:pPr>
                  <w:r w:rsidRPr="00C13552">
                    <w:t>121.1</w:t>
                  </w:r>
                </w:p>
              </w:tc>
              <w:tc>
                <w:tcPr>
                  <w:tcW w:w="493" w:type="pct"/>
                  <w:vAlign w:val="bottom"/>
                </w:tcPr>
                <w:p w:rsidR="00745FEA" w:rsidRPr="00AC0382" w:rsidRDefault="00745FEA" w:rsidP="00745FEA">
                  <w:pPr>
                    <w:pStyle w:val="TableBodyText"/>
                    <w:spacing w:after="20"/>
                    <w:ind w:right="57"/>
                  </w:pPr>
                  <w:r w:rsidRPr="00C13552">
                    <w:t>122.0</w:t>
                  </w:r>
                </w:p>
              </w:tc>
              <w:tc>
                <w:tcPr>
                  <w:tcW w:w="493" w:type="pct"/>
                  <w:vAlign w:val="bottom"/>
                </w:tcPr>
                <w:p w:rsidR="00745FEA" w:rsidRPr="00AC0382" w:rsidRDefault="00745FEA" w:rsidP="00745FEA">
                  <w:pPr>
                    <w:pStyle w:val="TableBodyText"/>
                    <w:spacing w:after="20"/>
                    <w:ind w:right="57"/>
                  </w:pPr>
                  <w:r w:rsidRPr="00C13552">
                    <w:t>132.9</w:t>
                  </w:r>
                </w:p>
              </w:tc>
              <w:tc>
                <w:tcPr>
                  <w:tcW w:w="493" w:type="pct"/>
                  <w:shd w:val="clear" w:color="auto" w:fill="auto"/>
                  <w:vAlign w:val="bottom"/>
                </w:tcPr>
                <w:p w:rsidR="00745FEA" w:rsidRPr="00AC0382" w:rsidRDefault="00745FEA" w:rsidP="00745FEA">
                  <w:pPr>
                    <w:pStyle w:val="TableBodyText"/>
                    <w:spacing w:after="20"/>
                    <w:ind w:right="57"/>
                  </w:pPr>
                  <w:r w:rsidRPr="00C13552">
                    <w:t>141.5</w:t>
                  </w:r>
                </w:p>
              </w:tc>
              <w:tc>
                <w:tcPr>
                  <w:tcW w:w="577" w:type="pct"/>
                  <w:shd w:val="clear" w:color="auto" w:fill="auto"/>
                  <w:vAlign w:val="bottom"/>
                </w:tcPr>
                <w:p w:rsidR="00745FEA" w:rsidRPr="00AC0382" w:rsidRDefault="00745FEA" w:rsidP="00745FEA">
                  <w:pPr>
                    <w:pStyle w:val="TableBodyText"/>
                    <w:spacing w:after="20"/>
                    <w:ind w:right="57"/>
                  </w:pPr>
                  <w:r w:rsidRPr="00C13552">
                    <w:t>153.2</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Petroleum, coal, chemical and rubber</w:t>
                  </w:r>
                </w:p>
              </w:tc>
              <w:tc>
                <w:tcPr>
                  <w:tcW w:w="493" w:type="pct"/>
                  <w:vAlign w:val="bottom"/>
                </w:tcPr>
                <w:p w:rsidR="00745FEA" w:rsidRPr="00AC0382" w:rsidRDefault="00745FEA" w:rsidP="00745FEA">
                  <w:pPr>
                    <w:pStyle w:val="TableBodyText"/>
                    <w:spacing w:after="20"/>
                    <w:ind w:right="57"/>
                  </w:pPr>
                  <w:r w:rsidRPr="00C13552">
                    <w:t>1027.0</w:t>
                  </w:r>
                </w:p>
              </w:tc>
              <w:tc>
                <w:tcPr>
                  <w:tcW w:w="493" w:type="pct"/>
                  <w:vAlign w:val="bottom"/>
                </w:tcPr>
                <w:p w:rsidR="00745FEA" w:rsidRPr="00AC0382" w:rsidRDefault="00745FEA" w:rsidP="00745FEA">
                  <w:pPr>
                    <w:pStyle w:val="TableBodyText"/>
                    <w:spacing w:after="20"/>
                    <w:ind w:right="57"/>
                  </w:pPr>
                  <w:r w:rsidRPr="00C13552">
                    <w:t>970.4</w:t>
                  </w:r>
                </w:p>
              </w:tc>
              <w:tc>
                <w:tcPr>
                  <w:tcW w:w="493" w:type="pct"/>
                  <w:vAlign w:val="bottom"/>
                </w:tcPr>
                <w:p w:rsidR="00745FEA" w:rsidRPr="00AC0382" w:rsidRDefault="00745FEA" w:rsidP="00745FEA">
                  <w:pPr>
                    <w:pStyle w:val="TableBodyText"/>
                    <w:spacing w:after="20"/>
                    <w:ind w:right="57"/>
                  </w:pPr>
                  <w:r w:rsidRPr="00C13552">
                    <w:t>840.7</w:t>
                  </w:r>
                </w:p>
              </w:tc>
              <w:tc>
                <w:tcPr>
                  <w:tcW w:w="493" w:type="pct"/>
                  <w:vAlign w:val="bottom"/>
                </w:tcPr>
                <w:p w:rsidR="00745FEA" w:rsidRPr="00AC0382" w:rsidRDefault="00745FEA" w:rsidP="00745FEA">
                  <w:pPr>
                    <w:pStyle w:val="TableBodyText"/>
                    <w:spacing w:after="20"/>
                    <w:ind w:right="57"/>
                  </w:pPr>
                  <w:r w:rsidRPr="00C13552">
                    <w:t>806.6</w:t>
                  </w:r>
                </w:p>
              </w:tc>
              <w:tc>
                <w:tcPr>
                  <w:tcW w:w="493" w:type="pct"/>
                  <w:shd w:val="clear" w:color="auto" w:fill="auto"/>
                  <w:vAlign w:val="bottom"/>
                </w:tcPr>
                <w:p w:rsidR="00745FEA" w:rsidRPr="00AC0382" w:rsidRDefault="00745FEA" w:rsidP="00745FEA">
                  <w:pPr>
                    <w:pStyle w:val="TableBodyText"/>
                    <w:spacing w:after="20"/>
                    <w:ind w:right="57"/>
                  </w:pPr>
                  <w:r w:rsidRPr="00C13552">
                    <w:t>720.1</w:t>
                  </w:r>
                </w:p>
              </w:tc>
              <w:tc>
                <w:tcPr>
                  <w:tcW w:w="577" w:type="pct"/>
                  <w:shd w:val="clear" w:color="auto" w:fill="auto"/>
                  <w:vAlign w:val="bottom"/>
                </w:tcPr>
                <w:p w:rsidR="00745FEA" w:rsidRPr="00AC0382" w:rsidRDefault="00745FEA" w:rsidP="00745FEA">
                  <w:pPr>
                    <w:pStyle w:val="TableBodyText"/>
                    <w:spacing w:after="20"/>
                    <w:ind w:right="57"/>
                  </w:pPr>
                  <w:r w:rsidRPr="00C13552">
                    <w:t>725.1</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Non</w:t>
                  </w:r>
                  <w:r>
                    <w:rPr>
                      <w:rFonts w:ascii="Arial" w:hAnsi="Arial" w:cs="Arial"/>
                      <w:sz w:val="18"/>
                      <w:szCs w:val="18"/>
                    </w:rPr>
                    <w:noBreakHyphen/>
                  </w:r>
                  <w:r w:rsidRPr="00BE7B87">
                    <w:rPr>
                      <w:rFonts w:ascii="Arial" w:hAnsi="Arial" w:cs="Arial"/>
                      <w:sz w:val="18"/>
                      <w:szCs w:val="18"/>
                    </w:rPr>
                    <w:t>metallic mineral products</w:t>
                  </w:r>
                </w:p>
              </w:tc>
              <w:tc>
                <w:tcPr>
                  <w:tcW w:w="493" w:type="pct"/>
                  <w:vAlign w:val="bottom"/>
                </w:tcPr>
                <w:p w:rsidR="00745FEA" w:rsidRPr="00AC0382" w:rsidRDefault="00745FEA" w:rsidP="00745FEA">
                  <w:pPr>
                    <w:pStyle w:val="TableBodyText"/>
                    <w:spacing w:after="20"/>
                    <w:ind w:right="57"/>
                  </w:pPr>
                  <w:r w:rsidRPr="00C13552">
                    <w:t>275.3</w:t>
                  </w:r>
                </w:p>
              </w:tc>
              <w:tc>
                <w:tcPr>
                  <w:tcW w:w="493" w:type="pct"/>
                  <w:vAlign w:val="bottom"/>
                </w:tcPr>
                <w:p w:rsidR="00745FEA" w:rsidRPr="00AC0382" w:rsidRDefault="00745FEA" w:rsidP="00745FEA">
                  <w:pPr>
                    <w:pStyle w:val="TableBodyText"/>
                    <w:spacing w:after="20"/>
                    <w:ind w:right="57"/>
                  </w:pPr>
                  <w:r w:rsidRPr="00C13552">
                    <w:t>276.7</w:t>
                  </w:r>
                </w:p>
              </w:tc>
              <w:tc>
                <w:tcPr>
                  <w:tcW w:w="493" w:type="pct"/>
                  <w:vAlign w:val="bottom"/>
                </w:tcPr>
                <w:p w:rsidR="00745FEA" w:rsidRPr="00AC0382" w:rsidRDefault="00745FEA" w:rsidP="00745FEA">
                  <w:pPr>
                    <w:pStyle w:val="TableBodyText"/>
                    <w:spacing w:after="20"/>
                    <w:ind w:right="57"/>
                  </w:pPr>
                  <w:r w:rsidRPr="00C13552">
                    <w:t>291.4</w:t>
                  </w:r>
                </w:p>
              </w:tc>
              <w:tc>
                <w:tcPr>
                  <w:tcW w:w="493" w:type="pct"/>
                  <w:vAlign w:val="bottom"/>
                </w:tcPr>
                <w:p w:rsidR="00745FEA" w:rsidRPr="00AC0382" w:rsidRDefault="00745FEA" w:rsidP="00745FEA">
                  <w:pPr>
                    <w:pStyle w:val="TableBodyText"/>
                    <w:spacing w:after="20"/>
                    <w:ind w:right="57"/>
                  </w:pPr>
                  <w:r w:rsidRPr="00C13552">
                    <w:t>296.7</w:t>
                  </w:r>
                </w:p>
              </w:tc>
              <w:tc>
                <w:tcPr>
                  <w:tcW w:w="493" w:type="pct"/>
                  <w:shd w:val="clear" w:color="auto" w:fill="auto"/>
                  <w:vAlign w:val="bottom"/>
                </w:tcPr>
                <w:p w:rsidR="00745FEA" w:rsidRPr="00AC0382" w:rsidRDefault="00745FEA" w:rsidP="00745FEA">
                  <w:pPr>
                    <w:pStyle w:val="TableBodyText"/>
                    <w:spacing w:after="20"/>
                    <w:ind w:right="57"/>
                  </w:pPr>
                  <w:r w:rsidRPr="00C13552">
                    <w:t>296.9</w:t>
                  </w:r>
                </w:p>
              </w:tc>
              <w:tc>
                <w:tcPr>
                  <w:tcW w:w="577" w:type="pct"/>
                  <w:shd w:val="clear" w:color="auto" w:fill="auto"/>
                  <w:vAlign w:val="bottom"/>
                </w:tcPr>
                <w:p w:rsidR="00745FEA" w:rsidRPr="00AC0382" w:rsidRDefault="00745FEA" w:rsidP="00745FEA">
                  <w:pPr>
                    <w:pStyle w:val="TableBodyText"/>
                    <w:spacing w:after="20"/>
                    <w:ind w:right="57"/>
                  </w:pPr>
                  <w:r w:rsidRPr="00C13552">
                    <w:t>292.4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Metal and fabricated metal products</w:t>
                  </w:r>
                </w:p>
              </w:tc>
              <w:tc>
                <w:tcPr>
                  <w:tcW w:w="493" w:type="pct"/>
                  <w:vAlign w:val="bottom"/>
                </w:tcPr>
                <w:p w:rsidR="00745FEA" w:rsidRPr="00AC0382" w:rsidRDefault="00745FEA" w:rsidP="00745FEA">
                  <w:pPr>
                    <w:pStyle w:val="TableBodyText"/>
                    <w:spacing w:after="20"/>
                    <w:ind w:right="57"/>
                  </w:pPr>
                  <w:r w:rsidRPr="00C13552">
                    <w:t>1192.2</w:t>
                  </w:r>
                </w:p>
              </w:tc>
              <w:tc>
                <w:tcPr>
                  <w:tcW w:w="493" w:type="pct"/>
                  <w:vAlign w:val="bottom"/>
                </w:tcPr>
                <w:p w:rsidR="00745FEA" w:rsidRPr="00AC0382" w:rsidRDefault="00745FEA" w:rsidP="00745FEA">
                  <w:pPr>
                    <w:pStyle w:val="TableBodyText"/>
                    <w:spacing w:after="20"/>
                    <w:ind w:right="57"/>
                  </w:pPr>
                  <w:r w:rsidRPr="00C13552">
                    <w:t>1489.9</w:t>
                  </w:r>
                </w:p>
              </w:tc>
              <w:tc>
                <w:tcPr>
                  <w:tcW w:w="493" w:type="pct"/>
                  <w:vAlign w:val="bottom"/>
                </w:tcPr>
                <w:p w:rsidR="00745FEA" w:rsidRPr="00AC0382" w:rsidRDefault="00745FEA" w:rsidP="00745FEA">
                  <w:pPr>
                    <w:pStyle w:val="TableBodyText"/>
                    <w:spacing w:after="20"/>
                    <w:ind w:right="57"/>
                  </w:pPr>
                  <w:r w:rsidRPr="00C13552">
                    <w:t>1188.8</w:t>
                  </w:r>
                </w:p>
              </w:tc>
              <w:tc>
                <w:tcPr>
                  <w:tcW w:w="493" w:type="pct"/>
                  <w:vAlign w:val="bottom"/>
                </w:tcPr>
                <w:p w:rsidR="00745FEA" w:rsidRPr="00AC0382" w:rsidRDefault="00745FEA" w:rsidP="00745FEA">
                  <w:pPr>
                    <w:pStyle w:val="TableBodyText"/>
                    <w:spacing w:after="20"/>
                    <w:ind w:right="57"/>
                  </w:pPr>
                  <w:r w:rsidRPr="00C13552">
                    <w:t>1167.6</w:t>
                  </w:r>
                </w:p>
              </w:tc>
              <w:tc>
                <w:tcPr>
                  <w:tcW w:w="493" w:type="pct"/>
                  <w:shd w:val="clear" w:color="auto" w:fill="auto"/>
                  <w:vAlign w:val="bottom"/>
                </w:tcPr>
                <w:p w:rsidR="00745FEA" w:rsidRPr="00AC0382" w:rsidRDefault="00745FEA" w:rsidP="00745FEA">
                  <w:pPr>
                    <w:pStyle w:val="TableBodyText"/>
                    <w:spacing w:after="20"/>
                    <w:ind w:right="57"/>
                  </w:pPr>
                  <w:r w:rsidRPr="00C13552">
                    <w:t>1086.7</w:t>
                  </w:r>
                </w:p>
              </w:tc>
              <w:tc>
                <w:tcPr>
                  <w:tcW w:w="577" w:type="pct"/>
                  <w:shd w:val="clear" w:color="auto" w:fill="auto"/>
                  <w:vAlign w:val="bottom"/>
                </w:tcPr>
                <w:p w:rsidR="00745FEA" w:rsidRPr="00AC0382" w:rsidRDefault="00745FEA" w:rsidP="00745FEA">
                  <w:pPr>
                    <w:pStyle w:val="TableBodyText"/>
                    <w:spacing w:after="20"/>
                    <w:ind w:right="57"/>
                  </w:pPr>
                  <w:r w:rsidRPr="00C13552">
                    <w:t>1141.6</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Motor vehicle</w:t>
                  </w:r>
                  <w:r>
                    <w:rPr>
                      <w:rFonts w:ascii="Arial" w:hAnsi="Arial" w:cs="Arial"/>
                      <w:sz w:val="18"/>
                      <w:szCs w:val="18"/>
                    </w:rPr>
                    <w:t>s</w:t>
                  </w:r>
                  <w:r w:rsidRPr="00BE7B87">
                    <w:rPr>
                      <w:rFonts w:ascii="Arial" w:hAnsi="Arial" w:cs="Arial"/>
                      <w:sz w:val="18"/>
                      <w:szCs w:val="18"/>
                    </w:rPr>
                    <w:t xml:space="preserve"> and parts</w:t>
                  </w:r>
                </w:p>
              </w:tc>
              <w:tc>
                <w:tcPr>
                  <w:tcW w:w="493" w:type="pct"/>
                  <w:vAlign w:val="bottom"/>
                </w:tcPr>
                <w:p w:rsidR="00745FEA" w:rsidRPr="00AC0382" w:rsidRDefault="00745FEA" w:rsidP="00745FEA">
                  <w:pPr>
                    <w:pStyle w:val="TableBodyText"/>
                    <w:spacing w:after="20"/>
                    <w:ind w:right="57"/>
                  </w:pPr>
                  <w:r w:rsidRPr="00C13552">
                    <w:t>1081.7</w:t>
                  </w:r>
                </w:p>
              </w:tc>
              <w:tc>
                <w:tcPr>
                  <w:tcW w:w="493" w:type="pct"/>
                  <w:vAlign w:val="bottom"/>
                </w:tcPr>
                <w:p w:rsidR="00745FEA" w:rsidRPr="00AC0382" w:rsidRDefault="00745FEA" w:rsidP="00745FEA">
                  <w:pPr>
                    <w:pStyle w:val="TableBodyText"/>
                    <w:spacing w:after="20"/>
                    <w:ind w:right="57"/>
                  </w:pPr>
                  <w:r w:rsidRPr="00C13552">
                    <w:t>750.9</w:t>
                  </w:r>
                </w:p>
              </w:tc>
              <w:tc>
                <w:tcPr>
                  <w:tcW w:w="493" w:type="pct"/>
                  <w:vAlign w:val="bottom"/>
                </w:tcPr>
                <w:p w:rsidR="00745FEA" w:rsidRPr="00AC0382" w:rsidRDefault="00745FEA" w:rsidP="00745FEA">
                  <w:pPr>
                    <w:pStyle w:val="TableBodyText"/>
                    <w:spacing w:after="20"/>
                    <w:ind w:right="57"/>
                  </w:pPr>
                  <w:r w:rsidRPr="00C13552">
                    <w:t>743.5</w:t>
                  </w:r>
                </w:p>
              </w:tc>
              <w:tc>
                <w:tcPr>
                  <w:tcW w:w="493" w:type="pct"/>
                  <w:vAlign w:val="bottom"/>
                </w:tcPr>
                <w:p w:rsidR="00745FEA" w:rsidRPr="00AC0382" w:rsidRDefault="00745FEA" w:rsidP="00745FEA">
                  <w:pPr>
                    <w:pStyle w:val="TableBodyText"/>
                    <w:spacing w:after="20"/>
                    <w:ind w:right="57"/>
                  </w:pPr>
                  <w:r w:rsidRPr="00C13552">
                    <w:t>663.6</w:t>
                  </w:r>
                </w:p>
              </w:tc>
              <w:tc>
                <w:tcPr>
                  <w:tcW w:w="493" w:type="pct"/>
                  <w:shd w:val="clear" w:color="auto" w:fill="auto"/>
                  <w:vAlign w:val="bottom"/>
                </w:tcPr>
                <w:p w:rsidR="00745FEA" w:rsidRPr="00AC0382" w:rsidRDefault="00745FEA" w:rsidP="00745FEA">
                  <w:pPr>
                    <w:pStyle w:val="TableBodyText"/>
                    <w:spacing w:after="20"/>
                    <w:ind w:right="57"/>
                  </w:pPr>
                  <w:r w:rsidRPr="00C13552">
                    <w:t>606.0</w:t>
                  </w:r>
                </w:p>
              </w:tc>
              <w:tc>
                <w:tcPr>
                  <w:tcW w:w="577" w:type="pct"/>
                  <w:shd w:val="clear" w:color="auto" w:fill="auto"/>
                  <w:vAlign w:val="bottom"/>
                </w:tcPr>
                <w:p w:rsidR="00745FEA" w:rsidRPr="00AC0382" w:rsidRDefault="00745FEA" w:rsidP="00745FEA">
                  <w:pPr>
                    <w:pStyle w:val="TableBodyText"/>
                    <w:spacing w:after="20"/>
                    <w:ind w:right="57"/>
                  </w:pPr>
                  <w:r w:rsidRPr="00C13552">
                    <w:t>535.4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Other transport equipment</w:t>
                  </w:r>
                </w:p>
              </w:tc>
              <w:tc>
                <w:tcPr>
                  <w:tcW w:w="493" w:type="pct"/>
                  <w:vAlign w:val="bottom"/>
                </w:tcPr>
                <w:p w:rsidR="00745FEA" w:rsidRPr="00AC0382" w:rsidRDefault="00745FEA" w:rsidP="00745FEA">
                  <w:pPr>
                    <w:pStyle w:val="TableBodyText"/>
                    <w:spacing w:after="20"/>
                    <w:ind w:right="57"/>
                  </w:pPr>
                  <w:r w:rsidRPr="00C13552">
                    <w:t>190.2</w:t>
                  </w:r>
                </w:p>
              </w:tc>
              <w:tc>
                <w:tcPr>
                  <w:tcW w:w="493" w:type="pct"/>
                  <w:vAlign w:val="bottom"/>
                </w:tcPr>
                <w:p w:rsidR="00745FEA" w:rsidRPr="00AC0382" w:rsidRDefault="00745FEA" w:rsidP="00745FEA">
                  <w:pPr>
                    <w:pStyle w:val="TableBodyText"/>
                    <w:spacing w:after="20"/>
                    <w:ind w:right="57"/>
                  </w:pPr>
                  <w:r w:rsidRPr="00C13552">
                    <w:t>229.0</w:t>
                  </w:r>
                </w:p>
              </w:tc>
              <w:tc>
                <w:tcPr>
                  <w:tcW w:w="493" w:type="pct"/>
                  <w:vAlign w:val="bottom"/>
                </w:tcPr>
                <w:p w:rsidR="00745FEA" w:rsidRPr="00AC0382" w:rsidRDefault="00745FEA" w:rsidP="00745FEA">
                  <w:pPr>
                    <w:pStyle w:val="TableBodyText"/>
                    <w:spacing w:after="20"/>
                    <w:ind w:right="57"/>
                  </w:pPr>
                  <w:r w:rsidRPr="00C13552">
                    <w:t>153.3</w:t>
                  </w:r>
                </w:p>
              </w:tc>
              <w:tc>
                <w:tcPr>
                  <w:tcW w:w="493" w:type="pct"/>
                  <w:vAlign w:val="bottom"/>
                </w:tcPr>
                <w:p w:rsidR="00745FEA" w:rsidRPr="00AC0382" w:rsidRDefault="00745FEA" w:rsidP="00745FEA">
                  <w:pPr>
                    <w:pStyle w:val="TableBodyText"/>
                    <w:spacing w:after="20"/>
                    <w:ind w:right="57"/>
                  </w:pPr>
                  <w:r w:rsidRPr="00C13552">
                    <w:t>209.4</w:t>
                  </w:r>
                </w:p>
              </w:tc>
              <w:tc>
                <w:tcPr>
                  <w:tcW w:w="493" w:type="pct"/>
                  <w:shd w:val="clear" w:color="auto" w:fill="auto"/>
                  <w:vAlign w:val="bottom"/>
                </w:tcPr>
                <w:p w:rsidR="00745FEA" w:rsidRPr="00AC0382" w:rsidRDefault="00745FEA" w:rsidP="00745FEA">
                  <w:pPr>
                    <w:pStyle w:val="TableBodyText"/>
                    <w:spacing w:after="20"/>
                    <w:ind w:right="57"/>
                  </w:pPr>
                  <w:r w:rsidRPr="00C13552">
                    <w:t>218.8</w:t>
                  </w:r>
                </w:p>
              </w:tc>
              <w:tc>
                <w:tcPr>
                  <w:tcW w:w="577" w:type="pct"/>
                  <w:shd w:val="clear" w:color="auto" w:fill="auto"/>
                  <w:vAlign w:val="bottom"/>
                </w:tcPr>
                <w:p w:rsidR="00745FEA" w:rsidRPr="00AC0382" w:rsidRDefault="00745FEA" w:rsidP="00745FEA">
                  <w:pPr>
                    <w:pStyle w:val="TableBodyText"/>
                    <w:spacing w:after="20"/>
                    <w:ind w:right="57"/>
                  </w:pPr>
                  <w:r w:rsidRPr="00C13552">
                    <w:t>204.0</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Machinery &amp; equipment manufacturing</w:t>
                  </w:r>
                </w:p>
              </w:tc>
              <w:tc>
                <w:tcPr>
                  <w:tcW w:w="493" w:type="pct"/>
                  <w:vAlign w:val="bottom"/>
                </w:tcPr>
                <w:p w:rsidR="00745FEA" w:rsidRPr="00AC0382" w:rsidRDefault="00745FEA" w:rsidP="00745FEA">
                  <w:pPr>
                    <w:pStyle w:val="TableBodyText"/>
                    <w:spacing w:after="20"/>
                    <w:ind w:right="57"/>
                  </w:pPr>
                  <w:r w:rsidRPr="00C13552">
                    <w:t>483.8</w:t>
                  </w:r>
                </w:p>
              </w:tc>
              <w:tc>
                <w:tcPr>
                  <w:tcW w:w="493" w:type="pct"/>
                  <w:vAlign w:val="bottom"/>
                </w:tcPr>
                <w:p w:rsidR="00745FEA" w:rsidRPr="00AC0382" w:rsidRDefault="00745FEA" w:rsidP="00745FEA">
                  <w:pPr>
                    <w:pStyle w:val="TableBodyText"/>
                    <w:spacing w:after="20"/>
                    <w:ind w:right="57"/>
                  </w:pPr>
                  <w:r w:rsidRPr="00C13552">
                    <w:t>571.1</w:t>
                  </w:r>
                </w:p>
              </w:tc>
              <w:tc>
                <w:tcPr>
                  <w:tcW w:w="493" w:type="pct"/>
                  <w:vAlign w:val="bottom"/>
                </w:tcPr>
                <w:p w:rsidR="00745FEA" w:rsidRPr="00AC0382" w:rsidRDefault="00745FEA" w:rsidP="00745FEA">
                  <w:pPr>
                    <w:pStyle w:val="TableBodyText"/>
                    <w:spacing w:after="20"/>
                    <w:ind w:right="57"/>
                  </w:pPr>
                  <w:r w:rsidRPr="00C13552">
                    <w:t>538.3</w:t>
                  </w:r>
                </w:p>
              </w:tc>
              <w:tc>
                <w:tcPr>
                  <w:tcW w:w="493" w:type="pct"/>
                  <w:vAlign w:val="bottom"/>
                </w:tcPr>
                <w:p w:rsidR="00745FEA" w:rsidRPr="00AC0382" w:rsidRDefault="00745FEA" w:rsidP="00745FEA">
                  <w:pPr>
                    <w:pStyle w:val="TableBodyText"/>
                    <w:spacing w:after="20"/>
                    <w:ind w:right="57"/>
                  </w:pPr>
                  <w:r w:rsidRPr="00C13552">
                    <w:t>552.5</w:t>
                  </w:r>
                </w:p>
              </w:tc>
              <w:tc>
                <w:tcPr>
                  <w:tcW w:w="493" w:type="pct"/>
                  <w:shd w:val="clear" w:color="auto" w:fill="auto"/>
                  <w:vAlign w:val="bottom"/>
                </w:tcPr>
                <w:p w:rsidR="00745FEA" w:rsidRPr="00AC0382" w:rsidRDefault="00745FEA" w:rsidP="00745FEA">
                  <w:pPr>
                    <w:pStyle w:val="TableBodyText"/>
                    <w:spacing w:after="20"/>
                    <w:ind w:right="57"/>
                  </w:pPr>
                  <w:r w:rsidRPr="00C13552">
                    <w:t>554.0</w:t>
                  </w:r>
                </w:p>
              </w:tc>
              <w:tc>
                <w:tcPr>
                  <w:tcW w:w="577" w:type="pct"/>
                  <w:shd w:val="clear" w:color="auto" w:fill="auto"/>
                  <w:vAlign w:val="bottom"/>
                </w:tcPr>
                <w:p w:rsidR="00745FEA" w:rsidRPr="00AC0382" w:rsidRDefault="00745FEA" w:rsidP="00745FEA">
                  <w:pPr>
                    <w:pStyle w:val="TableBodyText"/>
                    <w:spacing w:after="20"/>
                    <w:ind w:right="57"/>
                  </w:pPr>
                  <w:r w:rsidRPr="00C13552">
                    <w:t>571.5</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Furniture and other manufacturing</w:t>
                  </w:r>
                </w:p>
              </w:tc>
              <w:tc>
                <w:tcPr>
                  <w:tcW w:w="493" w:type="pct"/>
                  <w:vAlign w:val="bottom"/>
                </w:tcPr>
                <w:p w:rsidR="00745FEA" w:rsidRPr="00AC0382" w:rsidRDefault="00745FEA" w:rsidP="00745FEA">
                  <w:pPr>
                    <w:pStyle w:val="TableBodyText"/>
                    <w:spacing w:after="20"/>
                    <w:ind w:right="57"/>
                  </w:pPr>
                  <w:r w:rsidRPr="00C13552">
                    <w:t>213.2</w:t>
                  </w:r>
                </w:p>
              </w:tc>
              <w:tc>
                <w:tcPr>
                  <w:tcW w:w="493" w:type="pct"/>
                  <w:vAlign w:val="bottom"/>
                </w:tcPr>
                <w:p w:rsidR="00745FEA" w:rsidRPr="00AC0382" w:rsidRDefault="00745FEA" w:rsidP="00745FEA">
                  <w:pPr>
                    <w:pStyle w:val="TableBodyText"/>
                    <w:spacing w:after="20"/>
                    <w:ind w:right="57"/>
                  </w:pPr>
                  <w:r w:rsidRPr="00C13552">
                    <w:t>193.8</w:t>
                  </w:r>
                </w:p>
              </w:tc>
              <w:tc>
                <w:tcPr>
                  <w:tcW w:w="493" w:type="pct"/>
                  <w:vAlign w:val="bottom"/>
                </w:tcPr>
                <w:p w:rsidR="00745FEA" w:rsidRPr="00AC0382" w:rsidRDefault="00745FEA" w:rsidP="00745FEA">
                  <w:pPr>
                    <w:pStyle w:val="TableBodyText"/>
                    <w:spacing w:after="20"/>
                    <w:ind w:right="57"/>
                  </w:pPr>
                  <w:r w:rsidRPr="00C13552">
                    <w:t>196.1</w:t>
                  </w:r>
                </w:p>
              </w:tc>
              <w:tc>
                <w:tcPr>
                  <w:tcW w:w="493" w:type="pct"/>
                  <w:vAlign w:val="bottom"/>
                </w:tcPr>
                <w:p w:rsidR="00745FEA" w:rsidRPr="00AC0382" w:rsidRDefault="00745FEA" w:rsidP="00745FEA">
                  <w:pPr>
                    <w:pStyle w:val="TableBodyText"/>
                    <w:spacing w:after="20"/>
                    <w:ind w:right="57"/>
                  </w:pPr>
                  <w:r w:rsidRPr="00C13552">
                    <w:t>198.2</w:t>
                  </w:r>
                </w:p>
              </w:tc>
              <w:tc>
                <w:tcPr>
                  <w:tcW w:w="493" w:type="pct"/>
                  <w:shd w:val="clear" w:color="auto" w:fill="auto"/>
                  <w:vAlign w:val="bottom"/>
                </w:tcPr>
                <w:p w:rsidR="00745FEA" w:rsidRPr="00AC0382" w:rsidRDefault="00745FEA" w:rsidP="00745FEA">
                  <w:pPr>
                    <w:pStyle w:val="TableBodyText"/>
                    <w:spacing w:after="20"/>
                    <w:ind w:right="57"/>
                  </w:pPr>
                  <w:r w:rsidRPr="00C13552">
                    <w:t>195.6</w:t>
                  </w:r>
                </w:p>
              </w:tc>
              <w:tc>
                <w:tcPr>
                  <w:tcW w:w="577" w:type="pct"/>
                  <w:shd w:val="clear" w:color="auto" w:fill="auto"/>
                  <w:vAlign w:val="bottom"/>
                </w:tcPr>
                <w:p w:rsidR="00745FEA" w:rsidRPr="00AC0382" w:rsidRDefault="00745FEA" w:rsidP="00745FEA">
                  <w:pPr>
                    <w:pStyle w:val="TableBodyText"/>
                    <w:spacing w:after="20"/>
                    <w:ind w:right="57"/>
                  </w:pPr>
                  <w:r w:rsidRPr="00C13552">
                    <w:t>197.0</w:t>
                  </w:r>
                </w:p>
              </w:tc>
            </w:tr>
            <w:tr w:rsidR="00745FEA" w:rsidTr="00745FEA">
              <w:tc>
                <w:tcPr>
                  <w:tcW w:w="1959" w:type="pct"/>
                  <w:shd w:val="clear" w:color="auto" w:fill="auto"/>
                  <w:vAlign w:val="center"/>
                </w:tcPr>
                <w:p w:rsidR="00745FEA" w:rsidRPr="00BE7B87" w:rsidRDefault="00745FEA" w:rsidP="00745FEA">
                  <w:pPr>
                    <w:rPr>
                      <w:rFonts w:ascii="Arial" w:hAnsi="Arial" w:cs="Arial"/>
                      <w:sz w:val="18"/>
                      <w:szCs w:val="18"/>
                    </w:rPr>
                  </w:pPr>
                  <w:r w:rsidRPr="00BE7B87">
                    <w:rPr>
                      <w:rFonts w:ascii="Arial" w:hAnsi="Arial" w:cs="Arial"/>
                      <w:sz w:val="18"/>
                      <w:szCs w:val="18"/>
                    </w:rPr>
                    <w:t>Unallocated manufacturing</w:t>
                  </w:r>
                  <w:r w:rsidRPr="008405D4">
                    <w:rPr>
                      <w:rStyle w:val="NoteLabel"/>
                    </w:rPr>
                    <w:t>b</w:t>
                  </w:r>
                </w:p>
              </w:tc>
              <w:tc>
                <w:tcPr>
                  <w:tcW w:w="493" w:type="pct"/>
                  <w:vAlign w:val="bottom"/>
                </w:tcPr>
                <w:p w:rsidR="00745FEA" w:rsidRPr="00AC0382" w:rsidRDefault="00745FEA" w:rsidP="00745FEA">
                  <w:pPr>
                    <w:pStyle w:val="TableBodyText"/>
                    <w:ind w:right="57"/>
                  </w:pPr>
                  <w:r w:rsidRPr="00C13552">
                    <w:t>230.0</w:t>
                  </w:r>
                </w:p>
              </w:tc>
              <w:tc>
                <w:tcPr>
                  <w:tcW w:w="493" w:type="pct"/>
                  <w:vAlign w:val="bottom"/>
                </w:tcPr>
                <w:p w:rsidR="00745FEA" w:rsidRPr="00AC0382" w:rsidRDefault="00745FEA" w:rsidP="00745FEA">
                  <w:pPr>
                    <w:pStyle w:val="TableBodyText"/>
                    <w:ind w:right="57"/>
                  </w:pPr>
                  <w:r w:rsidRPr="00C13552">
                    <w:t>203.2</w:t>
                  </w:r>
                </w:p>
              </w:tc>
              <w:tc>
                <w:tcPr>
                  <w:tcW w:w="493" w:type="pct"/>
                  <w:vAlign w:val="bottom"/>
                </w:tcPr>
                <w:p w:rsidR="00745FEA" w:rsidRPr="00AC0382" w:rsidRDefault="00745FEA" w:rsidP="00745FEA">
                  <w:pPr>
                    <w:pStyle w:val="TableBodyText"/>
                    <w:ind w:right="57"/>
                  </w:pPr>
                  <w:r w:rsidRPr="00C13552">
                    <w:t>197.9</w:t>
                  </w:r>
                </w:p>
              </w:tc>
              <w:tc>
                <w:tcPr>
                  <w:tcW w:w="493" w:type="pct"/>
                  <w:vAlign w:val="bottom"/>
                </w:tcPr>
                <w:p w:rsidR="00745FEA" w:rsidRPr="00AC0382" w:rsidRDefault="00745FEA" w:rsidP="00745FEA">
                  <w:pPr>
                    <w:pStyle w:val="TableBodyText"/>
                    <w:ind w:right="57"/>
                  </w:pPr>
                  <w:r w:rsidRPr="00C13552">
                    <w:t>237.7</w:t>
                  </w:r>
                </w:p>
              </w:tc>
              <w:tc>
                <w:tcPr>
                  <w:tcW w:w="493" w:type="pct"/>
                  <w:shd w:val="clear" w:color="auto" w:fill="auto"/>
                  <w:vAlign w:val="bottom"/>
                </w:tcPr>
                <w:p w:rsidR="00745FEA" w:rsidRPr="00AC0382" w:rsidRDefault="00745FEA" w:rsidP="00745FEA">
                  <w:pPr>
                    <w:pStyle w:val="TableBodyText"/>
                    <w:ind w:right="57"/>
                  </w:pPr>
                  <w:r w:rsidRPr="00C13552">
                    <w:t>326.2</w:t>
                  </w:r>
                </w:p>
              </w:tc>
              <w:tc>
                <w:tcPr>
                  <w:tcW w:w="577" w:type="pct"/>
                  <w:shd w:val="clear" w:color="auto" w:fill="auto"/>
                  <w:vAlign w:val="bottom"/>
                </w:tcPr>
                <w:p w:rsidR="00745FEA" w:rsidRPr="00AC0382" w:rsidRDefault="00745FEA" w:rsidP="00745FEA">
                  <w:pPr>
                    <w:pStyle w:val="TableBodyText"/>
                    <w:ind w:right="57"/>
                  </w:pPr>
                  <w:r w:rsidRPr="00C13552">
                    <w:t>337.8</w:t>
                  </w:r>
                </w:p>
              </w:tc>
            </w:tr>
            <w:tr w:rsidR="00745FEA" w:rsidRPr="00F4344E" w:rsidTr="00745FEA">
              <w:tc>
                <w:tcPr>
                  <w:tcW w:w="1959" w:type="pct"/>
                  <w:shd w:val="clear" w:color="auto" w:fill="auto"/>
                  <w:vAlign w:val="bottom"/>
                </w:tcPr>
                <w:p w:rsidR="00745FEA" w:rsidRPr="00F4344E" w:rsidRDefault="00745FEA" w:rsidP="00745FEA">
                  <w:pPr>
                    <w:spacing w:after="20"/>
                    <w:rPr>
                      <w:rFonts w:ascii="Arial" w:hAnsi="Arial" w:cs="Arial"/>
                      <w:b/>
                      <w:bCs/>
                      <w:sz w:val="18"/>
                      <w:szCs w:val="18"/>
                    </w:rPr>
                  </w:pPr>
                  <w:r w:rsidRPr="00F4344E">
                    <w:rPr>
                      <w:rFonts w:ascii="Arial" w:hAnsi="Arial" w:cs="Arial"/>
                      <w:b/>
                      <w:bCs/>
                      <w:sz w:val="18"/>
                      <w:szCs w:val="18"/>
                    </w:rPr>
                    <w:t>Services</w:t>
                  </w:r>
                </w:p>
              </w:tc>
              <w:tc>
                <w:tcPr>
                  <w:tcW w:w="493" w:type="pct"/>
                  <w:vAlign w:val="bottom"/>
                </w:tcPr>
                <w:p w:rsidR="00745FEA" w:rsidRPr="00F4344E" w:rsidRDefault="00745FEA" w:rsidP="00745FEA">
                  <w:pPr>
                    <w:pStyle w:val="TableBodyText"/>
                    <w:spacing w:after="20"/>
                    <w:ind w:right="57"/>
                    <w:rPr>
                      <w:b/>
                    </w:rPr>
                  </w:pPr>
                  <w:r w:rsidRPr="00F4344E">
                    <w:rPr>
                      <w:b/>
                    </w:rPr>
                    <w:t>1647.3</w:t>
                  </w:r>
                </w:p>
              </w:tc>
              <w:tc>
                <w:tcPr>
                  <w:tcW w:w="493" w:type="pct"/>
                  <w:vAlign w:val="bottom"/>
                </w:tcPr>
                <w:p w:rsidR="00745FEA" w:rsidRPr="00F4344E" w:rsidRDefault="00745FEA" w:rsidP="00745FEA">
                  <w:pPr>
                    <w:pStyle w:val="TableBodyText"/>
                    <w:spacing w:after="20"/>
                    <w:ind w:right="57"/>
                    <w:rPr>
                      <w:b/>
                    </w:rPr>
                  </w:pPr>
                  <w:r w:rsidRPr="00F4344E">
                    <w:rPr>
                      <w:b/>
                    </w:rPr>
                    <w:t>667.0</w:t>
                  </w:r>
                </w:p>
              </w:tc>
              <w:tc>
                <w:tcPr>
                  <w:tcW w:w="493" w:type="pct"/>
                  <w:vAlign w:val="bottom"/>
                </w:tcPr>
                <w:p w:rsidR="00745FEA" w:rsidRPr="00F4344E" w:rsidRDefault="00745FEA" w:rsidP="00745FEA">
                  <w:pPr>
                    <w:pStyle w:val="TableBodyText"/>
                    <w:spacing w:after="20"/>
                    <w:ind w:right="57"/>
                    <w:rPr>
                      <w:b/>
                    </w:rPr>
                  </w:pPr>
                  <w:r w:rsidRPr="00F4344E">
                    <w:rPr>
                      <w:b/>
                    </w:rPr>
                    <w:t>252.3</w:t>
                  </w:r>
                </w:p>
              </w:tc>
              <w:tc>
                <w:tcPr>
                  <w:tcW w:w="493" w:type="pct"/>
                  <w:vAlign w:val="bottom"/>
                </w:tcPr>
                <w:p w:rsidR="00745FEA" w:rsidRPr="00F4344E" w:rsidRDefault="00745FEA" w:rsidP="00745FEA">
                  <w:pPr>
                    <w:pStyle w:val="TableBodyText"/>
                    <w:spacing w:after="20"/>
                    <w:ind w:right="57"/>
                    <w:rPr>
                      <w:b/>
                    </w:rPr>
                  </w:pPr>
                  <w:r w:rsidRPr="00F4344E">
                    <w:rPr>
                      <w:b/>
                    </w:rPr>
                    <w:t>368.6</w:t>
                  </w:r>
                </w:p>
              </w:tc>
              <w:tc>
                <w:tcPr>
                  <w:tcW w:w="493" w:type="pct"/>
                  <w:shd w:val="clear" w:color="auto" w:fill="auto"/>
                  <w:vAlign w:val="bottom"/>
                </w:tcPr>
                <w:p w:rsidR="00745FEA" w:rsidRPr="00F4344E" w:rsidRDefault="00745FEA" w:rsidP="00745FEA">
                  <w:pPr>
                    <w:pStyle w:val="TableBodyText"/>
                    <w:spacing w:after="20"/>
                    <w:ind w:right="57"/>
                    <w:rPr>
                      <w:b/>
                    </w:rPr>
                  </w:pPr>
                  <w:r w:rsidRPr="00F4344E">
                    <w:rPr>
                      <w:b/>
                    </w:rPr>
                    <w:t>509.1</w:t>
                  </w:r>
                </w:p>
              </w:tc>
              <w:tc>
                <w:tcPr>
                  <w:tcW w:w="577" w:type="pct"/>
                  <w:shd w:val="clear" w:color="auto" w:fill="auto"/>
                  <w:vAlign w:val="bottom"/>
                </w:tcPr>
                <w:p w:rsidR="00745FEA" w:rsidRPr="00F4344E" w:rsidRDefault="00745FEA" w:rsidP="00745FEA">
                  <w:pPr>
                    <w:pStyle w:val="TableBodyText"/>
                    <w:spacing w:after="20"/>
                    <w:ind w:right="57"/>
                    <w:rPr>
                      <w:b/>
                    </w:rPr>
                  </w:pPr>
                  <w:r w:rsidRPr="00F4344E">
                    <w:rPr>
                      <w:b/>
                    </w:rPr>
                    <w:t>1710.4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Electricity, gas, water &amp; waste services</w:t>
                  </w:r>
                </w:p>
              </w:tc>
              <w:tc>
                <w:tcPr>
                  <w:tcW w:w="493" w:type="pct"/>
                  <w:vAlign w:val="bottom"/>
                </w:tcPr>
                <w:p w:rsidR="00745FEA" w:rsidRPr="00AC0382" w:rsidRDefault="00745FEA" w:rsidP="00745FEA">
                  <w:pPr>
                    <w:pStyle w:val="TableBodyText"/>
                    <w:spacing w:after="20"/>
                    <w:ind w:right="57"/>
                  </w:pPr>
                  <w:r w:rsidRPr="00C13552">
                    <w:t>1040.9</w:t>
                  </w:r>
                </w:p>
              </w:tc>
              <w:tc>
                <w:tcPr>
                  <w:tcW w:w="493" w:type="pct"/>
                  <w:vAlign w:val="bottom"/>
                </w:tcPr>
                <w:p w:rsidR="00745FEA" w:rsidRPr="00AC0382" w:rsidRDefault="00745FEA" w:rsidP="00745FEA">
                  <w:pPr>
                    <w:pStyle w:val="TableBodyText"/>
                    <w:spacing w:after="20"/>
                    <w:ind w:right="57"/>
                  </w:pPr>
                  <w:r w:rsidRPr="00C13552">
                    <w:t>68.9</w:t>
                  </w:r>
                </w:p>
              </w:tc>
              <w:tc>
                <w:tcPr>
                  <w:tcW w:w="493" w:type="pct"/>
                  <w:vAlign w:val="bottom"/>
                </w:tcPr>
                <w:p w:rsidR="00745FEA" w:rsidRPr="00AC0382" w:rsidRDefault="00745FEA" w:rsidP="00745FEA">
                  <w:pPr>
                    <w:pStyle w:val="TableBodyText"/>
                    <w:spacing w:after="20"/>
                    <w:ind w:right="57"/>
                  </w:pPr>
                  <w:r w:rsidRPr="00C13552">
                    <w:t>93.2</w:t>
                  </w:r>
                </w:p>
              </w:tc>
              <w:tc>
                <w:tcPr>
                  <w:tcW w:w="493" w:type="pct"/>
                  <w:vAlign w:val="bottom"/>
                </w:tcPr>
                <w:p w:rsidR="00745FEA" w:rsidRPr="00AC0382" w:rsidRDefault="00745FEA" w:rsidP="00745FEA">
                  <w:pPr>
                    <w:pStyle w:val="TableBodyText"/>
                    <w:spacing w:after="20"/>
                    <w:ind w:right="57"/>
                  </w:pPr>
                  <w:r w:rsidRPr="00C13552">
                    <w:t>161.4</w:t>
                  </w:r>
                </w:p>
              </w:tc>
              <w:tc>
                <w:tcPr>
                  <w:tcW w:w="493" w:type="pct"/>
                  <w:shd w:val="clear" w:color="auto" w:fill="auto"/>
                  <w:vAlign w:val="bottom"/>
                </w:tcPr>
                <w:p w:rsidR="00745FEA" w:rsidRPr="00AC0382" w:rsidRDefault="00745FEA" w:rsidP="00745FEA">
                  <w:pPr>
                    <w:pStyle w:val="TableBodyText"/>
                    <w:spacing w:after="20"/>
                    <w:ind w:right="57"/>
                  </w:pPr>
                  <w:r w:rsidRPr="00C13552">
                    <w:t>89.5</w:t>
                  </w:r>
                </w:p>
              </w:tc>
              <w:tc>
                <w:tcPr>
                  <w:tcW w:w="577" w:type="pct"/>
                  <w:shd w:val="clear" w:color="auto" w:fill="auto"/>
                  <w:vAlign w:val="bottom"/>
                </w:tcPr>
                <w:p w:rsidR="00745FEA" w:rsidRPr="00AC0382" w:rsidRDefault="00745FEA" w:rsidP="00745FEA">
                  <w:pPr>
                    <w:pStyle w:val="TableBodyText"/>
                    <w:spacing w:after="20"/>
                    <w:ind w:right="57"/>
                  </w:pPr>
                  <w:r w:rsidRPr="00C13552">
                    <w:t>79.4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Construction</w:t>
                  </w:r>
                </w:p>
              </w:tc>
              <w:tc>
                <w:tcPr>
                  <w:tcW w:w="493" w:type="pct"/>
                  <w:vAlign w:val="bottom"/>
                </w:tcPr>
                <w:p w:rsidR="00745FEA" w:rsidRPr="00AC0382" w:rsidRDefault="00745FEA" w:rsidP="00745FEA">
                  <w:pPr>
                    <w:pStyle w:val="TableBodyText"/>
                    <w:spacing w:after="20"/>
                    <w:ind w:right="57"/>
                  </w:pPr>
                  <w:r w:rsidRPr="00C13552">
                    <w:t>-1118.9</w:t>
                  </w:r>
                </w:p>
              </w:tc>
              <w:tc>
                <w:tcPr>
                  <w:tcW w:w="493" w:type="pct"/>
                  <w:vAlign w:val="bottom"/>
                </w:tcPr>
                <w:p w:rsidR="00745FEA" w:rsidRPr="00AC0382" w:rsidRDefault="00745FEA" w:rsidP="00745FEA">
                  <w:pPr>
                    <w:pStyle w:val="TableBodyText"/>
                    <w:spacing w:after="20"/>
                    <w:ind w:right="57"/>
                  </w:pPr>
                  <w:r w:rsidRPr="00C13552">
                    <w:t>-1213.1</w:t>
                  </w:r>
                </w:p>
              </w:tc>
              <w:tc>
                <w:tcPr>
                  <w:tcW w:w="493" w:type="pct"/>
                  <w:vAlign w:val="bottom"/>
                </w:tcPr>
                <w:p w:rsidR="00745FEA" w:rsidRPr="00AC0382" w:rsidRDefault="00745FEA" w:rsidP="00745FEA">
                  <w:pPr>
                    <w:pStyle w:val="TableBodyText"/>
                    <w:spacing w:after="20"/>
                    <w:ind w:right="57"/>
                  </w:pPr>
                  <w:r w:rsidRPr="00C13552">
                    <w:t>-1322.1</w:t>
                  </w:r>
                </w:p>
              </w:tc>
              <w:tc>
                <w:tcPr>
                  <w:tcW w:w="493" w:type="pct"/>
                  <w:vAlign w:val="bottom"/>
                </w:tcPr>
                <w:p w:rsidR="00745FEA" w:rsidRPr="00AC0382" w:rsidRDefault="00745FEA" w:rsidP="00745FEA">
                  <w:pPr>
                    <w:pStyle w:val="TableBodyText"/>
                    <w:spacing w:after="20"/>
                    <w:ind w:right="57"/>
                  </w:pPr>
                  <w:r w:rsidRPr="00C13552">
                    <w:t>-1369.0</w:t>
                  </w:r>
                </w:p>
              </w:tc>
              <w:tc>
                <w:tcPr>
                  <w:tcW w:w="493" w:type="pct"/>
                  <w:shd w:val="clear" w:color="auto" w:fill="auto"/>
                  <w:vAlign w:val="bottom"/>
                </w:tcPr>
                <w:p w:rsidR="00745FEA" w:rsidRPr="00AC0382" w:rsidRDefault="00745FEA" w:rsidP="00745FEA">
                  <w:pPr>
                    <w:pStyle w:val="TableBodyText"/>
                    <w:spacing w:after="20"/>
                    <w:ind w:right="57"/>
                  </w:pPr>
                  <w:r w:rsidRPr="00C13552">
                    <w:t>-1376.6</w:t>
                  </w:r>
                </w:p>
              </w:tc>
              <w:tc>
                <w:tcPr>
                  <w:tcW w:w="577" w:type="pct"/>
                  <w:shd w:val="clear" w:color="auto" w:fill="auto"/>
                  <w:vAlign w:val="bottom"/>
                </w:tcPr>
                <w:p w:rsidR="00745FEA" w:rsidRPr="00AC0382" w:rsidRDefault="00745FEA" w:rsidP="00745FEA">
                  <w:pPr>
                    <w:pStyle w:val="TableBodyText"/>
                    <w:spacing w:after="20"/>
                    <w:ind w:right="57"/>
                  </w:pPr>
                  <w:r w:rsidRPr="00C13552">
                    <w:t>-1176.4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Wholesale trade</w:t>
                  </w:r>
                </w:p>
              </w:tc>
              <w:tc>
                <w:tcPr>
                  <w:tcW w:w="493" w:type="pct"/>
                  <w:vAlign w:val="bottom"/>
                </w:tcPr>
                <w:p w:rsidR="00745FEA" w:rsidRPr="00AC0382" w:rsidRDefault="00745FEA" w:rsidP="00745FEA">
                  <w:pPr>
                    <w:pStyle w:val="TableBodyText"/>
                    <w:spacing w:after="20"/>
                    <w:ind w:right="57"/>
                  </w:pPr>
                  <w:r w:rsidRPr="00C13552">
                    <w:t>55.9</w:t>
                  </w:r>
                </w:p>
              </w:tc>
              <w:tc>
                <w:tcPr>
                  <w:tcW w:w="493" w:type="pct"/>
                  <w:vAlign w:val="bottom"/>
                </w:tcPr>
                <w:p w:rsidR="00745FEA" w:rsidRPr="00AC0382" w:rsidRDefault="00745FEA" w:rsidP="00745FEA">
                  <w:pPr>
                    <w:pStyle w:val="TableBodyText"/>
                    <w:spacing w:after="20"/>
                    <w:ind w:right="57"/>
                  </w:pPr>
                  <w:r w:rsidRPr="00C13552">
                    <w:t>-35.1</w:t>
                  </w:r>
                </w:p>
              </w:tc>
              <w:tc>
                <w:tcPr>
                  <w:tcW w:w="493" w:type="pct"/>
                  <w:vAlign w:val="bottom"/>
                </w:tcPr>
                <w:p w:rsidR="00745FEA" w:rsidRPr="00AC0382" w:rsidRDefault="00745FEA" w:rsidP="00745FEA">
                  <w:pPr>
                    <w:pStyle w:val="TableBodyText"/>
                    <w:spacing w:after="20"/>
                    <w:ind w:right="57"/>
                  </w:pPr>
                  <w:r w:rsidRPr="00C13552">
                    <w:t>-60.5</w:t>
                  </w:r>
                </w:p>
              </w:tc>
              <w:tc>
                <w:tcPr>
                  <w:tcW w:w="493" w:type="pct"/>
                  <w:vAlign w:val="bottom"/>
                </w:tcPr>
                <w:p w:rsidR="00745FEA" w:rsidRPr="00AC0382" w:rsidRDefault="00745FEA" w:rsidP="00745FEA">
                  <w:pPr>
                    <w:pStyle w:val="TableBodyText"/>
                    <w:spacing w:after="20"/>
                    <w:ind w:right="57"/>
                  </w:pPr>
                  <w:r w:rsidRPr="00C13552">
                    <w:t>-38.5</w:t>
                  </w:r>
                </w:p>
              </w:tc>
              <w:tc>
                <w:tcPr>
                  <w:tcW w:w="493" w:type="pct"/>
                  <w:shd w:val="clear" w:color="auto" w:fill="auto"/>
                  <w:vAlign w:val="bottom"/>
                </w:tcPr>
                <w:p w:rsidR="00745FEA" w:rsidRPr="00AC0382" w:rsidRDefault="00745FEA" w:rsidP="00745FEA">
                  <w:pPr>
                    <w:pStyle w:val="TableBodyText"/>
                    <w:spacing w:after="20"/>
                    <w:ind w:right="57"/>
                  </w:pPr>
                  <w:r w:rsidRPr="00C13552">
                    <w:t>-65.3</w:t>
                  </w:r>
                </w:p>
              </w:tc>
              <w:tc>
                <w:tcPr>
                  <w:tcW w:w="577" w:type="pct"/>
                  <w:shd w:val="clear" w:color="auto" w:fill="auto"/>
                  <w:vAlign w:val="bottom"/>
                </w:tcPr>
                <w:p w:rsidR="00745FEA" w:rsidRPr="00AC0382" w:rsidRDefault="00745FEA" w:rsidP="00745FEA">
                  <w:pPr>
                    <w:pStyle w:val="TableBodyText"/>
                    <w:spacing w:after="20"/>
                    <w:ind w:right="57"/>
                  </w:pPr>
                  <w:r w:rsidRPr="00C13552">
                    <w:t>-10.7</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Retail trade</w:t>
                  </w:r>
                </w:p>
              </w:tc>
              <w:tc>
                <w:tcPr>
                  <w:tcW w:w="493" w:type="pct"/>
                  <w:vAlign w:val="bottom"/>
                </w:tcPr>
                <w:p w:rsidR="00745FEA" w:rsidRPr="00AC0382" w:rsidRDefault="00745FEA" w:rsidP="00745FEA">
                  <w:pPr>
                    <w:pStyle w:val="TableBodyText"/>
                    <w:spacing w:after="20"/>
                    <w:ind w:right="57"/>
                  </w:pPr>
                  <w:r w:rsidRPr="00C13552">
                    <w:t>-2.1</w:t>
                  </w:r>
                </w:p>
              </w:tc>
              <w:tc>
                <w:tcPr>
                  <w:tcW w:w="493" w:type="pct"/>
                  <w:vAlign w:val="bottom"/>
                </w:tcPr>
                <w:p w:rsidR="00745FEA" w:rsidRPr="00AC0382" w:rsidRDefault="00745FEA" w:rsidP="00745FEA">
                  <w:pPr>
                    <w:pStyle w:val="TableBodyText"/>
                    <w:spacing w:after="20"/>
                    <w:ind w:right="57"/>
                  </w:pPr>
                  <w:r w:rsidRPr="00C13552">
                    <w:t>-12.6</w:t>
                  </w:r>
                </w:p>
              </w:tc>
              <w:tc>
                <w:tcPr>
                  <w:tcW w:w="493" w:type="pct"/>
                  <w:vAlign w:val="bottom"/>
                </w:tcPr>
                <w:p w:rsidR="00745FEA" w:rsidRPr="00AC0382" w:rsidRDefault="00745FEA" w:rsidP="00745FEA">
                  <w:pPr>
                    <w:pStyle w:val="TableBodyText"/>
                    <w:spacing w:after="20"/>
                    <w:ind w:right="57"/>
                  </w:pPr>
                  <w:r w:rsidRPr="00C13552">
                    <w:t>-29.9</w:t>
                  </w:r>
                </w:p>
              </w:tc>
              <w:tc>
                <w:tcPr>
                  <w:tcW w:w="493" w:type="pct"/>
                  <w:vAlign w:val="bottom"/>
                </w:tcPr>
                <w:p w:rsidR="00745FEA" w:rsidRPr="00AC0382" w:rsidRDefault="00745FEA" w:rsidP="00745FEA">
                  <w:pPr>
                    <w:pStyle w:val="TableBodyText"/>
                    <w:spacing w:after="20"/>
                    <w:ind w:right="57"/>
                  </w:pPr>
                  <w:r w:rsidRPr="00C13552">
                    <w:t>-19.7</w:t>
                  </w:r>
                </w:p>
              </w:tc>
              <w:tc>
                <w:tcPr>
                  <w:tcW w:w="493" w:type="pct"/>
                  <w:shd w:val="clear" w:color="auto" w:fill="auto"/>
                  <w:vAlign w:val="bottom"/>
                </w:tcPr>
                <w:p w:rsidR="00745FEA" w:rsidRPr="00AC0382" w:rsidRDefault="00745FEA" w:rsidP="00745FEA">
                  <w:pPr>
                    <w:pStyle w:val="TableBodyText"/>
                    <w:spacing w:after="20"/>
                    <w:ind w:right="57"/>
                  </w:pPr>
                  <w:r w:rsidRPr="00C13552">
                    <w:t>-30.2</w:t>
                  </w:r>
                </w:p>
              </w:tc>
              <w:tc>
                <w:tcPr>
                  <w:tcW w:w="577" w:type="pct"/>
                  <w:shd w:val="clear" w:color="auto" w:fill="auto"/>
                  <w:vAlign w:val="bottom"/>
                </w:tcPr>
                <w:p w:rsidR="00745FEA" w:rsidRPr="00AC0382" w:rsidRDefault="00745FEA" w:rsidP="00745FEA">
                  <w:pPr>
                    <w:pStyle w:val="TableBodyText"/>
                    <w:spacing w:after="20"/>
                    <w:ind w:right="57"/>
                  </w:pPr>
                  <w:r w:rsidRPr="00C13552">
                    <w:t>39.4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Accommodation &amp; food services</w:t>
                  </w:r>
                </w:p>
              </w:tc>
              <w:tc>
                <w:tcPr>
                  <w:tcW w:w="493" w:type="pct"/>
                  <w:vAlign w:val="bottom"/>
                </w:tcPr>
                <w:p w:rsidR="00745FEA" w:rsidRPr="00AC0382" w:rsidRDefault="00745FEA" w:rsidP="00745FEA">
                  <w:pPr>
                    <w:pStyle w:val="TableBodyText"/>
                    <w:spacing w:after="20"/>
                    <w:ind w:right="57"/>
                  </w:pPr>
                  <w:r w:rsidRPr="00C13552">
                    <w:t>-198.4</w:t>
                  </w:r>
                </w:p>
              </w:tc>
              <w:tc>
                <w:tcPr>
                  <w:tcW w:w="493" w:type="pct"/>
                  <w:vAlign w:val="bottom"/>
                </w:tcPr>
                <w:p w:rsidR="00745FEA" w:rsidRPr="00AC0382" w:rsidRDefault="00745FEA" w:rsidP="00745FEA">
                  <w:pPr>
                    <w:pStyle w:val="TableBodyText"/>
                    <w:spacing w:after="20"/>
                    <w:ind w:right="57"/>
                  </w:pPr>
                  <w:r w:rsidRPr="00C13552">
                    <w:t>-204.3</w:t>
                  </w:r>
                </w:p>
              </w:tc>
              <w:tc>
                <w:tcPr>
                  <w:tcW w:w="493" w:type="pct"/>
                  <w:vAlign w:val="bottom"/>
                </w:tcPr>
                <w:p w:rsidR="00745FEA" w:rsidRPr="00AC0382" w:rsidRDefault="00745FEA" w:rsidP="00745FEA">
                  <w:pPr>
                    <w:pStyle w:val="TableBodyText"/>
                    <w:spacing w:after="20"/>
                    <w:ind w:right="57"/>
                  </w:pPr>
                  <w:r w:rsidRPr="00C13552">
                    <w:t>-203.2</w:t>
                  </w:r>
                </w:p>
              </w:tc>
              <w:tc>
                <w:tcPr>
                  <w:tcW w:w="493" w:type="pct"/>
                  <w:vAlign w:val="bottom"/>
                </w:tcPr>
                <w:p w:rsidR="00745FEA" w:rsidRPr="00AC0382" w:rsidRDefault="00745FEA" w:rsidP="00745FEA">
                  <w:pPr>
                    <w:pStyle w:val="TableBodyText"/>
                    <w:spacing w:after="20"/>
                    <w:ind w:right="57"/>
                  </w:pPr>
                  <w:r w:rsidRPr="00C13552">
                    <w:t>-210.4</w:t>
                  </w:r>
                </w:p>
              </w:tc>
              <w:tc>
                <w:tcPr>
                  <w:tcW w:w="493" w:type="pct"/>
                  <w:shd w:val="clear" w:color="auto" w:fill="auto"/>
                  <w:vAlign w:val="bottom"/>
                </w:tcPr>
                <w:p w:rsidR="00745FEA" w:rsidRPr="00AC0382" w:rsidRDefault="00745FEA" w:rsidP="00745FEA">
                  <w:pPr>
                    <w:pStyle w:val="TableBodyText"/>
                    <w:spacing w:after="20"/>
                    <w:ind w:right="57"/>
                  </w:pPr>
                  <w:r w:rsidRPr="00C13552">
                    <w:t>-233.3</w:t>
                  </w:r>
                </w:p>
              </w:tc>
              <w:tc>
                <w:tcPr>
                  <w:tcW w:w="577" w:type="pct"/>
                  <w:shd w:val="clear" w:color="auto" w:fill="auto"/>
                  <w:vAlign w:val="bottom"/>
                </w:tcPr>
                <w:p w:rsidR="00745FEA" w:rsidRPr="00AC0382" w:rsidRDefault="00745FEA" w:rsidP="00745FEA">
                  <w:pPr>
                    <w:pStyle w:val="TableBodyText"/>
                    <w:spacing w:after="20"/>
                    <w:ind w:right="57"/>
                  </w:pPr>
                  <w:r w:rsidRPr="00C13552">
                    <w:t>-167.9</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Transport, postal &amp; warehousing</w:t>
                  </w:r>
                </w:p>
              </w:tc>
              <w:tc>
                <w:tcPr>
                  <w:tcW w:w="493" w:type="pct"/>
                  <w:vAlign w:val="bottom"/>
                </w:tcPr>
                <w:p w:rsidR="00745FEA" w:rsidRPr="00AC0382" w:rsidRDefault="00745FEA" w:rsidP="00745FEA">
                  <w:pPr>
                    <w:pStyle w:val="TableBodyText"/>
                    <w:spacing w:after="20"/>
                    <w:ind w:right="57"/>
                  </w:pPr>
                  <w:r w:rsidRPr="00C13552">
                    <w:t>58.2</w:t>
                  </w:r>
                </w:p>
              </w:tc>
              <w:tc>
                <w:tcPr>
                  <w:tcW w:w="493" w:type="pct"/>
                  <w:vAlign w:val="bottom"/>
                </w:tcPr>
                <w:p w:rsidR="00745FEA" w:rsidRPr="00AC0382" w:rsidRDefault="00745FEA" w:rsidP="00745FEA">
                  <w:pPr>
                    <w:pStyle w:val="TableBodyText"/>
                    <w:spacing w:after="20"/>
                    <w:ind w:right="57"/>
                  </w:pPr>
                  <w:r w:rsidRPr="00C13552">
                    <w:t>-15.6</w:t>
                  </w:r>
                </w:p>
              </w:tc>
              <w:tc>
                <w:tcPr>
                  <w:tcW w:w="493" w:type="pct"/>
                  <w:vAlign w:val="bottom"/>
                </w:tcPr>
                <w:p w:rsidR="00745FEA" w:rsidRPr="00AC0382" w:rsidRDefault="00745FEA" w:rsidP="00745FEA">
                  <w:pPr>
                    <w:pStyle w:val="TableBodyText"/>
                    <w:spacing w:after="20"/>
                    <w:ind w:right="57"/>
                  </w:pPr>
                  <w:r w:rsidRPr="00C13552">
                    <w:t>-66.6</w:t>
                  </w:r>
                </w:p>
              </w:tc>
              <w:tc>
                <w:tcPr>
                  <w:tcW w:w="493" w:type="pct"/>
                  <w:vAlign w:val="bottom"/>
                </w:tcPr>
                <w:p w:rsidR="00745FEA" w:rsidRPr="00AC0382" w:rsidRDefault="00745FEA" w:rsidP="00745FEA">
                  <w:pPr>
                    <w:pStyle w:val="TableBodyText"/>
                    <w:spacing w:after="20"/>
                    <w:ind w:right="57"/>
                  </w:pPr>
                  <w:r w:rsidRPr="00C13552">
                    <w:t>-96.7</w:t>
                  </w:r>
                </w:p>
              </w:tc>
              <w:tc>
                <w:tcPr>
                  <w:tcW w:w="493" w:type="pct"/>
                  <w:shd w:val="clear" w:color="auto" w:fill="auto"/>
                  <w:vAlign w:val="bottom"/>
                </w:tcPr>
                <w:p w:rsidR="00745FEA" w:rsidRPr="00AC0382" w:rsidRDefault="00745FEA" w:rsidP="00745FEA">
                  <w:pPr>
                    <w:pStyle w:val="TableBodyText"/>
                    <w:spacing w:after="20"/>
                    <w:ind w:right="57"/>
                  </w:pPr>
                  <w:r w:rsidRPr="00C13552">
                    <w:t>-108.4</w:t>
                  </w:r>
                </w:p>
              </w:tc>
              <w:tc>
                <w:tcPr>
                  <w:tcW w:w="577" w:type="pct"/>
                  <w:shd w:val="clear" w:color="auto" w:fill="auto"/>
                  <w:vAlign w:val="bottom"/>
                </w:tcPr>
                <w:p w:rsidR="00745FEA" w:rsidRPr="00AC0382" w:rsidRDefault="00745FEA" w:rsidP="00745FEA">
                  <w:pPr>
                    <w:pStyle w:val="TableBodyText"/>
                    <w:spacing w:after="20"/>
                    <w:ind w:right="57"/>
                  </w:pPr>
                  <w:r w:rsidRPr="00C13552">
                    <w:t>-15.1</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Information &amp; telecommunications</w:t>
                  </w:r>
                </w:p>
              </w:tc>
              <w:tc>
                <w:tcPr>
                  <w:tcW w:w="493" w:type="pct"/>
                  <w:vAlign w:val="bottom"/>
                </w:tcPr>
                <w:p w:rsidR="00745FEA" w:rsidRPr="00AC0382" w:rsidRDefault="00745FEA" w:rsidP="00745FEA">
                  <w:pPr>
                    <w:pStyle w:val="TableBodyText"/>
                    <w:spacing w:after="20"/>
                    <w:ind w:right="57"/>
                  </w:pPr>
                  <w:r w:rsidRPr="00C13552">
                    <w:t>221.8</w:t>
                  </w:r>
                </w:p>
              </w:tc>
              <w:tc>
                <w:tcPr>
                  <w:tcW w:w="493" w:type="pct"/>
                  <w:vAlign w:val="bottom"/>
                </w:tcPr>
                <w:p w:rsidR="00745FEA" w:rsidRPr="00AC0382" w:rsidRDefault="00745FEA" w:rsidP="00745FEA">
                  <w:pPr>
                    <w:pStyle w:val="TableBodyText"/>
                    <w:spacing w:after="20"/>
                    <w:ind w:right="57"/>
                  </w:pPr>
                  <w:r w:rsidRPr="00C13552">
                    <w:t>318.7</w:t>
                  </w:r>
                </w:p>
              </w:tc>
              <w:tc>
                <w:tcPr>
                  <w:tcW w:w="493" w:type="pct"/>
                  <w:vAlign w:val="bottom"/>
                </w:tcPr>
                <w:p w:rsidR="00745FEA" w:rsidRPr="00AC0382" w:rsidRDefault="00745FEA" w:rsidP="00745FEA">
                  <w:pPr>
                    <w:pStyle w:val="TableBodyText"/>
                    <w:spacing w:after="20"/>
                    <w:ind w:right="57"/>
                  </w:pPr>
                  <w:r w:rsidRPr="00C13552">
                    <w:t>160.2</w:t>
                  </w:r>
                </w:p>
              </w:tc>
              <w:tc>
                <w:tcPr>
                  <w:tcW w:w="493" w:type="pct"/>
                  <w:vAlign w:val="bottom"/>
                </w:tcPr>
                <w:p w:rsidR="00745FEA" w:rsidRPr="00AC0382" w:rsidRDefault="00745FEA" w:rsidP="00745FEA">
                  <w:pPr>
                    <w:pStyle w:val="TableBodyText"/>
                    <w:spacing w:after="20"/>
                    <w:ind w:right="57"/>
                  </w:pPr>
                  <w:r w:rsidRPr="00C13552">
                    <w:t>160.4</w:t>
                  </w:r>
                </w:p>
              </w:tc>
              <w:tc>
                <w:tcPr>
                  <w:tcW w:w="493" w:type="pct"/>
                  <w:shd w:val="clear" w:color="auto" w:fill="auto"/>
                  <w:vAlign w:val="bottom"/>
                </w:tcPr>
                <w:p w:rsidR="00745FEA" w:rsidRPr="00AC0382" w:rsidRDefault="00745FEA" w:rsidP="00745FEA">
                  <w:pPr>
                    <w:pStyle w:val="TableBodyText"/>
                    <w:spacing w:after="20"/>
                    <w:ind w:right="57"/>
                  </w:pPr>
                  <w:r w:rsidRPr="00C13552">
                    <w:t>160.9</w:t>
                  </w:r>
                </w:p>
              </w:tc>
              <w:tc>
                <w:tcPr>
                  <w:tcW w:w="577" w:type="pct"/>
                  <w:shd w:val="clear" w:color="auto" w:fill="auto"/>
                  <w:vAlign w:val="bottom"/>
                </w:tcPr>
                <w:p w:rsidR="00745FEA" w:rsidRPr="00AC0382" w:rsidRDefault="00745FEA" w:rsidP="00745FEA">
                  <w:pPr>
                    <w:pStyle w:val="TableBodyText"/>
                    <w:spacing w:after="20"/>
                    <w:ind w:right="57"/>
                  </w:pPr>
                  <w:r w:rsidRPr="00C13552">
                    <w:t>332.4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Financial and insurance services</w:t>
                  </w:r>
                </w:p>
              </w:tc>
              <w:tc>
                <w:tcPr>
                  <w:tcW w:w="493" w:type="pct"/>
                  <w:vAlign w:val="bottom"/>
                </w:tcPr>
                <w:p w:rsidR="00745FEA" w:rsidRPr="00AC0382" w:rsidRDefault="00745FEA" w:rsidP="00745FEA">
                  <w:pPr>
                    <w:pStyle w:val="TableBodyText"/>
                    <w:spacing w:after="20"/>
                    <w:ind w:right="57"/>
                  </w:pPr>
                  <w:r w:rsidRPr="00C13552">
                    <w:t>1023.7</w:t>
                  </w:r>
                </w:p>
              </w:tc>
              <w:tc>
                <w:tcPr>
                  <w:tcW w:w="493" w:type="pct"/>
                  <w:vAlign w:val="bottom"/>
                </w:tcPr>
                <w:p w:rsidR="00745FEA" w:rsidRPr="00AC0382" w:rsidRDefault="00745FEA" w:rsidP="00745FEA">
                  <w:pPr>
                    <w:pStyle w:val="TableBodyText"/>
                    <w:spacing w:after="20"/>
                    <w:ind w:right="57"/>
                  </w:pPr>
                  <w:r w:rsidRPr="00C13552">
                    <w:t>821.6</w:t>
                  </w:r>
                </w:p>
              </w:tc>
              <w:tc>
                <w:tcPr>
                  <w:tcW w:w="493" w:type="pct"/>
                  <w:vAlign w:val="bottom"/>
                </w:tcPr>
                <w:p w:rsidR="00745FEA" w:rsidRPr="00AC0382" w:rsidRDefault="00745FEA" w:rsidP="00745FEA">
                  <w:pPr>
                    <w:pStyle w:val="TableBodyText"/>
                    <w:spacing w:after="20"/>
                    <w:ind w:right="57"/>
                  </w:pPr>
                  <w:r w:rsidRPr="00C13552">
                    <w:t>906.0</w:t>
                  </w:r>
                </w:p>
              </w:tc>
              <w:tc>
                <w:tcPr>
                  <w:tcW w:w="493" w:type="pct"/>
                  <w:vAlign w:val="bottom"/>
                </w:tcPr>
                <w:p w:rsidR="00745FEA" w:rsidRPr="00AC0382" w:rsidRDefault="00745FEA" w:rsidP="00745FEA">
                  <w:pPr>
                    <w:pStyle w:val="TableBodyText"/>
                    <w:spacing w:after="20"/>
                    <w:ind w:right="57"/>
                  </w:pPr>
                  <w:r w:rsidRPr="00C13552">
                    <w:t>933.0</w:t>
                  </w:r>
                </w:p>
              </w:tc>
              <w:tc>
                <w:tcPr>
                  <w:tcW w:w="493" w:type="pct"/>
                  <w:shd w:val="clear" w:color="auto" w:fill="auto"/>
                  <w:vAlign w:val="bottom"/>
                </w:tcPr>
                <w:p w:rsidR="00745FEA" w:rsidRPr="00AC0382" w:rsidRDefault="00745FEA" w:rsidP="00745FEA">
                  <w:pPr>
                    <w:pStyle w:val="TableBodyText"/>
                    <w:spacing w:after="20"/>
                    <w:ind w:right="57"/>
                  </w:pPr>
                  <w:r w:rsidRPr="00C13552">
                    <w:t>1045.2</w:t>
                  </w:r>
                </w:p>
              </w:tc>
              <w:tc>
                <w:tcPr>
                  <w:tcW w:w="577" w:type="pct"/>
                  <w:shd w:val="clear" w:color="auto" w:fill="auto"/>
                  <w:vAlign w:val="bottom"/>
                </w:tcPr>
                <w:p w:rsidR="00745FEA" w:rsidRPr="00AC0382" w:rsidRDefault="00745FEA" w:rsidP="00745FEA">
                  <w:pPr>
                    <w:pStyle w:val="TableBodyText"/>
                    <w:spacing w:after="20"/>
                    <w:ind w:right="57"/>
                  </w:pPr>
                  <w:r w:rsidRPr="00C13552">
                    <w:t>939.4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Property, professional &amp; admin.</w:t>
                  </w:r>
                </w:p>
              </w:tc>
              <w:tc>
                <w:tcPr>
                  <w:tcW w:w="493" w:type="pct"/>
                  <w:vAlign w:val="bottom"/>
                </w:tcPr>
                <w:p w:rsidR="00745FEA" w:rsidRPr="00AC0382" w:rsidRDefault="00745FEA" w:rsidP="00745FEA">
                  <w:pPr>
                    <w:pStyle w:val="TableBodyText"/>
                    <w:spacing w:after="20"/>
                    <w:ind w:right="57"/>
                  </w:pPr>
                  <w:r w:rsidRPr="00C13552">
                    <w:t>519.1</w:t>
                  </w:r>
                </w:p>
              </w:tc>
              <w:tc>
                <w:tcPr>
                  <w:tcW w:w="493" w:type="pct"/>
                  <w:vAlign w:val="bottom"/>
                </w:tcPr>
                <w:p w:rsidR="00745FEA" w:rsidRPr="00AC0382" w:rsidRDefault="00745FEA" w:rsidP="00745FEA">
                  <w:pPr>
                    <w:pStyle w:val="TableBodyText"/>
                    <w:spacing w:after="20"/>
                    <w:ind w:right="57"/>
                  </w:pPr>
                  <w:r w:rsidRPr="00C13552">
                    <w:t>861.0</w:t>
                  </w:r>
                </w:p>
              </w:tc>
              <w:tc>
                <w:tcPr>
                  <w:tcW w:w="493" w:type="pct"/>
                  <w:vAlign w:val="bottom"/>
                </w:tcPr>
                <w:p w:rsidR="00745FEA" w:rsidRPr="00AC0382" w:rsidRDefault="00745FEA" w:rsidP="00745FEA">
                  <w:pPr>
                    <w:pStyle w:val="TableBodyText"/>
                    <w:spacing w:after="20"/>
                    <w:ind w:right="57"/>
                  </w:pPr>
                  <w:r w:rsidRPr="00C13552">
                    <w:t>733.3</w:t>
                  </w:r>
                </w:p>
              </w:tc>
              <w:tc>
                <w:tcPr>
                  <w:tcW w:w="493" w:type="pct"/>
                  <w:vAlign w:val="bottom"/>
                </w:tcPr>
                <w:p w:rsidR="00745FEA" w:rsidRPr="00AC0382" w:rsidRDefault="00745FEA" w:rsidP="00745FEA">
                  <w:pPr>
                    <w:pStyle w:val="TableBodyText"/>
                    <w:spacing w:after="20"/>
                    <w:ind w:right="57"/>
                  </w:pPr>
                  <w:r w:rsidRPr="00C13552">
                    <w:t>934.4</w:t>
                  </w:r>
                </w:p>
              </w:tc>
              <w:tc>
                <w:tcPr>
                  <w:tcW w:w="493" w:type="pct"/>
                  <w:shd w:val="clear" w:color="auto" w:fill="auto"/>
                  <w:vAlign w:val="bottom"/>
                </w:tcPr>
                <w:p w:rsidR="00745FEA" w:rsidRPr="00AC0382" w:rsidRDefault="00745FEA" w:rsidP="00745FEA">
                  <w:pPr>
                    <w:pStyle w:val="TableBodyText"/>
                    <w:spacing w:after="20"/>
                    <w:ind w:right="57"/>
                  </w:pPr>
                  <w:r w:rsidRPr="00C13552">
                    <w:t>933.5</w:t>
                  </w:r>
                </w:p>
              </w:tc>
              <w:tc>
                <w:tcPr>
                  <w:tcW w:w="577" w:type="pct"/>
                  <w:shd w:val="clear" w:color="auto" w:fill="auto"/>
                  <w:vAlign w:val="bottom"/>
                </w:tcPr>
                <w:p w:rsidR="00745FEA" w:rsidRPr="00AC0382" w:rsidRDefault="00745FEA" w:rsidP="00745FEA">
                  <w:pPr>
                    <w:pStyle w:val="TableBodyText"/>
                    <w:spacing w:after="20"/>
                    <w:ind w:right="57"/>
                  </w:pPr>
                  <w:r w:rsidRPr="00C13552">
                    <w:t>1441.9</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Public administration and safety</w:t>
                  </w:r>
                </w:p>
              </w:tc>
              <w:tc>
                <w:tcPr>
                  <w:tcW w:w="493" w:type="pct"/>
                  <w:vAlign w:val="bottom"/>
                </w:tcPr>
                <w:p w:rsidR="00745FEA" w:rsidRPr="00AC0382" w:rsidRDefault="00745FEA" w:rsidP="00745FEA">
                  <w:pPr>
                    <w:pStyle w:val="TableBodyText"/>
                    <w:spacing w:after="20"/>
                    <w:ind w:right="57"/>
                  </w:pPr>
                  <w:r w:rsidRPr="00C13552">
                    <w:t>-120.3</w:t>
                  </w:r>
                </w:p>
              </w:tc>
              <w:tc>
                <w:tcPr>
                  <w:tcW w:w="493" w:type="pct"/>
                  <w:vAlign w:val="bottom"/>
                </w:tcPr>
                <w:p w:rsidR="00745FEA" w:rsidRPr="00AC0382" w:rsidRDefault="00745FEA" w:rsidP="00745FEA">
                  <w:pPr>
                    <w:pStyle w:val="TableBodyText"/>
                    <w:spacing w:after="20"/>
                    <w:ind w:right="57"/>
                  </w:pPr>
                  <w:r w:rsidRPr="00C13552">
                    <w:t>-123.8</w:t>
                  </w:r>
                </w:p>
              </w:tc>
              <w:tc>
                <w:tcPr>
                  <w:tcW w:w="493" w:type="pct"/>
                  <w:vAlign w:val="bottom"/>
                </w:tcPr>
                <w:p w:rsidR="00745FEA" w:rsidRPr="00AC0382" w:rsidRDefault="00745FEA" w:rsidP="00745FEA">
                  <w:pPr>
                    <w:pStyle w:val="TableBodyText"/>
                    <w:spacing w:after="20"/>
                    <w:ind w:right="57"/>
                  </w:pPr>
                  <w:r w:rsidRPr="00C13552">
                    <w:t>-131.5</w:t>
                  </w:r>
                </w:p>
              </w:tc>
              <w:tc>
                <w:tcPr>
                  <w:tcW w:w="493" w:type="pct"/>
                  <w:vAlign w:val="bottom"/>
                </w:tcPr>
                <w:p w:rsidR="00745FEA" w:rsidRPr="00AC0382" w:rsidRDefault="00745FEA" w:rsidP="00745FEA">
                  <w:pPr>
                    <w:pStyle w:val="TableBodyText"/>
                    <w:spacing w:after="20"/>
                    <w:ind w:right="57"/>
                  </w:pPr>
                  <w:r w:rsidRPr="00C13552">
                    <w:t>-122.8</w:t>
                  </w:r>
                </w:p>
              </w:tc>
              <w:tc>
                <w:tcPr>
                  <w:tcW w:w="493" w:type="pct"/>
                  <w:shd w:val="clear" w:color="auto" w:fill="auto"/>
                  <w:vAlign w:val="bottom"/>
                </w:tcPr>
                <w:p w:rsidR="00745FEA" w:rsidRPr="00AC0382" w:rsidRDefault="00745FEA" w:rsidP="00745FEA">
                  <w:pPr>
                    <w:pStyle w:val="TableBodyText"/>
                    <w:spacing w:after="20"/>
                    <w:ind w:right="57"/>
                  </w:pPr>
                  <w:r w:rsidRPr="00C13552">
                    <w:t>-123.0</w:t>
                  </w:r>
                </w:p>
              </w:tc>
              <w:tc>
                <w:tcPr>
                  <w:tcW w:w="577" w:type="pct"/>
                  <w:shd w:val="clear" w:color="auto" w:fill="auto"/>
                  <w:vAlign w:val="bottom"/>
                </w:tcPr>
                <w:p w:rsidR="00745FEA" w:rsidRPr="00AC0382" w:rsidRDefault="00745FEA" w:rsidP="00745FEA">
                  <w:pPr>
                    <w:pStyle w:val="TableBodyText"/>
                    <w:spacing w:after="20"/>
                    <w:ind w:right="57"/>
                  </w:pPr>
                  <w:r w:rsidRPr="00C13552">
                    <w:t>-115.4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Education and training</w:t>
                  </w:r>
                </w:p>
              </w:tc>
              <w:tc>
                <w:tcPr>
                  <w:tcW w:w="493" w:type="pct"/>
                  <w:vAlign w:val="bottom"/>
                </w:tcPr>
                <w:p w:rsidR="00745FEA" w:rsidRPr="00AC0382" w:rsidRDefault="00745FEA" w:rsidP="00745FEA">
                  <w:pPr>
                    <w:pStyle w:val="TableBodyText"/>
                    <w:spacing w:after="20"/>
                    <w:ind w:right="57"/>
                  </w:pPr>
                  <w:r w:rsidRPr="00C13552">
                    <w:t>-10.9</w:t>
                  </w:r>
                </w:p>
              </w:tc>
              <w:tc>
                <w:tcPr>
                  <w:tcW w:w="493" w:type="pct"/>
                  <w:vAlign w:val="bottom"/>
                </w:tcPr>
                <w:p w:rsidR="00745FEA" w:rsidRPr="00AC0382" w:rsidRDefault="00745FEA" w:rsidP="00745FEA">
                  <w:pPr>
                    <w:pStyle w:val="TableBodyText"/>
                    <w:spacing w:after="20"/>
                    <w:ind w:right="57"/>
                  </w:pPr>
                  <w:r w:rsidRPr="00C13552">
                    <w:t>-10.5</w:t>
                  </w:r>
                </w:p>
              </w:tc>
              <w:tc>
                <w:tcPr>
                  <w:tcW w:w="493" w:type="pct"/>
                  <w:vAlign w:val="bottom"/>
                </w:tcPr>
                <w:p w:rsidR="00745FEA" w:rsidRPr="00AC0382" w:rsidRDefault="00745FEA" w:rsidP="00745FEA">
                  <w:pPr>
                    <w:pStyle w:val="TableBodyText"/>
                    <w:spacing w:after="20"/>
                    <w:ind w:right="57"/>
                  </w:pPr>
                  <w:r w:rsidRPr="00C13552">
                    <w:t>-20.1</w:t>
                  </w:r>
                </w:p>
              </w:tc>
              <w:tc>
                <w:tcPr>
                  <w:tcW w:w="493" w:type="pct"/>
                  <w:vAlign w:val="bottom"/>
                </w:tcPr>
                <w:p w:rsidR="00745FEA" w:rsidRPr="00AC0382" w:rsidRDefault="00745FEA" w:rsidP="00745FEA">
                  <w:pPr>
                    <w:pStyle w:val="TableBodyText"/>
                    <w:spacing w:after="20"/>
                    <w:ind w:right="57"/>
                  </w:pPr>
                  <w:r w:rsidRPr="00C13552">
                    <w:t>-16.2</w:t>
                  </w:r>
                </w:p>
              </w:tc>
              <w:tc>
                <w:tcPr>
                  <w:tcW w:w="493" w:type="pct"/>
                  <w:shd w:val="clear" w:color="auto" w:fill="auto"/>
                  <w:vAlign w:val="bottom"/>
                </w:tcPr>
                <w:p w:rsidR="00745FEA" w:rsidRPr="00AC0382" w:rsidRDefault="00745FEA" w:rsidP="00745FEA">
                  <w:pPr>
                    <w:pStyle w:val="TableBodyText"/>
                    <w:spacing w:after="20"/>
                    <w:ind w:right="57"/>
                  </w:pPr>
                  <w:r w:rsidRPr="00C13552">
                    <w:t>-21.0</w:t>
                  </w:r>
                </w:p>
              </w:tc>
              <w:tc>
                <w:tcPr>
                  <w:tcW w:w="577" w:type="pct"/>
                  <w:shd w:val="clear" w:color="auto" w:fill="auto"/>
                  <w:vAlign w:val="bottom"/>
                </w:tcPr>
                <w:p w:rsidR="00745FEA" w:rsidRPr="00AC0382" w:rsidRDefault="00745FEA" w:rsidP="00745FEA">
                  <w:pPr>
                    <w:pStyle w:val="TableBodyText"/>
                    <w:spacing w:after="20"/>
                    <w:ind w:right="57"/>
                  </w:pPr>
                  <w:r w:rsidRPr="00C13552">
                    <w:t>-4.8</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Health care and social assistance</w:t>
                  </w:r>
                </w:p>
              </w:tc>
              <w:tc>
                <w:tcPr>
                  <w:tcW w:w="493" w:type="pct"/>
                  <w:vAlign w:val="bottom"/>
                </w:tcPr>
                <w:p w:rsidR="00745FEA" w:rsidRPr="00AC0382" w:rsidRDefault="00745FEA" w:rsidP="00745FEA">
                  <w:pPr>
                    <w:pStyle w:val="TableBodyText"/>
                    <w:spacing w:after="20"/>
                    <w:ind w:right="57"/>
                  </w:pPr>
                  <w:r w:rsidRPr="00C13552">
                    <w:t>-24.8</w:t>
                  </w:r>
                </w:p>
              </w:tc>
              <w:tc>
                <w:tcPr>
                  <w:tcW w:w="493" w:type="pct"/>
                  <w:vAlign w:val="bottom"/>
                </w:tcPr>
                <w:p w:rsidR="00745FEA" w:rsidRPr="00AC0382" w:rsidRDefault="00745FEA" w:rsidP="00745FEA">
                  <w:pPr>
                    <w:pStyle w:val="TableBodyText"/>
                    <w:spacing w:after="20"/>
                    <w:ind w:right="57"/>
                  </w:pPr>
                  <w:r w:rsidRPr="00C13552">
                    <w:t>-36.9</w:t>
                  </w:r>
                </w:p>
              </w:tc>
              <w:tc>
                <w:tcPr>
                  <w:tcW w:w="493" w:type="pct"/>
                  <w:vAlign w:val="bottom"/>
                </w:tcPr>
                <w:p w:rsidR="00745FEA" w:rsidRPr="00AC0382" w:rsidRDefault="00745FEA" w:rsidP="00745FEA">
                  <w:pPr>
                    <w:pStyle w:val="TableBodyText"/>
                    <w:spacing w:after="20"/>
                    <w:ind w:right="57"/>
                  </w:pPr>
                  <w:r w:rsidRPr="00C13552">
                    <w:t>-37.8</w:t>
                  </w:r>
                </w:p>
              </w:tc>
              <w:tc>
                <w:tcPr>
                  <w:tcW w:w="493" w:type="pct"/>
                  <w:vAlign w:val="bottom"/>
                </w:tcPr>
                <w:p w:rsidR="00745FEA" w:rsidRPr="00AC0382" w:rsidRDefault="00745FEA" w:rsidP="00745FEA">
                  <w:pPr>
                    <w:pStyle w:val="TableBodyText"/>
                    <w:spacing w:after="20"/>
                    <w:ind w:right="57"/>
                  </w:pPr>
                  <w:r w:rsidRPr="00C13552">
                    <w:t>-31.6</w:t>
                  </w:r>
                </w:p>
              </w:tc>
              <w:tc>
                <w:tcPr>
                  <w:tcW w:w="493" w:type="pct"/>
                  <w:shd w:val="clear" w:color="auto" w:fill="auto"/>
                  <w:vAlign w:val="bottom"/>
                </w:tcPr>
                <w:p w:rsidR="00745FEA" w:rsidRPr="00AC0382" w:rsidRDefault="00745FEA" w:rsidP="00745FEA">
                  <w:pPr>
                    <w:pStyle w:val="TableBodyText"/>
                    <w:spacing w:after="20"/>
                    <w:ind w:right="57"/>
                  </w:pPr>
                  <w:r w:rsidRPr="00C13552">
                    <w:t>-30.0</w:t>
                  </w:r>
                </w:p>
              </w:tc>
              <w:tc>
                <w:tcPr>
                  <w:tcW w:w="577" w:type="pct"/>
                  <w:shd w:val="clear" w:color="auto" w:fill="auto"/>
                  <w:vAlign w:val="bottom"/>
                </w:tcPr>
                <w:p w:rsidR="00745FEA" w:rsidRPr="00AC0382" w:rsidRDefault="00745FEA" w:rsidP="00745FEA">
                  <w:pPr>
                    <w:pStyle w:val="TableBodyText"/>
                    <w:spacing w:after="20"/>
                    <w:ind w:right="57"/>
                  </w:pPr>
                  <w:r w:rsidRPr="00C13552">
                    <w:t>16.4</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Arts and recreation services</w:t>
                  </w:r>
                </w:p>
              </w:tc>
              <w:tc>
                <w:tcPr>
                  <w:tcW w:w="493" w:type="pct"/>
                  <w:vAlign w:val="bottom"/>
                </w:tcPr>
                <w:p w:rsidR="00745FEA" w:rsidRPr="00AC0382" w:rsidRDefault="00745FEA" w:rsidP="00745FEA">
                  <w:pPr>
                    <w:pStyle w:val="TableBodyText"/>
                    <w:spacing w:after="20"/>
                    <w:ind w:right="57"/>
                  </w:pPr>
                  <w:r w:rsidRPr="00C13552">
                    <w:t>293.9</w:t>
                  </w:r>
                </w:p>
              </w:tc>
              <w:tc>
                <w:tcPr>
                  <w:tcW w:w="493" w:type="pct"/>
                  <w:vAlign w:val="bottom"/>
                </w:tcPr>
                <w:p w:rsidR="00745FEA" w:rsidRPr="00AC0382" w:rsidRDefault="00745FEA" w:rsidP="00745FEA">
                  <w:pPr>
                    <w:pStyle w:val="TableBodyText"/>
                    <w:spacing w:after="20"/>
                    <w:ind w:right="57"/>
                  </w:pPr>
                  <w:r w:rsidRPr="00C13552">
                    <w:t>345.2</w:t>
                  </w:r>
                </w:p>
              </w:tc>
              <w:tc>
                <w:tcPr>
                  <w:tcW w:w="493" w:type="pct"/>
                  <w:vAlign w:val="bottom"/>
                </w:tcPr>
                <w:p w:rsidR="00745FEA" w:rsidRPr="00AC0382" w:rsidRDefault="00745FEA" w:rsidP="00745FEA">
                  <w:pPr>
                    <w:pStyle w:val="TableBodyText"/>
                    <w:spacing w:after="20"/>
                    <w:ind w:right="57"/>
                  </w:pPr>
                  <w:r w:rsidRPr="00C13552">
                    <w:t>373.7</w:t>
                  </w:r>
                </w:p>
              </w:tc>
              <w:tc>
                <w:tcPr>
                  <w:tcW w:w="493" w:type="pct"/>
                  <w:vAlign w:val="bottom"/>
                </w:tcPr>
                <w:p w:rsidR="00745FEA" w:rsidRPr="00AC0382" w:rsidRDefault="00745FEA" w:rsidP="00745FEA">
                  <w:pPr>
                    <w:pStyle w:val="TableBodyText"/>
                    <w:spacing w:after="20"/>
                    <w:ind w:right="57"/>
                  </w:pPr>
                  <w:r w:rsidRPr="00C13552">
                    <w:t>254.6</w:t>
                  </w:r>
                </w:p>
              </w:tc>
              <w:tc>
                <w:tcPr>
                  <w:tcW w:w="493" w:type="pct"/>
                  <w:shd w:val="clear" w:color="auto" w:fill="auto"/>
                  <w:vAlign w:val="bottom"/>
                </w:tcPr>
                <w:p w:rsidR="00745FEA" w:rsidRPr="00AC0382" w:rsidRDefault="00745FEA" w:rsidP="00745FEA">
                  <w:pPr>
                    <w:pStyle w:val="TableBodyText"/>
                    <w:spacing w:after="20"/>
                    <w:ind w:right="57"/>
                  </w:pPr>
                  <w:r w:rsidRPr="00C13552">
                    <w:t>420.6</w:t>
                  </w:r>
                </w:p>
              </w:tc>
              <w:tc>
                <w:tcPr>
                  <w:tcW w:w="577" w:type="pct"/>
                  <w:shd w:val="clear" w:color="auto" w:fill="auto"/>
                  <w:vAlign w:val="bottom"/>
                </w:tcPr>
                <w:p w:rsidR="00745FEA" w:rsidRPr="00AC0382" w:rsidRDefault="00745FEA" w:rsidP="00745FEA">
                  <w:pPr>
                    <w:pStyle w:val="TableBodyText"/>
                    <w:spacing w:after="20"/>
                    <w:ind w:right="57"/>
                  </w:pPr>
                  <w:r w:rsidRPr="00C13552">
                    <w:t>440.8</w:t>
                  </w:r>
                </w:p>
              </w:tc>
            </w:tr>
            <w:tr w:rsidR="00745FEA" w:rsidTr="00745FEA">
              <w:tc>
                <w:tcPr>
                  <w:tcW w:w="1959" w:type="pct"/>
                  <w:shd w:val="clear" w:color="auto" w:fill="auto"/>
                  <w:vAlign w:val="center"/>
                </w:tcPr>
                <w:p w:rsidR="00745FEA" w:rsidRPr="00BE7B87" w:rsidRDefault="00745FEA" w:rsidP="00745FEA">
                  <w:pPr>
                    <w:spacing w:after="20"/>
                    <w:ind w:right="57"/>
                    <w:rPr>
                      <w:rFonts w:ascii="Arial" w:hAnsi="Arial" w:cs="Arial"/>
                      <w:sz w:val="18"/>
                      <w:szCs w:val="18"/>
                    </w:rPr>
                  </w:pPr>
                  <w:r w:rsidRPr="00BE7B87">
                    <w:rPr>
                      <w:rFonts w:ascii="Arial" w:hAnsi="Arial" w:cs="Arial"/>
                      <w:sz w:val="18"/>
                      <w:szCs w:val="18"/>
                    </w:rPr>
                    <w:t>Other services</w:t>
                  </w:r>
                </w:p>
              </w:tc>
              <w:tc>
                <w:tcPr>
                  <w:tcW w:w="493" w:type="pct"/>
                  <w:vAlign w:val="bottom"/>
                </w:tcPr>
                <w:p w:rsidR="00745FEA" w:rsidRPr="00AC0382" w:rsidRDefault="00745FEA" w:rsidP="00745FEA">
                  <w:pPr>
                    <w:pStyle w:val="TableBodyText"/>
                    <w:spacing w:after="20"/>
                    <w:ind w:right="57"/>
                  </w:pPr>
                  <w:r w:rsidRPr="00C13552">
                    <w:t>-270.0</w:t>
                  </w:r>
                </w:p>
              </w:tc>
              <w:tc>
                <w:tcPr>
                  <w:tcW w:w="493" w:type="pct"/>
                  <w:vAlign w:val="bottom"/>
                </w:tcPr>
                <w:p w:rsidR="00745FEA" w:rsidRPr="00AC0382" w:rsidRDefault="00745FEA" w:rsidP="00745FEA">
                  <w:pPr>
                    <w:pStyle w:val="TableBodyText"/>
                    <w:spacing w:after="20"/>
                    <w:ind w:right="57"/>
                  </w:pPr>
                  <w:r w:rsidRPr="00C13552">
                    <w:t>-267.3</w:t>
                  </w:r>
                </w:p>
              </w:tc>
              <w:tc>
                <w:tcPr>
                  <w:tcW w:w="493" w:type="pct"/>
                  <w:vAlign w:val="bottom"/>
                </w:tcPr>
                <w:p w:rsidR="00745FEA" w:rsidRPr="00AC0382" w:rsidRDefault="00745FEA" w:rsidP="00745FEA">
                  <w:pPr>
                    <w:pStyle w:val="TableBodyText"/>
                    <w:spacing w:after="20"/>
                    <w:ind w:right="57"/>
                  </w:pPr>
                  <w:r w:rsidRPr="00C13552">
                    <w:t>-299.2</w:t>
                  </w:r>
                </w:p>
              </w:tc>
              <w:tc>
                <w:tcPr>
                  <w:tcW w:w="493" w:type="pct"/>
                  <w:vAlign w:val="bottom"/>
                </w:tcPr>
                <w:p w:rsidR="00745FEA" w:rsidRPr="00AC0382" w:rsidRDefault="00745FEA" w:rsidP="00745FEA">
                  <w:pPr>
                    <w:pStyle w:val="TableBodyText"/>
                    <w:spacing w:after="20"/>
                    <w:ind w:right="57"/>
                  </w:pPr>
                  <w:r w:rsidRPr="00C13552">
                    <w:t>-309.5</w:t>
                  </w:r>
                </w:p>
              </w:tc>
              <w:tc>
                <w:tcPr>
                  <w:tcW w:w="493" w:type="pct"/>
                  <w:shd w:val="clear" w:color="auto" w:fill="auto"/>
                  <w:vAlign w:val="bottom"/>
                </w:tcPr>
                <w:p w:rsidR="00745FEA" w:rsidRPr="00AC0382" w:rsidRDefault="00745FEA" w:rsidP="00745FEA">
                  <w:pPr>
                    <w:pStyle w:val="TableBodyText"/>
                    <w:spacing w:after="20"/>
                    <w:ind w:right="57"/>
                  </w:pPr>
                  <w:r w:rsidRPr="00C13552">
                    <w:t>-296.9</w:t>
                  </w:r>
                </w:p>
              </w:tc>
              <w:tc>
                <w:tcPr>
                  <w:tcW w:w="577" w:type="pct"/>
                  <w:shd w:val="clear" w:color="auto" w:fill="auto"/>
                  <w:vAlign w:val="bottom"/>
                </w:tcPr>
                <w:p w:rsidR="00745FEA" w:rsidRPr="00AC0382" w:rsidRDefault="00745FEA" w:rsidP="00745FEA">
                  <w:pPr>
                    <w:pStyle w:val="TableBodyText"/>
                    <w:spacing w:after="20"/>
                    <w:ind w:right="57"/>
                  </w:pPr>
                  <w:r w:rsidRPr="00C13552">
                    <w:t>-231.5</w:t>
                  </w:r>
                </w:p>
              </w:tc>
            </w:tr>
            <w:tr w:rsidR="00745FEA" w:rsidTr="00745FEA">
              <w:tc>
                <w:tcPr>
                  <w:tcW w:w="1959" w:type="pct"/>
                  <w:shd w:val="clear" w:color="auto" w:fill="auto"/>
                  <w:vAlign w:val="center"/>
                </w:tcPr>
                <w:p w:rsidR="00745FEA" w:rsidRPr="008405D4" w:rsidRDefault="00745FEA" w:rsidP="00745FEA">
                  <w:pPr>
                    <w:rPr>
                      <w:rFonts w:ascii="Arial" w:hAnsi="Arial" w:cs="Arial"/>
                      <w:sz w:val="18"/>
                      <w:szCs w:val="18"/>
                    </w:rPr>
                  </w:pPr>
                  <w:r w:rsidRPr="008405D4">
                    <w:rPr>
                      <w:rFonts w:ascii="Arial" w:hAnsi="Arial" w:cs="Arial"/>
                      <w:sz w:val="18"/>
                      <w:szCs w:val="18"/>
                    </w:rPr>
                    <w:t>Unallocated services</w:t>
                  </w:r>
                  <w:r w:rsidRPr="008405D4">
                    <w:rPr>
                      <w:rStyle w:val="NoteLabel"/>
                    </w:rPr>
                    <w:t>b</w:t>
                  </w:r>
                </w:p>
              </w:tc>
              <w:tc>
                <w:tcPr>
                  <w:tcW w:w="493" w:type="pct"/>
                  <w:vAlign w:val="bottom"/>
                </w:tcPr>
                <w:p w:rsidR="00745FEA" w:rsidRPr="00AC0382" w:rsidRDefault="00745FEA" w:rsidP="00745FEA">
                  <w:pPr>
                    <w:pStyle w:val="TableBodyText"/>
                    <w:ind w:right="57"/>
                  </w:pPr>
                  <w:r w:rsidRPr="00C13552">
                    <w:t>179.0</w:t>
                  </w:r>
                </w:p>
              </w:tc>
              <w:tc>
                <w:tcPr>
                  <w:tcW w:w="493" w:type="pct"/>
                  <w:vAlign w:val="bottom"/>
                </w:tcPr>
                <w:p w:rsidR="00745FEA" w:rsidRPr="00AC0382" w:rsidRDefault="00745FEA" w:rsidP="00745FEA">
                  <w:pPr>
                    <w:pStyle w:val="TableBodyText"/>
                    <w:ind w:right="57"/>
                  </w:pPr>
                  <w:r w:rsidRPr="00C13552">
                    <w:t>170.8</w:t>
                  </w:r>
                </w:p>
              </w:tc>
              <w:tc>
                <w:tcPr>
                  <w:tcW w:w="493" w:type="pct"/>
                  <w:vAlign w:val="bottom"/>
                </w:tcPr>
                <w:p w:rsidR="00745FEA" w:rsidRPr="00AC0382" w:rsidRDefault="00745FEA" w:rsidP="00745FEA">
                  <w:pPr>
                    <w:pStyle w:val="TableBodyText"/>
                    <w:ind w:right="57"/>
                  </w:pPr>
                  <w:r w:rsidRPr="00C13552">
                    <w:t>156.8</w:t>
                  </w:r>
                </w:p>
              </w:tc>
              <w:tc>
                <w:tcPr>
                  <w:tcW w:w="493" w:type="pct"/>
                  <w:vAlign w:val="bottom"/>
                </w:tcPr>
                <w:p w:rsidR="00745FEA" w:rsidRPr="00AC0382" w:rsidRDefault="00745FEA" w:rsidP="00745FEA">
                  <w:pPr>
                    <w:pStyle w:val="TableBodyText"/>
                    <w:ind w:right="57"/>
                  </w:pPr>
                  <w:r w:rsidRPr="00C13552">
                    <w:t>138.9</w:t>
                  </w:r>
                </w:p>
              </w:tc>
              <w:tc>
                <w:tcPr>
                  <w:tcW w:w="493" w:type="pct"/>
                  <w:shd w:val="clear" w:color="auto" w:fill="auto"/>
                  <w:vAlign w:val="bottom"/>
                </w:tcPr>
                <w:p w:rsidR="00745FEA" w:rsidRPr="00AC0382" w:rsidRDefault="00745FEA" w:rsidP="00745FEA">
                  <w:pPr>
                    <w:pStyle w:val="TableBodyText"/>
                    <w:ind w:right="57"/>
                  </w:pPr>
                  <w:r w:rsidRPr="00C13552">
                    <w:t>144.1</w:t>
                  </w:r>
                </w:p>
              </w:tc>
              <w:tc>
                <w:tcPr>
                  <w:tcW w:w="577" w:type="pct"/>
                  <w:shd w:val="clear" w:color="auto" w:fill="auto"/>
                  <w:vAlign w:val="bottom"/>
                </w:tcPr>
                <w:p w:rsidR="00745FEA" w:rsidRPr="00AC0382" w:rsidRDefault="00745FEA" w:rsidP="00745FEA">
                  <w:pPr>
                    <w:pStyle w:val="TableBodyText"/>
                    <w:ind w:right="57"/>
                  </w:pPr>
                  <w:r w:rsidRPr="00C13552">
                    <w:t>142.4</w:t>
                  </w:r>
                </w:p>
              </w:tc>
            </w:tr>
            <w:tr w:rsidR="00745FEA" w:rsidRPr="00F4344E" w:rsidTr="00745FEA">
              <w:tc>
                <w:tcPr>
                  <w:tcW w:w="1959" w:type="pct"/>
                  <w:shd w:val="clear" w:color="auto" w:fill="auto"/>
                  <w:vAlign w:val="center"/>
                </w:tcPr>
                <w:p w:rsidR="00745FEA" w:rsidRPr="00F4344E" w:rsidRDefault="00745FEA" w:rsidP="00745FEA">
                  <w:pPr>
                    <w:spacing w:after="20"/>
                    <w:rPr>
                      <w:rFonts w:ascii="Arial" w:hAnsi="Arial" w:cs="Arial"/>
                      <w:b/>
                      <w:bCs/>
                      <w:sz w:val="18"/>
                      <w:szCs w:val="18"/>
                    </w:rPr>
                  </w:pPr>
                  <w:r w:rsidRPr="00F4344E">
                    <w:rPr>
                      <w:rFonts w:ascii="Arial" w:hAnsi="Arial" w:cs="Arial"/>
                      <w:b/>
                      <w:bCs/>
                      <w:sz w:val="18"/>
                      <w:szCs w:val="18"/>
                    </w:rPr>
                    <w:t>Unallocated other</w:t>
                  </w:r>
                  <w:r w:rsidRPr="005D59CA">
                    <w:rPr>
                      <w:rStyle w:val="NoteLabel"/>
                      <w:b w:val="0"/>
                    </w:rPr>
                    <w:t>b</w:t>
                  </w:r>
                </w:p>
              </w:tc>
              <w:tc>
                <w:tcPr>
                  <w:tcW w:w="493" w:type="pct"/>
                  <w:vAlign w:val="bottom"/>
                </w:tcPr>
                <w:p w:rsidR="00745FEA" w:rsidRPr="00F4344E" w:rsidRDefault="00745FEA" w:rsidP="00745FEA">
                  <w:pPr>
                    <w:pStyle w:val="TableBodyText"/>
                    <w:ind w:right="57"/>
                    <w:rPr>
                      <w:b/>
                    </w:rPr>
                  </w:pPr>
                  <w:r w:rsidRPr="00F4344E">
                    <w:rPr>
                      <w:b/>
                    </w:rPr>
                    <w:t>972.5</w:t>
                  </w:r>
                </w:p>
              </w:tc>
              <w:tc>
                <w:tcPr>
                  <w:tcW w:w="493" w:type="pct"/>
                  <w:vAlign w:val="bottom"/>
                </w:tcPr>
                <w:p w:rsidR="00745FEA" w:rsidRPr="00F4344E" w:rsidRDefault="00745FEA" w:rsidP="00745FEA">
                  <w:pPr>
                    <w:pStyle w:val="TableBodyText"/>
                    <w:ind w:right="57"/>
                    <w:rPr>
                      <w:b/>
                    </w:rPr>
                  </w:pPr>
                  <w:r w:rsidRPr="00F4344E">
                    <w:rPr>
                      <w:b/>
                    </w:rPr>
                    <w:t>972.1</w:t>
                  </w:r>
                </w:p>
              </w:tc>
              <w:tc>
                <w:tcPr>
                  <w:tcW w:w="493" w:type="pct"/>
                  <w:vAlign w:val="bottom"/>
                </w:tcPr>
                <w:p w:rsidR="00745FEA" w:rsidRPr="00F4344E" w:rsidRDefault="00745FEA" w:rsidP="00745FEA">
                  <w:pPr>
                    <w:pStyle w:val="TableBodyText"/>
                    <w:ind w:right="57"/>
                    <w:rPr>
                      <w:b/>
                    </w:rPr>
                  </w:pPr>
                  <w:r w:rsidRPr="00F4344E">
                    <w:rPr>
                      <w:b/>
                    </w:rPr>
                    <w:t>1160.6</w:t>
                  </w:r>
                </w:p>
              </w:tc>
              <w:tc>
                <w:tcPr>
                  <w:tcW w:w="493" w:type="pct"/>
                  <w:vAlign w:val="bottom"/>
                </w:tcPr>
                <w:p w:rsidR="00745FEA" w:rsidRPr="00F4344E" w:rsidRDefault="00745FEA" w:rsidP="00745FEA">
                  <w:pPr>
                    <w:pStyle w:val="TableBodyText"/>
                    <w:ind w:right="57"/>
                    <w:rPr>
                      <w:b/>
                    </w:rPr>
                  </w:pPr>
                  <w:r w:rsidRPr="00F4344E">
                    <w:rPr>
                      <w:b/>
                    </w:rPr>
                    <w:t>700.1</w:t>
                  </w:r>
                </w:p>
              </w:tc>
              <w:tc>
                <w:tcPr>
                  <w:tcW w:w="493" w:type="pct"/>
                  <w:shd w:val="clear" w:color="auto" w:fill="auto"/>
                  <w:vAlign w:val="bottom"/>
                </w:tcPr>
                <w:p w:rsidR="00745FEA" w:rsidRPr="00F4344E" w:rsidRDefault="00745FEA" w:rsidP="00745FEA">
                  <w:pPr>
                    <w:pStyle w:val="TableBodyText"/>
                    <w:ind w:right="57"/>
                    <w:rPr>
                      <w:b/>
                    </w:rPr>
                  </w:pPr>
                  <w:r w:rsidRPr="00F4344E">
                    <w:rPr>
                      <w:b/>
                    </w:rPr>
                    <w:t>1080.9</w:t>
                  </w:r>
                </w:p>
              </w:tc>
              <w:tc>
                <w:tcPr>
                  <w:tcW w:w="577" w:type="pct"/>
                  <w:shd w:val="clear" w:color="auto" w:fill="auto"/>
                  <w:vAlign w:val="bottom"/>
                </w:tcPr>
                <w:p w:rsidR="00745FEA" w:rsidRPr="00F4344E" w:rsidRDefault="00745FEA" w:rsidP="00745FEA">
                  <w:pPr>
                    <w:pStyle w:val="TableBodyText"/>
                    <w:ind w:right="57"/>
                    <w:rPr>
                      <w:b/>
                    </w:rPr>
                  </w:pPr>
                  <w:r w:rsidRPr="00F4344E">
                    <w:rPr>
                      <w:b/>
                    </w:rPr>
                    <w:t>3134.1</w:t>
                  </w:r>
                </w:p>
              </w:tc>
            </w:tr>
            <w:tr w:rsidR="00745FEA" w:rsidRPr="00F4344E" w:rsidTr="00745FEA">
              <w:tc>
                <w:tcPr>
                  <w:tcW w:w="1959" w:type="pct"/>
                  <w:tcBorders>
                    <w:bottom w:val="single" w:sz="6" w:space="0" w:color="BFBFBF"/>
                  </w:tcBorders>
                  <w:shd w:val="clear" w:color="auto" w:fill="auto"/>
                  <w:vAlign w:val="center"/>
                </w:tcPr>
                <w:p w:rsidR="00745FEA" w:rsidRPr="00F4344E" w:rsidRDefault="00745FEA" w:rsidP="00745FEA">
                  <w:pPr>
                    <w:spacing w:after="30"/>
                    <w:rPr>
                      <w:rFonts w:ascii="Arial" w:hAnsi="Arial" w:cs="Arial"/>
                      <w:b/>
                      <w:bCs/>
                      <w:sz w:val="18"/>
                      <w:szCs w:val="18"/>
                    </w:rPr>
                  </w:pPr>
                  <w:r w:rsidRPr="00F4344E">
                    <w:rPr>
                      <w:rFonts w:ascii="Arial" w:hAnsi="Arial" w:cs="Arial"/>
                      <w:b/>
                      <w:bCs/>
                      <w:sz w:val="18"/>
                      <w:szCs w:val="18"/>
                    </w:rPr>
                    <w:t>Total</w:t>
                  </w:r>
                </w:p>
              </w:tc>
              <w:tc>
                <w:tcPr>
                  <w:tcW w:w="493" w:type="pct"/>
                  <w:tcBorders>
                    <w:bottom w:val="single" w:sz="6" w:space="0" w:color="BFBFBF"/>
                  </w:tcBorders>
                  <w:vAlign w:val="bottom"/>
                </w:tcPr>
                <w:p w:rsidR="00745FEA" w:rsidRPr="00F4344E" w:rsidRDefault="00745FEA" w:rsidP="00745FEA">
                  <w:pPr>
                    <w:pStyle w:val="TableBodyText"/>
                    <w:ind w:right="57"/>
                    <w:rPr>
                      <w:b/>
                    </w:rPr>
                  </w:pPr>
                  <w:r w:rsidRPr="00F4344E">
                    <w:rPr>
                      <w:b/>
                    </w:rPr>
                    <w:t>11816.2</w:t>
                  </w:r>
                </w:p>
              </w:tc>
              <w:tc>
                <w:tcPr>
                  <w:tcW w:w="493" w:type="pct"/>
                  <w:tcBorders>
                    <w:bottom w:val="single" w:sz="6" w:space="0" w:color="BFBFBF"/>
                  </w:tcBorders>
                  <w:vAlign w:val="bottom"/>
                </w:tcPr>
                <w:p w:rsidR="00745FEA" w:rsidRPr="00F4344E" w:rsidRDefault="00745FEA" w:rsidP="00745FEA">
                  <w:pPr>
                    <w:pStyle w:val="TableBodyText"/>
                    <w:ind w:right="57"/>
                    <w:rPr>
                      <w:b/>
                    </w:rPr>
                  </w:pPr>
                  <w:r w:rsidRPr="00F4344E">
                    <w:rPr>
                      <w:b/>
                    </w:rPr>
                    <w:t>10331.0</w:t>
                  </w:r>
                </w:p>
              </w:tc>
              <w:tc>
                <w:tcPr>
                  <w:tcW w:w="493" w:type="pct"/>
                  <w:tcBorders>
                    <w:bottom w:val="single" w:sz="6" w:space="0" w:color="BFBFBF"/>
                  </w:tcBorders>
                  <w:vAlign w:val="bottom"/>
                </w:tcPr>
                <w:p w:rsidR="00745FEA" w:rsidRPr="00F4344E" w:rsidRDefault="00745FEA" w:rsidP="00745FEA">
                  <w:pPr>
                    <w:pStyle w:val="TableBodyText"/>
                    <w:ind w:right="57"/>
                    <w:rPr>
                      <w:b/>
                    </w:rPr>
                  </w:pPr>
                  <w:r w:rsidRPr="00F4344E">
                    <w:rPr>
                      <w:b/>
                    </w:rPr>
                    <w:t>9665.9</w:t>
                  </w:r>
                </w:p>
              </w:tc>
              <w:tc>
                <w:tcPr>
                  <w:tcW w:w="493" w:type="pct"/>
                  <w:tcBorders>
                    <w:bottom w:val="single" w:sz="6" w:space="0" w:color="BFBFBF"/>
                  </w:tcBorders>
                  <w:vAlign w:val="bottom"/>
                </w:tcPr>
                <w:p w:rsidR="00745FEA" w:rsidRPr="00F4344E" w:rsidRDefault="00745FEA" w:rsidP="00745FEA">
                  <w:pPr>
                    <w:pStyle w:val="TableBodyText"/>
                    <w:ind w:right="57"/>
                    <w:rPr>
                      <w:b/>
                    </w:rPr>
                  </w:pPr>
                  <w:r w:rsidRPr="00F4344E">
                    <w:rPr>
                      <w:b/>
                    </w:rPr>
                    <w:t>9397.1</w:t>
                  </w:r>
                </w:p>
              </w:tc>
              <w:tc>
                <w:tcPr>
                  <w:tcW w:w="493" w:type="pct"/>
                  <w:tcBorders>
                    <w:bottom w:val="single" w:sz="6" w:space="0" w:color="BFBFBF"/>
                  </w:tcBorders>
                  <w:shd w:val="clear" w:color="auto" w:fill="auto"/>
                  <w:vAlign w:val="bottom"/>
                </w:tcPr>
                <w:p w:rsidR="00745FEA" w:rsidRPr="00F4344E" w:rsidRDefault="00745FEA" w:rsidP="00745FEA">
                  <w:pPr>
                    <w:pStyle w:val="TableBodyText"/>
                    <w:ind w:right="57"/>
                    <w:rPr>
                      <w:b/>
                    </w:rPr>
                  </w:pPr>
                  <w:r w:rsidRPr="00F4344E">
                    <w:rPr>
                      <w:b/>
                    </w:rPr>
                    <w:t>9738.4</w:t>
                  </w:r>
                </w:p>
              </w:tc>
              <w:tc>
                <w:tcPr>
                  <w:tcW w:w="577" w:type="pct"/>
                  <w:tcBorders>
                    <w:bottom w:val="single" w:sz="6" w:space="0" w:color="BFBFBF"/>
                  </w:tcBorders>
                  <w:shd w:val="clear" w:color="auto" w:fill="auto"/>
                  <w:vAlign w:val="bottom"/>
                </w:tcPr>
                <w:p w:rsidR="00745FEA" w:rsidRPr="00F4344E" w:rsidRDefault="00745FEA" w:rsidP="00745FEA">
                  <w:pPr>
                    <w:pStyle w:val="TableBodyText"/>
                    <w:ind w:right="57"/>
                    <w:rPr>
                      <w:b/>
                    </w:rPr>
                  </w:pPr>
                  <w:r w:rsidRPr="00F4344E">
                    <w:rPr>
                      <w:b/>
                    </w:rPr>
                    <w:t>13368.1</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w:t>
            </w:r>
            <w:r w:rsidRPr="008405D4">
              <w:t>Tariff assistance estimates are derived using ABS Industry Gross Value Added and other supporting data.</w:t>
            </w:r>
            <w:r>
              <w:t xml:space="preserve"> </w:t>
            </w:r>
            <w:r>
              <w:rPr>
                <w:rStyle w:val="NoteLabel"/>
              </w:rPr>
              <w:t>b</w:t>
            </w:r>
            <w:r>
              <w:t> </w:t>
            </w:r>
            <w:r w:rsidRPr="008405D4">
              <w:t>Unallocated includes budgetary measures where details of beneficiaries are unknown.</w:t>
            </w:r>
            <w:r>
              <w:t xml:space="preserve"> </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keepNext w:val="0"/>
              <w:spacing w:before="0" w:line="120" w:lineRule="exact"/>
            </w:pPr>
          </w:p>
        </w:tc>
      </w:tr>
    </w:tbl>
    <w:p w:rsidR="00745FEA" w:rsidRPr="001112DD"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spacing w:before="40" w:after="0"/>
            </w:pPr>
            <w:r>
              <w:rPr>
                <w:b w:val="0"/>
              </w:rPr>
              <w:t>Table A.</w:t>
            </w:r>
            <w:r>
              <w:rPr>
                <w:b w:val="0"/>
                <w:noProof/>
              </w:rPr>
              <w:t>4</w:t>
            </w:r>
            <w:r>
              <w:tab/>
            </w:r>
            <w:r w:rsidRPr="00D55602">
              <w:t xml:space="preserve">Output tariff assistance by industry grouping, </w:t>
            </w:r>
            <w:r>
              <w:br/>
            </w:r>
            <w:r w:rsidRPr="00D55602">
              <w:t>20</w:t>
            </w:r>
            <w:r>
              <w:t>11</w:t>
            </w:r>
            <w:r>
              <w:noBreakHyphen/>
              <w:t>12</w:t>
            </w:r>
            <w:r w:rsidRPr="00D55602">
              <w:t xml:space="preserve"> to 201</w:t>
            </w:r>
            <w:r>
              <w:t>6</w:t>
            </w:r>
            <w:r>
              <w:noBreakHyphen/>
            </w:r>
            <w:r w:rsidRPr="00D55602">
              <w:t>1</w:t>
            </w:r>
            <w:r>
              <w:t>7</w:t>
            </w:r>
            <w:r w:rsidRPr="009E76C0">
              <w:rPr>
                <w:rStyle w:val="NoteLabel"/>
                <w:b/>
              </w:rPr>
              <w:t>a</w:t>
            </w:r>
            <w:r>
              <w:rPr>
                <w:rStyle w:val="NoteLabel"/>
                <w:b/>
              </w:rPr>
              <w:t>,b</w:t>
            </w:r>
          </w:p>
          <w:p w:rsidR="00745FEA" w:rsidRPr="00784A05" w:rsidRDefault="00745FEA" w:rsidP="00745FEA">
            <w:pPr>
              <w:pStyle w:val="Subtitle"/>
              <w:spacing w:before="40" w:after="0"/>
            </w:pPr>
            <w:r w:rsidRPr="00D55602">
              <w:t>$ million (nominal)</w:t>
            </w:r>
          </w:p>
        </w:tc>
      </w:tr>
      <w:tr w:rsidR="00745FEA" w:rsidTr="00745FEA">
        <w:trPr>
          <w:cantSplit/>
        </w:trPr>
        <w:tc>
          <w:tcPr>
            <w:tcW w:w="5000" w:type="pct"/>
            <w:tcBorders>
              <w:top w:val="nil"/>
              <w:left w:val="nil"/>
              <w:bottom w:val="nil"/>
              <w:right w:val="nil"/>
            </w:tcBorders>
            <w:shd w:val="clear" w:color="auto" w:fill="auto"/>
          </w:tcPr>
          <w:tbl>
            <w:tblPr>
              <w:tblW w:w="8495" w:type="dxa"/>
              <w:tblCellMar>
                <w:top w:w="28" w:type="dxa"/>
                <w:left w:w="0" w:type="dxa"/>
                <w:right w:w="0" w:type="dxa"/>
              </w:tblCellMar>
              <w:tblLook w:val="0000" w:firstRow="0" w:lastRow="0" w:firstColumn="0" w:lastColumn="0" w:noHBand="0" w:noVBand="0"/>
            </w:tblPr>
            <w:tblGrid>
              <w:gridCol w:w="3401"/>
              <w:gridCol w:w="853"/>
              <w:gridCol w:w="851"/>
              <w:gridCol w:w="851"/>
              <w:gridCol w:w="848"/>
              <w:gridCol w:w="848"/>
              <w:gridCol w:w="843"/>
            </w:tblGrid>
            <w:tr w:rsidR="00745FEA" w:rsidTr="00C719FB">
              <w:trPr>
                <w:tblHeader/>
              </w:trPr>
              <w:tc>
                <w:tcPr>
                  <w:tcW w:w="2002"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spacing w:before="40" w:after="40"/>
                    <w:jc w:val="left"/>
                  </w:pPr>
                  <w:r>
                    <w:t>Industry grouping</w:t>
                  </w:r>
                </w:p>
              </w:tc>
              <w:tc>
                <w:tcPr>
                  <w:tcW w:w="502" w:type="pct"/>
                  <w:tcBorders>
                    <w:top w:val="single" w:sz="6" w:space="0" w:color="BFBFBF"/>
                    <w:bottom w:val="single" w:sz="6" w:space="0" w:color="BFBFBF"/>
                  </w:tcBorders>
                </w:tcPr>
                <w:p w:rsidR="00745FEA" w:rsidRPr="00AB1D7C" w:rsidRDefault="00745FEA" w:rsidP="00745FEA">
                  <w:pPr>
                    <w:pStyle w:val="TableColumnHeading"/>
                    <w:spacing w:before="40" w:after="40"/>
                    <w:ind w:left="0" w:right="57"/>
                    <w:rPr>
                      <w:szCs w:val="18"/>
                    </w:rPr>
                  </w:pPr>
                  <w:r w:rsidRPr="00AB1D7C">
                    <w:rPr>
                      <w:szCs w:val="18"/>
                    </w:rPr>
                    <w:t>2011</w:t>
                  </w:r>
                  <w:r>
                    <w:rPr>
                      <w:szCs w:val="18"/>
                    </w:rPr>
                    <w:noBreakHyphen/>
                  </w:r>
                  <w:r w:rsidRPr="00AB1D7C">
                    <w:rPr>
                      <w:szCs w:val="18"/>
                    </w:rPr>
                    <w:t>12</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40" w:after="40"/>
                    <w:ind w:left="0" w:right="57"/>
                    <w:rPr>
                      <w:szCs w:val="18"/>
                    </w:rPr>
                  </w:pPr>
                  <w:r w:rsidRPr="00AB1D7C">
                    <w:rPr>
                      <w:szCs w:val="18"/>
                    </w:rPr>
                    <w:t>2012</w:t>
                  </w:r>
                  <w:r>
                    <w:rPr>
                      <w:szCs w:val="18"/>
                    </w:rPr>
                    <w:noBreakHyphen/>
                  </w:r>
                  <w:r w:rsidRPr="00AB1D7C">
                    <w:rPr>
                      <w:szCs w:val="18"/>
                    </w:rPr>
                    <w:t>13</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40" w:after="40"/>
                    <w:ind w:left="0" w:right="57"/>
                    <w:rPr>
                      <w:szCs w:val="18"/>
                    </w:rPr>
                  </w:pPr>
                  <w:r w:rsidRPr="00AB1D7C">
                    <w:rPr>
                      <w:szCs w:val="18"/>
                    </w:rPr>
                    <w:t>2013</w:t>
                  </w:r>
                  <w:r>
                    <w:rPr>
                      <w:szCs w:val="18"/>
                    </w:rPr>
                    <w:noBreakHyphen/>
                  </w:r>
                  <w:r w:rsidRPr="00AB1D7C">
                    <w:rPr>
                      <w:szCs w:val="18"/>
                    </w:rPr>
                    <w:t>14</w:t>
                  </w:r>
                </w:p>
              </w:tc>
              <w:tc>
                <w:tcPr>
                  <w:tcW w:w="499" w:type="pct"/>
                  <w:tcBorders>
                    <w:top w:val="single" w:sz="6" w:space="0" w:color="BFBFBF"/>
                    <w:bottom w:val="single" w:sz="6" w:space="0" w:color="BFBFBF"/>
                  </w:tcBorders>
                </w:tcPr>
                <w:p w:rsidR="00745FEA" w:rsidRPr="00AB1D7C" w:rsidRDefault="00745FEA" w:rsidP="00745FEA">
                  <w:pPr>
                    <w:pStyle w:val="TableColumnHeading"/>
                    <w:spacing w:before="40" w:after="4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9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40" w:after="4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9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40" w:after="4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A64D3D" w:rsidTr="00745FEA">
              <w:tc>
                <w:tcPr>
                  <w:tcW w:w="2002" w:type="pct"/>
                  <w:tcBorders>
                    <w:top w:val="single" w:sz="6" w:space="0" w:color="BFBFBF"/>
                  </w:tcBorders>
                  <w:vAlign w:val="bottom"/>
                </w:tcPr>
                <w:p w:rsidR="00745FEA" w:rsidRPr="00A64D3D" w:rsidRDefault="00745FEA" w:rsidP="00745FEA">
                  <w:pPr>
                    <w:spacing w:after="20"/>
                    <w:rPr>
                      <w:rFonts w:ascii="Arial" w:hAnsi="Arial" w:cs="Arial"/>
                      <w:b/>
                      <w:bCs/>
                      <w:sz w:val="18"/>
                      <w:szCs w:val="18"/>
                    </w:rPr>
                  </w:pPr>
                  <w:r w:rsidRPr="00A64D3D">
                    <w:rPr>
                      <w:rFonts w:ascii="Arial" w:hAnsi="Arial" w:cs="Arial"/>
                      <w:b/>
                      <w:bCs/>
                      <w:sz w:val="18"/>
                      <w:szCs w:val="18"/>
                    </w:rPr>
                    <w:t>Primary production</w:t>
                  </w:r>
                </w:p>
              </w:tc>
              <w:tc>
                <w:tcPr>
                  <w:tcW w:w="502" w:type="pct"/>
                  <w:tcBorders>
                    <w:top w:val="single" w:sz="6" w:space="0" w:color="BFBFBF"/>
                  </w:tcBorders>
                  <w:vAlign w:val="bottom"/>
                </w:tcPr>
                <w:p w:rsidR="00745FEA" w:rsidRPr="00A64D3D" w:rsidRDefault="00745FEA" w:rsidP="00745FEA">
                  <w:pPr>
                    <w:pStyle w:val="TableBodyText"/>
                    <w:spacing w:after="20"/>
                    <w:ind w:right="57"/>
                    <w:rPr>
                      <w:b/>
                    </w:rPr>
                  </w:pPr>
                  <w:r w:rsidRPr="00A64D3D">
                    <w:rPr>
                      <w:b/>
                    </w:rPr>
                    <w:t>360.9</w:t>
                  </w:r>
                </w:p>
              </w:tc>
              <w:tc>
                <w:tcPr>
                  <w:tcW w:w="501" w:type="pct"/>
                  <w:tcBorders>
                    <w:top w:val="single" w:sz="6" w:space="0" w:color="BFBFBF"/>
                  </w:tcBorders>
                  <w:vAlign w:val="bottom"/>
                </w:tcPr>
                <w:p w:rsidR="00745FEA" w:rsidRPr="00A64D3D" w:rsidRDefault="00745FEA" w:rsidP="00745FEA">
                  <w:pPr>
                    <w:pStyle w:val="TableBodyText"/>
                    <w:spacing w:after="20"/>
                    <w:ind w:right="57"/>
                    <w:rPr>
                      <w:b/>
                    </w:rPr>
                  </w:pPr>
                  <w:r w:rsidRPr="00A64D3D">
                    <w:rPr>
                      <w:b/>
                    </w:rPr>
                    <w:t>400.9</w:t>
                  </w:r>
                </w:p>
              </w:tc>
              <w:tc>
                <w:tcPr>
                  <w:tcW w:w="501" w:type="pct"/>
                  <w:tcBorders>
                    <w:top w:val="single" w:sz="6" w:space="0" w:color="BFBFBF"/>
                  </w:tcBorders>
                  <w:vAlign w:val="bottom"/>
                </w:tcPr>
                <w:p w:rsidR="00745FEA" w:rsidRPr="00A64D3D" w:rsidRDefault="00745FEA" w:rsidP="00745FEA">
                  <w:pPr>
                    <w:pStyle w:val="TableBodyText"/>
                    <w:spacing w:after="20"/>
                    <w:ind w:right="57"/>
                    <w:rPr>
                      <w:b/>
                    </w:rPr>
                  </w:pPr>
                  <w:r w:rsidRPr="00A64D3D">
                    <w:rPr>
                      <w:b/>
                    </w:rPr>
                    <w:t>364.4</w:t>
                  </w:r>
                </w:p>
              </w:tc>
              <w:tc>
                <w:tcPr>
                  <w:tcW w:w="499" w:type="pct"/>
                  <w:tcBorders>
                    <w:top w:val="single" w:sz="6" w:space="0" w:color="BFBFBF"/>
                  </w:tcBorders>
                  <w:vAlign w:val="bottom"/>
                </w:tcPr>
                <w:p w:rsidR="00745FEA" w:rsidRPr="00A64D3D" w:rsidRDefault="00745FEA" w:rsidP="00745FEA">
                  <w:pPr>
                    <w:pStyle w:val="TableBodyText"/>
                    <w:spacing w:after="20"/>
                    <w:ind w:right="57"/>
                    <w:rPr>
                      <w:b/>
                    </w:rPr>
                  </w:pPr>
                  <w:r w:rsidRPr="00A64D3D">
                    <w:rPr>
                      <w:b/>
                    </w:rPr>
                    <w:t>391.1</w:t>
                  </w:r>
                </w:p>
              </w:tc>
              <w:tc>
                <w:tcPr>
                  <w:tcW w:w="499" w:type="pct"/>
                  <w:tcBorders>
                    <w:top w:val="single" w:sz="6" w:space="0" w:color="BFBFBF"/>
                  </w:tcBorders>
                  <w:vAlign w:val="bottom"/>
                </w:tcPr>
                <w:p w:rsidR="00745FEA" w:rsidRPr="00A64D3D" w:rsidRDefault="00745FEA" w:rsidP="00745FEA">
                  <w:pPr>
                    <w:pStyle w:val="TableBodyText"/>
                    <w:spacing w:after="20"/>
                    <w:ind w:right="57"/>
                    <w:rPr>
                      <w:b/>
                    </w:rPr>
                  </w:pPr>
                  <w:r w:rsidRPr="00A64D3D">
                    <w:rPr>
                      <w:b/>
                    </w:rPr>
                    <w:t>404.9</w:t>
                  </w:r>
                </w:p>
              </w:tc>
              <w:tc>
                <w:tcPr>
                  <w:tcW w:w="496" w:type="pct"/>
                  <w:tcBorders>
                    <w:top w:val="single" w:sz="6" w:space="0" w:color="BFBFBF"/>
                  </w:tcBorders>
                  <w:vAlign w:val="bottom"/>
                </w:tcPr>
                <w:p w:rsidR="00745FEA" w:rsidRPr="00A64D3D" w:rsidRDefault="00745FEA" w:rsidP="00745FEA">
                  <w:pPr>
                    <w:pStyle w:val="TableBodyText"/>
                    <w:spacing w:after="20"/>
                    <w:ind w:right="57"/>
                    <w:rPr>
                      <w:b/>
                    </w:rPr>
                  </w:pPr>
                  <w:r w:rsidRPr="00A64D3D">
                    <w:rPr>
                      <w:b/>
                    </w:rPr>
                    <w:t>488.5</w:t>
                  </w:r>
                </w:p>
              </w:tc>
            </w:tr>
            <w:tr w:rsidR="00745FEA" w:rsidTr="00745FEA">
              <w:tc>
                <w:tcPr>
                  <w:tcW w:w="2002" w:type="pct"/>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Horticulture and fruit growing</w:t>
                  </w:r>
                </w:p>
              </w:tc>
              <w:tc>
                <w:tcPr>
                  <w:tcW w:w="502" w:type="pct"/>
                  <w:vAlign w:val="bottom"/>
                </w:tcPr>
                <w:p w:rsidR="00745FEA" w:rsidRPr="00FF2577" w:rsidRDefault="00745FEA" w:rsidP="00745FEA">
                  <w:pPr>
                    <w:pStyle w:val="TableBodyText"/>
                    <w:spacing w:after="20"/>
                    <w:ind w:right="57"/>
                  </w:pPr>
                  <w:r w:rsidRPr="00787078">
                    <w:t>103.6</w:t>
                  </w:r>
                </w:p>
              </w:tc>
              <w:tc>
                <w:tcPr>
                  <w:tcW w:w="501" w:type="pct"/>
                  <w:vAlign w:val="bottom"/>
                </w:tcPr>
                <w:p w:rsidR="00745FEA" w:rsidRPr="00FF2577" w:rsidRDefault="00745FEA" w:rsidP="00745FEA">
                  <w:pPr>
                    <w:pStyle w:val="TableBodyText"/>
                    <w:spacing w:after="20"/>
                    <w:ind w:right="57"/>
                  </w:pPr>
                  <w:r w:rsidRPr="00787078">
                    <w:t>133.4</w:t>
                  </w:r>
                </w:p>
              </w:tc>
              <w:tc>
                <w:tcPr>
                  <w:tcW w:w="501" w:type="pct"/>
                  <w:vAlign w:val="bottom"/>
                </w:tcPr>
                <w:p w:rsidR="00745FEA" w:rsidRPr="00FF2577" w:rsidRDefault="00745FEA" w:rsidP="00745FEA">
                  <w:pPr>
                    <w:pStyle w:val="TableBodyText"/>
                    <w:spacing w:after="20"/>
                    <w:ind w:right="57"/>
                  </w:pPr>
                  <w:r w:rsidRPr="00787078">
                    <w:t>109.8</w:t>
                  </w:r>
                </w:p>
              </w:tc>
              <w:tc>
                <w:tcPr>
                  <w:tcW w:w="499" w:type="pct"/>
                  <w:vAlign w:val="bottom"/>
                </w:tcPr>
                <w:p w:rsidR="00745FEA" w:rsidRPr="00FF2577" w:rsidRDefault="00745FEA" w:rsidP="00745FEA">
                  <w:pPr>
                    <w:pStyle w:val="TableBodyText"/>
                    <w:spacing w:after="20"/>
                    <w:ind w:right="57"/>
                  </w:pPr>
                  <w:r w:rsidRPr="00787078">
                    <w:t>115.3</w:t>
                  </w:r>
                </w:p>
              </w:tc>
              <w:tc>
                <w:tcPr>
                  <w:tcW w:w="499" w:type="pct"/>
                  <w:vAlign w:val="bottom"/>
                </w:tcPr>
                <w:p w:rsidR="00745FEA" w:rsidRPr="00FF2577" w:rsidRDefault="00745FEA" w:rsidP="00745FEA">
                  <w:pPr>
                    <w:pStyle w:val="TableBodyText"/>
                    <w:spacing w:after="20"/>
                    <w:ind w:right="57"/>
                  </w:pPr>
                  <w:r w:rsidRPr="00787078">
                    <w:t>132.9</w:t>
                  </w:r>
                </w:p>
              </w:tc>
              <w:tc>
                <w:tcPr>
                  <w:tcW w:w="496" w:type="pct"/>
                  <w:vAlign w:val="bottom"/>
                </w:tcPr>
                <w:p w:rsidR="00745FEA" w:rsidRPr="00FF2577" w:rsidRDefault="00745FEA" w:rsidP="00745FEA">
                  <w:pPr>
                    <w:pStyle w:val="TableBodyText"/>
                    <w:spacing w:after="20"/>
                    <w:ind w:right="57"/>
                  </w:pPr>
                  <w:r w:rsidRPr="00787078">
                    <w:t>179.8</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Sheep, beef cattle and grain farming</w:t>
                  </w:r>
                </w:p>
              </w:tc>
              <w:tc>
                <w:tcPr>
                  <w:tcW w:w="502" w:type="pct"/>
                  <w:vAlign w:val="bottom"/>
                </w:tcPr>
                <w:p w:rsidR="00745FEA" w:rsidRPr="00FF2577" w:rsidRDefault="00745FEA" w:rsidP="00745FEA">
                  <w:pPr>
                    <w:pStyle w:val="TableBodyText"/>
                    <w:spacing w:after="20"/>
                    <w:ind w:right="57"/>
                  </w:pPr>
                  <w:r w:rsidRPr="00787078">
                    <w:t>225.3</w:t>
                  </w:r>
                </w:p>
              </w:tc>
              <w:tc>
                <w:tcPr>
                  <w:tcW w:w="501" w:type="pct"/>
                  <w:vAlign w:val="bottom"/>
                </w:tcPr>
                <w:p w:rsidR="00745FEA" w:rsidRPr="00FF2577" w:rsidRDefault="00745FEA" w:rsidP="00745FEA">
                  <w:pPr>
                    <w:pStyle w:val="TableBodyText"/>
                    <w:spacing w:after="20"/>
                    <w:ind w:right="57"/>
                  </w:pPr>
                  <w:r w:rsidRPr="00787078">
                    <w:t>241.3</w:t>
                  </w:r>
                </w:p>
              </w:tc>
              <w:tc>
                <w:tcPr>
                  <w:tcW w:w="501" w:type="pct"/>
                  <w:vAlign w:val="bottom"/>
                </w:tcPr>
                <w:p w:rsidR="00745FEA" w:rsidRPr="00FF2577" w:rsidRDefault="00745FEA" w:rsidP="00745FEA">
                  <w:pPr>
                    <w:pStyle w:val="TableBodyText"/>
                    <w:spacing w:after="20"/>
                    <w:ind w:right="57"/>
                  </w:pPr>
                  <w:r w:rsidRPr="00787078">
                    <w:t>217.0</w:t>
                  </w:r>
                </w:p>
              </w:tc>
              <w:tc>
                <w:tcPr>
                  <w:tcW w:w="499" w:type="pct"/>
                  <w:vAlign w:val="bottom"/>
                </w:tcPr>
                <w:p w:rsidR="00745FEA" w:rsidRPr="00FF2577" w:rsidRDefault="00745FEA" w:rsidP="00745FEA">
                  <w:pPr>
                    <w:pStyle w:val="TableBodyText"/>
                    <w:spacing w:after="20"/>
                    <w:ind w:right="57"/>
                  </w:pPr>
                  <w:r w:rsidRPr="00787078">
                    <w:t>235.2</w:t>
                  </w:r>
                </w:p>
              </w:tc>
              <w:tc>
                <w:tcPr>
                  <w:tcW w:w="499" w:type="pct"/>
                  <w:shd w:val="clear" w:color="auto" w:fill="auto"/>
                  <w:vAlign w:val="bottom"/>
                </w:tcPr>
                <w:p w:rsidR="00745FEA" w:rsidRPr="00FF2577" w:rsidRDefault="00745FEA" w:rsidP="00745FEA">
                  <w:pPr>
                    <w:pStyle w:val="TableBodyText"/>
                    <w:spacing w:after="20"/>
                    <w:ind w:right="57"/>
                  </w:pPr>
                  <w:r w:rsidRPr="00787078">
                    <w:t>227.4</w:t>
                  </w:r>
                </w:p>
              </w:tc>
              <w:tc>
                <w:tcPr>
                  <w:tcW w:w="496" w:type="pct"/>
                  <w:shd w:val="clear" w:color="auto" w:fill="auto"/>
                  <w:vAlign w:val="bottom"/>
                </w:tcPr>
                <w:p w:rsidR="00745FEA" w:rsidRPr="00FF2577" w:rsidRDefault="00745FEA" w:rsidP="00745FEA">
                  <w:pPr>
                    <w:pStyle w:val="TableBodyText"/>
                    <w:spacing w:after="20"/>
                    <w:ind w:right="57"/>
                  </w:pPr>
                  <w:r w:rsidRPr="00787078">
                    <w:t>256.8</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Other crop growing</w:t>
                  </w:r>
                </w:p>
              </w:tc>
              <w:tc>
                <w:tcPr>
                  <w:tcW w:w="502" w:type="pct"/>
                  <w:vAlign w:val="bottom"/>
                </w:tcPr>
                <w:p w:rsidR="00745FEA" w:rsidRPr="00FF2577" w:rsidRDefault="00745FEA" w:rsidP="00745FEA">
                  <w:pPr>
                    <w:pStyle w:val="TableBodyText"/>
                    <w:spacing w:after="20"/>
                    <w:ind w:right="57"/>
                  </w:pPr>
                  <w:r w:rsidRPr="00787078">
                    <w:t>1.2</w:t>
                  </w:r>
                </w:p>
              </w:tc>
              <w:tc>
                <w:tcPr>
                  <w:tcW w:w="501" w:type="pct"/>
                  <w:vAlign w:val="bottom"/>
                </w:tcPr>
                <w:p w:rsidR="00745FEA" w:rsidRPr="00FF2577" w:rsidRDefault="00745FEA" w:rsidP="00745FEA">
                  <w:pPr>
                    <w:pStyle w:val="TableBodyText"/>
                    <w:spacing w:after="20"/>
                    <w:ind w:right="57"/>
                  </w:pPr>
                  <w:r w:rsidRPr="00787078">
                    <w:t>1.3</w:t>
                  </w:r>
                </w:p>
              </w:tc>
              <w:tc>
                <w:tcPr>
                  <w:tcW w:w="501" w:type="pct"/>
                  <w:vAlign w:val="bottom"/>
                </w:tcPr>
                <w:p w:rsidR="00745FEA" w:rsidRPr="00FF2577" w:rsidRDefault="00745FEA" w:rsidP="00745FEA">
                  <w:pPr>
                    <w:pStyle w:val="TableBodyText"/>
                    <w:spacing w:after="20"/>
                    <w:ind w:right="57"/>
                  </w:pPr>
                  <w:r w:rsidRPr="00787078">
                    <w:t>1.3</w:t>
                  </w:r>
                </w:p>
              </w:tc>
              <w:tc>
                <w:tcPr>
                  <w:tcW w:w="499" w:type="pct"/>
                  <w:vAlign w:val="bottom"/>
                </w:tcPr>
                <w:p w:rsidR="00745FEA" w:rsidRPr="00FF2577" w:rsidRDefault="00745FEA" w:rsidP="00745FEA">
                  <w:pPr>
                    <w:pStyle w:val="TableBodyText"/>
                    <w:spacing w:after="20"/>
                    <w:ind w:right="57"/>
                  </w:pPr>
                  <w:r w:rsidRPr="00787078">
                    <w:t>1.3</w:t>
                  </w:r>
                </w:p>
              </w:tc>
              <w:tc>
                <w:tcPr>
                  <w:tcW w:w="499" w:type="pct"/>
                  <w:shd w:val="clear" w:color="auto" w:fill="auto"/>
                  <w:vAlign w:val="bottom"/>
                </w:tcPr>
                <w:p w:rsidR="00745FEA" w:rsidRPr="00FF2577" w:rsidRDefault="00745FEA" w:rsidP="00745FEA">
                  <w:pPr>
                    <w:pStyle w:val="TableBodyText"/>
                    <w:spacing w:after="20"/>
                    <w:ind w:right="57"/>
                  </w:pPr>
                  <w:r w:rsidRPr="00787078">
                    <w:t>1.6</w:t>
                  </w:r>
                </w:p>
              </w:tc>
              <w:tc>
                <w:tcPr>
                  <w:tcW w:w="496" w:type="pct"/>
                  <w:shd w:val="clear" w:color="auto" w:fill="auto"/>
                  <w:vAlign w:val="bottom"/>
                </w:tcPr>
                <w:p w:rsidR="00745FEA" w:rsidRPr="00FF2577" w:rsidRDefault="00745FEA" w:rsidP="00745FEA">
                  <w:pPr>
                    <w:pStyle w:val="TableBodyText"/>
                    <w:spacing w:after="20"/>
                    <w:ind w:right="57"/>
                  </w:pPr>
                  <w:r w:rsidRPr="00787078">
                    <w:t>2.2</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Dairy cattle farming</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Other livestock farming</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Aquaculture and fishing</w:t>
                  </w:r>
                </w:p>
              </w:tc>
              <w:tc>
                <w:tcPr>
                  <w:tcW w:w="502" w:type="pct"/>
                  <w:vAlign w:val="bottom"/>
                </w:tcPr>
                <w:p w:rsidR="00745FEA" w:rsidRPr="00FF2577" w:rsidRDefault="00745FEA" w:rsidP="00745FEA">
                  <w:pPr>
                    <w:pStyle w:val="TableBodyText"/>
                    <w:spacing w:after="20"/>
                    <w:ind w:right="57"/>
                  </w:pPr>
                  <w:r w:rsidRPr="00787078">
                    <w:t>1.6</w:t>
                  </w:r>
                </w:p>
              </w:tc>
              <w:tc>
                <w:tcPr>
                  <w:tcW w:w="501" w:type="pct"/>
                  <w:vAlign w:val="bottom"/>
                </w:tcPr>
                <w:p w:rsidR="00745FEA" w:rsidRPr="00FF2577" w:rsidRDefault="00745FEA" w:rsidP="00745FEA">
                  <w:pPr>
                    <w:pStyle w:val="TableBodyText"/>
                    <w:spacing w:after="20"/>
                    <w:ind w:right="57"/>
                  </w:pPr>
                  <w:r w:rsidRPr="00787078">
                    <w:t>2.0</w:t>
                  </w:r>
                </w:p>
              </w:tc>
              <w:tc>
                <w:tcPr>
                  <w:tcW w:w="501" w:type="pct"/>
                  <w:vAlign w:val="bottom"/>
                </w:tcPr>
                <w:p w:rsidR="00745FEA" w:rsidRPr="00FF2577" w:rsidRDefault="00745FEA" w:rsidP="00745FEA">
                  <w:pPr>
                    <w:pStyle w:val="TableBodyText"/>
                    <w:spacing w:after="20"/>
                    <w:ind w:right="57"/>
                  </w:pPr>
                  <w:r w:rsidRPr="00787078">
                    <w:t>1.7</w:t>
                  </w:r>
                </w:p>
              </w:tc>
              <w:tc>
                <w:tcPr>
                  <w:tcW w:w="499" w:type="pct"/>
                  <w:vAlign w:val="bottom"/>
                </w:tcPr>
                <w:p w:rsidR="00745FEA" w:rsidRPr="00FF2577" w:rsidRDefault="00745FEA" w:rsidP="00745FEA">
                  <w:pPr>
                    <w:pStyle w:val="TableBodyText"/>
                    <w:spacing w:after="20"/>
                    <w:ind w:right="57"/>
                  </w:pPr>
                  <w:r w:rsidRPr="00787078">
                    <w:t>2.2</w:t>
                  </w:r>
                </w:p>
              </w:tc>
              <w:tc>
                <w:tcPr>
                  <w:tcW w:w="499" w:type="pct"/>
                  <w:shd w:val="clear" w:color="auto" w:fill="auto"/>
                  <w:vAlign w:val="bottom"/>
                </w:tcPr>
                <w:p w:rsidR="00745FEA" w:rsidRPr="00FF2577" w:rsidRDefault="00745FEA" w:rsidP="00745FEA">
                  <w:pPr>
                    <w:pStyle w:val="TableBodyText"/>
                    <w:spacing w:after="20"/>
                    <w:ind w:right="57"/>
                  </w:pPr>
                  <w:r w:rsidRPr="00787078">
                    <w:t>2.6</w:t>
                  </w:r>
                </w:p>
              </w:tc>
              <w:tc>
                <w:tcPr>
                  <w:tcW w:w="496" w:type="pct"/>
                  <w:shd w:val="clear" w:color="auto" w:fill="auto"/>
                  <w:vAlign w:val="bottom"/>
                </w:tcPr>
                <w:p w:rsidR="00745FEA" w:rsidRPr="00FF2577" w:rsidRDefault="00745FEA" w:rsidP="00745FEA">
                  <w:pPr>
                    <w:pStyle w:val="TableBodyText"/>
                    <w:spacing w:after="20"/>
                    <w:ind w:right="57"/>
                  </w:pPr>
                  <w:r w:rsidRPr="00787078">
                    <w:t>2.8</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Forestry and logging</w:t>
                  </w:r>
                </w:p>
              </w:tc>
              <w:tc>
                <w:tcPr>
                  <w:tcW w:w="502" w:type="pct"/>
                  <w:vAlign w:val="bottom"/>
                </w:tcPr>
                <w:p w:rsidR="00745FEA" w:rsidRPr="00FF2577" w:rsidRDefault="00745FEA" w:rsidP="00745FEA">
                  <w:pPr>
                    <w:pStyle w:val="TableBodyText"/>
                    <w:spacing w:after="20"/>
                    <w:ind w:right="57"/>
                  </w:pPr>
                  <w:r w:rsidRPr="00787078">
                    <w:t>18.2</w:t>
                  </w:r>
                </w:p>
              </w:tc>
              <w:tc>
                <w:tcPr>
                  <w:tcW w:w="501" w:type="pct"/>
                  <w:vAlign w:val="bottom"/>
                </w:tcPr>
                <w:p w:rsidR="00745FEA" w:rsidRPr="00FF2577" w:rsidRDefault="00745FEA" w:rsidP="00745FEA">
                  <w:pPr>
                    <w:pStyle w:val="TableBodyText"/>
                    <w:spacing w:after="20"/>
                    <w:ind w:right="57"/>
                  </w:pPr>
                  <w:r w:rsidRPr="00787078">
                    <w:t>16.7</w:t>
                  </w:r>
                </w:p>
              </w:tc>
              <w:tc>
                <w:tcPr>
                  <w:tcW w:w="501" w:type="pct"/>
                  <w:vAlign w:val="bottom"/>
                </w:tcPr>
                <w:p w:rsidR="00745FEA" w:rsidRPr="00FF2577" w:rsidRDefault="00745FEA" w:rsidP="00745FEA">
                  <w:pPr>
                    <w:pStyle w:val="TableBodyText"/>
                    <w:spacing w:after="20"/>
                    <w:ind w:right="57"/>
                  </w:pPr>
                  <w:r w:rsidRPr="00787078">
                    <w:t>14.5</w:t>
                  </w:r>
                </w:p>
              </w:tc>
              <w:tc>
                <w:tcPr>
                  <w:tcW w:w="499" w:type="pct"/>
                  <w:vAlign w:val="bottom"/>
                </w:tcPr>
                <w:p w:rsidR="00745FEA" w:rsidRPr="00FF2577" w:rsidRDefault="00745FEA" w:rsidP="00745FEA">
                  <w:pPr>
                    <w:pStyle w:val="TableBodyText"/>
                    <w:spacing w:after="20"/>
                    <w:ind w:right="57"/>
                  </w:pPr>
                  <w:r w:rsidRPr="00787078">
                    <w:t>15.2</w:t>
                  </w:r>
                </w:p>
              </w:tc>
              <w:tc>
                <w:tcPr>
                  <w:tcW w:w="499" w:type="pct"/>
                  <w:shd w:val="clear" w:color="auto" w:fill="auto"/>
                  <w:vAlign w:val="bottom"/>
                </w:tcPr>
                <w:p w:rsidR="00745FEA" w:rsidRPr="00FF2577" w:rsidRDefault="00745FEA" w:rsidP="00745FEA">
                  <w:pPr>
                    <w:pStyle w:val="TableBodyText"/>
                    <w:spacing w:after="20"/>
                    <w:ind w:right="57"/>
                  </w:pPr>
                  <w:r w:rsidRPr="00787078">
                    <w:t>17.7</w:t>
                  </w:r>
                </w:p>
              </w:tc>
              <w:tc>
                <w:tcPr>
                  <w:tcW w:w="496" w:type="pct"/>
                  <w:shd w:val="clear" w:color="auto" w:fill="auto"/>
                  <w:vAlign w:val="bottom"/>
                </w:tcPr>
                <w:p w:rsidR="00745FEA" w:rsidRPr="00FF2577" w:rsidRDefault="00745FEA" w:rsidP="00745FEA">
                  <w:pPr>
                    <w:pStyle w:val="TableBodyText"/>
                    <w:spacing w:after="20"/>
                    <w:ind w:right="57"/>
                  </w:pPr>
                  <w:r w:rsidRPr="00787078">
                    <w:t>19.5</w:t>
                  </w:r>
                </w:p>
              </w:tc>
            </w:tr>
            <w:tr w:rsidR="00745FEA" w:rsidTr="00745FEA">
              <w:tc>
                <w:tcPr>
                  <w:tcW w:w="2002" w:type="pct"/>
                  <w:shd w:val="clear" w:color="auto" w:fill="auto"/>
                  <w:vAlign w:val="center"/>
                </w:tcPr>
                <w:p w:rsidR="00745FEA" w:rsidRPr="00EB5BB7" w:rsidRDefault="00745FEA" w:rsidP="00745FEA">
                  <w:pPr>
                    <w:spacing w:after="20"/>
                    <w:rPr>
                      <w:rFonts w:ascii="Arial" w:hAnsi="Arial" w:cs="Arial"/>
                      <w:sz w:val="18"/>
                      <w:szCs w:val="18"/>
                    </w:rPr>
                  </w:pPr>
                  <w:r w:rsidRPr="00EB5BB7">
                    <w:rPr>
                      <w:rFonts w:ascii="Arial" w:hAnsi="Arial" w:cs="Arial"/>
                      <w:sz w:val="18"/>
                      <w:szCs w:val="18"/>
                    </w:rPr>
                    <w:t>Primary production support services</w:t>
                  </w:r>
                </w:p>
              </w:tc>
              <w:tc>
                <w:tcPr>
                  <w:tcW w:w="502" w:type="pct"/>
                  <w:vAlign w:val="bottom"/>
                </w:tcPr>
                <w:p w:rsidR="00745FEA" w:rsidRPr="00FF2577" w:rsidRDefault="00745FEA" w:rsidP="00745FEA">
                  <w:pPr>
                    <w:pStyle w:val="TableBodyText"/>
                    <w:spacing w:after="20"/>
                    <w:ind w:right="57"/>
                  </w:pPr>
                  <w:r w:rsidRPr="00787078">
                    <w:t>11.0</w:t>
                  </w:r>
                </w:p>
              </w:tc>
              <w:tc>
                <w:tcPr>
                  <w:tcW w:w="501" w:type="pct"/>
                  <w:vAlign w:val="bottom"/>
                </w:tcPr>
                <w:p w:rsidR="00745FEA" w:rsidRPr="00FF2577" w:rsidRDefault="00745FEA" w:rsidP="00745FEA">
                  <w:pPr>
                    <w:pStyle w:val="TableBodyText"/>
                    <w:spacing w:after="20"/>
                    <w:ind w:right="57"/>
                  </w:pPr>
                  <w:r w:rsidRPr="00787078">
                    <w:t>6.2</w:t>
                  </w:r>
                </w:p>
              </w:tc>
              <w:tc>
                <w:tcPr>
                  <w:tcW w:w="501" w:type="pct"/>
                  <w:vAlign w:val="bottom"/>
                </w:tcPr>
                <w:p w:rsidR="00745FEA" w:rsidRPr="00FF2577" w:rsidRDefault="00745FEA" w:rsidP="00745FEA">
                  <w:pPr>
                    <w:pStyle w:val="TableBodyText"/>
                    <w:spacing w:after="20"/>
                    <w:ind w:right="57"/>
                  </w:pPr>
                  <w:r w:rsidRPr="00787078">
                    <w:t>20.0</w:t>
                  </w:r>
                </w:p>
              </w:tc>
              <w:tc>
                <w:tcPr>
                  <w:tcW w:w="499" w:type="pct"/>
                  <w:vAlign w:val="bottom"/>
                </w:tcPr>
                <w:p w:rsidR="00745FEA" w:rsidRPr="00FF2577" w:rsidRDefault="00745FEA" w:rsidP="00745FEA">
                  <w:pPr>
                    <w:pStyle w:val="TableBodyText"/>
                    <w:spacing w:after="20"/>
                    <w:ind w:right="57"/>
                  </w:pPr>
                  <w:r w:rsidRPr="00787078">
                    <w:t>21.7</w:t>
                  </w:r>
                </w:p>
              </w:tc>
              <w:tc>
                <w:tcPr>
                  <w:tcW w:w="499" w:type="pct"/>
                  <w:shd w:val="clear" w:color="auto" w:fill="auto"/>
                  <w:vAlign w:val="bottom"/>
                </w:tcPr>
                <w:p w:rsidR="00745FEA" w:rsidRPr="00FF2577" w:rsidRDefault="00745FEA" w:rsidP="00745FEA">
                  <w:pPr>
                    <w:pStyle w:val="TableBodyText"/>
                    <w:spacing w:after="20"/>
                    <w:ind w:right="57"/>
                  </w:pPr>
                  <w:r w:rsidRPr="00787078">
                    <w:t>22.8</w:t>
                  </w:r>
                </w:p>
              </w:tc>
              <w:tc>
                <w:tcPr>
                  <w:tcW w:w="496" w:type="pct"/>
                  <w:shd w:val="clear" w:color="auto" w:fill="auto"/>
                  <w:vAlign w:val="bottom"/>
                </w:tcPr>
                <w:p w:rsidR="00745FEA" w:rsidRPr="00FF2577" w:rsidRDefault="00745FEA" w:rsidP="00745FEA">
                  <w:pPr>
                    <w:pStyle w:val="TableBodyText"/>
                    <w:spacing w:after="20"/>
                    <w:ind w:right="57"/>
                  </w:pPr>
                  <w:r w:rsidRPr="00787078">
                    <w:t>27.4</w:t>
                  </w:r>
                </w:p>
              </w:tc>
            </w:tr>
            <w:tr w:rsidR="00745FEA" w:rsidTr="00745FEA">
              <w:tc>
                <w:tcPr>
                  <w:tcW w:w="2002" w:type="pct"/>
                  <w:shd w:val="clear" w:color="auto" w:fill="auto"/>
                  <w:vAlign w:val="center"/>
                </w:tcPr>
                <w:p w:rsidR="00745FEA" w:rsidRPr="00EB5BB7" w:rsidRDefault="00745FEA" w:rsidP="00745FEA">
                  <w:pPr>
                    <w:rPr>
                      <w:rFonts w:ascii="Arial" w:hAnsi="Arial" w:cs="Arial"/>
                      <w:sz w:val="18"/>
                      <w:szCs w:val="18"/>
                    </w:rPr>
                  </w:pPr>
                  <w:r w:rsidRPr="00EB5BB7">
                    <w:rPr>
                      <w:rFonts w:ascii="Arial" w:hAnsi="Arial" w:cs="Arial"/>
                      <w:sz w:val="18"/>
                      <w:szCs w:val="18"/>
                    </w:rPr>
                    <w:t>Unallocated primary production</w:t>
                  </w:r>
                  <w:r w:rsidRPr="00F4344E">
                    <w:rPr>
                      <w:rStyle w:val="NoteLabel"/>
                    </w:rPr>
                    <w:t>b</w:t>
                  </w:r>
                </w:p>
              </w:tc>
              <w:tc>
                <w:tcPr>
                  <w:tcW w:w="502" w:type="pct"/>
                  <w:vAlign w:val="bottom"/>
                </w:tcPr>
                <w:p w:rsidR="00745FEA" w:rsidRPr="00FF2577" w:rsidRDefault="00745FEA" w:rsidP="00745FEA">
                  <w:pPr>
                    <w:pStyle w:val="TableBodyText"/>
                    <w:ind w:right="57"/>
                  </w:pPr>
                  <w:r w:rsidRPr="00787078">
                    <w:t xml:space="preserve">– </w:t>
                  </w:r>
                </w:p>
              </w:tc>
              <w:tc>
                <w:tcPr>
                  <w:tcW w:w="501" w:type="pct"/>
                  <w:vAlign w:val="bottom"/>
                </w:tcPr>
                <w:p w:rsidR="00745FEA" w:rsidRPr="00FF2577" w:rsidRDefault="00745FEA" w:rsidP="00745FEA">
                  <w:pPr>
                    <w:pStyle w:val="TableBodyText"/>
                    <w:ind w:right="57"/>
                  </w:pPr>
                  <w:r w:rsidRPr="00787078">
                    <w:t xml:space="preserve">– </w:t>
                  </w:r>
                </w:p>
              </w:tc>
              <w:tc>
                <w:tcPr>
                  <w:tcW w:w="501" w:type="pct"/>
                  <w:vAlign w:val="bottom"/>
                </w:tcPr>
                <w:p w:rsidR="00745FEA" w:rsidRPr="00FF2577" w:rsidRDefault="00745FEA" w:rsidP="00745FEA">
                  <w:pPr>
                    <w:pStyle w:val="TableBodyText"/>
                    <w:ind w:right="57"/>
                  </w:pPr>
                  <w:r w:rsidRPr="00787078">
                    <w:t xml:space="preserve">– </w:t>
                  </w:r>
                </w:p>
              </w:tc>
              <w:tc>
                <w:tcPr>
                  <w:tcW w:w="499" w:type="pct"/>
                  <w:vAlign w:val="bottom"/>
                </w:tcPr>
                <w:p w:rsidR="00745FEA" w:rsidRPr="00FF2577" w:rsidRDefault="00745FEA" w:rsidP="00745FEA">
                  <w:pPr>
                    <w:pStyle w:val="TableBodyText"/>
                    <w:ind w:right="57"/>
                  </w:pPr>
                  <w:r w:rsidRPr="00787078">
                    <w:t xml:space="preserve">– </w:t>
                  </w:r>
                </w:p>
              </w:tc>
              <w:tc>
                <w:tcPr>
                  <w:tcW w:w="499" w:type="pct"/>
                  <w:shd w:val="clear" w:color="auto" w:fill="auto"/>
                  <w:vAlign w:val="bottom"/>
                </w:tcPr>
                <w:p w:rsidR="00745FEA" w:rsidRPr="00FF2577" w:rsidRDefault="00745FEA" w:rsidP="00745FEA">
                  <w:pPr>
                    <w:pStyle w:val="TableBodyText"/>
                    <w:ind w:right="57"/>
                  </w:pPr>
                  <w:r w:rsidRPr="00787078">
                    <w:t xml:space="preserve">– </w:t>
                  </w:r>
                </w:p>
              </w:tc>
              <w:tc>
                <w:tcPr>
                  <w:tcW w:w="496" w:type="pct"/>
                  <w:shd w:val="clear" w:color="auto" w:fill="auto"/>
                  <w:vAlign w:val="bottom"/>
                </w:tcPr>
                <w:p w:rsidR="00745FEA" w:rsidRPr="00FF2577" w:rsidRDefault="00745FEA" w:rsidP="00745FEA">
                  <w:pPr>
                    <w:pStyle w:val="TableBodyText"/>
                    <w:ind w:right="57"/>
                  </w:pPr>
                  <w:r w:rsidRPr="00787078">
                    <w:t xml:space="preserve">– </w:t>
                  </w:r>
                </w:p>
              </w:tc>
            </w:tr>
            <w:tr w:rsidR="00745FEA" w:rsidRPr="00A64D3D" w:rsidTr="00745FEA">
              <w:tc>
                <w:tcPr>
                  <w:tcW w:w="2002" w:type="pct"/>
                  <w:shd w:val="clear" w:color="auto" w:fill="auto"/>
                  <w:vAlign w:val="bottom"/>
                </w:tcPr>
                <w:p w:rsidR="00745FEA" w:rsidRPr="00A64D3D" w:rsidRDefault="00745FEA" w:rsidP="00745FEA">
                  <w:pPr>
                    <w:spacing w:after="20"/>
                    <w:rPr>
                      <w:rFonts w:ascii="Arial" w:hAnsi="Arial" w:cs="Arial"/>
                      <w:b/>
                      <w:bCs/>
                      <w:sz w:val="18"/>
                      <w:szCs w:val="18"/>
                    </w:rPr>
                  </w:pPr>
                  <w:r w:rsidRPr="00A64D3D">
                    <w:rPr>
                      <w:rFonts w:ascii="Arial" w:hAnsi="Arial" w:cs="Arial"/>
                      <w:b/>
                      <w:bCs/>
                      <w:sz w:val="18"/>
                      <w:szCs w:val="18"/>
                    </w:rPr>
                    <w:t>Mining</w:t>
                  </w:r>
                </w:p>
              </w:tc>
              <w:tc>
                <w:tcPr>
                  <w:tcW w:w="502" w:type="pct"/>
                  <w:vAlign w:val="bottom"/>
                </w:tcPr>
                <w:p w:rsidR="00745FEA" w:rsidRPr="00A64D3D" w:rsidRDefault="00745FEA" w:rsidP="00745FEA">
                  <w:pPr>
                    <w:pStyle w:val="TableBodyText"/>
                    <w:spacing w:after="20"/>
                    <w:ind w:right="57"/>
                    <w:rPr>
                      <w:b/>
                    </w:rPr>
                  </w:pPr>
                  <w:r w:rsidRPr="00A64D3D">
                    <w:rPr>
                      <w:b/>
                    </w:rPr>
                    <w:t>1.1</w:t>
                  </w:r>
                </w:p>
              </w:tc>
              <w:tc>
                <w:tcPr>
                  <w:tcW w:w="501" w:type="pct"/>
                  <w:vAlign w:val="bottom"/>
                </w:tcPr>
                <w:p w:rsidR="00745FEA" w:rsidRPr="00A64D3D" w:rsidRDefault="00745FEA" w:rsidP="00745FEA">
                  <w:pPr>
                    <w:pStyle w:val="TableBodyText"/>
                    <w:spacing w:after="20"/>
                    <w:ind w:right="57"/>
                    <w:rPr>
                      <w:b/>
                    </w:rPr>
                  </w:pPr>
                  <w:r w:rsidRPr="00A64D3D">
                    <w:rPr>
                      <w:b/>
                    </w:rPr>
                    <w:t>1.2</w:t>
                  </w:r>
                </w:p>
              </w:tc>
              <w:tc>
                <w:tcPr>
                  <w:tcW w:w="501" w:type="pct"/>
                  <w:vAlign w:val="bottom"/>
                </w:tcPr>
                <w:p w:rsidR="00745FEA" w:rsidRPr="00A64D3D" w:rsidRDefault="00745FEA" w:rsidP="00745FEA">
                  <w:pPr>
                    <w:pStyle w:val="TableBodyText"/>
                    <w:spacing w:after="20"/>
                    <w:ind w:right="57"/>
                    <w:rPr>
                      <w:b/>
                    </w:rPr>
                  </w:pPr>
                  <w:r w:rsidRPr="00A64D3D">
                    <w:rPr>
                      <w:b/>
                    </w:rPr>
                    <w:t>1.4</w:t>
                  </w:r>
                </w:p>
              </w:tc>
              <w:tc>
                <w:tcPr>
                  <w:tcW w:w="499" w:type="pct"/>
                  <w:vAlign w:val="bottom"/>
                </w:tcPr>
                <w:p w:rsidR="00745FEA" w:rsidRPr="00A64D3D" w:rsidRDefault="00745FEA" w:rsidP="00745FEA">
                  <w:pPr>
                    <w:pStyle w:val="TableBodyText"/>
                    <w:spacing w:after="20"/>
                    <w:ind w:right="57"/>
                    <w:rPr>
                      <w:b/>
                    </w:rPr>
                  </w:pPr>
                  <w:r w:rsidRPr="00A64D3D">
                    <w:rPr>
                      <w:b/>
                    </w:rPr>
                    <w:t>1.5</w:t>
                  </w:r>
                </w:p>
              </w:tc>
              <w:tc>
                <w:tcPr>
                  <w:tcW w:w="499" w:type="pct"/>
                  <w:shd w:val="clear" w:color="auto" w:fill="auto"/>
                  <w:vAlign w:val="bottom"/>
                </w:tcPr>
                <w:p w:rsidR="00745FEA" w:rsidRPr="00A64D3D" w:rsidRDefault="00745FEA" w:rsidP="00745FEA">
                  <w:pPr>
                    <w:pStyle w:val="TableBodyText"/>
                    <w:spacing w:after="20"/>
                    <w:ind w:right="57"/>
                    <w:rPr>
                      <w:b/>
                    </w:rPr>
                  </w:pPr>
                  <w:r w:rsidRPr="00A64D3D">
                    <w:rPr>
                      <w:b/>
                    </w:rPr>
                    <w:t>1.6</w:t>
                  </w:r>
                </w:p>
              </w:tc>
              <w:tc>
                <w:tcPr>
                  <w:tcW w:w="496" w:type="pct"/>
                  <w:shd w:val="clear" w:color="auto" w:fill="auto"/>
                  <w:vAlign w:val="bottom"/>
                </w:tcPr>
                <w:p w:rsidR="00745FEA" w:rsidRPr="00A64D3D" w:rsidRDefault="00745FEA" w:rsidP="00745FEA">
                  <w:pPr>
                    <w:pStyle w:val="TableBodyText"/>
                    <w:spacing w:after="20"/>
                    <w:ind w:right="57"/>
                    <w:rPr>
                      <w:b/>
                    </w:rPr>
                  </w:pPr>
                  <w:r w:rsidRPr="00A64D3D">
                    <w:rPr>
                      <w:b/>
                    </w:rPr>
                    <w:t>1.6</w:t>
                  </w:r>
                </w:p>
              </w:tc>
            </w:tr>
            <w:tr w:rsidR="00745FEA" w:rsidRPr="00A64D3D" w:rsidTr="00745FEA">
              <w:tc>
                <w:tcPr>
                  <w:tcW w:w="2002" w:type="pct"/>
                  <w:shd w:val="clear" w:color="auto" w:fill="auto"/>
                  <w:vAlign w:val="bottom"/>
                </w:tcPr>
                <w:p w:rsidR="00745FEA" w:rsidRPr="00A64D3D" w:rsidRDefault="00745FEA" w:rsidP="00745FEA">
                  <w:pPr>
                    <w:spacing w:after="20"/>
                    <w:rPr>
                      <w:rFonts w:ascii="Arial" w:hAnsi="Arial" w:cs="Arial"/>
                      <w:b/>
                      <w:bCs/>
                      <w:sz w:val="18"/>
                      <w:szCs w:val="18"/>
                    </w:rPr>
                  </w:pPr>
                  <w:r w:rsidRPr="00A64D3D">
                    <w:rPr>
                      <w:rFonts w:ascii="Arial" w:hAnsi="Arial" w:cs="Arial"/>
                      <w:b/>
                      <w:bCs/>
                      <w:sz w:val="18"/>
                      <w:szCs w:val="18"/>
                    </w:rPr>
                    <w:t>Manufacturing</w:t>
                  </w:r>
                </w:p>
              </w:tc>
              <w:tc>
                <w:tcPr>
                  <w:tcW w:w="502" w:type="pct"/>
                  <w:vAlign w:val="bottom"/>
                </w:tcPr>
                <w:p w:rsidR="00745FEA" w:rsidRPr="00A64D3D" w:rsidRDefault="00745FEA" w:rsidP="00745FEA">
                  <w:pPr>
                    <w:pStyle w:val="TableBodyText"/>
                    <w:spacing w:after="20"/>
                    <w:ind w:right="57"/>
                    <w:rPr>
                      <w:b/>
                    </w:rPr>
                  </w:pPr>
                  <w:r w:rsidRPr="00A64D3D">
                    <w:rPr>
                      <w:b/>
                    </w:rPr>
                    <w:t>6833.2</w:t>
                  </w:r>
                </w:p>
              </w:tc>
              <w:tc>
                <w:tcPr>
                  <w:tcW w:w="501" w:type="pct"/>
                  <w:vAlign w:val="bottom"/>
                </w:tcPr>
                <w:p w:rsidR="00745FEA" w:rsidRPr="00A64D3D" w:rsidRDefault="00745FEA" w:rsidP="00745FEA">
                  <w:pPr>
                    <w:pStyle w:val="TableBodyText"/>
                    <w:spacing w:after="20"/>
                    <w:ind w:right="57"/>
                    <w:rPr>
                      <w:b/>
                    </w:rPr>
                  </w:pPr>
                  <w:r w:rsidRPr="00A64D3D">
                    <w:rPr>
                      <w:b/>
                    </w:rPr>
                    <w:t>6691.4</w:t>
                  </w:r>
                </w:p>
              </w:tc>
              <w:tc>
                <w:tcPr>
                  <w:tcW w:w="501" w:type="pct"/>
                  <w:vAlign w:val="bottom"/>
                </w:tcPr>
                <w:p w:rsidR="00745FEA" w:rsidRPr="00A64D3D" w:rsidRDefault="00745FEA" w:rsidP="00745FEA">
                  <w:pPr>
                    <w:pStyle w:val="TableBodyText"/>
                    <w:spacing w:after="20"/>
                    <w:ind w:right="57"/>
                    <w:rPr>
                      <w:b/>
                    </w:rPr>
                  </w:pPr>
                  <w:r w:rsidRPr="00A64D3D">
                    <w:rPr>
                      <w:b/>
                    </w:rPr>
                    <w:t>6359.3</w:t>
                  </w:r>
                </w:p>
              </w:tc>
              <w:tc>
                <w:tcPr>
                  <w:tcW w:w="499" w:type="pct"/>
                  <w:vAlign w:val="bottom"/>
                </w:tcPr>
                <w:p w:rsidR="00745FEA" w:rsidRPr="00A64D3D" w:rsidRDefault="00745FEA" w:rsidP="00745FEA">
                  <w:pPr>
                    <w:pStyle w:val="TableBodyText"/>
                    <w:spacing w:after="20"/>
                    <w:ind w:right="57"/>
                    <w:rPr>
                      <w:b/>
                    </w:rPr>
                  </w:pPr>
                  <w:r w:rsidRPr="00A64D3D">
                    <w:rPr>
                      <w:b/>
                    </w:rPr>
                    <w:t>6399.5</w:t>
                  </w:r>
                </w:p>
              </w:tc>
              <w:tc>
                <w:tcPr>
                  <w:tcW w:w="499" w:type="pct"/>
                  <w:shd w:val="clear" w:color="auto" w:fill="auto"/>
                  <w:vAlign w:val="bottom"/>
                </w:tcPr>
                <w:p w:rsidR="00745FEA" w:rsidRPr="00A64D3D" w:rsidRDefault="00745FEA" w:rsidP="00745FEA">
                  <w:pPr>
                    <w:pStyle w:val="TableBodyText"/>
                    <w:spacing w:after="20"/>
                    <w:ind w:right="57"/>
                    <w:rPr>
                      <w:b/>
                    </w:rPr>
                  </w:pPr>
                  <w:r w:rsidRPr="00A64D3D">
                    <w:rPr>
                      <w:b/>
                    </w:rPr>
                    <w:t>6279.9</w:t>
                  </w:r>
                </w:p>
              </w:tc>
              <w:tc>
                <w:tcPr>
                  <w:tcW w:w="496" w:type="pct"/>
                  <w:shd w:val="clear" w:color="auto" w:fill="auto"/>
                  <w:vAlign w:val="bottom"/>
                </w:tcPr>
                <w:p w:rsidR="00745FEA" w:rsidRPr="00A64D3D" w:rsidRDefault="00745FEA" w:rsidP="00745FEA">
                  <w:pPr>
                    <w:pStyle w:val="TableBodyText"/>
                    <w:spacing w:after="20"/>
                    <w:ind w:right="57"/>
                    <w:rPr>
                      <w:b/>
                    </w:rPr>
                  </w:pPr>
                  <w:r w:rsidRPr="00A64D3D">
                    <w:rPr>
                      <w:b/>
                    </w:rPr>
                    <w:t>6299.0</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Food, beverages and tobacco</w:t>
                  </w:r>
                </w:p>
              </w:tc>
              <w:tc>
                <w:tcPr>
                  <w:tcW w:w="502" w:type="pct"/>
                  <w:vAlign w:val="bottom"/>
                </w:tcPr>
                <w:p w:rsidR="00745FEA" w:rsidRPr="00FF2577" w:rsidRDefault="00745FEA" w:rsidP="00745FEA">
                  <w:pPr>
                    <w:pStyle w:val="TableBodyText"/>
                    <w:spacing w:after="20"/>
                    <w:ind w:right="57"/>
                  </w:pPr>
                  <w:r w:rsidRPr="00787078">
                    <w:t>1948.6</w:t>
                  </w:r>
                </w:p>
              </w:tc>
              <w:tc>
                <w:tcPr>
                  <w:tcW w:w="501" w:type="pct"/>
                  <w:vAlign w:val="bottom"/>
                </w:tcPr>
                <w:p w:rsidR="00745FEA" w:rsidRPr="00FF2577" w:rsidRDefault="00745FEA" w:rsidP="00745FEA">
                  <w:pPr>
                    <w:pStyle w:val="TableBodyText"/>
                    <w:spacing w:after="20"/>
                    <w:ind w:right="57"/>
                  </w:pPr>
                  <w:r w:rsidRPr="00787078">
                    <w:t>1974.1</w:t>
                  </w:r>
                </w:p>
              </w:tc>
              <w:tc>
                <w:tcPr>
                  <w:tcW w:w="501" w:type="pct"/>
                  <w:vAlign w:val="bottom"/>
                </w:tcPr>
                <w:p w:rsidR="00745FEA" w:rsidRPr="00FF2577" w:rsidRDefault="00745FEA" w:rsidP="00745FEA">
                  <w:pPr>
                    <w:pStyle w:val="TableBodyText"/>
                    <w:spacing w:after="20"/>
                    <w:ind w:right="57"/>
                  </w:pPr>
                  <w:r w:rsidRPr="00787078">
                    <w:t>2014.6</w:t>
                  </w:r>
                </w:p>
              </w:tc>
              <w:tc>
                <w:tcPr>
                  <w:tcW w:w="499" w:type="pct"/>
                  <w:vAlign w:val="bottom"/>
                </w:tcPr>
                <w:p w:rsidR="00745FEA" w:rsidRPr="00FF2577" w:rsidRDefault="00745FEA" w:rsidP="00745FEA">
                  <w:pPr>
                    <w:pStyle w:val="TableBodyText"/>
                    <w:spacing w:after="20"/>
                    <w:ind w:right="57"/>
                  </w:pPr>
                  <w:r w:rsidRPr="00787078">
                    <w:t>2022.4</w:t>
                  </w:r>
                </w:p>
              </w:tc>
              <w:tc>
                <w:tcPr>
                  <w:tcW w:w="499" w:type="pct"/>
                  <w:shd w:val="clear" w:color="auto" w:fill="auto"/>
                  <w:vAlign w:val="bottom"/>
                </w:tcPr>
                <w:p w:rsidR="00745FEA" w:rsidRPr="00FF2577" w:rsidRDefault="00745FEA" w:rsidP="00745FEA">
                  <w:pPr>
                    <w:pStyle w:val="TableBodyText"/>
                    <w:spacing w:after="20"/>
                    <w:ind w:right="57"/>
                  </w:pPr>
                  <w:r w:rsidRPr="00787078">
                    <w:t>1996.6</w:t>
                  </w:r>
                </w:p>
              </w:tc>
              <w:tc>
                <w:tcPr>
                  <w:tcW w:w="496" w:type="pct"/>
                  <w:shd w:val="clear" w:color="auto" w:fill="auto"/>
                  <w:vAlign w:val="bottom"/>
                </w:tcPr>
                <w:p w:rsidR="00745FEA" w:rsidRPr="00FF2577" w:rsidRDefault="00745FEA" w:rsidP="00745FEA">
                  <w:pPr>
                    <w:pStyle w:val="TableBodyText"/>
                    <w:spacing w:after="20"/>
                    <w:ind w:right="57"/>
                  </w:pPr>
                  <w:r w:rsidRPr="00787078">
                    <w:t>2108.6</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Textile</w:t>
                  </w:r>
                  <w:r>
                    <w:rPr>
                      <w:rFonts w:ascii="Arial" w:hAnsi="Arial" w:cs="Arial"/>
                      <w:sz w:val="18"/>
                      <w:szCs w:val="18"/>
                    </w:rPr>
                    <w:t>s</w:t>
                  </w:r>
                  <w:r w:rsidRPr="00E02BF0">
                    <w:rPr>
                      <w:rFonts w:ascii="Arial" w:hAnsi="Arial" w:cs="Arial"/>
                      <w:sz w:val="18"/>
                      <w:szCs w:val="18"/>
                    </w:rPr>
                    <w:t>, leather, clothing and footwear</w:t>
                  </w:r>
                </w:p>
              </w:tc>
              <w:tc>
                <w:tcPr>
                  <w:tcW w:w="502" w:type="pct"/>
                  <w:vAlign w:val="bottom"/>
                </w:tcPr>
                <w:p w:rsidR="00745FEA" w:rsidRPr="00FF2577" w:rsidRDefault="00745FEA" w:rsidP="00745FEA">
                  <w:pPr>
                    <w:pStyle w:val="TableBodyText"/>
                    <w:spacing w:after="20"/>
                    <w:ind w:right="57"/>
                  </w:pPr>
                  <w:r w:rsidRPr="00787078">
                    <w:t>146.3</w:t>
                  </w:r>
                </w:p>
              </w:tc>
              <w:tc>
                <w:tcPr>
                  <w:tcW w:w="501" w:type="pct"/>
                  <w:vAlign w:val="bottom"/>
                </w:tcPr>
                <w:p w:rsidR="00745FEA" w:rsidRPr="00FF2577" w:rsidRDefault="00745FEA" w:rsidP="00745FEA">
                  <w:pPr>
                    <w:pStyle w:val="TableBodyText"/>
                    <w:spacing w:after="20"/>
                    <w:ind w:right="57"/>
                  </w:pPr>
                  <w:r w:rsidRPr="00787078">
                    <w:t>143.1</w:t>
                  </w:r>
                </w:p>
              </w:tc>
              <w:tc>
                <w:tcPr>
                  <w:tcW w:w="501" w:type="pct"/>
                  <w:vAlign w:val="bottom"/>
                </w:tcPr>
                <w:p w:rsidR="00745FEA" w:rsidRPr="00FF2577" w:rsidRDefault="00745FEA" w:rsidP="00745FEA">
                  <w:pPr>
                    <w:pStyle w:val="TableBodyText"/>
                    <w:spacing w:after="20"/>
                    <w:ind w:right="57"/>
                  </w:pPr>
                  <w:r w:rsidRPr="00787078">
                    <w:t>145.6</w:t>
                  </w:r>
                </w:p>
              </w:tc>
              <w:tc>
                <w:tcPr>
                  <w:tcW w:w="499" w:type="pct"/>
                  <w:vAlign w:val="bottom"/>
                </w:tcPr>
                <w:p w:rsidR="00745FEA" w:rsidRPr="00FF2577" w:rsidRDefault="00745FEA" w:rsidP="00745FEA">
                  <w:pPr>
                    <w:pStyle w:val="TableBodyText"/>
                    <w:spacing w:after="20"/>
                    <w:ind w:right="57"/>
                  </w:pPr>
                  <w:r w:rsidRPr="00787078">
                    <w:t>133.0</w:t>
                  </w:r>
                </w:p>
              </w:tc>
              <w:tc>
                <w:tcPr>
                  <w:tcW w:w="499" w:type="pct"/>
                  <w:shd w:val="clear" w:color="auto" w:fill="auto"/>
                  <w:vAlign w:val="bottom"/>
                </w:tcPr>
                <w:p w:rsidR="00745FEA" w:rsidRPr="00FF2577" w:rsidRDefault="00745FEA" w:rsidP="00745FEA">
                  <w:pPr>
                    <w:pStyle w:val="TableBodyText"/>
                    <w:spacing w:after="20"/>
                    <w:ind w:right="57"/>
                  </w:pPr>
                  <w:r w:rsidRPr="00787078">
                    <w:t>114.1</w:t>
                  </w:r>
                </w:p>
              </w:tc>
              <w:tc>
                <w:tcPr>
                  <w:tcW w:w="496" w:type="pct"/>
                  <w:shd w:val="clear" w:color="auto" w:fill="auto"/>
                  <w:vAlign w:val="bottom"/>
                </w:tcPr>
                <w:p w:rsidR="00745FEA" w:rsidRPr="00FF2577" w:rsidRDefault="00745FEA" w:rsidP="00745FEA">
                  <w:pPr>
                    <w:pStyle w:val="TableBodyText"/>
                    <w:spacing w:after="20"/>
                    <w:ind w:right="57"/>
                  </w:pPr>
                  <w:r w:rsidRPr="00787078">
                    <w:t>111.4</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Wood and paper products</w:t>
                  </w:r>
                </w:p>
              </w:tc>
              <w:tc>
                <w:tcPr>
                  <w:tcW w:w="502" w:type="pct"/>
                  <w:vAlign w:val="bottom"/>
                </w:tcPr>
                <w:p w:rsidR="00745FEA" w:rsidRPr="00FF2577" w:rsidRDefault="00745FEA" w:rsidP="00745FEA">
                  <w:pPr>
                    <w:pStyle w:val="TableBodyText"/>
                    <w:spacing w:after="20"/>
                    <w:ind w:right="57"/>
                  </w:pPr>
                  <w:r w:rsidRPr="00787078">
                    <w:t>656.8</w:t>
                  </w:r>
                </w:p>
              </w:tc>
              <w:tc>
                <w:tcPr>
                  <w:tcW w:w="501" w:type="pct"/>
                  <w:vAlign w:val="bottom"/>
                </w:tcPr>
                <w:p w:rsidR="00745FEA" w:rsidRPr="00FF2577" w:rsidRDefault="00745FEA" w:rsidP="00745FEA">
                  <w:pPr>
                    <w:pStyle w:val="TableBodyText"/>
                    <w:spacing w:after="20"/>
                    <w:ind w:right="57"/>
                  </w:pPr>
                  <w:r w:rsidRPr="00787078">
                    <w:t>642.5</w:t>
                  </w:r>
                </w:p>
              </w:tc>
              <w:tc>
                <w:tcPr>
                  <w:tcW w:w="501" w:type="pct"/>
                  <w:vAlign w:val="bottom"/>
                </w:tcPr>
                <w:p w:rsidR="00745FEA" w:rsidRPr="00FF2577" w:rsidRDefault="00745FEA" w:rsidP="00745FEA">
                  <w:pPr>
                    <w:pStyle w:val="TableBodyText"/>
                    <w:spacing w:after="20"/>
                    <w:ind w:right="57"/>
                  </w:pPr>
                  <w:r w:rsidRPr="00787078">
                    <w:t>653.4</w:t>
                  </w:r>
                </w:p>
              </w:tc>
              <w:tc>
                <w:tcPr>
                  <w:tcW w:w="499" w:type="pct"/>
                  <w:vAlign w:val="bottom"/>
                </w:tcPr>
                <w:p w:rsidR="00745FEA" w:rsidRPr="00FF2577" w:rsidRDefault="00745FEA" w:rsidP="00745FEA">
                  <w:pPr>
                    <w:pStyle w:val="TableBodyText"/>
                    <w:spacing w:after="20"/>
                    <w:ind w:right="57"/>
                  </w:pPr>
                  <w:r w:rsidRPr="00787078">
                    <w:t>685.4</w:t>
                  </w:r>
                </w:p>
              </w:tc>
              <w:tc>
                <w:tcPr>
                  <w:tcW w:w="499" w:type="pct"/>
                  <w:shd w:val="clear" w:color="auto" w:fill="auto"/>
                  <w:vAlign w:val="bottom"/>
                </w:tcPr>
                <w:p w:rsidR="00745FEA" w:rsidRPr="00FF2577" w:rsidRDefault="00745FEA" w:rsidP="00745FEA">
                  <w:pPr>
                    <w:pStyle w:val="TableBodyText"/>
                    <w:spacing w:after="20"/>
                    <w:ind w:right="57"/>
                  </w:pPr>
                  <w:r w:rsidRPr="00787078">
                    <w:t>690.1</w:t>
                  </w:r>
                </w:p>
              </w:tc>
              <w:tc>
                <w:tcPr>
                  <w:tcW w:w="496" w:type="pct"/>
                  <w:shd w:val="clear" w:color="auto" w:fill="auto"/>
                  <w:vAlign w:val="bottom"/>
                </w:tcPr>
                <w:p w:rsidR="00745FEA" w:rsidRPr="00FF2577" w:rsidRDefault="00745FEA" w:rsidP="00745FEA">
                  <w:pPr>
                    <w:pStyle w:val="TableBodyText"/>
                    <w:spacing w:after="20"/>
                    <w:ind w:right="57"/>
                  </w:pPr>
                  <w:r w:rsidRPr="00787078">
                    <w:t>673.2</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Printing and recorded media</w:t>
                  </w:r>
                </w:p>
              </w:tc>
              <w:tc>
                <w:tcPr>
                  <w:tcW w:w="502" w:type="pct"/>
                  <w:vAlign w:val="bottom"/>
                </w:tcPr>
                <w:p w:rsidR="00745FEA" w:rsidRPr="00FF2577" w:rsidRDefault="00745FEA" w:rsidP="00745FEA">
                  <w:pPr>
                    <w:pStyle w:val="TableBodyText"/>
                    <w:spacing w:after="20"/>
                    <w:ind w:right="57"/>
                  </w:pPr>
                  <w:r w:rsidRPr="00787078">
                    <w:t>106.7</w:t>
                  </w:r>
                </w:p>
              </w:tc>
              <w:tc>
                <w:tcPr>
                  <w:tcW w:w="501" w:type="pct"/>
                  <w:vAlign w:val="bottom"/>
                </w:tcPr>
                <w:p w:rsidR="00745FEA" w:rsidRPr="00FF2577" w:rsidRDefault="00745FEA" w:rsidP="00745FEA">
                  <w:pPr>
                    <w:pStyle w:val="TableBodyText"/>
                    <w:spacing w:after="20"/>
                    <w:ind w:right="57"/>
                  </w:pPr>
                  <w:r w:rsidRPr="00787078">
                    <w:t>104.4</w:t>
                  </w:r>
                </w:p>
              </w:tc>
              <w:tc>
                <w:tcPr>
                  <w:tcW w:w="501" w:type="pct"/>
                  <w:vAlign w:val="bottom"/>
                </w:tcPr>
                <w:p w:rsidR="00745FEA" w:rsidRPr="00FF2577" w:rsidRDefault="00745FEA" w:rsidP="00745FEA">
                  <w:pPr>
                    <w:pStyle w:val="TableBodyText"/>
                    <w:spacing w:after="20"/>
                    <w:ind w:right="57"/>
                  </w:pPr>
                  <w:r w:rsidRPr="00787078">
                    <w:t>106.2</w:t>
                  </w:r>
                </w:p>
              </w:tc>
              <w:tc>
                <w:tcPr>
                  <w:tcW w:w="499" w:type="pct"/>
                  <w:vAlign w:val="bottom"/>
                </w:tcPr>
                <w:p w:rsidR="00745FEA" w:rsidRPr="00FF2577" w:rsidRDefault="00745FEA" w:rsidP="00745FEA">
                  <w:pPr>
                    <w:pStyle w:val="TableBodyText"/>
                    <w:spacing w:after="20"/>
                    <w:ind w:right="57"/>
                  </w:pPr>
                  <w:r w:rsidRPr="00787078">
                    <w:t>111.4</w:t>
                  </w:r>
                </w:p>
              </w:tc>
              <w:tc>
                <w:tcPr>
                  <w:tcW w:w="499" w:type="pct"/>
                  <w:shd w:val="clear" w:color="auto" w:fill="auto"/>
                  <w:vAlign w:val="bottom"/>
                </w:tcPr>
                <w:p w:rsidR="00745FEA" w:rsidRPr="00FF2577" w:rsidRDefault="00745FEA" w:rsidP="00745FEA">
                  <w:pPr>
                    <w:pStyle w:val="TableBodyText"/>
                    <w:spacing w:after="20"/>
                    <w:ind w:right="57"/>
                  </w:pPr>
                  <w:r w:rsidRPr="00787078">
                    <w:t>112.1</w:t>
                  </w:r>
                </w:p>
              </w:tc>
              <w:tc>
                <w:tcPr>
                  <w:tcW w:w="496" w:type="pct"/>
                  <w:shd w:val="clear" w:color="auto" w:fill="auto"/>
                  <w:vAlign w:val="bottom"/>
                </w:tcPr>
                <w:p w:rsidR="00745FEA" w:rsidRPr="00FF2577" w:rsidRDefault="00745FEA" w:rsidP="00745FEA">
                  <w:pPr>
                    <w:pStyle w:val="TableBodyText"/>
                    <w:spacing w:after="20"/>
                    <w:ind w:right="57"/>
                  </w:pPr>
                  <w:r w:rsidRPr="00787078">
                    <w:t>109.4</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Petroleum, coal, chemical and rubber</w:t>
                  </w:r>
                </w:p>
              </w:tc>
              <w:tc>
                <w:tcPr>
                  <w:tcW w:w="502" w:type="pct"/>
                  <w:vAlign w:val="bottom"/>
                </w:tcPr>
                <w:p w:rsidR="00745FEA" w:rsidRPr="00FF2577" w:rsidRDefault="00745FEA" w:rsidP="00745FEA">
                  <w:pPr>
                    <w:pStyle w:val="TableBodyText"/>
                    <w:spacing w:after="20"/>
                    <w:ind w:right="57"/>
                  </w:pPr>
                  <w:r w:rsidRPr="00787078">
                    <w:t>908.0</w:t>
                  </w:r>
                </w:p>
              </w:tc>
              <w:tc>
                <w:tcPr>
                  <w:tcW w:w="501" w:type="pct"/>
                  <w:vAlign w:val="bottom"/>
                </w:tcPr>
                <w:p w:rsidR="00745FEA" w:rsidRPr="00FF2577" w:rsidRDefault="00745FEA" w:rsidP="00745FEA">
                  <w:pPr>
                    <w:pStyle w:val="TableBodyText"/>
                    <w:spacing w:after="20"/>
                    <w:ind w:right="57"/>
                  </w:pPr>
                  <w:r w:rsidRPr="00787078">
                    <w:t>776.8</w:t>
                  </w:r>
                </w:p>
              </w:tc>
              <w:tc>
                <w:tcPr>
                  <w:tcW w:w="501" w:type="pct"/>
                  <w:vAlign w:val="bottom"/>
                </w:tcPr>
                <w:p w:rsidR="00745FEA" w:rsidRPr="00FF2577" w:rsidRDefault="00745FEA" w:rsidP="00745FEA">
                  <w:pPr>
                    <w:pStyle w:val="TableBodyText"/>
                    <w:spacing w:after="20"/>
                    <w:ind w:right="57"/>
                  </w:pPr>
                  <w:r w:rsidRPr="00787078">
                    <w:t>648.9</w:t>
                  </w:r>
                </w:p>
              </w:tc>
              <w:tc>
                <w:tcPr>
                  <w:tcW w:w="499" w:type="pct"/>
                  <w:vAlign w:val="bottom"/>
                </w:tcPr>
                <w:p w:rsidR="00745FEA" w:rsidRPr="00FF2577" w:rsidRDefault="00745FEA" w:rsidP="00745FEA">
                  <w:pPr>
                    <w:pStyle w:val="TableBodyText"/>
                    <w:spacing w:after="20"/>
                    <w:ind w:right="57"/>
                  </w:pPr>
                  <w:r w:rsidRPr="00787078">
                    <w:t>624.4</w:t>
                  </w:r>
                </w:p>
              </w:tc>
              <w:tc>
                <w:tcPr>
                  <w:tcW w:w="499" w:type="pct"/>
                  <w:shd w:val="clear" w:color="auto" w:fill="auto"/>
                  <w:vAlign w:val="bottom"/>
                </w:tcPr>
                <w:p w:rsidR="00745FEA" w:rsidRPr="00FF2577" w:rsidRDefault="00745FEA" w:rsidP="00745FEA">
                  <w:pPr>
                    <w:pStyle w:val="TableBodyText"/>
                    <w:spacing w:after="20"/>
                    <w:ind w:right="57"/>
                  </w:pPr>
                  <w:r w:rsidRPr="00787078">
                    <w:t>613.3</w:t>
                  </w:r>
                </w:p>
              </w:tc>
              <w:tc>
                <w:tcPr>
                  <w:tcW w:w="496" w:type="pct"/>
                  <w:shd w:val="clear" w:color="auto" w:fill="auto"/>
                  <w:vAlign w:val="bottom"/>
                </w:tcPr>
                <w:p w:rsidR="00745FEA" w:rsidRPr="00FF2577" w:rsidRDefault="00745FEA" w:rsidP="00745FEA">
                  <w:pPr>
                    <w:pStyle w:val="TableBodyText"/>
                    <w:spacing w:after="20"/>
                    <w:ind w:right="57"/>
                  </w:pPr>
                  <w:r w:rsidRPr="00787078">
                    <w:t>617.0</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Non</w:t>
                  </w:r>
                  <w:r>
                    <w:rPr>
                      <w:rFonts w:ascii="Arial" w:hAnsi="Arial" w:cs="Arial"/>
                      <w:sz w:val="18"/>
                      <w:szCs w:val="18"/>
                    </w:rPr>
                    <w:noBreakHyphen/>
                  </w:r>
                  <w:r w:rsidRPr="00E02BF0">
                    <w:rPr>
                      <w:rFonts w:ascii="Arial" w:hAnsi="Arial" w:cs="Arial"/>
                      <w:sz w:val="18"/>
                      <w:szCs w:val="18"/>
                    </w:rPr>
                    <w:t>metallic mineral products</w:t>
                  </w:r>
                </w:p>
              </w:tc>
              <w:tc>
                <w:tcPr>
                  <w:tcW w:w="502" w:type="pct"/>
                  <w:vAlign w:val="bottom"/>
                </w:tcPr>
                <w:p w:rsidR="00745FEA" w:rsidRPr="00FF2577" w:rsidRDefault="00745FEA" w:rsidP="00745FEA">
                  <w:pPr>
                    <w:pStyle w:val="TableBodyText"/>
                    <w:spacing w:after="20"/>
                    <w:ind w:right="57"/>
                  </w:pPr>
                  <w:r w:rsidRPr="00787078">
                    <w:t>312.0</w:t>
                  </w:r>
                </w:p>
              </w:tc>
              <w:tc>
                <w:tcPr>
                  <w:tcW w:w="501" w:type="pct"/>
                  <w:vAlign w:val="bottom"/>
                </w:tcPr>
                <w:p w:rsidR="00745FEA" w:rsidRPr="00FF2577" w:rsidRDefault="00745FEA" w:rsidP="00745FEA">
                  <w:pPr>
                    <w:pStyle w:val="TableBodyText"/>
                    <w:spacing w:after="20"/>
                    <w:ind w:right="57"/>
                  </w:pPr>
                  <w:r w:rsidRPr="00787078">
                    <w:t>305.2</w:t>
                  </w:r>
                </w:p>
              </w:tc>
              <w:tc>
                <w:tcPr>
                  <w:tcW w:w="501" w:type="pct"/>
                  <w:vAlign w:val="bottom"/>
                </w:tcPr>
                <w:p w:rsidR="00745FEA" w:rsidRPr="00FF2577" w:rsidRDefault="00745FEA" w:rsidP="00745FEA">
                  <w:pPr>
                    <w:pStyle w:val="TableBodyText"/>
                    <w:spacing w:after="20"/>
                    <w:ind w:right="57"/>
                  </w:pPr>
                  <w:r w:rsidRPr="00787078">
                    <w:t>310.4</w:t>
                  </w:r>
                </w:p>
              </w:tc>
              <w:tc>
                <w:tcPr>
                  <w:tcW w:w="499" w:type="pct"/>
                  <w:vAlign w:val="bottom"/>
                </w:tcPr>
                <w:p w:rsidR="00745FEA" w:rsidRPr="00FF2577" w:rsidRDefault="00745FEA" w:rsidP="00745FEA">
                  <w:pPr>
                    <w:pStyle w:val="TableBodyText"/>
                    <w:spacing w:after="20"/>
                    <w:ind w:right="57"/>
                  </w:pPr>
                  <w:r w:rsidRPr="00787078">
                    <w:t>325.6</w:t>
                  </w:r>
                </w:p>
              </w:tc>
              <w:tc>
                <w:tcPr>
                  <w:tcW w:w="499" w:type="pct"/>
                  <w:shd w:val="clear" w:color="auto" w:fill="auto"/>
                  <w:vAlign w:val="bottom"/>
                </w:tcPr>
                <w:p w:rsidR="00745FEA" w:rsidRPr="00FF2577" w:rsidRDefault="00745FEA" w:rsidP="00745FEA">
                  <w:pPr>
                    <w:pStyle w:val="TableBodyText"/>
                    <w:spacing w:after="20"/>
                    <w:ind w:right="57"/>
                  </w:pPr>
                  <w:r w:rsidRPr="00787078">
                    <w:t>327.8</w:t>
                  </w:r>
                </w:p>
              </w:tc>
              <w:tc>
                <w:tcPr>
                  <w:tcW w:w="496" w:type="pct"/>
                  <w:shd w:val="clear" w:color="auto" w:fill="auto"/>
                  <w:vAlign w:val="bottom"/>
                </w:tcPr>
                <w:p w:rsidR="00745FEA" w:rsidRPr="00FF2577" w:rsidRDefault="00745FEA" w:rsidP="00745FEA">
                  <w:pPr>
                    <w:pStyle w:val="TableBodyText"/>
                    <w:spacing w:after="20"/>
                    <w:ind w:right="57"/>
                  </w:pPr>
                  <w:r w:rsidRPr="00787078">
                    <w:t>319.8</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Metal and fabricated metal products</w:t>
                  </w:r>
                </w:p>
              </w:tc>
              <w:tc>
                <w:tcPr>
                  <w:tcW w:w="502" w:type="pct"/>
                  <w:vAlign w:val="bottom"/>
                </w:tcPr>
                <w:p w:rsidR="00745FEA" w:rsidRPr="00FF2577" w:rsidRDefault="00745FEA" w:rsidP="00745FEA">
                  <w:pPr>
                    <w:pStyle w:val="TableBodyText"/>
                    <w:spacing w:after="20"/>
                    <w:ind w:right="57"/>
                  </w:pPr>
                  <w:r w:rsidRPr="00787078">
                    <w:t>1095.0</w:t>
                  </w:r>
                </w:p>
              </w:tc>
              <w:tc>
                <w:tcPr>
                  <w:tcW w:w="501" w:type="pct"/>
                  <w:vAlign w:val="bottom"/>
                </w:tcPr>
                <w:p w:rsidR="00745FEA" w:rsidRPr="00FF2577" w:rsidRDefault="00745FEA" w:rsidP="00745FEA">
                  <w:pPr>
                    <w:pStyle w:val="TableBodyText"/>
                    <w:spacing w:after="20"/>
                    <w:ind w:right="57"/>
                  </w:pPr>
                  <w:r w:rsidRPr="00787078">
                    <w:t>1322.4</w:t>
                  </w:r>
                </w:p>
              </w:tc>
              <w:tc>
                <w:tcPr>
                  <w:tcW w:w="501" w:type="pct"/>
                  <w:vAlign w:val="bottom"/>
                </w:tcPr>
                <w:p w:rsidR="00745FEA" w:rsidRPr="00FF2577" w:rsidRDefault="00745FEA" w:rsidP="00745FEA">
                  <w:pPr>
                    <w:pStyle w:val="TableBodyText"/>
                    <w:spacing w:after="20"/>
                    <w:ind w:right="57"/>
                  </w:pPr>
                  <w:r w:rsidRPr="00787078">
                    <w:t>1073.2</w:t>
                  </w:r>
                </w:p>
              </w:tc>
              <w:tc>
                <w:tcPr>
                  <w:tcW w:w="499" w:type="pct"/>
                  <w:vAlign w:val="bottom"/>
                </w:tcPr>
                <w:p w:rsidR="00745FEA" w:rsidRPr="00FF2577" w:rsidRDefault="00745FEA" w:rsidP="00745FEA">
                  <w:pPr>
                    <w:pStyle w:val="TableBodyText"/>
                    <w:spacing w:after="20"/>
                    <w:ind w:right="57"/>
                  </w:pPr>
                  <w:r w:rsidRPr="00787078">
                    <w:t>1090.8</w:t>
                  </w:r>
                </w:p>
              </w:tc>
              <w:tc>
                <w:tcPr>
                  <w:tcW w:w="499" w:type="pct"/>
                  <w:shd w:val="clear" w:color="auto" w:fill="auto"/>
                  <w:vAlign w:val="bottom"/>
                </w:tcPr>
                <w:p w:rsidR="00745FEA" w:rsidRPr="00FF2577" w:rsidRDefault="00745FEA" w:rsidP="00745FEA">
                  <w:pPr>
                    <w:pStyle w:val="TableBodyText"/>
                    <w:spacing w:after="20"/>
                    <w:ind w:right="57"/>
                  </w:pPr>
                  <w:r w:rsidRPr="00787078">
                    <w:t>1045.9</w:t>
                  </w:r>
                </w:p>
              </w:tc>
              <w:tc>
                <w:tcPr>
                  <w:tcW w:w="496" w:type="pct"/>
                  <w:shd w:val="clear" w:color="auto" w:fill="auto"/>
                  <w:vAlign w:val="bottom"/>
                </w:tcPr>
                <w:p w:rsidR="00745FEA" w:rsidRPr="00FF2577" w:rsidRDefault="00745FEA" w:rsidP="00745FEA">
                  <w:pPr>
                    <w:pStyle w:val="TableBodyText"/>
                    <w:spacing w:after="20"/>
                    <w:ind w:right="57"/>
                  </w:pPr>
                  <w:r w:rsidRPr="00787078">
                    <w:t>1045.6</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Motor vehicle</w:t>
                  </w:r>
                  <w:r>
                    <w:rPr>
                      <w:rFonts w:ascii="Arial" w:hAnsi="Arial" w:cs="Arial"/>
                      <w:sz w:val="18"/>
                      <w:szCs w:val="18"/>
                    </w:rPr>
                    <w:t>s</w:t>
                  </w:r>
                  <w:r w:rsidRPr="00E02BF0">
                    <w:rPr>
                      <w:rFonts w:ascii="Arial" w:hAnsi="Arial" w:cs="Arial"/>
                      <w:sz w:val="18"/>
                      <w:szCs w:val="18"/>
                    </w:rPr>
                    <w:t xml:space="preserve"> and parts</w:t>
                  </w:r>
                </w:p>
              </w:tc>
              <w:tc>
                <w:tcPr>
                  <w:tcW w:w="502" w:type="pct"/>
                  <w:vAlign w:val="bottom"/>
                </w:tcPr>
                <w:p w:rsidR="00745FEA" w:rsidRPr="00FF2577" w:rsidRDefault="00745FEA" w:rsidP="00745FEA">
                  <w:pPr>
                    <w:pStyle w:val="TableBodyText"/>
                    <w:spacing w:after="20"/>
                    <w:ind w:right="57"/>
                  </w:pPr>
                  <w:r w:rsidRPr="00787078">
                    <w:t>745.9</w:t>
                  </w:r>
                </w:p>
              </w:tc>
              <w:tc>
                <w:tcPr>
                  <w:tcW w:w="501" w:type="pct"/>
                  <w:vAlign w:val="bottom"/>
                </w:tcPr>
                <w:p w:rsidR="00745FEA" w:rsidRPr="00FF2577" w:rsidRDefault="00745FEA" w:rsidP="00745FEA">
                  <w:pPr>
                    <w:pStyle w:val="TableBodyText"/>
                    <w:spacing w:after="20"/>
                    <w:ind w:right="57"/>
                  </w:pPr>
                  <w:r w:rsidRPr="00787078">
                    <w:t>477.9</w:t>
                  </w:r>
                </w:p>
              </w:tc>
              <w:tc>
                <w:tcPr>
                  <w:tcW w:w="501" w:type="pct"/>
                  <w:vAlign w:val="bottom"/>
                </w:tcPr>
                <w:p w:rsidR="00745FEA" w:rsidRPr="00FF2577" w:rsidRDefault="00745FEA" w:rsidP="00745FEA">
                  <w:pPr>
                    <w:pStyle w:val="TableBodyText"/>
                    <w:spacing w:after="20"/>
                    <w:ind w:right="57"/>
                  </w:pPr>
                  <w:r w:rsidRPr="00787078">
                    <w:t>561.7</w:t>
                  </w:r>
                </w:p>
              </w:tc>
              <w:tc>
                <w:tcPr>
                  <w:tcW w:w="499" w:type="pct"/>
                  <w:vAlign w:val="bottom"/>
                </w:tcPr>
                <w:p w:rsidR="00745FEA" w:rsidRPr="00FF2577" w:rsidRDefault="00745FEA" w:rsidP="00745FEA">
                  <w:pPr>
                    <w:pStyle w:val="TableBodyText"/>
                    <w:spacing w:after="20"/>
                    <w:ind w:right="57"/>
                  </w:pPr>
                  <w:r w:rsidRPr="00787078">
                    <w:t>508.6</w:t>
                  </w:r>
                </w:p>
              </w:tc>
              <w:tc>
                <w:tcPr>
                  <w:tcW w:w="499" w:type="pct"/>
                  <w:shd w:val="clear" w:color="auto" w:fill="auto"/>
                  <w:vAlign w:val="bottom"/>
                </w:tcPr>
                <w:p w:rsidR="00745FEA" w:rsidRPr="00FF2577" w:rsidRDefault="00745FEA" w:rsidP="00745FEA">
                  <w:pPr>
                    <w:pStyle w:val="TableBodyText"/>
                    <w:spacing w:after="20"/>
                    <w:ind w:right="57"/>
                  </w:pPr>
                  <w:r w:rsidRPr="00787078">
                    <w:t>499.0</w:t>
                  </w:r>
                </w:p>
              </w:tc>
              <w:tc>
                <w:tcPr>
                  <w:tcW w:w="496" w:type="pct"/>
                  <w:shd w:val="clear" w:color="auto" w:fill="auto"/>
                  <w:vAlign w:val="bottom"/>
                </w:tcPr>
                <w:p w:rsidR="00745FEA" w:rsidRPr="00FF2577" w:rsidRDefault="00745FEA" w:rsidP="00745FEA">
                  <w:pPr>
                    <w:pStyle w:val="TableBodyText"/>
                    <w:spacing w:after="20"/>
                    <w:ind w:right="57"/>
                  </w:pPr>
                  <w:r w:rsidRPr="00787078">
                    <w:t>475.1</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Other transport equipment</w:t>
                  </w:r>
                </w:p>
              </w:tc>
              <w:tc>
                <w:tcPr>
                  <w:tcW w:w="502" w:type="pct"/>
                  <w:vAlign w:val="bottom"/>
                </w:tcPr>
                <w:p w:rsidR="00745FEA" w:rsidRPr="00FF2577" w:rsidRDefault="00745FEA" w:rsidP="00745FEA">
                  <w:pPr>
                    <w:pStyle w:val="TableBodyText"/>
                    <w:spacing w:after="20"/>
                    <w:ind w:right="57"/>
                  </w:pPr>
                  <w:r w:rsidRPr="00787078">
                    <w:t>234.3</w:t>
                  </w:r>
                </w:p>
              </w:tc>
              <w:tc>
                <w:tcPr>
                  <w:tcW w:w="501" w:type="pct"/>
                  <w:vAlign w:val="bottom"/>
                </w:tcPr>
                <w:p w:rsidR="00745FEA" w:rsidRPr="00FF2577" w:rsidRDefault="00745FEA" w:rsidP="00745FEA">
                  <w:pPr>
                    <w:pStyle w:val="TableBodyText"/>
                    <w:spacing w:after="20"/>
                    <w:ind w:right="57"/>
                  </w:pPr>
                  <w:r w:rsidRPr="00787078">
                    <w:t>285.2</w:t>
                  </w:r>
                </w:p>
              </w:tc>
              <w:tc>
                <w:tcPr>
                  <w:tcW w:w="501" w:type="pct"/>
                  <w:vAlign w:val="bottom"/>
                </w:tcPr>
                <w:p w:rsidR="00745FEA" w:rsidRPr="00FF2577" w:rsidRDefault="00745FEA" w:rsidP="00745FEA">
                  <w:pPr>
                    <w:pStyle w:val="TableBodyText"/>
                    <w:spacing w:after="20"/>
                    <w:ind w:right="57"/>
                  </w:pPr>
                  <w:r w:rsidRPr="00787078">
                    <w:t>182.7</w:t>
                  </w:r>
                </w:p>
              </w:tc>
              <w:tc>
                <w:tcPr>
                  <w:tcW w:w="499" w:type="pct"/>
                  <w:vAlign w:val="bottom"/>
                </w:tcPr>
                <w:p w:rsidR="00745FEA" w:rsidRPr="00FF2577" w:rsidRDefault="00745FEA" w:rsidP="00745FEA">
                  <w:pPr>
                    <w:pStyle w:val="TableBodyText"/>
                    <w:spacing w:after="20"/>
                    <w:ind w:right="57"/>
                  </w:pPr>
                  <w:r w:rsidRPr="00787078">
                    <w:t>247.7</w:t>
                  </w:r>
                </w:p>
              </w:tc>
              <w:tc>
                <w:tcPr>
                  <w:tcW w:w="499" w:type="pct"/>
                  <w:shd w:val="clear" w:color="auto" w:fill="auto"/>
                  <w:vAlign w:val="bottom"/>
                </w:tcPr>
                <w:p w:rsidR="00745FEA" w:rsidRPr="00FF2577" w:rsidRDefault="00745FEA" w:rsidP="00745FEA">
                  <w:pPr>
                    <w:pStyle w:val="TableBodyText"/>
                    <w:spacing w:after="20"/>
                    <w:ind w:right="57"/>
                  </w:pPr>
                  <w:r w:rsidRPr="00787078">
                    <w:t>243.0</w:t>
                  </w:r>
                </w:p>
              </w:tc>
              <w:tc>
                <w:tcPr>
                  <w:tcW w:w="496" w:type="pct"/>
                  <w:shd w:val="clear" w:color="auto" w:fill="auto"/>
                  <w:vAlign w:val="bottom"/>
                </w:tcPr>
                <w:p w:rsidR="00745FEA" w:rsidRPr="00FF2577" w:rsidRDefault="00745FEA" w:rsidP="00745FEA">
                  <w:pPr>
                    <w:pStyle w:val="TableBodyText"/>
                    <w:spacing w:after="20"/>
                    <w:ind w:right="57"/>
                  </w:pPr>
                  <w:r w:rsidRPr="00787078">
                    <w:t>231.4</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Machinery &amp; equipment manufacturing</w:t>
                  </w:r>
                </w:p>
              </w:tc>
              <w:tc>
                <w:tcPr>
                  <w:tcW w:w="502" w:type="pct"/>
                  <w:vAlign w:val="bottom"/>
                </w:tcPr>
                <w:p w:rsidR="00745FEA" w:rsidRPr="00FF2577" w:rsidRDefault="00745FEA" w:rsidP="00745FEA">
                  <w:pPr>
                    <w:pStyle w:val="TableBodyText"/>
                    <w:spacing w:after="20"/>
                    <w:ind w:right="57"/>
                  </w:pPr>
                  <w:r w:rsidRPr="00787078">
                    <w:t>442.2</w:t>
                  </w:r>
                </w:p>
              </w:tc>
              <w:tc>
                <w:tcPr>
                  <w:tcW w:w="501" w:type="pct"/>
                  <w:vAlign w:val="bottom"/>
                </w:tcPr>
                <w:p w:rsidR="00745FEA" w:rsidRPr="00FF2577" w:rsidRDefault="00745FEA" w:rsidP="00745FEA">
                  <w:pPr>
                    <w:pStyle w:val="TableBodyText"/>
                    <w:spacing w:after="20"/>
                    <w:ind w:right="57"/>
                  </w:pPr>
                  <w:r w:rsidRPr="00787078">
                    <w:t>450.9</w:t>
                  </w:r>
                </w:p>
              </w:tc>
              <w:tc>
                <w:tcPr>
                  <w:tcW w:w="501" w:type="pct"/>
                  <w:vAlign w:val="bottom"/>
                </w:tcPr>
                <w:p w:rsidR="00745FEA" w:rsidRPr="00FF2577" w:rsidRDefault="00745FEA" w:rsidP="00745FEA">
                  <w:pPr>
                    <w:pStyle w:val="TableBodyText"/>
                    <w:spacing w:after="20"/>
                    <w:ind w:right="57"/>
                  </w:pPr>
                  <w:r w:rsidRPr="00787078">
                    <w:t>444.3</w:t>
                  </w:r>
                </w:p>
              </w:tc>
              <w:tc>
                <w:tcPr>
                  <w:tcW w:w="499" w:type="pct"/>
                  <w:vAlign w:val="bottom"/>
                </w:tcPr>
                <w:p w:rsidR="00745FEA" w:rsidRPr="00FF2577" w:rsidRDefault="00745FEA" w:rsidP="00745FEA">
                  <w:pPr>
                    <w:pStyle w:val="TableBodyText"/>
                    <w:spacing w:after="20"/>
                    <w:ind w:right="57"/>
                  </w:pPr>
                  <w:r w:rsidRPr="00787078">
                    <w:t>422.0</w:t>
                  </w:r>
                </w:p>
              </w:tc>
              <w:tc>
                <w:tcPr>
                  <w:tcW w:w="499" w:type="pct"/>
                  <w:shd w:val="clear" w:color="auto" w:fill="auto"/>
                  <w:vAlign w:val="bottom"/>
                </w:tcPr>
                <w:p w:rsidR="00745FEA" w:rsidRPr="00FF2577" w:rsidRDefault="00745FEA" w:rsidP="00745FEA">
                  <w:pPr>
                    <w:pStyle w:val="TableBodyText"/>
                    <w:spacing w:after="20"/>
                    <w:ind w:right="57"/>
                  </w:pPr>
                  <w:r w:rsidRPr="00787078">
                    <w:t>414.0</w:t>
                  </w:r>
                </w:p>
              </w:tc>
              <w:tc>
                <w:tcPr>
                  <w:tcW w:w="496" w:type="pct"/>
                  <w:shd w:val="clear" w:color="auto" w:fill="auto"/>
                  <w:vAlign w:val="bottom"/>
                </w:tcPr>
                <w:p w:rsidR="00745FEA" w:rsidRPr="00FF2577" w:rsidRDefault="00745FEA" w:rsidP="00745FEA">
                  <w:pPr>
                    <w:pStyle w:val="TableBodyText"/>
                    <w:spacing w:after="20"/>
                    <w:ind w:right="57"/>
                  </w:pPr>
                  <w:r w:rsidRPr="00787078">
                    <w:t>394.2</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Furniture and other manufacturing</w:t>
                  </w:r>
                </w:p>
              </w:tc>
              <w:tc>
                <w:tcPr>
                  <w:tcW w:w="502" w:type="pct"/>
                  <w:vAlign w:val="bottom"/>
                </w:tcPr>
                <w:p w:rsidR="00745FEA" w:rsidRPr="00FF2577" w:rsidRDefault="00745FEA" w:rsidP="00745FEA">
                  <w:pPr>
                    <w:pStyle w:val="TableBodyText"/>
                    <w:spacing w:after="20"/>
                    <w:ind w:right="57"/>
                  </w:pPr>
                  <w:r w:rsidRPr="00787078">
                    <w:t>237.4</w:t>
                  </w:r>
                </w:p>
              </w:tc>
              <w:tc>
                <w:tcPr>
                  <w:tcW w:w="501" w:type="pct"/>
                  <w:vAlign w:val="bottom"/>
                </w:tcPr>
                <w:p w:rsidR="00745FEA" w:rsidRPr="00FF2577" w:rsidRDefault="00745FEA" w:rsidP="00745FEA">
                  <w:pPr>
                    <w:pStyle w:val="TableBodyText"/>
                    <w:spacing w:after="20"/>
                    <w:ind w:right="57"/>
                  </w:pPr>
                  <w:r w:rsidRPr="00787078">
                    <w:t>208.8</w:t>
                  </w:r>
                </w:p>
              </w:tc>
              <w:tc>
                <w:tcPr>
                  <w:tcW w:w="501" w:type="pct"/>
                  <w:vAlign w:val="bottom"/>
                </w:tcPr>
                <w:p w:rsidR="00745FEA" w:rsidRPr="00FF2577" w:rsidRDefault="00745FEA" w:rsidP="00745FEA">
                  <w:pPr>
                    <w:pStyle w:val="TableBodyText"/>
                    <w:spacing w:after="20"/>
                    <w:ind w:right="57"/>
                  </w:pPr>
                  <w:r w:rsidRPr="00787078">
                    <w:t>218.3</w:t>
                  </w:r>
                </w:p>
              </w:tc>
              <w:tc>
                <w:tcPr>
                  <w:tcW w:w="499" w:type="pct"/>
                  <w:vAlign w:val="bottom"/>
                </w:tcPr>
                <w:p w:rsidR="00745FEA" w:rsidRPr="00FF2577" w:rsidRDefault="00745FEA" w:rsidP="00745FEA">
                  <w:pPr>
                    <w:pStyle w:val="TableBodyText"/>
                    <w:spacing w:after="20"/>
                    <w:ind w:right="57"/>
                  </w:pPr>
                  <w:r w:rsidRPr="00787078">
                    <w:t>228.2</w:t>
                  </w:r>
                </w:p>
              </w:tc>
              <w:tc>
                <w:tcPr>
                  <w:tcW w:w="499" w:type="pct"/>
                  <w:shd w:val="clear" w:color="auto" w:fill="auto"/>
                  <w:vAlign w:val="bottom"/>
                </w:tcPr>
                <w:p w:rsidR="00745FEA" w:rsidRPr="00FF2577" w:rsidRDefault="00745FEA" w:rsidP="00745FEA">
                  <w:pPr>
                    <w:pStyle w:val="TableBodyText"/>
                    <w:spacing w:after="20"/>
                    <w:ind w:right="57"/>
                  </w:pPr>
                  <w:r w:rsidRPr="00787078">
                    <w:t>223.9</w:t>
                  </w:r>
                </w:p>
              </w:tc>
              <w:tc>
                <w:tcPr>
                  <w:tcW w:w="496" w:type="pct"/>
                  <w:shd w:val="clear" w:color="auto" w:fill="auto"/>
                  <w:vAlign w:val="bottom"/>
                </w:tcPr>
                <w:p w:rsidR="00745FEA" w:rsidRPr="00FF2577" w:rsidRDefault="00745FEA" w:rsidP="00745FEA">
                  <w:pPr>
                    <w:pStyle w:val="TableBodyText"/>
                    <w:spacing w:after="20"/>
                    <w:ind w:right="57"/>
                  </w:pPr>
                  <w:r w:rsidRPr="00787078">
                    <w:t>213.5</w:t>
                  </w:r>
                </w:p>
              </w:tc>
            </w:tr>
            <w:tr w:rsidR="00745FEA" w:rsidTr="00745FEA">
              <w:tc>
                <w:tcPr>
                  <w:tcW w:w="2002" w:type="pct"/>
                  <w:shd w:val="clear" w:color="auto" w:fill="auto"/>
                  <w:vAlign w:val="center"/>
                </w:tcPr>
                <w:p w:rsidR="00745FEA" w:rsidRPr="00E02BF0" w:rsidRDefault="00745FEA" w:rsidP="00745FEA">
                  <w:pPr>
                    <w:rPr>
                      <w:rFonts w:ascii="Arial" w:hAnsi="Arial" w:cs="Arial"/>
                      <w:sz w:val="18"/>
                      <w:szCs w:val="18"/>
                    </w:rPr>
                  </w:pPr>
                  <w:r w:rsidRPr="00E02BF0">
                    <w:rPr>
                      <w:rFonts w:ascii="Arial" w:hAnsi="Arial" w:cs="Arial"/>
                      <w:sz w:val="18"/>
                      <w:szCs w:val="18"/>
                    </w:rPr>
                    <w:t>Unallocated manufacturing</w:t>
                  </w:r>
                  <w:r w:rsidRPr="00F4344E">
                    <w:rPr>
                      <w:rStyle w:val="NoteLabel"/>
                    </w:rPr>
                    <w:t>b</w:t>
                  </w:r>
                </w:p>
              </w:tc>
              <w:tc>
                <w:tcPr>
                  <w:tcW w:w="502" w:type="pct"/>
                  <w:vAlign w:val="bottom"/>
                </w:tcPr>
                <w:p w:rsidR="00745FEA" w:rsidRPr="00FF2577" w:rsidRDefault="00745FEA" w:rsidP="00745FEA">
                  <w:pPr>
                    <w:pStyle w:val="TableBodyText"/>
                    <w:ind w:right="57"/>
                  </w:pPr>
                  <w:r w:rsidRPr="00787078">
                    <w:t xml:space="preserve">– </w:t>
                  </w:r>
                </w:p>
              </w:tc>
              <w:tc>
                <w:tcPr>
                  <w:tcW w:w="501" w:type="pct"/>
                  <w:vAlign w:val="bottom"/>
                </w:tcPr>
                <w:p w:rsidR="00745FEA" w:rsidRPr="00FF2577" w:rsidRDefault="00745FEA" w:rsidP="00745FEA">
                  <w:pPr>
                    <w:pStyle w:val="TableBodyText"/>
                    <w:ind w:right="57"/>
                  </w:pPr>
                  <w:r w:rsidRPr="00787078">
                    <w:t xml:space="preserve">– </w:t>
                  </w:r>
                </w:p>
              </w:tc>
              <w:tc>
                <w:tcPr>
                  <w:tcW w:w="501" w:type="pct"/>
                  <w:vAlign w:val="bottom"/>
                </w:tcPr>
                <w:p w:rsidR="00745FEA" w:rsidRPr="00FF2577" w:rsidRDefault="00745FEA" w:rsidP="00745FEA">
                  <w:pPr>
                    <w:pStyle w:val="TableBodyText"/>
                    <w:ind w:right="57"/>
                  </w:pPr>
                  <w:r w:rsidRPr="00787078">
                    <w:t xml:space="preserve">– </w:t>
                  </w:r>
                </w:p>
              </w:tc>
              <w:tc>
                <w:tcPr>
                  <w:tcW w:w="499" w:type="pct"/>
                  <w:vAlign w:val="bottom"/>
                </w:tcPr>
                <w:p w:rsidR="00745FEA" w:rsidRPr="00FF2577" w:rsidRDefault="00745FEA" w:rsidP="00745FEA">
                  <w:pPr>
                    <w:pStyle w:val="TableBodyText"/>
                    <w:ind w:right="57"/>
                  </w:pPr>
                  <w:r w:rsidRPr="00787078">
                    <w:t xml:space="preserve">– </w:t>
                  </w:r>
                </w:p>
              </w:tc>
              <w:tc>
                <w:tcPr>
                  <w:tcW w:w="499" w:type="pct"/>
                  <w:shd w:val="clear" w:color="auto" w:fill="auto"/>
                  <w:vAlign w:val="bottom"/>
                </w:tcPr>
                <w:p w:rsidR="00745FEA" w:rsidRPr="00FF2577" w:rsidRDefault="00745FEA" w:rsidP="00745FEA">
                  <w:pPr>
                    <w:pStyle w:val="TableBodyText"/>
                    <w:ind w:right="57"/>
                  </w:pPr>
                  <w:r w:rsidRPr="00787078">
                    <w:t xml:space="preserve">– </w:t>
                  </w:r>
                </w:p>
              </w:tc>
              <w:tc>
                <w:tcPr>
                  <w:tcW w:w="496" w:type="pct"/>
                  <w:shd w:val="clear" w:color="auto" w:fill="auto"/>
                  <w:vAlign w:val="bottom"/>
                </w:tcPr>
                <w:p w:rsidR="00745FEA" w:rsidRPr="00FF2577" w:rsidRDefault="00745FEA" w:rsidP="00745FEA">
                  <w:pPr>
                    <w:pStyle w:val="TableBodyText"/>
                    <w:ind w:right="57"/>
                  </w:pPr>
                  <w:r w:rsidRPr="00787078">
                    <w:t xml:space="preserve">– </w:t>
                  </w:r>
                </w:p>
              </w:tc>
            </w:tr>
            <w:tr w:rsidR="00745FEA" w:rsidRPr="00A64D3D" w:rsidTr="00745FEA">
              <w:tc>
                <w:tcPr>
                  <w:tcW w:w="2002" w:type="pct"/>
                  <w:shd w:val="clear" w:color="auto" w:fill="auto"/>
                  <w:vAlign w:val="bottom"/>
                </w:tcPr>
                <w:p w:rsidR="00745FEA" w:rsidRPr="00A64D3D" w:rsidRDefault="00745FEA" w:rsidP="00745FEA">
                  <w:pPr>
                    <w:spacing w:after="20"/>
                    <w:rPr>
                      <w:rFonts w:ascii="Arial" w:hAnsi="Arial" w:cs="Arial"/>
                      <w:b/>
                      <w:bCs/>
                      <w:sz w:val="18"/>
                      <w:szCs w:val="18"/>
                    </w:rPr>
                  </w:pPr>
                  <w:r w:rsidRPr="00A64D3D">
                    <w:rPr>
                      <w:rFonts w:ascii="Arial" w:hAnsi="Arial" w:cs="Arial"/>
                      <w:b/>
                      <w:bCs/>
                      <w:sz w:val="18"/>
                      <w:szCs w:val="18"/>
                    </w:rPr>
                    <w:t>Services</w:t>
                  </w:r>
                </w:p>
              </w:tc>
              <w:tc>
                <w:tcPr>
                  <w:tcW w:w="502" w:type="pct"/>
                  <w:vAlign w:val="bottom"/>
                </w:tcPr>
                <w:p w:rsidR="00745FEA" w:rsidRPr="00A64D3D" w:rsidRDefault="00745FEA" w:rsidP="00745FEA">
                  <w:pPr>
                    <w:pStyle w:val="TableBodyText"/>
                    <w:spacing w:after="20"/>
                    <w:ind w:right="57"/>
                    <w:rPr>
                      <w:b/>
                    </w:rPr>
                  </w:pPr>
                  <w:r>
                    <w:rPr>
                      <w:b/>
                    </w:rPr>
                    <w:t>0.0</w:t>
                  </w:r>
                  <w:r w:rsidRPr="00A64D3D">
                    <w:rPr>
                      <w:b/>
                    </w:rPr>
                    <w:t xml:space="preserve"> </w:t>
                  </w:r>
                </w:p>
              </w:tc>
              <w:tc>
                <w:tcPr>
                  <w:tcW w:w="501" w:type="pct"/>
                  <w:vAlign w:val="bottom"/>
                </w:tcPr>
                <w:p w:rsidR="00745FEA" w:rsidRPr="00A64D3D" w:rsidRDefault="00745FEA" w:rsidP="00745FEA">
                  <w:pPr>
                    <w:pStyle w:val="TableBodyText"/>
                    <w:spacing w:after="20"/>
                    <w:ind w:right="57"/>
                    <w:rPr>
                      <w:b/>
                    </w:rPr>
                  </w:pPr>
                  <w:r>
                    <w:rPr>
                      <w:b/>
                    </w:rPr>
                    <w:t>0.0</w:t>
                  </w:r>
                  <w:r w:rsidRPr="00A64D3D">
                    <w:rPr>
                      <w:b/>
                    </w:rPr>
                    <w:t xml:space="preserve"> </w:t>
                  </w:r>
                </w:p>
              </w:tc>
              <w:tc>
                <w:tcPr>
                  <w:tcW w:w="501" w:type="pct"/>
                  <w:vAlign w:val="bottom"/>
                </w:tcPr>
                <w:p w:rsidR="00745FEA" w:rsidRPr="00A64D3D" w:rsidRDefault="00745FEA" w:rsidP="00745FEA">
                  <w:pPr>
                    <w:pStyle w:val="TableBodyText"/>
                    <w:spacing w:after="20"/>
                    <w:ind w:right="57"/>
                    <w:rPr>
                      <w:b/>
                    </w:rPr>
                  </w:pPr>
                  <w:r>
                    <w:rPr>
                      <w:b/>
                    </w:rPr>
                    <w:t>0.0</w:t>
                  </w:r>
                  <w:r w:rsidRPr="00A64D3D">
                    <w:rPr>
                      <w:b/>
                    </w:rPr>
                    <w:t xml:space="preserve"> </w:t>
                  </w:r>
                </w:p>
              </w:tc>
              <w:tc>
                <w:tcPr>
                  <w:tcW w:w="499" w:type="pct"/>
                  <w:vAlign w:val="bottom"/>
                </w:tcPr>
                <w:p w:rsidR="00745FEA" w:rsidRPr="00A64D3D" w:rsidRDefault="00745FEA" w:rsidP="00745FEA">
                  <w:pPr>
                    <w:pStyle w:val="TableBodyText"/>
                    <w:spacing w:after="20"/>
                    <w:ind w:right="57"/>
                    <w:rPr>
                      <w:b/>
                    </w:rPr>
                  </w:pPr>
                  <w:r>
                    <w:rPr>
                      <w:b/>
                    </w:rPr>
                    <w:t>0.0</w:t>
                  </w:r>
                  <w:r w:rsidRPr="00A64D3D">
                    <w:rPr>
                      <w:b/>
                    </w:rPr>
                    <w:t xml:space="preserve"> </w:t>
                  </w:r>
                </w:p>
              </w:tc>
              <w:tc>
                <w:tcPr>
                  <w:tcW w:w="499" w:type="pct"/>
                  <w:shd w:val="clear" w:color="auto" w:fill="auto"/>
                  <w:vAlign w:val="bottom"/>
                </w:tcPr>
                <w:p w:rsidR="00745FEA" w:rsidRPr="00A64D3D" w:rsidRDefault="00745FEA" w:rsidP="00745FEA">
                  <w:pPr>
                    <w:pStyle w:val="TableBodyText"/>
                    <w:spacing w:after="20"/>
                    <w:ind w:right="57"/>
                    <w:rPr>
                      <w:b/>
                    </w:rPr>
                  </w:pPr>
                  <w:r>
                    <w:rPr>
                      <w:b/>
                    </w:rPr>
                    <w:t>0.0</w:t>
                  </w:r>
                  <w:r w:rsidRPr="00A64D3D">
                    <w:rPr>
                      <w:b/>
                    </w:rPr>
                    <w:t xml:space="preserve"> </w:t>
                  </w:r>
                </w:p>
              </w:tc>
              <w:tc>
                <w:tcPr>
                  <w:tcW w:w="496" w:type="pct"/>
                  <w:shd w:val="clear" w:color="auto" w:fill="auto"/>
                  <w:vAlign w:val="bottom"/>
                </w:tcPr>
                <w:p w:rsidR="00745FEA" w:rsidRPr="00A64D3D" w:rsidRDefault="00745FEA" w:rsidP="00745FEA">
                  <w:pPr>
                    <w:pStyle w:val="TableBodyText"/>
                    <w:spacing w:after="20"/>
                    <w:ind w:right="57"/>
                    <w:rPr>
                      <w:b/>
                    </w:rPr>
                  </w:pPr>
                  <w:r>
                    <w:rPr>
                      <w:b/>
                    </w:rPr>
                    <w:t>0.0</w:t>
                  </w:r>
                  <w:r w:rsidRPr="00A64D3D">
                    <w:rPr>
                      <w:b/>
                    </w:rPr>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Electricity, gas, water &amp; waste services</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Construction</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Wholesale trade</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Retail trade</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Accommodation &amp; food services</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Transport, postal &amp; warehousing</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Information &amp; telecommunications</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Financial and insurance services</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Property, professional &amp; admin.</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Public administration and safety</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Education and training</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Health care and social assistance</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Arts and recreation services</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spacing w:after="20"/>
                    <w:rPr>
                      <w:rFonts w:ascii="Arial" w:hAnsi="Arial" w:cs="Arial"/>
                      <w:sz w:val="18"/>
                      <w:szCs w:val="18"/>
                    </w:rPr>
                  </w:pPr>
                  <w:r w:rsidRPr="00E02BF0">
                    <w:rPr>
                      <w:rFonts w:ascii="Arial" w:hAnsi="Arial" w:cs="Arial"/>
                      <w:sz w:val="18"/>
                      <w:szCs w:val="18"/>
                    </w:rPr>
                    <w:t>Other services</w:t>
                  </w:r>
                </w:p>
              </w:tc>
              <w:tc>
                <w:tcPr>
                  <w:tcW w:w="502"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501" w:type="pct"/>
                  <w:vAlign w:val="bottom"/>
                </w:tcPr>
                <w:p w:rsidR="00745FEA" w:rsidRPr="00FF2577" w:rsidRDefault="00745FEA" w:rsidP="00745FEA">
                  <w:pPr>
                    <w:pStyle w:val="TableBodyText"/>
                    <w:spacing w:after="20"/>
                    <w:ind w:right="57"/>
                  </w:pPr>
                  <w:r w:rsidRPr="00787078">
                    <w:t xml:space="preserve">– </w:t>
                  </w:r>
                </w:p>
              </w:tc>
              <w:tc>
                <w:tcPr>
                  <w:tcW w:w="499" w:type="pct"/>
                  <w:vAlign w:val="bottom"/>
                </w:tcPr>
                <w:p w:rsidR="00745FEA" w:rsidRPr="00FF2577" w:rsidRDefault="00745FEA" w:rsidP="00745FEA">
                  <w:pPr>
                    <w:pStyle w:val="TableBodyText"/>
                    <w:spacing w:after="20"/>
                    <w:ind w:right="57"/>
                  </w:pPr>
                  <w:r w:rsidRPr="00787078">
                    <w:t xml:space="preserve">– </w:t>
                  </w:r>
                </w:p>
              </w:tc>
              <w:tc>
                <w:tcPr>
                  <w:tcW w:w="499" w:type="pct"/>
                  <w:shd w:val="clear" w:color="auto" w:fill="auto"/>
                  <w:vAlign w:val="bottom"/>
                </w:tcPr>
                <w:p w:rsidR="00745FEA" w:rsidRPr="00FF2577" w:rsidRDefault="00745FEA" w:rsidP="00745FEA">
                  <w:pPr>
                    <w:pStyle w:val="TableBodyText"/>
                    <w:spacing w:after="20"/>
                    <w:ind w:right="57"/>
                  </w:pPr>
                  <w:r w:rsidRPr="00787078">
                    <w:t xml:space="preserve">– </w:t>
                  </w:r>
                </w:p>
              </w:tc>
              <w:tc>
                <w:tcPr>
                  <w:tcW w:w="496" w:type="pct"/>
                  <w:shd w:val="clear" w:color="auto" w:fill="auto"/>
                  <w:vAlign w:val="bottom"/>
                </w:tcPr>
                <w:p w:rsidR="00745FEA" w:rsidRPr="00FF2577" w:rsidRDefault="00745FEA" w:rsidP="00745FEA">
                  <w:pPr>
                    <w:pStyle w:val="TableBodyText"/>
                    <w:spacing w:after="20"/>
                    <w:ind w:right="57"/>
                  </w:pPr>
                  <w:r w:rsidRPr="00787078">
                    <w:t xml:space="preserve">– </w:t>
                  </w:r>
                </w:p>
              </w:tc>
            </w:tr>
            <w:tr w:rsidR="00745FEA" w:rsidTr="00745FEA">
              <w:tc>
                <w:tcPr>
                  <w:tcW w:w="2002" w:type="pct"/>
                  <w:shd w:val="clear" w:color="auto" w:fill="auto"/>
                  <w:vAlign w:val="center"/>
                </w:tcPr>
                <w:p w:rsidR="00745FEA" w:rsidRPr="00E02BF0" w:rsidRDefault="00745FEA" w:rsidP="00745FEA">
                  <w:pPr>
                    <w:rPr>
                      <w:rFonts w:ascii="Arial" w:hAnsi="Arial" w:cs="Arial"/>
                      <w:sz w:val="18"/>
                      <w:szCs w:val="18"/>
                    </w:rPr>
                  </w:pPr>
                  <w:r w:rsidRPr="00E02BF0">
                    <w:rPr>
                      <w:rFonts w:ascii="Arial" w:hAnsi="Arial" w:cs="Arial"/>
                      <w:sz w:val="18"/>
                      <w:szCs w:val="18"/>
                    </w:rPr>
                    <w:t>Unallocated services</w:t>
                  </w:r>
                  <w:r w:rsidRPr="00F4344E">
                    <w:rPr>
                      <w:rStyle w:val="NoteLabel"/>
                    </w:rPr>
                    <w:t>b</w:t>
                  </w:r>
                </w:p>
              </w:tc>
              <w:tc>
                <w:tcPr>
                  <w:tcW w:w="502" w:type="pct"/>
                  <w:vAlign w:val="bottom"/>
                </w:tcPr>
                <w:p w:rsidR="00745FEA" w:rsidRPr="00FF2577" w:rsidRDefault="00745FEA" w:rsidP="00745FEA">
                  <w:pPr>
                    <w:pStyle w:val="TableBodyText"/>
                    <w:ind w:right="57"/>
                  </w:pPr>
                  <w:r w:rsidRPr="00787078">
                    <w:t xml:space="preserve">– </w:t>
                  </w:r>
                </w:p>
              </w:tc>
              <w:tc>
                <w:tcPr>
                  <w:tcW w:w="501" w:type="pct"/>
                  <w:vAlign w:val="bottom"/>
                </w:tcPr>
                <w:p w:rsidR="00745FEA" w:rsidRPr="00FF2577" w:rsidRDefault="00745FEA" w:rsidP="00745FEA">
                  <w:pPr>
                    <w:pStyle w:val="TableBodyText"/>
                    <w:ind w:right="57"/>
                  </w:pPr>
                  <w:r w:rsidRPr="00787078">
                    <w:t xml:space="preserve">– </w:t>
                  </w:r>
                </w:p>
              </w:tc>
              <w:tc>
                <w:tcPr>
                  <w:tcW w:w="501" w:type="pct"/>
                  <w:vAlign w:val="bottom"/>
                </w:tcPr>
                <w:p w:rsidR="00745FEA" w:rsidRPr="00FF2577" w:rsidRDefault="00745FEA" w:rsidP="00745FEA">
                  <w:pPr>
                    <w:pStyle w:val="TableBodyText"/>
                    <w:ind w:right="57"/>
                  </w:pPr>
                  <w:r w:rsidRPr="00787078">
                    <w:t xml:space="preserve">– </w:t>
                  </w:r>
                </w:p>
              </w:tc>
              <w:tc>
                <w:tcPr>
                  <w:tcW w:w="499" w:type="pct"/>
                  <w:vAlign w:val="bottom"/>
                </w:tcPr>
                <w:p w:rsidR="00745FEA" w:rsidRPr="00FF2577" w:rsidRDefault="00745FEA" w:rsidP="00745FEA">
                  <w:pPr>
                    <w:pStyle w:val="TableBodyText"/>
                    <w:ind w:right="57"/>
                  </w:pPr>
                  <w:r w:rsidRPr="00787078">
                    <w:t xml:space="preserve">– </w:t>
                  </w:r>
                </w:p>
              </w:tc>
              <w:tc>
                <w:tcPr>
                  <w:tcW w:w="499" w:type="pct"/>
                  <w:shd w:val="clear" w:color="auto" w:fill="auto"/>
                  <w:vAlign w:val="bottom"/>
                </w:tcPr>
                <w:p w:rsidR="00745FEA" w:rsidRPr="00FF2577" w:rsidRDefault="00745FEA" w:rsidP="00745FEA">
                  <w:pPr>
                    <w:pStyle w:val="TableBodyText"/>
                    <w:ind w:right="57"/>
                  </w:pPr>
                  <w:r w:rsidRPr="00787078">
                    <w:t xml:space="preserve">– </w:t>
                  </w:r>
                </w:p>
              </w:tc>
              <w:tc>
                <w:tcPr>
                  <w:tcW w:w="496" w:type="pct"/>
                  <w:shd w:val="clear" w:color="auto" w:fill="auto"/>
                  <w:vAlign w:val="bottom"/>
                </w:tcPr>
                <w:p w:rsidR="00745FEA" w:rsidRPr="00FF2577" w:rsidRDefault="00745FEA" w:rsidP="00745FEA">
                  <w:pPr>
                    <w:pStyle w:val="TableBodyText"/>
                    <w:ind w:right="57"/>
                  </w:pPr>
                  <w:r w:rsidRPr="00787078">
                    <w:t xml:space="preserve">– </w:t>
                  </w:r>
                </w:p>
              </w:tc>
            </w:tr>
            <w:tr w:rsidR="00745FEA" w:rsidRPr="00A64D3D" w:rsidTr="00745FEA">
              <w:tc>
                <w:tcPr>
                  <w:tcW w:w="2002" w:type="pct"/>
                  <w:shd w:val="clear" w:color="auto" w:fill="auto"/>
                  <w:vAlign w:val="center"/>
                </w:tcPr>
                <w:p w:rsidR="00745FEA" w:rsidRPr="00A64D3D" w:rsidRDefault="00745FEA" w:rsidP="00745FEA">
                  <w:pPr>
                    <w:spacing w:after="20"/>
                    <w:rPr>
                      <w:rFonts w:ascii="Arial" w:hAnsi="Arial" w:cs="Arial"/>
                      <w:b/>
                      <w:bCs/>
                      <w:sz w:val="18"/>
                      <w:szCs w:val="18"/>
                    </w:rPr>
                  </w:pPr>
                  <w:r w:rsidRPr="00A64D3D">
                    <w:rPr>
                      <w:rFonts w:ascii="Arial" w:hAnsi="Arial" w:cs="Arial"/>
                      <w:b/>
                      <w:bCs/>
                      <w:sz w:val="18"/>
                      <w:szCs w:val="18"/>
                    </w:rPr>
                    <w:t>Unallocated other</w:t>
                  </w:r>
                  <w:r w:rsidRPr="009E76C0">
                    <w:rPr>
                      <w:rStyle w:val="NoteLabel"/>
                    </w:rPr>
                    <w:t>b</w:t>
                  </w:r>
                </w:p>
              </w:tc>
              <w:tc>
                <w:tcPr>
                  <w:tcW w:w="502" w:type="pct"/>
                  <w:vAlign w:val="bottom"/>
                </w:tcPr>
                <w:p w:rsidR="00745FEA" w:rsidRPr="00A64D3D" w:rsidRDefault="00745FEA" w:rsidP="00745FEA">
                  <w:pPr>
                    <w:pStyle w:val="TableBodyText"/>
                    <w:ind w:right="57"/>
                    <w:rPr>
                      <w:b/>
                    </w:rPr>
                  </w:pPr>
                  <w:r w:rsidRPr="00A64D3D">
                    <w:rPr>
                      <w:b/>
                    </w:rPr>
                    <w:t xml:space="preserve">– </w:t>
                  </w:r>
                </w:p>
              </w:tc>
              <w:tc>
                <w:tcPr>
                  <w:tcW w:w="501" w:type="pct"/>
                  <w:vAlign w:val="bottom"/>
                </w:tcPr>
                <w:p w:rsidR="00745FEA" w:rsidRPr="00A64D3D" w:rsidRDefault="00745FEA" w:rsidP="00745FEA">
                  <w:pPr>
                    <w:pStyle w:val="TableBodyText"/>
                    <w:ind w:right="57"/>
                    <w:rPr>
                      <w:b/>
                    </w:rPr>
                  </w:pPr>
                  <w:r w:rsidRPr="00A64D3D">
                    <w:rPr>
                      <w:b/>
                    </w:rPr>
                    <w:t xml:space="preserve">– </w:t>
                  </w:r>
                </w:p>
              </w:tc>
              <w:tc>
                <w:tcPr>
                  <w:tcW w:w="501" w:type="pct"/>
                  <w:vAlign w:val="bottom"/>
                </w:tcPr>
                <w:p w:rsidR="00745FEA" w:rsidRPr="00A64D3D" w:rsidRDefault="00745FEA" w:rsidP="00745FEA">
                  <w:pPr>
                    <w:pStyle w:val="TableBodyText"/>
                    <w:ind w:right="57"/>
                    <w:rPr>
                      <w:b/>
                    </w:rPr>
                  </w:pPr>
                  <w:r w:rsidRPr="00A64D3D">
                    <w:rPr>
                      <w:b/>
                    </w:rPr>
                    <w:t xml:space="preserve">– </w:t>
                  </w:r>
                </w:p>
              </w:tc>
              <w:tc>
                <w:tcPr>
                  <w:tcW w:w="499" w:type="pct"/>
                  <w:vAlign w:val="bottom"/>
                </w:tcPr>
                <w:p w:rsidR="00745FEA" w:rsidRPr="00A64D3D" w:rsidRDefault="00745FEA" w:rsidP="00745FEA">
                  <w:pPr>
                    <w:pStyle w:val="TableBodyText"/>
                    <w:ind w:right="57"/>
                    <w:rPr>
                      <w:b/>
                    </w:rPr>
                  </w:pPr>
                  <w:r w:rsidRPr="00A64D3D">
                    <w:rPr>
                      <w:b/>
                    </w:rPr>
                    <w:t xml:space="preserve">– </w:t>
                  </w:r>
                </w:p>
              </w:tc>
              <w:tc>
                <w:tcPr>
                  <w:tcW w:w="499" w:type="pct"/>
                  <w:shd w:val="clear" w:color="auto" w:fill="auto"/>
                  <w:vAlign w:val="bottom"/>
                </w:tcPr>
                <w:p w:rsidR="00745FEA" w:rsidRPr="00A64D3D" w:rsidRDefault="00745FEA" w:rsidP="00745FEA">
                  <w:pPr>
                    <w:pStyle w:val="TableBodyText"/>
                    <w:ind w:right="57"/>
                    <w:rPr>
                      <w:b/>
                    </w:rPr>
                  </w:pPr>
                  <w:r w:rsidRPr="00A64D3D">
                    <w:rPr>
                      <w:b/>
                    </w:rPr>
                    <w:t xml:space="preserve">– </w:t>
                  </w:r>
                </w:p>
              </w:tc>
              <w:tc>
                <w:tcPr>
                  <w:tcW w:w="496" w:type="pct"/>
                  <w:shd w:val="clear" w:color="auto" w:fill="auto"/>
                  <w:vAlign w:val="bottom"/>
                </w:tcPr>
                <w:p w:rsidR="00745FEA" w:rsidRPr="00A64D3D" w:rsidRDefault="00745FEA" w:rsidP="00745FEA">
                  <w:pPr>
                    <w:pStyle w:val="TableBodyText"/>
                    <w:ind w:right="57"/>
                    <w:rPr>
                      <w:b/>
                    </w:rPr>
                  </w:pPr>
                  <w:r w:rsidRPr="00A64D3D">
                    <w:rPr>
                      <w:b/>
                    </w:rPr>
                    <w:t xml:space="preserve">– </w:t>
                  </w:r>
                </w:p>
              </w:tc>
            </w:tr>
            <w:tr w:rsidR="00745FEA" w:rsidRPr="00A64D3D" w:rsidTr="00745FEA">
              <w:tc>
                <w:tcPr>
                  <w:tcW w:w="2002" w:type="pct"/>
                  <w:tcBorders>
                    <w:bottom w:val="single" w:sz="6" w:space="0" w:color="BFBFBF"/>
                  </w:tcBorders>
                  <w:shd w:val="clear" w:color="auto" w:fill="auto"/>
                  <w:vAlign w:val="center"/>
                </w:tcPr>
                <w:p w:rsidR="00745FEA" w:rsidRPr="00A64D3D" w:rsidRDefault="00745FEA" w:rsidP="00745FEA">
                  <w:pPr>
                    <w:spacing w:after="20"/>
                    <w:rPr>
                      <w:rFonts w:ascii="Arial" w:hAnsi="Arial" w:cs="Arial"/>
                      <w:b/>
                      <w:bCs/>
                      <w:sz w:val="18"/>
                      <w:szCs w:val="18"/>
                    </w:rPr>
                  </w:pPr>
                  <w:r w:rsidRPr="00A64D3D">
                    <w:rPr>
                      <w:rFonts w:ascii="Arial" w:hAnsi="Arial" w:cs="Arial"/>
                      <w:b/>
                      <w:bCs/>
                      <w:sz w:val="18"/>
                      <w:szCs w:val="18"/>
                    </w:rPr>
                    <w:t>Total</w:t>
                  </w:r>
                </w:p>
              </w:tc>
              <w:tc>
                <w:tcPr>
                  <w:tcW w:w="502" w:type="pct"/>
                  <w:tcBorders>
                    <w:bottom w:val="single" w:sz="6" w:space="0" w:color="BFBFBF"/>
                  </w:tcBorders>
                  <w:vAlign w:val="bottom"/>
                </w:tcPr>
                <w:p w:rsidR="00745FEA" w:rsidRPr="00A64D3D" w:rsidRDefault="00745FEA" w:rsidP="00745FEA">
                  <w:pPr>
                    <w:pStyle w:val="TableBodyText"/>
                    <w:spacing w:after="20"/>
                    <w:ind w:right="57"/>
                    <w:rPr>
                      <w:b/>
                    </w:rPr>
                  </w:pPr>
                  <w:r w:rsidRPr="00A64D3D">
                    <w:rPr>
                      <w:b/>
                    </w:rPr>
                    <w:t>7195.3</w:t>
                  </w:r>
                </w:p>
              </w:tc>
              <w:tc>
                <w:tcPr>
                  <w:tcW w:w="501" w:type="pct"/>
                  <w:tcBorders>
                    <w:bottom w:val="single" w:sz="6" w:space="0" w:color="BFBFBF"/>
                  </w:tcBorders>
                  <w:vAlign w:val="bottom"/>
                </w:tcPr>
                <w:p w:rsidR="00745FEA" w:rsidRPr="00A64D3D" w:rsidRDefault="00745FEA" w:rsidP="00745FEA">
                  <w:pPr>
                    <w:pStyle w:val="TableBodyText"/>
                    <w:spacing w:after="20"/>
                    <w:ind w:right="57"/>
                    <w:rPr>
                      <w:b/>
                    </w:rPr>
                  </w:pPr>
                  <w:r w:rsidRPr="00A64D3D">
                    <w:rPr>
                      <w:b/>
                    </w:rPr>
                    <w:t>7093.6</w:t>
                  </w:r>
                </w:p>
              </w:tc>
              <w:tc>
                <w:tcPr>
                  <w:tcW w:w="501" w:type="pct"/>
                  <w:tcBorders>
                    <w:bottom w:val="single" w:sz="6" w:space="0" w:color="BFBFBF"/>
                  </w:tcBorders>
                  <w:vAlign w:val="bottom"/>
                </w:tcPr>
                <w:p w:rsidR="00745FEA" w:rsidRPr="00A64D3D" w:rsidRDefault="00745FEA" w:rsidP="00745FEA">
                  <w:pPr>
                    <w:pStyle w:val="TableBodyText"/>
                    <w:spacing w:after="20"/>
                    <w:ind w:right="57"/>
                    <w:rPr>
                      <w:b/>
                    </w:rPr>
                  </w:pPr>
                  <w:r w:rsidRPr="00A64D3D">
                    <w:rPr>
                      <w:b/>
                    </w:rPr>
                    <w:t>6725.0</w:t>
                  </w:r>
                </w:p>
              </w:tc>
              <w:tc>
                <w:tcPr>
                  <w:tcW w:w="499" w:type="pct"/>
                  <w:tcBorders>
                    <w:bottom w:val="single" w:sz="6" w:space="0" w:color="BFBFBF"/>
                  </w:tcBorders>
                  <w:vAlign w:val="bottom"/>
                </w:tcPr>
                <w:p w:rsidR="00745FEA" w:rsidRPr="00A64D3D" w:rsidRDefault="00745FEA" w:rsidP="00745FEA">
                  <w:pPr>
                    <w:pStyle w:val="TableBodyText"/>
                    <w:spacing w:after="20"/>
                    <w:ind w:right="57"/>
                    <w:rPr>
                      <w:b/>
                    </w:rPr>
                  </w:pPr>
                  <w:r w:rsidRPr="00A64D3D">
                    <w:rPr>
                      <w:b/>
                    </w:rPr>
                    <w:t>6792.0</w:t>
                  </w:r>
                </w:p>
              </w:tc>
              <w:tc>
                <w:tcPr>
                  <w:tcW w:w="499" w:type="pct"/>
                  <w:tcBorders>
                    <w:bottom w:val="single" w:sz="6" w:space="0" w:color="BFBFBF"/>
                  </w:tcBorders>
                  <w:shd w:val="clear" w:color="auto" w:fill="auto"/>
                  <w:vAlign w:val="bottom"/>
                </w:tcPr>
                <w:p w:rsidR="00745FEA" w:rsidRPr="00A64D3D" w:rsidRDefault="00745FEA" w:rsidP="00745FEA">
                  <w:pPr>
                    <w:pStyle w:val="TableBodyText"/>
                    <w:spacing w:after="20"/>
                    <w:ind w:right="57"/>
                    <w:rPr>
                      <w:b/>
                    </w:rPr>
                  </w:pPr>
                  <w:r w:rsidRPr="00A64D3D">
                    <w:rPr>
                      <w:b/>
                    </w:rPr>
                    <w:t>6686.3</w:t>
                  </w:r>
                </w:p>
              </w:tc>
              <w:tc>
                <w:tcPr>
                  <w:tcW w:w="496" w:type="pct"/>
                  <w:tcBorders>
                    <w:bottom w:val="single" w:sz="6" w:space="0" w:color="BFBFBF"/>
                  </w:tcBorders>
                  <w:shd w:val="clear" w:color="auto" w:fill="auto"/>
                  <w:vAlign w:val="bottom"/>
                </w:tcPr>
                <w:p w:rsidR="00745FEA" w:rsidRPr="00A64D3D" w:rsidRDefault="00745FEA" w:rsidP="00745FEA">
                  <w:pPr>
                    <w:pStyle w:val="TableBodyText"/>
                    <w:spacing w:after="20"/>
                    <w:ind w:right="57"/>
                    <w:rPr>
                      <w:b/>
                    </w:rPr>
                  </w:pPr>
                  <w:r w:rsidRPr="00A64D3D">
                    <w:rPr>
                      <w:b/>
                    </w:rPr>
                    <w:t>6789.1</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spacing w:before="40"/>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w:t>
            </w:r>
            <w:r w:rsidRPr="008405D4">
              <w:t>Tariff assistance estimates are derived using ABS Industry Gross Value Added and other supporting data.</w:t>
            </w:r>
            <w:r>
              <w:t xml:space="preserve"> </w:t>
            </w:r>
            <w:r>
              <w:rPr>
                <w:rStyle w:val="NoteLabel"/>
              </w:rPr>
              <w:t>b</w:t>
            </w:r>
            <w:r>
              <w:t> </w:t>
            </w:r>
            <w:r w:rsidRPr="008405D4">
              <w:t>Unallocated includes budgetary measures where details of beneficiaries are unknown.</w:t>
            </w:r>
            <w:r>
              <w:t xml:space="preserve"> These categories are not applicable for tariff assistance.</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keepNext w:val="0"/>
              <w:spacing w:before="0" w:line="120" w:lineRule="exact"/>
            </w:pPr>
          </w:p>
        </w:tc>
      </w:tr>
    </w:tbl>
    <w:p w:rsidR="00745FEA" w:rsidRDefault="00745FEA" w:rsidP="00745FEA">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8789" w:type="dxa"/>
            <w:tcBorders>
              <w:top w:val="single" w:sz="6" w:space="0" w:color="78A22F"/>
              <w:left w:val="nil"/>
              <w:bottom w:val="nil"/>
              <w:right w:val="nil"/>
            </w:tcBorders>
            <w:shd w:val="clear" w:color="auto" w:fill="auto"/>
          </w:tcPr>
          <w:p w:rsidR="00745FEA" w:rsidRDefault="00745FEA" w:rsidP="00745FEA">
            <w:pPr>
              <w:pStyle w:val="TableTitle"/>
              <w:spacing w:before="40" w:after="40"/>
            </w:pPr>
            <w:r>
              <w:rPr>
                <w:b w:val="0"/>
              </w:rPr>
              <w:t>Table A.</w:t>
            </w:r>
            <w:r>
              <w:rPr>
                <w:b w:val="0"/>
                <w:noProof/>
              </w:rPr>
              <w:t>5</w:t>
            </w:r>
            <w:r>
              <w:tab/>
            </w:r>
            <w:r w:rsidRPr="008330E8">
              <w:t>Input tariff penalty by industry grouping, 20</w:t>
            </w:r>
            <w:r>
              <w:t>11</w:t>
            </w:r>
            <w:r>
              <w:noBreakHyphen/>
              <w:t>12</w:t>
            </w:r>
            <w:r w:rsidRPr="008330E8">
              <w:t xml:space="preserve"> to 201</w:t>
            </w:r>
            <w:r>
              <w:t>6</w:t>
            </w:r>
            <w:r>
              <w:noBreakHyphen/>
            </w:r>
            <w:r w:rsidRPr="008330E8">
              <w:t>1</w:t>
            </w:r>
            <w:r>
              <w:t>7</w:t>
            </w:r>
            <w:r w:rsidRPr="009E76C0">
              <w:rPr>
                <w:rStyle w:val="NoteLabel"/>
                <w:b/>
                <w:position w:val="10"/>
              </w:rPr>
              <w:t>a</w:t>
            </w:r>
          </w:p>
          <w:p w:rsidR="00745FEA" w:rsidRPr="00784A05" w:rsidRDefault="00745FEA" w:rsidP="00745FEA">
            <w:pPr>
              <w:pStyle w:val="Subtitle"/>
              <w:spacing w:before="40" w:after="40"/>
            </w:pPr>
            <w:r w:rsidRPr="008330E8">
              <w:t>$ million (nominal)</w:t>
            </w:r>
          </w:p>
        </w:tc>
      </w:tr>
      <w:tr w:rsidR="00745FEA" w:rsidTr="00745FEA">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89"/>
              <w:gridCol w:w="853"/>
              <w:gridCol w:w="853"/>
              <w:gridCol w:w="852"/>
              <w:gridCol w:w="852"/>
              <w:gridCol w:w="852"/>
              <w:gridCol w:w="854"/>
            </w:tblGrid>
            <w:tr w:rsidR="00745FEA" w:rsidTr="00C719FB">
              <w:trPr>
                <w:tblHeader/>
              </w:trPr>
              <w:tc>
                <w:tcPr>
                  <w:tcW w:w="1992"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spacing w:before="60" w:after="60"/>
                    <w:jc w:val="left"/>
                  </w:pPr>
                  <w:r>
                    <w:t>Industry grouping</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501"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50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302C4A" w:rsidTr="00745FEA">
              <w:tc>
                <w:tcPr>
                  <w:tcW w:w="1992" w:type="pct"/>
                  <w:tcBorders>
                    <w:top w:val="single" w:sz="6" w:space="0" w:color="BFBFBF"/>
                  </w:tcBorders>
                  <w:vAlign w:val="bottom"/>
                </w:tcPr>
                <w:p w:rsidR="00745FEA" w:rsidRPr="00302C4A" w:rsidRDefault="00745FEA" w:rsidP="00745FEA">
                  <w:pPr>
                    <w:spacing w:after="20"/>
                    <w:rPr>
                      <w:rFonts w:ascii="Arial" w:hAnsi="Arial" w:cs="Arial"/>
                      <w:b/>
                      <w:bCs/>
                      <w:sz w:val="18"/>
                      <w:szCs w:val="18"/>
                    </w:rPr>
                  </w:pPr>
                  <w:r w:rsidRPr="00302C4A">
                    <w:rPr>
                      <w:rFonts w:ascii="Arial" w:hAnsi="Arial" w:cs="Arial"/>
                      <w:b/>
                      <w:bCs/>
                      <w:sz w:val="18"/>
                      <w:szCs w:val="18"/>
                    </w:rPr>
                    <w:t>Primary production</w:t>
                  </w:r>
                </w:p>
              </w:tc>
              <w:tc>
                <w:tcPr>
                  <w:tcW w:w="501" w:type="pct"/>
                  <w:tcBorders>
                    <w:top w:val="single" w:sz="6" w:space="0" w:color="BFBFBF"/>
                  </w:tcBorders>
                  <w:vAlign w:val="bottom"/>
                </w:tcPr>
                <w:p w:rsidR="00745FEA" w:rsidRPr="00302C4A" w:rsidRDefault="00745FEA" w:rsidP="00745FEA">
                  <w:pPr>
                    <w:pStyle w:val="TableBodyText"/>
                    <w:spacing w:after="20"/>
                    <w:ind w:right="57"/>
                    <w:rPr>
                      <w:b/>
                    </w:rPr>
                  </w:pPr>
                  <w:r w:rsidRPr="00302C4A">
                    <w:rPr>
                      <w:b/>
                    </w:rPr>
                    <w:t>-132.3</w:t>
                  </w:r>
                </w:p>
              </w:tc>
              <w:tc>
                <w:tcPr>
                  <w:tcW w:w="501" w:type="pct"/>
                  <w:tcBorders>
                    <w:top w:val="single" w:sz="6" w:space="0" w:color="BFBFBF"/>
                  </w:tcBorders>
                  <w:vAlign w:val="bottom"/>
                </w:tcPr>
                <w:p w:rsidR="00745FEA" w:rsidRPr="00302C4A" w:rsidRDefault="00745FEA" w:rsidP="00745FEA">
                  <w:pPr>
                    <w:pStyle w:val="TableBodyText"/>
                    <w:spacing w:after="20"/>
                    <w:ind w:right="57"/>
                    <w:rPr>
                      <w:b/>
                    </w:rPr>
                  </w:pPr>
                  <w:r w:rsidRPr="00302C4A">
                    <w:rPr>
                      <w:b/>
                    </w:rPr>
                    <w:t>-132.5</w:t>
                  </w:r>
                </w:p>
              </w:tc>
              <w:tc>
                <w:tcPr>
                  <w:tcW w:w="501" w:type="pct"/>
                  <w:tcBorders>
                    <w:top w:val="single" w:sz="6" w:space="0" w:color="BFBFBF"/>
                  </w:tcBorders>
                  <w:vAlign w:val="bottom"/>
                </w:tcPr>
                <w:p w:rsidR="00745FEA" w:rsidRPr="00302C4A" w:rsidRDefault="00745FEA" w:rsidP="00745FEA">
                  <w:pPr>
                    <w:pStyle w:val="TableBodyText"/>
                    <w:spacing w:after="20"/>
                    <w:ind w:right="57"/>
                    <w:rPr>
                      <w:b/>
                    </w:rPr>
                  </w:pPr>
                  <w:r w:rsidRPr="00302C4A">
                    <w:rPr>
                      <w:b/>
                    </w:rPr>
                    <w:t>-151.8</w:t>
                  </w:r>
                </w:p>
              </w:tc>
              <w:tc>
                <w:tcPr>
                  <w:tcW w:w="501" w:type="pct"/>
                  <w:tcBorders>
                    <w:top w:val="single" w:sz="6" w:space="0" w:color="BFBFBF"/>
                  </w:tcBorders>
                  <w:vAlign w:val="bottom"/>
                </w:tcPr>
                <w:p w:rsidR="00745FEA" w:rsidRPr="00302C4A" w:rsidRDefault="00745FEA" w:rsidP="00745FEA">
                  <w:pPr>
                    <w:pStyle w:val="TableBodyText"/>
                    <w:spacing w:after="20"/>
                    <w:ind w:right="57"/>
                    <w:rPr>
                      <w:b/>
                    </w:rPr>
                  </w:pPr>
                  <w:r w:rsidRPr="00302C4A">
                    <w:rPr>
                      <w:b/>
                    </w:rPr>
                    <w:t>-164.9</w:t>
                  </w:r>
                </w:p>
              </w:tc>
              <w:tc>
                <w:tcPr>
                  <w:tcW w:w="501" w:type="pct"/>
                  <w:tcBorders>
                    <w:top w:val="single" w:sz="6" w:space="0" w:color="BFBFBF"/>
                  </w:tcBorders>
                  <w:vAlign w:val="bottom"/>
                </w:tcPr>
                <w:p w:rsidR="00745FEA" w:rsidRPr="00302C4A" w:rsidRDefault="00745FEA" w:rsidP="00745FEA">
                  <w:pPr>
                    <w:pStyle w:val="TableBodyText"/>
                    <w:spacing w:after="20"/>
                    <w:ind w:right="57"/>
                    <w:rPr>
                      <w:b/>
                    </w:rPr>
                  </w:pPr>
                  <w:r w:rsidRPr="00302C4A">
                    <w:rPr>
                      <w:b/>
                    </w:rPr>
                    <w:t>-166.9</w:t>
                  </w:r>
                </w:p>
              </w:tc>
              <w:tc>
                <w:tcPr>
                  <w:tcW w:w="502" w:type="pct"/>
                  <w:tcBorders>
                    <w:top w:val="single" w:sz="6" w:space="0" w:color="BFBFBF"/>
                  </w:tcBorders>
                  <w:vAlign w:val="bottom"/>
                </w:tcPr>
                <w:p w:rsidR="00745FEA" w:rsidRPr="00302C4A" w:rsidRDefault="00745FEA" w:rsidP="00745FEA">
                  <w:pPr>
                    <w:pStyle w:val="TableBodyText"/>
                    <w:spacing w:after="20"/>
                    <w:ind w:right="57"/>
                    <w:rPr>
                      <w:b/>
                    </w:rPr>
                  </w:pPr>
                  <w:r w:rsidRPr="00302C4A">
                    <w:rPr>
                      <w:b/>
                    </w:rPr>
                    <w:t>-197.7</w:t>
                  </w:r>
                </w:p>
              </w:tc>
            </w:tr>
            <w:tr w:rsidR="00745FEA" w:rsidTr="00745FEA">
              <w:tc>
                <w:tcPr>
                  <w:tcW w:w="1992" w:type="pct"/>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Horticulture and fruit growing</w:t>
                  </w:r>
                </w:p>
              </w:tc>
              <w:tc>
                <w:tcPr>
                  <w:tcW w:w="501" w:type="pct"/>
                  <w:vAlign w:val="bottom"/>
                </w:tcPr>
                <w:p w:rsidR="00745FEA" w:rsidRPr="00A14C9B" w:rsidRDefault="00745FEA" w:rsidP="00745FEA">
                  <w:pPr>
                    <w:pStyle w:val="TableBodyText"/>
                    <w:spacing w:after="20"/>
                    <w:ind w:right="57"/>
                  </w:pPr>
                  <w:r w:rsidRPr="0062598B">
                    <w:t>-10.5</w:t>
                  </w:r>
                </w:p>
              </w:tc>
              <w:tc>
                <w:tcPr>
                  <w:tcW w:w="501" w:type="pct"/>
                  <w:vAlign w:val="bottom"/>
                </w:tcPr>
                <w:p w:rsidR="00745FEA" w:rsidRPr="00A14C9B" w:rsidRDefault="00745FEA" w:rsidP="00745FEA">
                  <w:pPr>
                    <w:pStyle w:val="TableBodyText"/>
                    <w:spacing w:after="20"/>
                    <w:ind w:right="57"/>
                  </w:pPr>
                  <w:r w:rsidRPr="0062598B">
                    <w:t>-10.7</w:t>
                  </w:r>
                </w:p>
              </w:tc>
              <w:tc>
                <w:tcPr>
                  <w:tcW w:w="501" w:type="pct"/>
                  <w:vAlign w:val="bottom"/>
                </w:tcPr>
                <w:p w:rsidR="00745FEA" w:rsidRPr="00A14C9B" w:rsidRDefault="00745FEA" w:rsidP="00745FEA">
                  <w:pPr>
                    <w:pStyle w:val="TableBodyText"/>
                    <w:spacing w:after="20"/>
                    <w:ind w:right="57"/>
                  </w:pPr>
                  <w:r w:rsidRPr="0062598B">
                    <w:t>-8.7</w:t>
                  </w:r>
                </w:p>
              </w:tc>
              <w:tc>
                <w:tcPr>
                  <w:tcW w:w="501" w:type="pct"/>
                  <w:vAlign w:val="bottom"/>
                </w:tcPr>
                <w:p w:rsidR="00745FEA" w:rsidRPr="00A14C9B" w:rsidRDefault="00745FEA" w:rsidP="00745FEA">
                  <w:pPr>
                    <w:pStyle w:val="TableBodyText"/>
                    <w:spacing w:after="20"/>
                    <w:ind w:right="57"/>
                  </w:pPr>
                  <w:r w:rsidRPr="0062598B">
                    <w:t>-9.0</w:t>
                  </w:r>
                </w:p>
              </w:tc>
              <w:tc>
                <w:tcPr>
                  <w:tcW w:w="501" w:type="pct"/>
                  <w:vAlign w:val="bottom"/>
                </w:tcPr>
                <w:p w:rsidR="00745FEA" w:rsidRPr="00A14C9B" w:rsidRDefault="00745FEA" w:rsidP="00745FEA">
                  <w:pPr>
                    <w:pStyle w:val="TableBodyText"/>
                    <w:spacing w:after="20"/>
                    <w:ind w:right="57"/>
                  </w:pPr>
                  <w:r w:rsidRPr="0062598B">
                    <w:t>-9.6</w:t>
                  </w:r>
                </w:p>
              </w:tc>
              <w:tc>
                <w:tcPr>
                  <w:tcW w:w="502" w:type="pct"/>
                  <w:vAlign w:val="bottom"/>
                </w:tcPr>
                <w:p w:rsidR="00745FEA" w:rsidRPr="00A14C9B" w:rsidRDefault="00745FEA" w:rsidP="00745FEA">
                  <w:pPr>
                    <w:pStyle w:val="TableBodyText"/>
                    <w:spacing w:after="20"/>
                    <w:ind w:right="57"/>
                  </w:pPr>
                  <w:r w:rsidRPr="0062598B">
                    <w:t>-12.3</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Sheep, beef cattle and grain farming</w:t>
                  </w:r>
                </w:p>
              </w:tc>
              <w:tc>
                <w:tcPr>
                  <w:tcW w:w="501" w:type="pct"/>
                  <w:vAlign w:val="bottom"/>
                </w:tcPr>
                <w:p w:rsidR="00745FEA" w:rsidRPr="00A14C9B" w:rsidRDefault="00745FEA" w:rsidP="00745FEA">
                  <w:pPr>
                    <w:pStyle w:val="TableBodyText"/>
                    <w:spacing w:after="20"/>
                    <w:ind w:right="57"/>
                  </w:pPr>
                  <w:r w:rsidRPr="0062598B">
                    <w:t>-64.1</w:t>
                  </w:r>
                </w:p>
              </w:tc>
              <w:tc>
                <w:tcPr>
                  <w:tcW w:w="501" w:type="pct"/>
                  <w:vAlign w:val="bottom"/>
                </w:tcPr>
                <w:p w:rsidR="00745FEA" w:rsidRPr="00A14C9B" w:rsidRDefault="00745FEA" w:rsidP="00745FEA">
                  <w:pPr>
                    <w:pStyle w:val="TableBodyText"/>
                    <w:spacing w:after="20"/>
                    <w:ind w:right="57"/>
                  </w:pPr>
                  <w:r w:rsidRPr="0062598B">
                    <w:t>-68.6</w:t>
                  </w:r>
                </w:p>
              </w:tc>
              <w:tc>
                <w:tcPr>
                  <w:tcW w:w="501" w:type="pct"/>
                  <w:vAlign w:val="bottom"/>
                </w:tcPr>
                <w:p w:rsidR="00745FEA" w:rsidRPr="00A14C9B" w:rsidRDefault="00745FEA" w:rsidP="00745FEA">
                  <w:pPr>
                    <w:pStyle w:val="TableBodyText"/>
                    <w:spacing w:after="20"/>
                    <w:ind w:right="57"/>
                  </w:pPr>
                  <w:r w:rsidRPr="0062598B">
                    <w:t>-61.7</w:t>
                  </w:r>
                </w:p>
              </w:tc>
              <w:tc>
                <w:tcPr>
                  <w:tcW w:w="501" w:type="pct"/>
                  <w:vAlign w:val="bottom"/>
                </w:tcPr>
                <w:p w:rsidR="00745FEA" w:rsidRPr="00A14C9B" w:rsidRDefault="00745FEA" w:rsidP="00745FEA">
                  <w:pPr>
                    <w:pStyle w:val="TableBodyText"/>
                    <w:spacing w:after="20"/>
                    <w:ind w:right="57"/>
                  </w:pPr>
                  <w:r w:rsidRPr="0062598B">
                    <w:t>-66.6</w:t>
                  </w:r>
                </w:p>
              </w:tc>
              <w:tc>
                <w:tcPr>
                  <w:tcW w:w="501" w:type="pct"/>
                  <w:shd w:val="clear" w:color="auto" w:fill="auto"/>
                  <w:vAlign w:val="bottom"/>
                </w:tcPr>
                <w:p w:rsidR="00745FEA" w:rsidRPr="00A14C9B" w:rsidRDefault="00745FEA" w:rsidP="00745FEA">
                  <w:pPr>
                    <w:pStyle w:val="TableBodyText"/>
                    <w:spacing w:after="20"/>
                    <w:ind w:right="57"/>
                  </w:pPr>
                  <w:r w:rsidRPr="0062598B">
                    <w:t>-64.1</w:t>
                  </w:r>
                </w:p>
              </w:tc>
              <w:tc>
                <w:tcPr>
                  <w:tcW w:w="502" w:type="pct"/>
                  <w:shd w:val="clear" w:color="auto" w:fill="auto"/>
                  <w:vAlign w:val="bottom"/>
                </w:tcPr>
                <w:p w:rsidR="00745FEA" w:rsidRPr="00A14C9B" w:rsidRDefault="00745FEA" w:rsidP="00745FEA">
                  <w:pPr>
                    <w:pStyle w:val="TableBodyText"/>
                    <w:spacing w:after="20"/>
                    <w:ind w:right="57"/>
                  </w:pPr>
                  <w:r w:rsidRPr="0062598B">
                    <w:t>-72.6</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Other crop growing</w:t>
                  </w:r>
                </w:p>
              </w:tc>
              <w:tc>
                <w:tcPr>
                  <w:tcW w:w="501" w:type="pct"/>
                  <w:vAlign w:val="bottom"/>
                </w:tcPr>
                <w:p w:rsidR="00745FEA" w:rsidRPr="00A14C9B" w:rsidRDefault="00745FEA" w:rsidP="00745FEA">
                  <w:pPr>
                    <w:pStyle w:val="TableBodyText"/>
                    <w:spacing w:after="20"/>
                    <w:ind w:right="57"/>
                  </w:pPr>
                  <w:r w:rsidRPr="0062598B">
                    <w:t>-4.8</w:t>
                  </w:r>
                </w:p>
              </w:tc>
              <w:tc>
                <w:tcPr>
                  <w:tcW w:w="501" w:type="pct"/>
                  <w:vAlign w:val="bottom"/>
                </w:tcPr>
                <w:p w:rsidR="00745FEA" w:rsidRPr="00A14C9B" w:rsidRDefault="00745FEA" w:rsidP="00745FEA">
                  <w:pPr>
                    <w:pStyle w:val="TableBodyText"/>
                    <w:spacing w:after="20"/>
                    <w:ind w:right="57"/>
                  </w:pPr>
                  <w:r w:rsidRPr="0062598B">
                    <w:t>-5.2</w:t>
                  </w:r>
                </w:p>
              </w:tc>
              <w:tc>
                <w:tcPr>
                  <w:tcW w:w="501" w:type="pct"/>
                  <w:vAlign w:val="bottom"/>
                </w:tcPr>
                <w:p w:rsidR="00745FEA" w:rsidRPr="00A14C9B" w:rsidRDefault="00745FEA" w:rsidP="00745FEA">
                  <w:pPr>
                    <w:pStyle w:val="TableBodyText"/>
                    <w:spacing w:after="20"/>
                    <w:ind w:right="57"/>
                  </w:pPr>
                  <w:r w:rsidRPr="0062598B">
                    <w:t>-5.3</w:t>
                  </w:r>
                </w:p>
              </w:tc>
              <w:tc>
                <w:tcPr>
                  <w:tcW w:w="501" w:type="pct"/>
                  <w:vAlign w:val="bottom"/>
                </w:tcPr>
                <w:p w:rsidR="00745FEA" w:rsidRPr="00A14C9B" w:rsidRDefault="00745FEA" w:rsidP="00745FEA">
                  <w:pPr>
                    <w:pStyle w:val="TableBodyText"/>
                    <w:spacing w:after="20"/>
                    <w:ind w:right="57"/>
                  </w:pPr>
                  <w:r w:rsidRPr="0062598B">
                    <w:t>-5.5</w:t>
                  </w:r>
                </w:p>
              </w:tc>
              <w:tc>
                <w:tcPr>
                  <w:tcW w:w="501" w:type="pct"/>
                  <w:shd w:val="clear" w:color="auto" w:fill="auto"/>
                  <w:vAlign w:val="bottom"/>
                </w:tcPr>
                <w:p w:rsidR="00745FEA" w:rsidRPr="00A14C9B" w:rsidRDefault="00745FEA" w:rsidP="00745FEA">
                  <w:pPr>
                    <w:pStyle w:val="TableBodyText"/>
                    <w:spacing w:after="20"/>
                    <w:ind w:right="57"/>
                  </w:pPr>
                  <w:r w:rsidRPr="0062598B">
                    <w:t>-6.4</w:t>
                  </w:r>
                </w:p>
              </w:tc>
              <w:tc>
                <w:tcPr>
                  <w:tcW w:w="502" w:type="pct"/>
                  <w:shd w:val="clear" w:color="auto" w:fill="auto"/>
                  <w:vAlign w:val="bottom"/>
                </w:tcPr>
                <w:p w:rsidR="00745FEA" w:rsidRPr="00A14C9B" w:rsidRDefault="00745FEA" w:rsidP="00745FEA">
                  <w:pPr>
                    <w:pStyle w:val="TableBodyText"/>
                    <w:spacing w:after="20"/>
                    <w:ind w:right="57"/>
                  </w:pPr>
                  <w:r w:rsidRPr="0062598B">
                    <w:t>-9.0</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Dairy cattle farming</w:t>
                  </w:r>
                </w:p>
              </w:tc>
              <w:tc>
                <w:tcPr>
                  <w:tcW w:w="501" w:type="pct"/>
                  <w:vAlign w:val="bottom"/>
                </w:tcPr>
                <w:p w:rsidR="00745FEA" w:rsidRPr="00A14C9B" w:rsidRDefault="00745FEA" w:rsidP="00745FEA">
                  <w:pPr>
                    <w:pStyle w:val="TableBodyText"/>
                    <w:spacing w:after="20"/>
                    <w:ind w:right="57"/>
                  </w:pPr>
                  <w:r w:rsidRPr="0062598B">
                    <w:t>-7.0</w:t>
                  </w:r>
                </w:p>
              </w:tc>
              <w:tc>
                <w:tcPr>
                  <w:tcW w:w="501" w:type="pct"/>
                  <w:vAlign w:val="bottom"/>
                </w:tcPr>
                <w:p w:rsidR="00745FEA" w:rsidRPr="00A14C9B" w:rsidRDefault="00745FEA" w:rsidP="00745FEA">
                  <w:pPr>
                    <w:pStyle w:val="TableBodyText"/>
                    <w:spacing w:after="20"/>
                    <w:ind w:right="57"/>
                  </w:pPr>
                  <w:r w:rsidRPr="0062598B">
                    <w:t>-11.5</w:t>
                  </w:r>
                </w:p>
              </w:tc>
              <w:tc>
                <w:tcPr>
                  <w:tcW w:w="501" w:type="pct"/>
                  <w:vAlign w:val="bottom"/>
                </w:tcPr>
                <w:p w:rsidR="00745FEA" w:rsidRPr="00A14C9B" w:rsidRDefault="00745FEA" w:rsidP="00745FEA">
                  <w:pPr>
                    <w:pStyle w:val="TableBodyText"/>
                    <w:spacing w:after="20"/>
                    <w:ind w:right="57"/>
                  </w:pPr>
                  <w:r w:rsidRPr="0062598B">
                    <w:t>-12.9</w:t>
                  </w:r>
                </w:p>
              </w:tc>
              <w:tc>
                <w:tcPr>
                  <w:tcW w:w="501" w:type="pct"/>
                  <w:vAlign w:val="bottom"/>
                </w:tcPr>
                <w:p w:rsidR="00745FEA" w:rsidRPr="00A14C9B" w:rsidRDefault="00745FEA" w:rsidP="00745FEA">
                  <w:pPr>
                    <w:pStyle w:val="TableBodyText"/>
                    <w:spacing w:after="20"/>
                    <w:ind w:right="57"/>
                  </w:pPr>
                  <w:r w:rsidRPr="0062598B">
                    <w:t>-13.9</w:t>
                  </w:r>
                </w:p>
              </w:tc>
              <w:tc>
                <w:tcPr>
                  <w:tcW w:w="501" w:type="pct"/>
                  <w:shd w:val="clear" w:color="auto" w:fill="auto"/>
                  <w:vAlign w:val="bottom"/>
                </w:tcPr>
                <w:p w:rsidR="00745FEA" w:rsidRPr="00A14C9B" w:rsidRDefault="00745FEA" w:rsidP="00745FEA">
                  <w:pPr>
                    <w:pStyle w:val="TableBodyText"/>
                    <w:spacing w:after="20"/>
                    <w:ind w:right="57"/>
                  </w:pPr>
                  <w:r w:rsidRPr="0062598B">
                    <w:t>-12.1</w:t>
                  </w:r>
                </w:p>
              </w:tc>
              <w:tc>
                <w:tcPr>
                  <w:tcW w:w="502" w:type="pct"/>
                  <w:shd w:val="clear" w:color="auto" w:fill="auto"/>
                  <w:vAlign w:val="bottom"/>
                </w:tcPr>
                <w:p w:rsidR="00745FEA" w:rsidRPr="00A14C9B" w:rsidRDefault="00745FEA" w:rsidP="00745FEA">
                  <w:pPr>
                    <w:pStyle w:val="TableBodyText"/>
                    <w:spacing w:after="20"/>
                    <w:ind w:right="57"/>
                  </w:pPr>
                  <w:r w:rsidRPr="0062598B">
                    <w:t>-12.4</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Other livestock farming</w:t>
                  </w:r>
                </w:p>
              </w:tc>
              <w:tc>
                <w:tcPr>
                  <w:tcW w:w="501" w:type="pct"/>
                  <w:vAlign w:val="bottom"/>
                </w:tcPr>
                <w:p w:rsidR="00745FEA" w:rsidRPr="00A14C9B" w:rsidRDefault="00745FEA" w:rsidP="00745FEA">
                  <w:pPr>
                    <w:pStyle w:val="TableBodyText"/>
                    <w:spacing w:after="20"/>
                    <w:ind w:right="57"/>
                  </w:pPr>
                  <w:r w:rsidRPr="0062598B">
                    <w:t>-15.4</w:t>
                  </w:r>
                </w:p>
              </w:tc>
              <w:tc>
                <w:tcPr>
                  <w:tcW w:w="501" w:type="pct"/>
                  <w:vAlign w:val="bottom"/>
                </w:tcPr>
                <w:p w:rsidR="00745FEA" w:rsidRPr="00A14C9B" w:rsidRDefault="00745FEA" w:rsidP="00745FEA">
                  <w:pPr>
                    <w:pStyle w:val="TableBodyText"/>
                    <w:spacing w:after="20"/>
                    <w:ind w:right="57"/>
                  </w:pPr>
                  <w:r w:rsidRPr="0062598B">
                    <w:t>-13.7</w:t>
                  </w:r>
                </w:p>
              </w:tc>
              <w:tc>
                <w:tcPr>
                  <w:tcW w:w="501" w:type="pct"/>
                  <w:vAlign w:val="bottom"/>
                </w:tcPr>
                <w:p w:rsidR="00745FEA" w:rsidRPr="00A14C9B" w:rsidRDefault="00745FEA" w:rsidP="00745FEA">
                  <w:pPr>
                    <w:pStyle w:val="TableBodyText"/>
                    <w:spacing w:after="20"/>
                    <w:ind w:right="57"/>
                  </w:pPr>
                  <w:r w:rsidRPr="0062598B">
                    <w:t>-13.7</w:t>
                  </w:r>
                </w:p>
              </w:tc>
              <w:tc>
                <w:tcPr>
                  <w:tcW w:w="501" w:type="pct"/>
                  <w:vAlign w:val="bottom"/>
                </w:tcPr>
                <w:p w:rsidR="00745FEA" w:rsidRPr="00A14C9B" w:rsidRDefault="00745FEA" w:rsidP="00745FEA">
                  <w:pPr>
                    <w:pStyle w:val="TableBodyText"/>
                    <w:spacing w:after="20"/>
                    <w:ind w:right="57"/>
                  </w:pPr>
                  <w:r w:rsidRPr="0062598B">
                    <w:t>-16.6</w:t>
                  </w:r>
                </w:p>
              </w:tc>
              <w:tc>
                <w:tcPr>
                  <w:tcW w:w="501" w:type="pct"/>
                  <w:shd w:val="clear" w:color="auto" w:fill="auto"/>
                  <w:vAlign w:val="bottom"/>
                </w:tcPr>
                <w:p w:rsidR="00745FEA" w:rsidRPr="00A14C9B" w:rsidRDefault="00745FEA" w:rsidP="00745FEA">
                  <w:pPr>
                    <w:pStyle w:val="TableBodyText"/>
                    <w:spacing w:after="20"/>
                    <w:ind w:right="57"/>
                  </w:pPr>
                  <w:r w:rsidRPr="0062598B">
                    <w:t>-18.7</w:t>
                  </w:r>
                </w:p>
              </w:tc>
              <w:tc>
                <w:tcPr>
                  <w:tcW w:w="502" w:type="pct"/>
                  <w:shd w:val="clear" w:color="auto" w:fill="auto"/>
                  <w:vAlign w:val="bottom"/>
                </w:tcPr>
                <w:p w:rsidR="00745FEA" w:rsidRPr="00A14C9B" w:rsidRDefault="00745FEA" w:rsidP="00745FEA">
                  <w:pPr>
                    <w:pStyle w:val="TableBodyText"/>
                    <w:spacing w:after="20"/>
                    <w:ind w:right="57"/>
                  </w:pPr>
                  <w:r w:rsidRPr="0062598B">
                    <w:t>-25.2</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Aquaculture and fishing</w:t>
                  </w:r>
                </w:p>
              </w:tc>
              <w:tc>
                <w:tcPr>
                  <w:tcW w:w="501" w:type="pct"/>
                  <w:vAlign w:val="bottom"/>
                </w:tcPr>
                <w:p w:rsidR="00745FEA" w:rsidRPr="00A14C9B" w:rsidRDefault="00745FEA" w:rsidP="00745FEA">
                  <w:pPr>
                    <w:pStyle w:val="TableBodyText"/>
                    <w:spacing w:after="20"/>
                    <w:ind w:right="57"/>
                  </w:pPr>
                  <w:r w:rsidRPr="0062598B">
                    <w:t>-6.4</w:t>
                  </w:r>
                </w:p>
              </w:tc>
              <w:tc>
                <w:tcPr>
                  <w:tcW w:w="501" w:type="pct"/>
                  <w:vAlign w:val="bottom"/>
                </w:tcPr>
                <w:p w:rsidR="00745FEA" w:rsidRPr="00A14C9B" w:rsidRDefault="00745FEA" w:rsidP="00745FEA">
                  <w:pPr>
                    <w:pStyle w:val="TableBodyText"/>
                    <w:spacing w:after="20"/>
                    <w:ind w:right="57"/>
                  </w:pPr>
                  <w:r w:rsidRPr="0062598B">
                    <w:t>-8.3</w:t>
                  </w:r>
                </w:p>
              </w:tc>
              <w:tc>
                <w:tcPr>
                  <w:tcW w:w="501" w:type="pct"/>
                  <w:vAlign w:val="bottom"/>
                </w:tcPr>
                <w:p w:rsidR="00745FEA" w:rsidRPr="00A14C9B" w:rsidRDefault="00745FEA" w:rsidP="00745FEA">
                  <w:pPr>
                    <w:pStyle w:val="TableBodyText"/>
                    <w:spacing w:after="20"/>
                    <w:ind w:right="57"/>
                  </w:pPr>
                  <w:r w:rsidRPr="0062598B">
                    <w:t>-7.7</w:t>
                  </w:r>
                </w:p>
              </w:tc>
              <w:tc>
                <w:tcPr>
                  <w:tcW w:w="501" w:type="pct"/>
                  <w:vAlign w:val="bottom"/>
                </w:tcPr>
                <w:p w:rsidR="00745FEA" w:rsidRPr="00A14C9B" w:rsidRDefault="00745FEA" w:rsidP="00745FEA">
                  <w:pPr>
                    <w:pStyle w:val="TableBodyText"/>
                    <w:spacing w:after="20"/>
                    <w:ind w:right="57"/>
                  </w:pPr>
                  <w:r w:rsidRPr="0062598B">
                    <w:t>-8.8</w:t>
                  </w:r>
                </w:p>
              </w:tc>
              <w:tc>
                <w:tcPr>
                  <w:tcW w:w="501" w:type="pct"/>
                  <w:shd w:val="clear" w:color="auto" w:fill="auto"/>
                  <w:vAlign w:val="bottom"/>
                </w:tcPr>
                <w:p w:rsidR="00745FEA" w:rsidRPr="00A14C9B" w:rsidRDefault="00745FEA" w:rsidP="00745FEA">
                  <w:pPr>
                    <w:pStyle w:val="TableBodyText"/>
                    <w:spacing w:after="20"/>
                    <w:ind w:right="57"/>
                  </w:pPr>
                  <w:r w:rsidRPr="0062598B">
                    <w:t>-9.9</w:t>
                  </w:r>
                </w:p>
              </w:tc>
              <w:tc>
                <w:tcPr>
                  <w:tcW w:w="502" w:type="pct"/>
                  <w:shd w:val="clear" w:color="auto" w:fill="auto"/>
                  <w:vAlign w:val="bottom"/>
                </w:tcPr>
                <w:p w:rsidR="00745FEA" w:rsidRPr="00A14C9B" w:rsidRDefault="00745FEA" w:rsidP="00745FEA">
                  <w:pPr>
                    <w:pStyle w:val="TableBodyText"/>
                    <w:spacing w:after="20"/>
                    <w:ind w:right="57"/>
                  </w:pPr>
                  <w:r w:rsidRPr="0062598B">
                    <w:t>-10.9</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Forestry and logging</w:t>
                  </w:r>
                </w:p>
              </w:tc>
              <w:tc>
                <w:tcPr>
                  <w:tcW w:w="501" w:type="pct"/>
                  <w:vAlign w:val="bottom"/>
                </w:tcPr>
                <w:p w:rsidR="00745FEA" w:rsidRPr="00A14C9B" w:rsidRDefault="00745FEA" w:rsidP="00745FEA">
                  <w:pPr>
                    <w:pStyle w:val="TableBodyText"/>
                    <w:spacing w:after="20"/>
                    <w:ind w:right="57"/>
                  </w:pPr>
                  <w:r w:rsidRPr="0062598B">
                    <w:t>-2.1</w:t>
                  </w:r>
                </w:p>
              </w:tc>
              <w:tc>
                <w:tcPr>
                  <w:tcW w:w="501" w:type="pct"/>
                  <w:vAlign w:val="bottom"/>
                </w:tcPr>
                <w:p w:rsidR="00745FEA" w:rsidRPr="00A14C9B" w:rsidRDefault="00745FEA" w:rsidP="00745FEA">
                  <w:pPr>
                    <w:pStyle w:val="TableBodyText"/>
                    <w:spacing w:after="20"/>
                    <w:ind w:right="57"/>
                  </w:pPr>
                  <w:r w:rsidRPr="0062598B">
                    <w:t>-1.9</w:t>
                  </w:r>
                </w:p>
              </w:tc>
              <w:tc>
                <w:tcPr>
                  <w:tcW w:w="501" w:type="pct"/>
                  <w:vAlign w:val="bottom"/>
                </w:tcPr>
                <w:p w:rsidR="00745FEA" w:rsidRPr="00A14C9B" w:rsidRDefault="00745FEA" w:rsidP="00745FEA">
                  <w:pPr>
                    <w:pStyle w:val="TableBodyText"/>
                    <w:spacing w:after="20"/>
                    <w:ind w:right="57"/>
                  </w:pPr>
                  <w:r w:rsidRPr="0062598B">
                    <w:t>-1.6</w:t>
                  </w:r>
                </w:p>
              </w:tc>
              <w:tc>
                <w:tcPr>
                  <w:tcW w:w="501" w:type="pct"/>
                  <w:vAlign w:val="bottom"/>
                </w:tcPr>
                <w:p w:rsidR="00745FEA" w:rsidRPr="00A14C9B" w:rsidRDefault="00745FEA" w:rsidP="00745FEA">
                  <w:pPr>
                    <w:pStyle w:val="TableBodyText"/>
                    <w:spacing w:after="20"/>
                    <w:ind w:right="57"/>
                  </w:pPr>
                  <w:r w:rsidRPr="0062598B">
                    <w:t>-1.7</w:t>
                  </w:r>
                </w:p>
              </w:tc>
              <w:tc>
                <w:tcPr>
                  <w:tcW w:w="501" w:type="pct"/>
                  <w:shd w:val="clear" w:color="auto" w:fill="auto"/>
                  <w:vAlign w:val="bottom"/>
                </w:tcPr>
                <w:p w:rsidR="00745FEA" w:rsidRPr="00A14C9B" w:rsidRDefault="00745FEA" w:rsidP="00745FEA">
                  <w:pPr>
                    <w:pStyle w:val="TableBodyText"/>
                    <w:spacing w:after="20"/>
                    <w:ind w:right="57"/>
                  </w:pPr>
                  <w:r w:rsidRPr="0062598B">
                    <w:t>-2.0</w:t>
                  </w:r>
                </w:p>
              </w:tc>
              <w:tc>
                <w:tcPr>
                  <w:tcW w:w="502" w:type="pct"/>
                  <w:shd w:val="clear" w:color="auto" w:fill="auto"/>
                  <w:vAlign w:val="bottom"/>
                </w:tcPr>
                <w:p w:rsidR="00745FEA" w:rsidRPr="00A14C9B" w:rsidRDefault="00745FEA" w:rsidP="00745FEA">
                  <w:pPr>
                    <w:pStyle w:val="TableBodyText"/>
                    <w:spacing w:after="20"/>
                    <w:ind w:right="57"/>
                  </w:pPr>
                  <w:r w:rsidRPr="0062598B">
                    <w:t>-2.2</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Primary production support services</w:t>
                  </w:r>
                </w:p>
              </w:tc>
              <w:tc>
                <w:tcPr>
                  <w:tcW w:w="501" w:type="pct"/>
                  <w:vAlign w:val="bottom"/>
                </w:tcPr>
                <w:p w:rsidR="00745FEA" w:rsidRPr="00A14C9B" w:rsidRDefault="00745FEA" w:rsidP="00745FEA">
                  <w:pPr>
                    <w:pStyle w:val="TableBodyText"/>
                    <w:spacing w:after="20"/>
                    <w:ind w:right="57"/>
                  </w:pPr>
                  <w:r w:rsidRPr="0062598B">
                    <w:t>-22.0</w:t>
                  </w:r>
                </w:p>
              </w:tc>
              <w:tc>
                <w:tcPr>
                  <w:tcW w:w="501" w:type="pct"/>
                  <w:vAlign w:val="bottom"/>
                </w:tcPr>
                <w:p w:rsidR="00745FEA" w:rsidRPr="00A14C9B" w:rsidRDefault="00745FEA" w:rsidP="00745FEA">
                  <w:pPr>
                    <w:pStyle w:val="TableBodyText"/>
                    <w:spacing w:after="20"/>
                    <w:ind w:right="57"/>
                  </w:pPr>
                  <w:r w:rsidRPr="0062598B">
                    <w:t>-12.5</w:t>
                  </w:r>
                </w:p>
              </w:tc>
              <w:tc>
                <w:tcPr>
                  <w:tcW w:w="501" w:type="pct"/>
                  <w:vAlign w:val="bottom"/>
                </w:tcPr>
                <w:p w:rsidR="00745FEA" w:rsidRPr="00A14C9B" w:rsidRDefault="00745FEA" w:rsidP="00745FEA">
                  <w:pPr>
                    <w:pStyle w:val="TableBodyText"/>
                    <w:spacing w:after="20"/>
                    <w:ind w:right="57"/>
                  </w:pPr>
                  <w:r w:rsidRPr="0062598B">
                    <w:t>-40.2</w:t>
                  </w:r>
                </w:p>
              </w:tc>
              <w:tc>
                <w:tcPr>
                  <w:tcW w:w="501" w:type="pct"/>
                  <w:vAlign w:val="bottom"/>
                </w:tcPr>
                <w:p w:rsidR="00745FEA" w:rsidRPr="00A14C9B" w:rsidRDefault="00745FEA" w:rsidP="00745FEA">
                  <w:pPr>
                    <w:pStyle w:val="TableBodyText"/>
                    <w:spacing w:after="20"/>
                    <w:ind w:right="57"/>
                  </w:pPr>
                  <w:r w:rsidRPr="0062598B">
                    <w:t>-42.8</w:t>
                  </w:r>
                </w:p>
              </w:tc>
              <w:tc>
                <w:tcPr>
                  <w:tcW w:w="501" w:type="pct"/>
                  <w:shd w:val="clear" w:color="auto" w:fill="auto"/>
                  <w:vAlign w:val="bottom"/>
                </w:tcPr>
                <w:p w:rsidR="00745FEA" w:rsidRPr="00A14C9B" w:rsidRDefault="00745FEA" w:rsidP="00745FEA">
                  <w:pPr>
                    <w:pStyle w:val="TableBodyText"/>
                    <w:spacing w:after="20"/>
                    <w:ind w:right="57"/>
                  </w:pPr>
                  <w:r w:rsidRPr="0062598B">
                    <w:t>-44.0</w:t>
                  </w:r>
                </w:p>
              </w:tc>
              <w:tc>
                <w:tcPr>
                  <w:tcW w:w="502" w:type="pct"/>
                  <w:shd w:val="clear" w:color="auto" w:fill="auto"/>
                  <w:vAlign w:val="bottom"/>
                </w:tcPr>
                <w:p w:rsidR="00745FEA" w:rsidRPr="00A14C9B" w:rsidRDefault="00745FEA" w:rsidP="00745FEA">
                  <w:pPr>
                    <w:pStyle w:val="TableBodyText"/>
                    <w:spacing w:after="20"/>
                    <w:ind w:right="57"/>
                  </w:pPr>
                  <w:r w:rsidRPr="0062598B">
                    <w:t>-53.0</w:t>
                  </w:r>
                </w:p>
              </w:tc>
            </w:tr>
            <w:tr w:rsidR="00745FEA" w:rsidTr="00745FEA">
              <w:tc>
                <w:tcPr>
                  <w:tcW w:w="1992" w:type="pct"/>
                  <w:shd w:val="clear" w:color="auto" w:fill="auto"/>
                  <w:vAlign w:val="center"/>
                </w:tcPr>
                <w:p w:rsidR="00745FEA" w:rsidRPr="007D1111" w:rsidRDefault="00745FEA" w:rsidP="00745FEA">
                  <w:pPr>
                    <w:rPr>
                      <w:rFonts w:ascii="Arial" w:hAnsi="Arial" w:cs="Arial"/>
                      <w:sz w:val="18"/>
                      <w:szCs w:val="18"/>
                    </w:rPr>
                  </w:pPr>
                  <w:r w:rsidRPr="007D1111">
                    <w:rPr>
                      <w:rFonts w:ascii="Arial" w:hAnsi="Arial" w:cs="Arial"/>
                      <w:sz w:val="18"/>
                      <w:szCs w:val="18"/>
                    </w:rPr>
                    <w:t>Unallocated primary production</w:t>
                  </w:r>
                  <w:r w:rsidRPr="008405D4">
                    <w:rPr>
                      <w:rStyle w:val="NoteLabel"/>
                    </w:rPr>
                    <w:t>b</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shd w:val="clear" w:color="auto" w:fill="auto"/>
                  <w:vAlign w:val="bottom"/>
                </w:tcPr>
                <w:p w:rsidR="00745FEA" w:rsidRPr="00A14C9B" w:rsidRDefault="00745FEA" w:rsidP="00745FEA">
                  <w:pPr>
                    <w:pStyle w:val="TableBodyText"/>
                    <w:ind w:right="57"/>
                  </w:pPr>
                  <w:r w:rsidRPr="0062598B">
                    <w:t xml:space="preserve">– </w:t>
                  </w:r>
                </w:p>
              </w:tc>
              <w:tc>
                <w:tcPr>
                  <w:tcW w:w="502" w:type="pct"/>
                  <w:shd w:val="clear" w:color="auto" w:fill="auto"/>
                  <w:vAlign w:val="bottom"/>
                </w:tcPr>
                <w:p w:rsidR="00745FEA" w:rsidRPr="00A14C9B" w:rsidRDefault="00745FEA" w:rsidP="00745FEA">
                  <w:pPr>
                    <w:pStyle w:val="TableBodyText"/>
                    <w:ind w:right="57"/>
                  </w:pPr>
                  <w:r w:rsidRPr="0062598B">
                    <w:t xml:space="preserve">– </w:t>
                  </w:r>
                </w:p>
              </w:tc>
            </w:tr>
            <w:tr w:rsidR="00745FEA" w:rsidRPr="00302C4A" w:rsidTr="00745FEA">
              <w:tc>
                <w:tcPr>
                  <w:tcW w:w="1992" w:type="pct"/>
                  <w:shd w:val="clear" w:color="auto" w:fill="auto"/>
                  <w:vAlign w:val="bottom"/>
                </w:tcPr>
                <w:p w:rsidR="00745FEA" w:rsidRPr="00302C4A" w:rsidRDefault="00745FEA" w:rsidP="00745FEA">
                  <w:pPr>
                    <w:spacing w:after="20"/>
                    <w:rPr>
                      <w:rFonts w:ascii="Arial" w:hAnsi="Arial" w:cs="Arial"/>
                      <w:b/>
                      <w:bCs/>
                      <w:sz w:val="18"/>
                      <w:szCs w:val="18"/>
                    </w:rPr>
                  </w:pPr>
                  <w:r w:rsidRPr="00302C4A">
                    <w:rPr>
                      <w:rFonts w:ascii="Arial" w:hAnsi="Arial" w:cs="Arial"/>
                      <w:b/>
                      <w:bCs/>
                      <w:sz w:val="18"/>
                      <w:szCs w:val="18"/>
                    </w:rPr>
                    <w:t>Mining</w:t>
                  </w:r>
                </w:p>
              </w:tc>
              <w:tc>
                <w:tcPr>
                  <w:tcW w:w="501" w:type="pct"/>
                  <w:vAlign w:val="bottom"/>
                </w:tcPr>
                <w:p w:rsidR="00745FEA" w:rsidRPr="00302C4A" w:rsidRDefault="00745FEA" w:rsidP="00745FEA">
                  <w:pPr>
                    <w:pStyle w:val="TableBodyText"/>
                    <w:spacing w:after="20"/>
                    <w:ind w:right="57"/>
                    <w:rPr>
                      <w:b/>
                    </w:rPr>
                  </w:pPr>
                  <w:r w:rsidRPr="00302C4A">
                    <w:rPr>
                      <w:b/>
                    </w:rPr>
                    <w:t>-236.0</w:t>
                  </w:r>
                </w:p>
              </w:tc>
              <w:tc>
                <w:tcPr>
                  <w:tcW w:w="501" w:type="pct"/>
                  <w:vAlign w:val="bottom"/>
                </w:tcPr>
                <w:p w:rsidR="00745FEA" w:rsidRPr="00302C4A" w:rsidRDefault="00745FEA" w:rsidP="00745FEA">
                  <w:pPr>
                    <w:pStyle w:val="TableBodyText"/>
                    <w:spacing w:after="20"/>
                    <w:ind w:right="57"/>
                    <w:rPr>
                      <w:b/>
                    </w:rPr>
                  </w:pPr>
                  <w:r w:rsidRPr="00302C4A">
                    <w:rPr>
                      <w:b/>
                    </w:rPr>
                    <w:t>-258.4</w:t>
                  </w:r>
                </w:p>
              </w:tc>
              <w:tc>
                <w:tcPr>
                  <w:tcW w:w="501" w:type="pct"/>
                  <w:vAlign w:val="bottom"/>
                </w:tcPr>
                <w:p w:rsidR="00745FEA" w:rsidRPr="00302C4A" w:rsidRDefault="00745FEA" w:rsidP="00745FEA">
                  <w:pPr>
                    <w:pStyle w:val="TableBodyText"/>
                    <w:spacing w:after="20"/>
                    <w:ind w:right="57"/>
                    <w:rPr>
                      <w:b/>
                    </w:rPr>
                  </w:pPr>
                  <w:r w:rsidRPr="00302C4A">
                    <w:rPr>
                      <w:b/>
                    </w:rPr>
                    <w:t>-285.6</w:t>
                  </w:r>
                </w:p>
              </w:tc>
              <w:tc>
                <w:tcPr>
                  <w:tcW w:w="501" w:type="pct"/>
                  <w:vAlign w:val="bottom"/>
                </w:tcPr>
                <w:p w:rsidR="00745FEA" w:rsidRPr="00302C4A" w:rsidRDefault="00745FEA" w:rsidP="00745FEA">
                  <w:pPr>
                    <w:pStyle w:val="TableBodyText"/>
                    <w:spacing w:after="20"/>
                    <w:ind w:right="57"/>
                    <w:rPr>
                      <w:b/>
                    </w:rPr>
                  </w:pPr>
                  <w:r w:rsidRPr="00302C4A">
                    <w:rPr>
                      <w:b/>
                    </w:rPr>
                    <w:t>-297.4</w:t>
                  </w:r>
                </w:p>
              </w:tc>
              <w:tc>
                <w:tcPr>
                  <w:tcW w:w="501" w:type="pct"/>
                  <w:shd w:val="clear" w:color="auto" w:fill="auto"/>
                  <w:vAlign w:val="bottom"/>
                </w:tcPr>
                <w:p w:rsidR="00745FEA" w:rsidRPr="00302C4A" w:rsidRDefault="00745FEA" w:rsidP="00745FEA">
                  <w:pPr>
                    <w:pStyle w:val="TableBodyText"/>
                    <w:spacing w:after="20"/>
                    <w:ind w:right="57"/>
                    <w:rPr>
                      <w:b/>
                    </w:rPr>
                  </w:pPr>
                  <w:r w:rsidRPr="00302C4A">
                    <w:rPr>
                      <w:b/>
                    </w:rPr>
                    <w:t>-305.7</w:t>
                  </w:r>
                </w:p>
              </w:tc>
              <w:tc>
                <w:tcPr>
                  <w:tcW w:w="502" w:type="pct"/>
                  <w:shd w:val="clear" w:color="auto" w:fill="auto"/>
                  <w:vAlign w:val="bottom"/>
                </w:tcPr>
                <w:p w:rsidR="00745FEA" w:rsidRPr="00302C4A" w:rsidRDefault="00745FEA" w:rsidP="00745FEA">
                  <w:pPr>
                    <w:pStyle w:val="TableBodyText"/>
                    <w:spacing w:after="20"/>
                    <w:ind w:right="57"/>
                    <w:rPr>
                      <w:b/>
                    </w:rPr>
                  </w:pPr>
                  <w:r w:rsidRPr="00302C4A">
                    <w:rPr>
                      <w:b/>
                    </w:rPr>
                    <w:t>-309.4</w:t>
                  </w:r>
                </w:p>
              </w:tc>
            </w:tr>
            <w:tr w:rsidR="00745FEA" w:rsidRPr="00302C4A" w:rsidTr="00745FEA">
              <w:tc>
                <w:tcPr>
                  <w:tcW w:w="1992" w:type="pct"/>
                  <w:shd w:val="clear" w:color="auto" w:fill="auto"/>
                  <w:vAlign w:val="bottom"/>
                </w:tcPr>
                <w:p w:rsidR="00745FEA" w:rsidRPr="00302C4A" w:rsidRDefault="00745FEA" w:rsidP="00745FEA">
                  <w:pPr>
                    <w:spacing w:after="20"/>
                    <w:rPr>
                      <w:rFonts w:ascii="Arial" w:hAnsi="Arial" w:cs="Arial"/>
                      <w:b/>
                      <w:bCs/>
                      <w:sz w:val="18"/>
                      <w:szCs w:val="18"/>
                    </w:rPr>
                  </w:pPr>
                  <w:r w:rsidRPr="00302C4A">
                    <w:rPr>
                      <w:rFonts w:ascii="Arial" w:hAnsi="Arial" w:cs="Arial"/>
                      <w:b/>
                      <w:bCs/>
                      <w:sz w:val="18"/>
                      <w:szCs w:val="18"/>
                    </w:rPr>
                    <w:t>Manufacturing</w:t>
                  </w:r>
                </w:p>
              </w:tc>
              <w:tc>
                <w:tcPr>
                  <w:tcW w:w="501" w:type="pct"/>
                  <w:vAlign w:val="bottom"/>
                </w:tcPr>
                <w:p w:rsidR="00745FEA" w:rsidRPr="00302C4A" w:rsidRDefault="00745FEA" w:rsidP="00745FEA">
                  <w:pPr>
                    <w:pStyle w:val="TableBodyText"/>
                    <w:spacing w:after="20"/>
                    <w:ind w:right="57"/>
                    <w:rPr>
                      <w:b/>
                    </w:rPr>
                  </w:pPr>
                  <w:r w:rsidRPr="00302C4A">
                    <w:rPr>
                      <w:b/>
                    </w:rPr>
                    <w:t>-1780.7</w:t>
                  </w:r>
                </w:p>
              </w:tc>
              <w:tc>
                <w:tcPr>
                  <w:tcW w:w="501" w:type="pct"/>
                  <w:vAlign w:val="bottom"/>
                </w:tcPr>
                <w:p w:rsidR="00745FEA" w:rsidRPr="00302C4A" w:rsidRDefault="00745FEA" w:rsidP="00745FEA">
                  <w:pPr>
                    <w:pStyle w:val="TableBodyText"/>
                    <w:spacing w:after="20"/>
                    <w:ind w:right="57"/>
                    <w:rPr>
                      <w:b/>
                    </w:rPr>
                  </w:pPr>
                  <w:r w:rsidRPr="00302C4A">
                    <w:rPr>
                      <w:b/>
                    </w:rPr>
                    <w:t>-1672.1</w:t>
                  </w:r>
                </w:p>
              </w:tc>
              <w:tc>
                <w:tcPr>
                  <w:tcW w:w="501" w:type="pct"/>
                  <w:vAlign w:val="bottom"/>
                </w:tcPr>
                <w:p w:rsidR="00745FEA" w:rsidRPr="00302C4A" w:rsidRDefault="00745FEA" w:rsidP="00745FEA">
                  <w:pPr>
                    <w:pStyle w:val="TableBodyText"/>
                    <w:spacing w:after="20"/>
                    <w:ind w:right="57"/>
                    <w:rPr>
                      <w:b/>
                    </w:rPr>
                  </w:pPr>
                  <w:r w:rsidRPr="00302C4A">
                    <w:rPr>
                      <w:b/>
                    </w:rPr>
                    <w:t>-1688.0</w:t>
                  </w:r>
                </w:p>
              </w:tc>
              <w:tc>
                <w:tcPr>
                  <w:tcW w:w="501" w:type="pct"/>
                  <w:vAlign w:val="bottom"/>
                </w:tcPr>
                <w:p w:rsidR="00745FEA" w:rsidRPr="00302C4A" w:rsidRDefault="00745FEA" w:rsidP="00745FEA">
                  <w:pPr>
                    <w:pStyle w:val="TableBodyText"/>
                    <w:spacing w:after="20"/>
                    <w:ind w:right="57"/>
                    <w:rPr>
                      <w:b/>
                    </w:rPr>
                  </w:pPr>
                  <w:r w:rsidRPr="00302C4A">
                    <w:rPr>
                      <w:b/>
                    </w:rPr>
                    <w:t>-1676.9</w:t>
                  </w:r>
                </w:p>
              </w:tc>
              <w:tc>
                <w:tcPr>
                  <w:tcW w:w="501" w:type="pct"/>
                  <w:shd w:val="clear" w:color="auto" w:fill="auto"/>
                  <w:vAlign w:val="bottom"/>
                </w:tcPr>
                <w:p w:rsidR="00745FEA" w:rsidRPr="00302C4A" w:rsidRDefault="00745FEA" w:rsidP="00745FEA">
                  <w:pPr>
                    <w:pStyle w:val="TableBodyText"/>
                    <w:spacing w:after="20"/>
                    <w:ind w:right="57"/>
                    <w:rPr>
                      <w:b/>
                    </w:rPr>
                  </w:pPr>
                  <w:r w:rsidRPr="00302C4A">
                    <w:rPr>
                      <w:b/>
                    </w:rPr>
                    <w:t>-1636.2</w:t>
                  </w:r>
                </w:p>
              </w:tc>
              <w:tc>
                <w:tcPr>
                  <w:tcW w:w="502" w:type="pct"/>
                  <w:shd w:val="clear" w:color="auto" w:fill="auto"/>
                  <w:vAlign w:val="bottom"/>
                </w:tcPr>
                <w:p w:rsidR="00745FEA" w:rsidRPr="00302C4A" w:rsidRDefault="00745FEA" w:rsidP="00745FEA">
                  <w:pPr>
                    <w:pStyle w:val="TableBodyText"/>
                    <w:spacing w:after="20"/>
                    <w:ind w:right="57"/>
                    <w:rPr>
                      <w:b/>
                    </w:rPr>
                  </w:pPr>
                  <w:r w:rsidRPr="00302C4A">
                    <w:rPr>
                      <w:b/>
                    </w:rPr>
                    <w:t>-1649.9</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Food, beverages and tobacco</w:t>
                  </w:r>
                </w:p>
              </w:tc>
              <w:tc>
                <w:tcPr>
                  <w:tcW w:w="501" w:type="pct"/>
                  <w:vAlign w:val="bottom"/>
                </w:tcPr>
                <w:p w:rsidR="00745FEA" w:rsidRPr="00A14C9B" w:rsidRDefault="00745FEA" w:rsidP="00745FEA">
                  <w:pPr>
                    <w:pStyle w:val="TableBodyText"/>
                    <w:spacing w:after="20"/>
                    <w:ind w:right="57"/>
                  </w:pPr>
                  <w:r w:rsidRPr="0062598B">
                    <w:t>-675.1</w:t>
                  </w:r>
                </w:p>
              </w:tc>
              <w:tc>
                <w:tcPr>
                  <w:tcW w:w="501" w:type="pct"/>
                  <w:vAlign w:val="bottom"/>
                </w:tcPr>
                <w:p w:rsidR="00745FEA" w:rsidRPr="00A14C9B" w:rsidRDefault="00745FEA" w:rsidP="00745FEA">
                  <w:pPr>
                    <w:pStyle w:val="TableBodyText"/>
                    <w:spacing w:after="20"/>
                    <w:ind w:right="57"/>
                  </w:pPr>
                  <w:r w:rsidRPr="0062598B">
                    <w:t>-682.0</w:t>
                  </w:r>
                </w:p>
              </w:tc>
              <w:tc>
                <w:tcPr>
                  <w:tcW w:w="501" w:type="pct"/>
                  <w:vAlign w:val="bottom"/>
                </w:tcPr>
                <w:p w:rsidR="00745FEA" w:rsidRPr="00A14C9B" w:rsidRDefault="00745FEA" w:rsidP="00745FEA">
                  <w:pPr>
                    <w:pStyle w:val="TableBodyText"/>
                    <w:spacing w:after="20"/>
                    <w:ind w:right="57"/>
                  </w:pPr>
                  <w:r w:rsidRPr="0062598B">
                    <w:t>-700.1</w:t>
                  </w:r>
                </w:p>
              </w:tc>
              <w:tc>
                <w:tcPr>
                  <w:tcW w:w="501" w:type="pct"/>
                  <w:vAlign w:val="bottom"/>
                </w:tcPr>
                <w:p w:rsidR="00745FEA" w:rsidRPr="00A14C9B" w:rsidRDefault="00745FEA" w:rsidP="00745FEA">
                  <w:pPr>
                    <w:pStyle w:val="TableBodyText"/>
                    <w:spacing w:after="20"/>
                    <w:ind w:right="57"/>
                  </w:pPr>
                  <w:r w:rsidRPr="0062598B">
                    <w:t>-704.7</w:t>
                  </w:r>
                </w:p>
              </w:tc>
              <w:tc>
                <w:tcPr>
                  <w:tcW w:w="501" w:type="pct"/>
                  <w:shd w:val="clear" w:color="auto" w:fill="auto"/>
                  <w:vAlign w:val="bottom"/>
                </w:tcPr>
                <w:p w:rsidR="00745FEA" w:rsidRPr="00A14C9B" w:rsidRDefault="00745FEA" w:rsidP="00745FEA">
                  <w:pPr>
                    <w:pStyle w:val="TableBodyText"/>
                    <w:spacing w:after="20"/>
                    <w:ind w:right="57"/>
                  </w:pPr>
                  <w:r w:rsidRPr="0062598B">
                    <w:t>-693.5</w:t>
                  </w:r>
                </w:p>
              </w:tc>
              <w:tc>
                <w:tcPr>
                  <w:tcW w:w="502" w:type="pct"/>
                  <w:shd w:val="clear" w:color="auto" w:fill="auto"/>
                  <w:vAlign w:val="bottom"/>
                </w:tcPr>
                <w:p w:rsidR="00745FEA" w:rsidRPr="00A14C9B" w:rsidRDefault="00745FEA" w:rsidP="00745FEA">
                  <w:pPr>
                    <w:pStyle w:val="TableBodyText"/>
                    <w:spacing w:after="20"/>
                    <w:ind w:right="57"/>
                  </w:pPr>
                  <w:r w:rsidRPr="0062598B">
                    <w:t>-732.2</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Textile</w:t>
                  </w:r>
                  <w:r>
                    <w:rPr>
                      <w:rFonts w:ascii="Arial" w:hAnsi="Arial" w:cs="Arial"/>
                      <w:sz w:val="18"/>
                      <w:szCs w:val="18"/>
                    </w:rPr>
                    <w:t>s</w:t>
                  </w:r>
                  <w:r w:rsidRPr="007D1111">
                    <w:rPr>
                      <w:rFonts w:ascii="Arial" w:hAnsi="Arial" w:cs="Arial"/>
                      <w:sz w:val="18"/>
                      <w:szCs w:val="18"/>
                    </w:rPr>
                    <w:t>, leather, clothing and footwear</w:t>
                  </w:r>
                </w:p>
              </w:tc>
              <w:tc>
                <w:tcPr>
                  <w:tcW w:w="501" w:type="pct"/>
                  <w:vAlign w:val="bottom"/>
                </w:tcPr>
                <w:p w:rsidR="00745FEA" w:rsidRPr="00A14C9B" w:rsidRDefault="00745FEA" w:rsidP="00745FEA">
                  <w:pPr>
                    <w:pStyle w:val="TableBodyText"/>
                    <w:spacing w:after="20"/>
                    <w:ind w:right="57"/>
                  </w:pPr>
                  <w:r w:rsidRPr="0062598B">
                    <w:t>-34.5</w:t>
                  </w:r>
                </w:p>
              </w:tc>
              <w:tc>
                <w:tcPr>
                  <w:tcW w:w="501" w:type="pct"/>
                  <w:vAlign w:val="bottom"/>
                </w:tcPr>
                <w:p w:rsidR="00745FEA" w:rsidRPr="00A14C9B" w:rsidRDefault="00745FEA" w:rsidP="00745FEA">
                  <w:pPr>
                    <w:pStyle w:val="TableBodyText"/>
                    <w:spacing w:after="20"/>
                    <w:ind w:right="57"/>
                  </w:pPr>
                  <w:r w:rsidRPr="0062598B">
                    <w:t>-33.7</w:t>
                  </w:r>
                </w:p>
              </w:tc>
              <w:tc>
                <w:tcPr>
                  <w:tcW w:w="501" w:type="pct"/>
                  <w:vAlign w:val="bottom"/>
                </w:tcPr>
                <w:p w:rsidR="00745FEA" w:rsidRPr="00A14C9B" w:rsidRDefault="00745FEA" w:rsidP="00745FEA">
                  <w:pPr>
                    <w:pStyle w:val="TableBodyText"/>
                    <w:spacing w:after="20"/>
                    <w:ind w:right="57"/>
                  </w:pPr>
                  <w:r w:rsidRPr="0062598B">
                    <w:t>-34.3</w:t>
                  </w:r>
                </w:p>
              </w:tc>
              <w:tc>
                <w:tcPr>
                  <w:tcW w:w="501" w:type="pct"/>
                  <w:vAlign w:val="bottom"/>
                </w:tcPr>
                <w:p w:rsidR="00745FEA" w:rsidRPr="00A14C9B" w:rsidRDefault="00745FEA" w:rsidP="00745FEA">
                  <w:pPr>
                    <w:pStyle w:val="TableBodyText"/>
                    <w:spacing w:after="20"/>
                    <w:ind w:right="57"/>
                  </w:pPr>
                  <w:r w:rsidRPr="0062598B">
                    <w:t>-32.9</w:t>
                  </w:r>
                </w:p>
              </w:tc>
              <w:tc>
                <w:tcPr>
                  <w:tcW w:w="501" w:type="pct"/>
                  <w:shd w:val="clear" w:color="auto" w:fill="auto"/>
                  <w:vAlign w:val="bottom"/>
                </w:tcPr>
                <w:p w:rsidR="00745FEA" w:rsidRPr="00A14C9B" w:rsidRDefault="00745FEA" w:rsidP="00745FEA">
                  <w:pPr>
                    <w:pStyle w:val="TableBodyText"/>
                    <w:spacing w:after="20"/>
                    <w:ind w:right="57"/>
                  </w:pPr>
                  <w:r w:rsidRPr="0062598B">
                    <w:t>-30.0</w:t>
                  </w:r>
                </w:p>
              </w:tc>
              <w:tc>
                <w:tcPr>
                  <w:tcW w:w="502" w:type="pct"/>
                  <w:shd w:val="clear" w:color="auto" w:fill="auto"/>
                  <w:vAlign w:val="bottom"/>
                </w:tcPr>
                <w:p w:rsidR="00745FEA" w:rsidRPr="00A14C9B" w:rsidRDefault="00745FEA" w:rsidP="00745FEA">
                  <w:pPr>
                    <w:pStyle w:val="TableBodyText"/>
                    <w:spacing w:after="20"/>
                    <w:ind w:right="57"/>
                  </w:pPr>
                  <w:r w:rsidRPr="0062598B">
                    <w:t>-29.3</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Wood and paper products</w:t>
                  </w:r>
                </w:p>
              </w:tc>
              <w:tc>
                <w:tcPr>
                  <w:tcW w:w="501" w:type="pct"/>
                  <w:vAlign w:val="bottom"/>
                </w:tcPr>
                <w:p w:rsidR="00745FEA" w:rsidRPr="00A14C9B" w:rsidRDefault="00745FEA" w:rsidP="00745FEA">
                  <w:pPr>
                    <w:pStyle w:val="TableBodyText"/>
                    <w:spacing w:after="20"/>
                    <w:ind w:right="57"/>
                  </w:pPr>
                  <w:r w:rsidRPr="0062598B">
                    <w:t>-111.6</w:t>
                  </w:r>
                </w:p>
              </w:tc>
              <w:tc>
                <w:tcPr>
                  <w:tcW w:w="501" w:type="pct"/>
                  <w:vAlign w:val="bottom"/>
                </w:tcPr>
                <w:p w:rsidR="00745FEA" w:rsidRPr="00A14C9B" w:rsidRDefault="00745FEA" w:rsidP="00745FEA">
                  <w:pPr>
                    <w:pStyle w:val="TableBodyText"/>
                    <w:spacing w:after="20"/>
                    <w:ind w:right="57"/>
                  </w:pPr>
                  <w:r w:rsidRPr="0062598B">
                    <w:t>-109.2</w:t>
                  </w:r>
                </w:p>
              </w:tc>
              <w:tc>
                <w:tcPr>
                  <w:tcW w:w="501" w:type="pct"/>
                  <w:vAlign w:val="bottom"/>
                </w:tcPr>
                <w:p w:rsidR="00745FEA" w:rsidRPr="00A14C9B" w:rsidRDefault="00745FEA" w:rsidP="00745FEA">
                  <w:pPr>
                    <w:pStyle w:val="TableBodyText"/>
                    <w:spacing w:after="20"/>
                    <w:ind w:right="57"/>
                  </w:pPr>
                  <w:r w:rsidRPr="0062598B">
                    <w:t>-111.1</w:t>
                  </w:r>
                </w:p>
              </w:tc>
              <w:tc>
                <w:tcPr>
                  <w:tcW w:w="501" w:type="pct"/>
                  <w:vAlign w:val="bottom"/>
                </w:tcPr>
                <w:p w:rsidR="00745FEA" w:rsidRPr="00A14C9B" w:rsidRDefault="00745FEA" w:rsidP="00745FEA">
                  <w:pPr>
                    <w:pStyle w:val="TableBodyText"/>
                    <w:spacing w:after="20"/>
                    <w:ind w:right="57"/>
                  </w:pPr>
                  <w:r w:rsidRPr="0062598B">
                    <w:t>-116.1</w:t>
                  </w:r>
                </w:p>
              </w:tc>
              <w:tc>
                <w:tcPr>
                  <w:tcW w:w="501" w:type="pct"/>
                  <w:shd w:val="clear" w:color="auto" w:fill="auto"/>
                  <w:vAlign w:val="bottom"/>
                </w:tcPr>
                <w:p w:rsidR="00745FEA" w:rsidRPr="00A14C9B" w:rsidRDefault="00745FEA" w:rsidP="00745FEA">
                  <w:pPr>
                    <w:pStyle w:val="TableBodyText"/>
                    <w:spacing w:after="20"/>
                    <w:ind w:right="57"/>
                  </w:pPr>
                  <w:r w:rsidRPr="0062598B">
                    <w:t>-116.5</w:t>
                  </w:r>
                </w:p>
              </w:tc>
              <w:tc>
                <w:tcPr>
                  <w:tcW w:w="502" w:type="pct"/>
                  <w:shd w:val="clear" w:color="auto" w:fill="auto"/>
                  <w:vAlign w:val="bottom"/>
                </w:tcPr>
                <w:p w:rsidR="00745FEA" w:rsidRPr="00A14C9B" w:rsidRDefault="00745FEA" w:rsidP="00745FEA">
                  <w:pPr>
                    <w:pStyle w:val="TableBodyText"/>
                    <w:spacing w:after="20"/>
                    <w:ind w:right="57"/>
                  </w:pPr>
                  <w:r w:rsidRPr="0062598B">
                    <w:t>-113.6</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Printing and recorded media</w:t>
                  </w:r>
                </w:p>
              </w:tc>
              <w:tc>
                <w:tcPr>
                  <w:tcW w:w="501" w:type="pct"/>
                  <w:vAlign w:val="bottom"/>
                </w:tcPr>
                <w:p w:rsidR="00745FEA" w:rsidRPr="00A14C9B" w:rsidRDefault="00745FEA" w:rsidP="00745FEA">
                  <w:pPr>
                    <w:pStyle w:val="TableBodyText"/>
                    <w:spacing w:after="20"/>
                    <w:ind w:right="57"/>
                  </w:pPr>
                  <w:r w:rsidRPr="0062598B">
                    <w:t>-29.7</w:t>
                  </w:r>
                </w:p>
              </w:tc>
              <w:tc>
                <w:tcPr>
                  <w:tcW w:w="501" w:type="pct"/>
                  <w:vAlign w:val="bottom"/>
                </w:tcPr>
                <w:p w:rsidR="00745FEA" w:rsidRPr="00A14C9B" w:rsidRDefault="00745FEA" w:rsidP="00745FEA">
                  <w:pPr>
                    <w:pStyle w:val="TableBodyText"/>
                    <w:spacing w:after="20"/>
                    <w:ind w:right="57"/>
                  </w:pPr>
                  <w:r w:rsidRPr="0062598B">
                    <w:t>-29.0</w:t>
                  </w:r>
                </w:p>
              </w:tc>
              <w:tc>
                <w:tcPr>
                  <w:tcW w:w="501" w:type="pct"/>
                  <w:vAlign w:val="bottom"/>
                </w:tcPr>
                <w:p w:rsidR="00745FEA" w:rsidRPr="00A14C9B" w:rsidRDefault="00745FEA" w:rsidP="00745FEA">
                  <w:pPr>
                    <w:pStyle w:val="TableBodyText"/>
                    <w:spacing w:after="20"/>
                    <w:ind w:right="57"/>
                  </w:pPr>
                  <w:r w:rsidRPr="0062598B">
                    <w:t>-29.5</w:t>
                  </w:r>
                </w:p>
              </w:tc>
              <w:tc>
                <w:tcPr>
                  <w:tcW w:w="501" w:type="pct"/>
                  <w:vAlign w:val="bottom"/>
                </w:tcPr>
                <w:p w:rsidR="00745FEA" w:rsidRPr="00A14C9B" w:rsidRDefault="00745FEA" w:rsidP="00745FEA">
                  <w:pPr>
                    <w:pStyle w:val="TableBodyText"/>
                    <w:spacing w:after="20"/>
                    <w:ind w:right="57"/>
                  </w:pPr>
                  <w:r w:rsidRPr="0062598B">
                    <w:t>-30.5</w:t>
                  </w:r>
                </w:p>
              </w:tc>
              <w:tc>
                <w:tcPr>
                  <w:tcW w:w="501" w:type="pct"/>
                  <w:shd w:val="clear" w:color="auto" w:fill="auto"/>
                  <w:vAlign w:val="bottom"/>
                </w:tcPr>
                <w:p w:rsidR="00745FEA" w:rsidRPr="00A14C9B" w:rsidRDefault="00745FEA" w:rsidP="00745FEA">
                  <w:pPr>
                    <w:pStyle w:val="TableBodyText"/>
                    <w:spacing w:after="20"/>
                    <w:ind w:right="57"/>
                  </w:pPr>
                  <w:r w:rsidRPr="0062598B">
                    <w:t>-30.3</w:t>
                  </w:r>
                </w:p>
              </w:tc>
              <w:tc>
                <w:tcPr>
                  <w:tcW w:w="502" w:type="pct"/>
                  <w:shd w:val="clear" w:color="auto" w:fill="auto"/>
                  <w:vAlign w:val="bottom"/>
                </w:tcPr>
                <w:p w:rsidR="00745FEA" w:rsidRPr="00A14C9B" w:rsidRDefault="00745FEA" w:rsidP="00745FEA">
                  <w:pPr>
                    <w:pStyle w:val="TableBodyText"/>
                    <w:spacing w:after="20"/>
                    <w:ind w:right="57"/>
                  </w:pPr>
                  <w:r w:rsidRPr="0062598B">
                    <w:t>-29.5</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Petroleum, coal, chemical and rubber</w:t>
                  </w:r>
                </w:p>
              </w:tc>
              <w:tc>
                <w:tcPr>
                  <w:tcW w:w="501" w:type="pct"/>
                  <w:vAlign w:val="bottom"/>
                </w:tcPr>
                <w:p w:rsidR="00745FEA" w:rsidRPr="00A14C9B" w:rsidRDefault="00745FEA" w:rsidP="00745FEA">
                  <w:pPr>
                    <w:pStyle w:val="TableBodyText"/>
                    <w:spacing w:after="20"/>
                    <w:ind w:right="57"/>
                  </w:pPr>
                  <w:r w:rsidRPr="0062598B">
                    <w:t>-160.2</w:t>
                  </w:r>
                </w:p>
              </w:tc>
              <w:tc>
                <w:tcPr>
                  <w:tcW w:w="501" w:type="pct"/>
                  <w:vAlign w:val="bottom"/>
                </w:tcPr>
                <w:p w:rsidR="00745FEA" w:rsidRPr="00A14C9B" w:rsidRDefault="00745FEA" w:rsidP="00745FEA">
                  <w:pPr>
                    <w:pStyle w:val="TableBodyText"/>
                    <w:spacing w:after="20"/>
                    <w:ind w:right="57"/>
                  </w:pPr>
                  <w:r w:rsidRPr="0062598B">
                    <w:t>-140.8</w:t>
                  </w:r>
                </w:p>
              </w:tc>
              <w:tc>
                <w:tcPr>
                  <w:tcW w:w="501" w:type="pct"/>
                  <w:vAlign w:val="bottom"/>
                </w:tcPr>
                <w:p w:rsidR="00745FEA" w:rsidRPr="00A14C9B" w:rsidRDefault="00745FEA" w:rsidP="00745FEA">
                  <w:pPr>
                    <w:pStyle w:val="TableBodyText"/>
                    <w:spacing w:after="20"/>
                    <w:ind w:right="57"/>
                  </w:pPr>
                  <w:r w:rsidRPr="0062598B">
                    <w:t>-142.2</w:t>
                  </w:r>
                </w:p>
              </w:tc>
              <w:tc>
                <w:tcPr>
                  <w:tcW w:w="501" w:type="pct"/>
                  <w:vAlign w:val="bottom"/>
                </w:tcPr>
                <w:p w:rsidR="00745FEA" w:rsidRPr="00A14C9B" w:rsidRDefault="00745FEA" w:rsidP="00745FEA">
                  <w:pPr>
                    <w:pStyle w:val="TableBodyText"/>
                    <w:spacing w:after="20"/>
                    <w:ind w:right="57"/>
                  </w:pPr>
                  <w:r w:rsidRPr="0062598B">
                    <w:t>-133.6</w:t>
                  </w:r>
                </w:p>
              </w:tc>
              <w:tc>
                <w:tcPr>
                  <w:tcW w:w="501" w:type="pct"/>
                  <w:shd w:val="clear" w:color="auto" w:fill="auto"/>
                  <w:vAlign w:val="bottom"/>
                </w:tcPr>
                <w:p w:rsidR="00745FEA" w:rsidRPr="00A14C9B" w:rsidRDefault="00745FEA" w:rsidP="00745FEA">
                  <w:pPr>
                    <w:pStyle w:val="TableBodyText"/>
                    <w:spacing w:after="20"/>
                    <w:ind w:right="57"/>
                  </w:pPr>
                  <w:r w:rsidRPr="0062598B">
                    <w:t>-129.8</w:t>
                  </w:r>
                </w:p>
              </w:tc>
              <w:tc>
                <w:tcPr>
                  <w:tcW w:w="502" w:type="pct"/>
                  <w:shd w:val="clear" w:color="auto" w:fill="auto"/>
                  <w:vAlign w:val="bottom"/>
                </w:tcPr>
                <w:p w:rsidR="00745FEA" w:rsidRPr="00A14C9B" w:rsidRDefault="00745FEA" w:rsidP="00745FEA">
                  <w:pPr>
                    <w:pStyle w:val="TableBodyText"/>
                    <w:spacing w:after="20"/>
                    <w:ind w:right="57"/>
                  </w:pPr>
                  <w:r w:rsidRPr="0062598B">
                    <w:t>-130.6</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Non</w:t>
                  </w:r>
                  <w:r>
                    <w:rPr>
                      <w:rFonts w:ascii="Arial" w:hAnsi="Arial" w:cs="Arial"/>
                      <w:sz w:val="18"/>
                      <w:szCs w:val="18"/>
                    </w:rPr>
                    <w:noBreakHyphen/>
                  </w:r>
                  <w:r w:rsidRPr="007D1111">
                    <w:rPr>
                      <w:rFonts w:ascii="Arial" w:hAnsi="Arial" w:cs="Arial"/>
                      <w:sz w:val="18"/>
                      <w:szCs w:val="18"/>
                    </w:rPr>
                    <w:t>metallic mineral products</w:t>
                  </w:r>
                </w:p>
              </w:tc>
              <w:tc>
                <w:tcPr>
                  <w:tcW w:w="501" w:type="pct"/>
                  <w:vAlign w:val="bottom"/>
                </w:tcPr>
                <w:p w:rsidR="00745FEA" w:rsidRPr="00A14C9B" w:rsidRDefault="00745FEA" w:rsidP="00745FEA">
                  <w:pPr>
                    <w:pStyle w:val="TableBodyText"/>
                    <w:spacing w:after="20"/>
                    <w:ind w:right="57"/>
                  </w:pPr>
                  <w:r w:rsidRPr="0062598B">
                    <w:t>-53.4</w:t>
                  </w:r>
                </w:p>
              </w:tc>
              <w:tc>
                <w:tcPr>
                  <w:tcW w:w="501" w:type="pct"/>
                  <w:vAlign w:val="bottom"/>
                </w:tcPr>
                <w:p w:rsidR="00745FEA" w:rsidRPr="00A14C9B" w:rsidRDefault="00745FEA" w:rsidP="00745FEA">
                  <w:pPr>
                    <w:pStyle w:val="TableBodyText"/>
                    <w:spacing w:after="20"/>
                    <w:ind w:right="57"/>
                  </w:pPr>
                  <w:r w:rsidRPr="0062598B">
                    <w:t>-52.2</w:t>
                  </w:r>
                </w:p>
              </w:tc>
              <w:tc>
                <w:tcPr>
                  <w:tcW w:w="501" w:type="pct"/>
                  <w:vAlign w:val="bottom"/>
                </w:tcPr>
                <w:p w:rsidR="00745FEA" w:rsidRPr="00A14C9B" w:rsidRDefault="00745FEA" w:rsidP="00745FEA">
                  <w:pPr>
                    <w:pStyle w:val="TableBodyText"/>
                    <w:spacing w:after="20"/>
                    <w:ind w:right="57"/>
                  </w:pPr>
                  <w:r w:rsidRPr="0062598B">
                    <w:t>-53.1</w:t>
                  </w:r>
                </w:p>
              </w:tc>
              <w:tc>
                <w:tcPr>
                  <w:tcW w:w="501" w:type="pct"/>
                  <w:vAlign w:val="bottom"/>
                </w:tcPr>
                <w:p w:rsidR="00745FEA" w:rsidRPr="00A14C9B" w:rsidRDefault="00745FEA" w:rsidP="00745FEA">
                  <w:pPr>
                    <w:pStyle w:val="TableBodyText"/>
                    <w:spacing w:after="20"/>
                    <w:ind w:right="57"/>
                  </w:pPr>
                  <w:r w:rsidRPr="0062598B">
                    <w:t>-55.2</w:t>
                  </w:r>
                </w:p>
              </w:tc>
              <w:tc>
                <w:tcPr>
                  <w:tcW w:w="501" w:type="pct"/>
                  <w:shd w:val="clear" w:color="auto" w:fill="auto"/>
                  <w:vAlign w:val="bottom"/>
                </w:tcPr>
                <w:p w:rsidR="00745FEA" w:rsidRPr="00A14C9B" w:rsidRDefault="00745FEA" w:rsidP="00745FEA">
                  <w:pPr>
                    <w:pStyle w:val="TableBodyText"/>
                    <w:spacing w:after="20"/>
                    <w:ind w:right="57"/>
                  </w:pPr>
                  <w:r w:rsidRPr="0062598B">
                    <w:t>-55.2</w:t>
                  </w:r>
                </w:p>
              </w:tc>
              <w:tc>
                <w:tcPr>
                  <w:tcW w:w="502" w:type="pct"/>
                  <w:shd w:val="clear" w:color="auto" w:fill="auto"/>
                  <w:vAlign w:val="bottom"/>
                </w:tcPr>
                <w:p w:rsidR="00745FEA" w:rsidRPr="00A14C9B" w:rsidRDefault="00745FEA" w:rsidP="00745FEA">
                  <w:pPr>
                    <w:pStyle w:val="TableBodyText"/>
                    <w:spacing w:after="20"/>
                    <w:ind w:right="57"/>
                  </w:pPr>
                  <w:r w:rsidRPr="0062598B">
                    <w:t>-53.8</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Metal and fabricated metal products</w:t>
                  </w:r>
                </w:p>
              </w:tc>
              <w:tc>
                <w:tcPr>
                  <w:tcW w:w="501" w:type="pct"/>
                  <w:vAlign w:val="bottom"/>
                </w:tcPr>
                <w:p w:rsidR="00745FEA" w:rsidRPr="00A14C9B" w:rsidRDefault="00745FEA" w:rsidP="00745FEA">
                  <w:pPr>
                    <w:pStyle w:val="TableBodyText"/>
                    <w:spacing w:after="20"/>
                    <w:ind w:right="57"/>
                  </w:pPr>
                  <w:r w:rsidRPr="0062598B">
                    <w:t>-191.6</w:t>
                  </w:r>
                </w:p>
              </w:tc>
              <w:tc>
                <w:tcPr>
                  <w:tcW w:w="501" w:type="pct"/>
                  <w:vAlign w:val="bottom"/>
                </w:tcPr>
                <w:p w:rsidR="00745FEA" w:rsidRPr="00A14C9B" w:rsidRDefault="00745FEA" w:rsidP="00745FEA">
                  <w:pPr>
                    <w:pStyle w:val="TableBodyText"/>
                    <w:spacing w:after="20"/>
                    <w:ind w:right="57"/>
                  </w:pPr>
                  <w:r w:rsidRPr="0062598B">
                    <w:t>-194.8</w:t>
                  </w:r>
                </w:p>
              </w:tc>
              <w:tc>
                <w:tcPr>
                  <w:tcW w:w="501" w:type="pct"/>
                  <w:vAlign w:val="bottom"/>
                </w:tcPr>
                <w:p w:rsidR="00745FEA" w:rsidRPr="00A14C9B" w:rsidRDefault="00745FEA" w:rsidP="00745FEA">
                  <w:pPr>
                    <w:pStyle w:val="TableBodyText"/>
                    <w:spacing w:after="20"/>
                    <w:ind w:right="57"/>
                  </w:pPr>
                  <w:r w:rsidRPr="0062598B">
                    <w:t>-183.1</w:t>
                  </w:r>
                </w:p>
              </w:tc>
              <w:tc>
                <w:tcPr>
                  <w:tcW w:w="501" w:type="pct"/>
                  <w:vAlign w:val="bottom"/>
                </w:tcPr>
                <w:p w:rsidR="00745FEA" w:rsidRPr="00A14C9B" w:rsidRDefault="00745FEA" w:rsidP="00745FEA">
                  <w:pPr>
                    <w:pStyle w:val="TableBodyText"/>
                    <w:spacing w:after="20"/>
                    <w:ind w:right="57"/>
                  </w:pPr>
                  <w:r w:rsidRPr="0062598B">
                    <w:t>-179.0</w:t>
                  </w:r>
                </w:p>
              </w:tc>
              <w:tc>
                <w:tcPr>
                  <w:tcW w:w="501" w:type="pct"/>
                  <w:shd w:val="clear" w:color="auto" w:fill="auto"/>
                  <w:vAlign w:val="bottom"/>
                </w:tcPr>
                <w:p w:rsidR="00745FEA" w:rsidRPr="00A14C9B" w:rsidRDefault="00745FEA" w:rsidP="00745FEA">
                  <w:pPr>
                    <w:pStyle w:val="TableBodyText"/>
                    <w:spacing w:after="20"/>
                    <w:ind w:right="57"/>
                  </w:pPr>
                  <w:r w:rsidRPr="0062598B">
                    <w:t>-168.0</w:t>
                  </w:r>
                </w:p>
              </w:tc>
              <w:tc>
                <w:tcPr>
                  <w:tcW w:w="502" w:type="pct"/>
                  <w:shd w:val="clear" w:color="auto" w:fill="auto"/>
                  <w:vAlign w:val="bottom"/>
                </w:tcPr>
                <w:p w:rsidR="00745FEA" w:rsidRPr="00A14C9B" w:rsidRDefault="00745FEA" w:rsidP="00745FEA">
                  <w:pPr>
                    <w:pStyle w:val="TableBodyText"/>
                    <w:spacing w:after="20"/>
                    <w:ind w:right="57"/>
                  </w:pPr>
                  <w:r w:rsidRPr="0062598B">
                    <w:t>-167.8</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Motor vehicle</w:t>
                  </w:r>
                  <w:r>
                    <w:rPr>
                      <w:rFonts w:ascii="Arial" w:hAnsi="Arial" w:cs="Arial"/>
                      <w:sz w:val="18"/>
                      <w:szCs w:val="18"/>
                    </w:rPr>
                    <w:t>s</w:t>
                  </w:r>
                  <w:r w:rsidRPr="007D1111">
                    <w:rPr>
                      <w:rFonts w:ascii="Arial" w:hAnsi="Arial" w:cs="Arial"/>
                      <w:sz w:val="18"/>
                      <w:szCs w:val="18"/>
                    </w:rPr>
                    <w:t xml:space="preserve"> and parts</w:t>
                  </w:r>
                </w:p>
              </w:tc>
              <w:tc>
                <w:tcPr>
                  <w:tcW w:w="501" w:type="pct"/>
                  <w:vAlign w:val="bottom"/>
                </w:tcPr>
                <w:p w:rsidR="00745FEA" w:rsidRPr="00A14C9B" w:rsidRDefault="00745FEA" w:rsidP="00745FEA">
                  <w:pPr>
                    <w:pStyle w:val="TableBodyText"/>
                    <w:spacing w:after="20"/>
                    <w:ind w:right="57"/>
                  </w:pPr>
                  <w:r w:rsidRPr="0062598B">
                    <w:t>-289.6</w:t>
                  </w:r>
                </w:p>
              </w:tc>
              <w:tc>
                <w:tcPr>
                  <w:tcW w:w="501" w:type="pct"/>
                  <w:vAlign w:val="bottom"/>
                </w:tcPr>
                <w:p w:rsidR="00745FEA" w:rsidRPr="00A14C9B" w:rsidRDefault="00745FEA" w:rsidP="00745FEA">
                  <w:pPr>
                    <w:pStyle w:val="TableBodyText"/>
                    <w:spacing w:after="20"/>
                    <w:ind w:right="57"/>
                  </w:pPr>
                  <w:r w:rsidRPr="0062598B">
                    <w:t>-185.6</w:t>
                  </w:r>
                </w:p>
              </w:tc>
              <w:tc>
                <w:tcPr>
                  <w:tcW w:w="501" w:type="pct"/>
                  <w:vAlign w:val="bottom"/>
                </w:tcPr>
                <w:p w:rsidR="00745FEA" w:rsidRPr="00A14C9B" w:rsidRDefault="00745FEA" w:rsidP="00745FEA">
                  <w:pPr>
                    <w:pStyle w:val="TableBodyText"/>
                    <w:spacing w:after="20"/>
                    <w:ind w:right="57"/>
                  </w:pPr>
                  <w:r w:rsidRPr="0062598B">
                    <w:t>-218.1</w:t>
                  </w:r>
                </w:p>
              </w:tc>
              <w:tc>
                <w:tcPr>
                  <w:tcW w:w="501" w:type="pct"/>
                  <w:vAlign w:val="bottom"/>
                </w:tcPr>
                <w:p w:rsidR="00745FEA" w:rsidRPr="00A14C9B" w:rsidRDefault="00745FEA" w:rsidP="00745FEA">
                  <w:pPr>
                    <w:pStyle w:val="TableBodyText"/>
                    <w:spacing w:after="20"/>
                    <w:ind w:right="57"/>
                  </w:pPr>
                  <w:r w:rsidRPr="0062598B">
                    <w:t>-196.8</w:t>
                  </w:r>
                </w:p>
              </w:tc>
              <w:tc>
                <w:tcPr>
                  <w:tcW w:w="501" w:type="pct"/>
                  <w:shd w:val="clear" w:color="auto" w:fill="auto"/>
                  <w:vAlign w:val="bottom"/>
                </w:tcPr>
                <w:p w:rsidR="00745FEA" w:rsidRPr="00A14C9B" w:rsidRDefault="00745FEA" w:rsidP="00745FEA">
                  <w:pPr>
                    <w:pStyle w:val="TableBodyText"/>
                    <w:spacing w:after="20"/>
                    <w:ind w:right="57"/>
                  </w:pPr>
                  <w:r w:rsidRPr="0062598B">
                    <w:t>-192.4</w:t>
                  </w:r>
                </w:p>
              </w:tc>
              <w:tc>
                <w:tcPr>
                  <w:tcW w:w="502" w:type="pct"/>
                  <w:shd w:val="clear" w:color="auto" w:fill="auto"/>
                  <w:vAlign w:val="bottom"/>
                </w:tcPr>
                <w:p w:rsidR="00745FEA" w:rsidRPr="00A14C9B" w:rsidRDefault="00745FEA" w:rsidP="00745FEA">
                  <w:pPr>
                    <w:pStyle w:val="TableBodyText"/>
                    <w:spacing w:after="20"/>
                    <w:ind w:right="57"/>
                  </w:pPr>
                  <w:r w:rsidRPr="0062598B">
                    <w:t>-183.0</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Other transport equipment</w:t>
                  </w:r>
                </w:p>
              </w:tc>
              <w:tc>
                <w:tcPr>
                  <w:tcW w:w="501" w:type="pct"/>
                  <w:vAlign w:val="bottom"/>
                </w:tcPr>
                <w:p w:rsidR="00745FEA" w:rsidRPr="00A14C9B" w:rsidRDefault="00745FEA" w:rsidP="00745FEA">
                  <w:pPr>
                    <w:pStyle w:val="TableBodyText"/>
                    <w:spacing w:after="20"/>
                    <w:ind w:right="57"/>
                  </w:pPr>
                  <w:r w:rsidRPr="0062598B">
                    <w:t>-66.2</w:t>
                  </w:r>
                </w:p>
              </w:tc>
              <w:tc>
                <w:tcPr>
                  <w:tcW w:w="501" w:type="pct"/>
                  <w:vAlign w:val="bottom"/>
                </w:tcPr>
                <w:p w:rsidR="00745FEA" w:rsidRPr="00A14C9B" w:rsidRDefault="00745FEA" w:rsidP="00745FEA">
                  <w:pPr>
                    <w:pStyle w:val="TableBodyText"/>
                    <w:spacing w:after="20"/>
                    <w:ind w:right="57"/>
                  </w:pPr>
                  <w:r w:rsidRPr="0062598B">
                    <w:t>-80.5</w:t>
                  </w:r>
                </w:p>
              </w:tc>
              <w:tc>
                <w:tcPr>
                  <w:tcW w:w="501" w:type="pct"/>
                  <w:vAlign w:val="bottom"/>
                </w:tcPr>
                <w:p w:rsidR="00745FEA" w:rsidRPr="00A14C9B" w:rsidRDefault="00745FEA" w:rsidP="00745FEA">
                  <w:pPr>
                    <w:pStyle w:val="TableBodyText"/>
                    <w:spacing w:after="20"/>
                    <w:ind w:right="57"/>
                  </w:pPr>
                  <w:r w:rsidRPr="0062598B">
                    <w:t>-51.6</w:t>
                  </w:r>
                </w:p>
              </w:tc>
              <w:tc>
                <w:tcPr>
                  <w:tcW w:w="501" w:type="pct"/>
                  <w:vAlign w:val="bottom"/>
                </w:tcPr>
                <w:p w:rsidR="00745FEA" w:rsidRPr="00A14C9B" w:rsidRDefault="00745FEA" w:rsidP="00745FEA">
                  <w:pPr>
                    <w:pStyle w:val="TableBodyText"/>
                    <w:spacing w:after="20"/>
                    <w:ind w:right="57"/>
                  </w:pPr>
                  <w:r w:rsidRPr="0062598B">
                    <w:t>-69.0</w:t>
                  </w:r>
                </w:p>
              </w:tc>
              <w:tc>
                <w:tcPr>
                  <w:tcW w:w="501" w:type="pct"/>
                  <w:shd w:val="clear" w:color="auto" w:fill="auto"/>
                  <w:vAlign w:val="bottom"/>
                </w:tcPr>
                <w:p w:rsidR="00745FEA" w:rsidRPr="00A14C9B" w:rsidRDefault="00745FEA" w:rsidP="00745FEA">
                  <w:pPr>
                    <w:pStyle w:val="TableBodyText"/>
                    <w:spacing w:after="20"/>
                    <w:ind w:right="57"/>
                  </w:pPr>
                  <w:r w:rsidRPr="0062598B">
                    <w:t>-66.7</w:t>
                  </w:r>
                </w:p>
              </w:tc>
              <w:tc>
                <w:tcPr>
                  <w:tcW w:w="502" w:type="pct"/>
                  <w:shd w:val="clear" w:color="auto" w:fill="auto"/>
                  <w:vAlign w:val="bottom"/>
                </w:tcPr>
                <w:p w:rsidR="00745FEA" w:rsidRPr="00A14C9B" w:rsidRDefault="00745FEA" w:rsidP="00745FEA">
                  <w:pPr>
                    <w:pStyle w:val="TableBodyText"/>
                    <w:spacing w:after="20"/>
                    <w:ind w:right="57"/>
                  </w:pPr>
                  <w:r w:rsidRPr="0062598B">
                    <w:t>-63.6</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Machinery &amp; equipment manufacturing</w:t>
                  </w:r>
                </w:p>
              </w:tc>
              <w:tc>
                <w:tcPr>
                  <w:tcW w:w="501" w:type="pct"/>
                  <w:vAlign w:val="bottom"/>
                </w:tcPr>
                <w:p w:rsidR="00745FEA" w:rsidRPr="00A14C9B" w:rsidRDefault="00745FEA" w:rsidP="00745FEA">
                  <w:pPr>
                    <w:pStyle w:val="TableBodyText"/>
                    <w:spacing w:after="20"/>
                    <w:ind w:right="57"/>
                  </w:pPr>
                  <w:r w:rsidRPr="0062598B">
                    <w:t>-112.4</w:t>
                  </w:r>
                </w:p>
              </w:tc>
              <w:tc>
                <w:tcPr>
                  <w:tcW w:w="501" w:type="pct"/>
                  <w:vAlign w:val="bottom"/>
                </w:tcPr>
                <w:p w:rsidR="00745FEA" w:rsidRPr="00A14C9B" w:rsidRDefault="00745FEA" w:rsidP="00745FEA">
                  <w:pPr>
                    <w:pStyle w:val="TableBodyText"/>
                    <w:spacing w:after="20"/>
                    <w:ind w:right="57"/>
                  </w:pPr>
                  <w:r w:rsidRPr="0062598B">
                    <w:t>-114.6</w:t>
                  </w:r>
                </w:p>
              </w:tc>
              <w:tc>
                <w:tcPr>
                  <w:tcW w:w="501" w:type="pct"/>
                  <w:vAlign w:val="bottom"/>
                </w:tcPr>
                <w:p w:rsidR="00745FEA" w:rsidRPr="00A14C9B" w:rsidRDefault="00745FEA" w:rsidP="00745FEA">
                  <w:pPr>
                    <w:pStyle w:val="TableBodyText"/>
                    <w:spacing w:after="20"/>
                    <w:ind w:right="57"/>
                  </w:pPr>
                  <w:r w:rsidRPr="0062598B">
                    <w:t>-112.9</w:t>
                  </w:r>
                </w:p>
              </w:tc>
              <w:tc>
                <w:tcPr>
                  <w:tcW w:w="501" w:type="pct"/>
                  <w:vAlign w:val="bottom"/>
                </w:tcPr>
                <w:p w:rsidR="00745FEA" w:rsidRPr="00A14C9B" w:rsidRDefault="00745FEA" w:rsidP="00745FEA">
                  <w:pPr>
                    <w:pStyle w:val="TableBodyText"/>
                    <w:spacing w:after="20"/>
                    <w:ind w:right="57"/>
                  </w:pPr>
                  <w:r w:rsidRPr="0062598B">
                    <w:t>-106.1</w:t>
                  </w:r>
                </w:p>
              </w:tc>
              <w:tc>
                <w:tcPr>
                  <w:tcW w:w="501" w:type="pct"/>
                  <w:shd w:val="clear" w:color="auto" w:fill="auto"/>
                  <w:vAlign w:val="bottom"/>
                </w:tcPr>
                <w:p w:rsidR="00745FEA" w:rsidRPr="00A14C9B" w:rsidRDefault="00745FEA" w:rsidP="00745FEA">
                  <w:pPr>
                    <w:pStyle w:val="TableBodyText"/>
                    <w:spacing w:after="20"/>
                    <w:ind w:right="57"/>
                  </w:pPr>
                  <w:r w:rsidRPr="0062598B">
                    <w:t>-103.1</w:t>
                  </w:r>
                </w:p>
              </w:tc>
              <w:tc>
                <w:tcPr>
                  <w:tcW w:w="502" w:type="pct"/>
                  <w:shd w:val="clear" w:color="auto" w:fill="auto"/>
                  <w:vAlign w:val="bottom"/>
                </w:tcPr>
                <w:p w:rsidR="00745FEA" w:rsidRPr="00A14C9B" w:rsidRDefault="00745FEA" w:rsidP="00745FEA">
                  <w:pPr>
                    <w:pStyle w:val="TableBodyText"/>
                    <w:spacing w:after="20"/>
                    <w:ind w:right="57"/>
                  </w:pPr>
                  <w:r w:rsidRPr="0062598B">
                    <w:t>-98.1</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Furniture and other manufacturing</w:t>
                  </w:r>
                </w:p>
              </w:tc>
              <w:tc>
                <w:tcPr>
                  <w:tcW w:w="501" w:type="pct"/>
                  <w:vAlign w:val="bottom"/>
                </w:tcPr>
                <w:p w:rsidR="00745FEA" w:rsidRPr="00A14C9B" w:rsidRDefault="00745FEA" w:rsidP="00745FEA">
                  <w:pPr>
                    <w:pStyle w:val="TableBodyText"/>
                    <w:spacing w:after="20"/>
                    <w:ind w:right="57"/>
                  </w:pPr>
                  <w:r w:rsidRPr="0062598B">
                    <w:t>-56.6</w:t>
                  </w:r>
                </w:p>
              </w:tc>
              <w:tc>
                <w:tcPr>
                  <w:tcW w:w="501" w:type="pct"/>
                  <w:vAlign w:val="bottom"/>
                </w:tcPr>
                <w:p w:rsidR="00745FEA" w:rsidRPr="00A14C9B" w:rsidRDefault="00745FEA" w:rsidP="00745FEA">
                  <w:pPr>
                    <w:pStyle w:val="TableBodyText"/>
                    <w:spacing w:after="20"/>
                    <w:ind w:right="57"/>
                  </w:pPr>
                  <w:r w:rsidRPr="0062598B">
                    <w:t>-49.8</w:t>
                  </w:r>
                </w:p>
              </w:tc>
              <w:tc>
                <w:tcPr>
                  <w:tcW w:w="501" w:type="pct"/>
                  <w:vAlign w:val="bottom"/>
                </w:tcPr>
                <w:p w:rsidR="00745FEA" w:rsidRPr="00A14C9B" w:rsidRDefault="00745FEA" w:rsidP="00745FEA">
                  <w:pPr>
                    <w:pStyle w:val="TableBodyText"/>
                    <w:spacing w:after="20"/>
                    <w:ind w:right="57"/>
                  </w:pPr>
                  <w:r w:rsidRPr="0062598B">
                    <w:t>-52.0</w:t>
                  </w:r>
                </w:p>
              </w:tc>
              <w:tc>
                <w:tcPr>
                  <w:tcW w:w="501" w:type="pct"/>
                  <w:vAlign w:val="bottom"/>
                </w:tcPr>
                <w:p w:rsidR="00745FEA" w:rsidRPr="00A14C9B" w:rsidRDefault="00745FEA" w:rsidP="00745FEA">
                  <w:pPr>
                    <w:pStyle w:val="TableBodyText"/>
                    <w:spacing w:after="20"/>
                    <w:ind w:right="57"/>
                  </w:pPr>
                  <w:r w:rsidRPr="0062598B">
                    <w:t>-53.1</w:t>
                  </w:r>
                </w:p>
              </w:tc>
              <w:tc>
                <w:tcPr>
                  <w:tcW w:w="501" w:type="pct"/>
                  <w:shd w:val="clear" w:color="auto" w:fill="auto"/>
                  <w:vAlign w:val="bottom"/>
                </w:tcPr>
                <w:p w:rsidR="00745FEA" w:rsidRPr="00A14C9B" w:rsidRDefault="00745FEA" w:rsidP="00745FEA">
                  <w:pPr>
                    <w:pStyle w:val="TableBodyText"/>
                    <w:spacing w:after="20"/>
                    <w:ind w:right="57"/>
                  </w:pPr>
                  <w:r w:rsidRPr="0062598B">
                    <w:t>-50.8</w:t>
                  </w:r>
                </w:p>
              </w:tc>
              <w:tc>
                <w:tcPr>
                  <w:tcW w:w="502" w:type="pct"/>
                  <w:shd w:val="clear" w:color="auto" w:fill="auto"/>
                  <w:vAlign w:val="bottom"/>
                </w:tcPr>
                <w:p w:rsidR="00745FEA" w:rsidRPr="00A14C9B" w:rsidRDefault="00745FEA" w:rsidP="00745FEA">
                  <w:pPr>
                    <w:pStyle w:val="TableBodyText"/>
                    <w:spacing w:after="20"/>
                    <w:ind w:right="57"/>
                  </w:pPr>
                  <w:r w:rsidRPr="0062598B">
                    <w:t>-48.3</w:t>
                  </w:r>
                </w:p>
              </w:tc>
            </w:tr>
            <w:tr w:rsidR="00745FEA" w:rsidTr="00745FEA">
              <w:tc>
                <w:tcPr>
                  <w:tcW w:w="1992" w:type="pct"/>
                  <w:shd w:val="clear" w:color="auto" w:fill="auto"/>
                  <w:vAlign w:val="center"/>
                </w:tcPr>
                <w:p w:rsidR="00745FEA" w:rsidRPr="007D1111" w:rsidRDefault="00745FEA" w:rsidP="00745FEA">
                  <w:pPr>
                    <w:rPr>
                      <w:rFonts w:ascii="Arial" w:hAnsi="Arial" w:cs="Arial"/>
                      <w:sz w:val="18"/>
                      <w:szCs w:val="18"/>
                    </w:rPr>
                  </w:pPr>
                  <w:r w:rsidRPr="007D1111">
                    <w:rPr>
                      <w:rFonts w:ascii="Arial" w:hAnsi="Arial" w:cs="Arial"/>
                      <w:sz w:val="18"/>
                      <w:szCs w:val="18"/>
                    </w:rPr>
                    <w:t>Unallocated manufacturing</w:t>
                  </w:r>
                  <w:r w:rsidRPr="008405D4">
                    <w:rPr>
                      <w:rStyle w:val="NoteLabel"/>
                    </w:rPr>
                    <w:t>b</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shd w:val="clear" w:color="auto" w:fill="auto"/>
                  <w:vAlign w:val="bottom"/>
                </w:tcPr>
                <w:p w:rsidR="00745FEA" w:rsidRPr="00A14C9B" w:rsidRDefault="00745FEA" w:rsidP="00745FEA">
                  <w:pPr>
                    <w:pStyle w:val="TableBodyText"/>
                    <w:ind w:right="57"/>
                  </w:pPr>
                  <w:r w:rsidRPr="0062598B">
                    <w:t xml:space="preserve">– </w:t>
                  </w:r>
                </w:p>
              </w:tc>
              <w:tc>
                <w:tcPr>
                  <w:tcW w:w="502" w:type="pct"/>
                  <w:shd w:val="clear" w:color="auto" w:fill="auto"/>
                  <w:vAlign w:val="bottom"/>
                </w:tcPr>
                <w:p w:rsidR="00745FEA" w:rsidRPr="00A14C9B" w:rsidRDefault="00745FEA" w:rsidP="00745FEA">
                  <w:pPr>
                    <w:pStyle w:val="TableBodyText"/>
                    <w:ind w:right="57"/>
                  </w:pPr>
                  <w:r w:rsidRPr="0062598B">
                    <w:t xml:space="preserve">– </w:t>
                  </w:r>
                </w:p>
              </w:tc>
            </w:tr>
            <w:tr w:rsidR="00745FEA" w:rsidRPr="00302C4A" w:rsidTr="00745FEA">
              <w:tc>
                <w:tcPr>
                  <w:tcW w:w="1992" w:type="pct"/>
                  <w:shd w:val="clear" w:color="auto" w:fill="auto"/>
                  <w:vAlign w:val="bottom"/>
                </w:tcPr>
                <w:p w:rsidR="00745FEA" w:rsidRPr="00302C4A" w:rsidRDefault="00745FEA" w:rsidP="00745FEA">
                  <w:pPr>
                    <w:spacing w:after="20"/>
                    <w:rPr>
                      <w:rFonts w:ascii="Arial" w:hAnsi="Arial" w:cs="Arial"/>
                      <w:b/>
                      <w:bCs/>
                      <w:sz w:val="18"/>
                      <w:szCs w:val="18"/>
                    </w:rPr>
                  </w:pPr>
                  <w:r w:rsidRPr="00302C4A">
                    <w:rPr>
                      <w:rFonts w:ascii="Arial" w:hAnsi="Arial" w:cs="Arial"/>
                      <w:b/>
                      <w:bCs/>
                      <w:sz w:val="18"/>
                      <w:szCs w:val="18"/>
                    </w:rPr>
                    <w:t>Services</w:t>
                  </w:r>
                </w:p>
              </w:tc>
              <w:tc>
                <w:tcPr>
                  <w:tcW w:w="501" w:type="pct"/>
                  <w:vAlign w:val="bottom"/>
                </w:tcPr>
                <w:p w:rsidR="00745FEA" w:rsidRPr="00302C4A" w:rsidRDefault="00745FEA" w:rsidP="00745FEA">
                  <w:pPr>
                    <w:pStyle w:val="TableBodyText"/>
                    <w:spacing w:after="20"/>
                    <w:ind w:right="57"/>
                    <w:rPr>
                      <w:b/>
                    </w:rPr>
                  </w:pPr>
                  <w:r w:rsidRPr="00302C4A">
                    <w:rPr>
                      <w:b/>
                    </w:rPr>
                    <w:t>-3435.8</w:t>
                  </w:r>
                </w:p>
              </w:tc>
              <w:tc>
                <w:tcPr>
                  <w:tcW w:w="501" w:type="pct"/>
                  <w:vAlign w:val="bottom"/>
                </w:tcPr>
                <w:p w:rsidR="00745FEA" w:rsidRPr="00302C4A" w:rsidRDefault="00745FEA" w:rsidP="00745FEA">
                  <w:pPr>
                    <w:pStyle w:val="TableBodyText"/>
                    <w:spacing w:after="20"/>
                    <w:ind w:right="57"/>
                    <w:rPr>
                      <w:b/>
                    </w:rPr>
                  </w:pPr>
                  <w:r w:rsidRPr="00302C4A">
                    <w:rPr>
                      <w:b/>
                    </w:rPr>
                    <w:t>-3585.9</w:t>
                  </w:r>
                </w:p>
              </w:tc>
              <w:tc>
                <w:tcPr>
                  <w:tcW w:w="501" w:type="pct"/>
                  <w:vAlign w:val="bottom"/>
                </w:tcPr>
                <w:p w:rsidR="00745FEA" w:rsidRPr="00302C4A" w:rsidRDefault="00745FEA" w:rsidP="00745FEA">
                  <w:pPr>
                    <w:pStyle w:val="TableBodyText"/>
                    <w:spacing w:after="20"/>
                    <w:ind w:right="57"/>
                    <w:rPr>
                      <w:b/>
                    </w:rPr>
                  </w:pPr>
                  <w:r w:rsidRPr="00302C4A">
                    <w:rPr>
                      <w:b/>
                    </w:rPr>
                    <w:t>-3712.8</w:t>
                  </w:r>
                </w:p>
              </w:tc>
              <w:tc>
                <w:tcPr>
                  <w:tcW w:w="501" w:type="pct"/>
                  <w:vAlign w:val="bottom"/>
                </w:tcPr>
                <w:p w:rsidR="00745FEA" w:rsidRPr="00302C4A" w:rsidRDefault="00745FEA" w:rsidP="00745FEA">
                  <w:pPr>
                    <w:pStyle w:val="TableBodyText"/>
                    <w:spacing w:after="20"/>
                    <w:ind w:right="57"/>
                    <w:rPr>
                      <w:b/>
                    </w:rPr>
                  </w:pPr>
                  <w:r w:rsidRPr="00302C4A">
                    <w:rPr>
                      <w:b/>
                    </w:rPr>
                    <w:t>-3737.2</w:t>
                  </w:r>
                </w:p>
              </w:tc>
              <w:tc>
                <w:tcPr>
                  <w:tcW w:w="501" w:type="pct"/>
                  <w:shd w:val="clear" w:color="auto" w:fill="auto"/>
                  <w:vAlign w:val="bottom"/>
                </w:tcPr>
                <w:p w:rsidR="00745FEA" w:rsidRPr="00302C4A" w:rsidRDefault="00745FEA" w:rsidP="00745FEA">
                  <w:pPr>
                    <w:pStyle w:val="TableBodyText"/>
                    <w:spacing w:after="20"/>
                    <w:ind w:right="57"/>
                    <w:rPr>
                      <w:b/>
                    </w:rPr>
                  </w:pPr>
                  <w:r w:rsidRPr="00302C4A">
                    <w:rPr>
                      <w:b/>
                    </w:rPr>
                    <w:t>-3718.4</w:t>
                  </w:r>
                </w:p>
              </w:tc>
              <w:tc>
                <w:tcPr>
                  <w:tcW w:w="502" w:type="pct"/>
                  <w:shd w:val="clear" w:color="auto" w:fill="auto"/>
                  <w:vAlign w:val="bottom"/>
                </w:tcPr>
                <w:p w:rsidR="00745FEA" w:rsidRPr="00302C4A" w:rsidRDefault="00745FEA" w:rsidP="00745FEA">
                  <w:pPr>
                    <w:pStyle w:val="TableBodyText"/>
                    <w:spacing w:after="20"/>
                    <w:ind w:right="57"/>
                    <w:rPr>
                      <w:b/>
                    </w:rPr>
                  </w:pPr>
                  <w:r w:rsidRPr="00302C4A">
                    <w:rPr>
                      <w:b/>
                    </w:rPr>
                    <w:t>-3767.6</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Electricity, gas, water &amp; waste services</w:t>
                  </w:r>
                </w:p>
              </w:tc>
              <w:tc>
                <w:tcPr>
                  <w:tcW w:w="501" w:type="pct"/>
                  <w:vAlign w:val="bottom"/>
                </w:tcPr>
                <w:p w:rsidR="00745FEA" w:rsidRPr="00A14C9B" w:rsidRDefault="00745FEA" w:rsidP="00745FEA">
                  <w:pPr>
                    <w:pStyle w:val="TableBodyText"/>
                    <w:spacing w:after="20"/>
                    <w:ind w:right="57"/>
                  </w:pPr>
                  <w:r w:rsidRPr="0062598B">
                    <w:t>-65.2</w:t>
                  </w:r>
                </w:p>
              </w:tc>
              <w:tc>
                <w:tcPr>
                  <w:tcW w:w="501" w:type="pct"/>
                  <w:vAlign w:val="bottom"/>
                </w:tcPr>
                <w:p w:rsidR="00745FEA" w:rsidRPr="00A14C9B" w:rsidRDefault="00745FEA" w:rsidP="00745FEA">
                  <w:pPr>
                    <w:pStyle w:val="TableBodyText"/>
                    <w:spacing w:after="20"/>
                    <w:ind w:right="57"/>
                  </w:pPr>
                  <w:r w:rsidRPr="0062598B">
                    <w:t>-74.0</w:t>
                  </w:r>
                </w:p>
              </w:tc>
              <w:tc>
                <w:tcPr>
                  <w:tcW w:w="501" w:type="pct"/>
                  <w:vAlign w:val="bottom"/>
                </w:tcPr>
                <w:p w:rsidR="00745FEA" w:rsidRPr="00A14C9B" w:rsidRDefault="00745FEA" w:rsidP="00745FEA">
                  <w:pPr>
                    <w:pStyle w:val="TableBodyText"/>
                    <w:spacing w:after="20"/>
                    <w:ind w:right="57"/>
                  </w:pPr>
                  <w:r w:rsidRPr="0062598B">
                    <w:t>-73.3</w:t>
                  </w:r>
                </w:p>
              </w:tc>
              <w:tc>
                <w:tcPr>
                  <w:tcW w:w="501" w:type="pct"/>
                  <w:vAlign w:val="bottom"/>
                </w:tcPr>
                <w:p w:rsidR="00745FEA" w:rsidRPr="00A14C9B" w:rsidRDefault="00745FEA" w:rsidP="00745FEA">
                  <w:pPr>
                    <w:pStyle w:val="TableBodyText"/>
                    <w:spacing w:after="20"/>
                    <w:ind w:right="57"/>
                  </w:pPr>
                  <w:r w:rsidRPr="0062598B">
                    <w:t>-70.1</w:t>
                  </w:r>
                </w:p>
              </w:tc>
              <w:tc>
                <w:tcPr>
                  <w:tcW w:w="501" w:type="pct"/>
                  <w:shd w:val="clear" w:color="auto" w:fill="auto"/>
                  <w:vAlign w:val="bottom"/>
                </w:tcPr>
                <w:p w:rsidR="00745FEA" w:rsidRPr="00A14C9B" w:rsidRDefault="00745FEA" w:rsidP="00745FEA">
                  <w:pPr>
                    <w:pStyle w:val="TableBodyText"/>
                    <w:spacing w:after="20"/>
                    <w:ind w:right="57"/>
                  </w:pPr>
                  <w:r w:rsidRPr="0062598B">
                    <w:t>-68.2</w:t>
                  </w:r>
                </w:p>
              </w:tc>
              <w:tc>
                <w:tcPr>
                  <w:tcW w:w="502" w:type="pct"/>
                  <w:shd w:val="clear" w:color="auto" w:fill="auto"/>
                  <w:vAlign w:val="bottom"/>
                </w:tcPr>
                <w:p w:rsidR="00745FEA" w:rsidRPr="00A14C9B" w:rsidRDefault="00745FEA" w:rsidP="00745FEA">
                  <w:pPr>
                    <w:pStyle w:val="TableBodyText"/>
                    <w:spacing w:after="20"/>
                    <w:ind w:right="57"/>
                  </w:pPr>
                  <w:r w:rsidRPr="0062598B">
                    <w:t>-69.9</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Construction</w:t>
                  </w:r>
                </w:p>
              </w:tc>
              <w:tc>
                <w:tcPr>
                  <w:tcW w:w="501" w:type="pct"/>
                  <w:vAlign w:val="bottom"/>
                </w:tcPr>
                <w:p w:rsidR="00745FEA" w:rsidRPr="00A14C9B" w:rsidRDefault="00745FEA" w:rsidP="00745FEA">
                  <w:pPr>
                    <w:pStyle w:val="TableBodyText"/>
                    <w:spacing w:after="20"/>
                    <w:ind w:right="57"/>
                  </w:pPr>
                  <w:r w:rsidRPr="0062598B">
                    <w:t>-1329.5</w:t>
                  </w:r>
                </w:p>
              </w:tc>
              <w:tc>
                <w:tcPr>
                  <w:tcW w:w="501" w:type="pct"/>
                  <w:vAlign w:val="bottom"/>
                </w:tcPr>
                <w:p w:rsidR="00745FEA" w:rsidRPr="00A14C9B" w:rsidRDefault="00745FEA" w:rsidP="00745FEA">
                  <w:pPr>
                    <w:pStyle w:val="TableBodyText"/>
                    <w:spacing w:after="20"/>
                    <w:ind w:right="57"/>
                  </w:pPr>
                  <w:r w:rsidRPr="0062598B">
                    <w:t>-1410.7</w:t>
                  </w:r>
                </w:p>
              </w:tc>
              <w:tc>
                <w:tcPr>
                  <w:tcW w:w="501" w:type="pct"/>
                  <w:vAlign w:val="bottom"/>
                </w:tcPr>
                <w:p w:rsidR="00745FEA" w:rsidRPr="00A14C9B" w:rsidRDefault="00745FEA" w:rsidP="00745FEA">
                  <w:pPr>
                    <w:pStyle w:val="TableBodyText"/>
                    <w:spacing w:after="20"/>
                    <w:ind w:right="57"/>
                  </w:pPr>
                  <w:r w:rsidRPr="0062598B">
                    <w:t>-1479.7</w:t>
                  </w:r>
                </w:p>
              </w:tc>
              <w:tc>
                <w:tcPr>
                  <w:tcW w:w="501" w:type="pct"/>
                  <w:vAlign w:val="bottom"/>
                </w:tcPr>
                <w:p w:rsidR="00745FEA" w:rsidRPr="00A14C9B" w:rsidRDefault="00745FEA" w:rsidP="00745FEA">
                  <w:pPr>
                    <w:pStyle w:val="TableBodyText"/>
                    <w:spacing w:after="20"/>
                    <w:ind w:right="57"/>
                  </w:pPr>
                  <w:r w:rsidRPr="0062598B">
                    <w:t>-1500.7</w:t>
                  </w:r>
                </w:p>
              </w:tc>
              <w:tc>
                <w:tcPr>
                  <w:tcW w:w="501" w:type="pct"/>
                  <w:shd w:val="clear" w:color="auto" w:fill="auto"/>
                  <w:vAlign w:val="bottom"/>
                </w:tcPr>
                <w:p w:rsidR="00745FEA" w:rsidRPr="00A14C9B" w:rsidRDefault="00745FEA" w:rsidP="00745FEA">
                  <w:pPr>
                    <w:pStyle w:val="TableBodyText"/>
                    <w:spacing w:after="20"/>
                    <w:ind w:right="57"/>
                  </w:pPr>
                  <w:r w:rsidRPr="0062598B">
                    <w:t>-1489.6</w:t>
                  </w:r>
                </w:p>
              </w:tc>
              <w:tc>
                <w:tcPr>
                  <w:tcW w:w="502" w:type="pct"/>
                  <w:shd w:val="clear" w:color="auto" w:fill="auto"/>
                  <w:vAlign w:val="bottom"/>
                </w:tcPr>
                <w:p w:rsidR="00745FEA" w:rsidRPr="00A14C9B" w:rsidRDefault="00745FEA" w:rsidP="00745FEA">
                  <w:pPr>
                    <w:pStyle w:val="TableBodyText"/>
                    <w:spacing w:after="20"/>
                    <w:ind w:right="57"/>
                  </w:pPr>
                  <w:r w:rsidRPr="0062598B">
                    <w:t>-1505.4</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Wholesale trade</w:t>
                  </w:r>
                </w:p>
              </w:tc>
              <w:tc>
                <w:tcPr>
                  <w:tcW w:w="501" w:type="pct"/>
                  <w:vAlign w:val="bottom"/>
                </w:tcPr>
                <w:p w:rsidR="00745FEA" w:rsidRPr="00A14C9B" w:rsidRDefault="00745FEA" w:rsidP="00745FEA">
                  <w:pPr>
                    <w:pStyle w:val="TableBodyText"/>
                    <w:spacing w:after="20"/>
                    <w:ind w:right="57"/>
                  </w:pPr>
                  <w:r w:rsidRPr="0062598B">
                    <w:t>-229.7</w:t>
                  </w:r>
                </w:p>
              </w:tc>
              <w:tc>
                <w:tcPr>
                  <w:tcW w:w="501" w:type="pct"/>
                  <w:vAlign w:val="bottom"/>
                </w:tcPr>
                <w:p w:rsidR="00745FEA" w:rsidRPr="00A14C9B" w:rsidRDefault="00745FEA" w:rsidP="00745FEA">
                  <w:pPr>
                    <w:pStyle w:val="TableBodyText"/>
                    <w:spacing w:after="20"/>
                    <w:ind w:right="57"/>
                  </w:pPr>
                  <w:r w:rsidRPr="0062598B">
                    <w:t>-237.6</w:t>
                  </w:r>
                </w:p>
              </w:tc>
              <w:tc>
                <w:tcPr>
                  <w:tcW w:w="501" w:type="pct"/>
                  <w:vAlign w:val="bottom"/>
                </w:tcPr>
                <w:p w:rsidR="00745FEA" w:rsidRPr="00A14C9B" w:rsidRDefault="00745FEA" w:rsidP="00745FEA">
                  <w:pPr>
                    <w:pStyle w:val="TableBodyText"/>
                    <w:spacing w:after="20"/>
                    <w:ind w:right="57"/>
                  </w:pPr>
                  <w:r w:rsidRPr="0062598B">
                    <w:t>-236.2</w:t>
                  </w:r>
                </w:p>
              </w:tc>
              <w:tc>
                <w:tcPr>
                  <w:tcW w:w="501" w:type="pct"/>
                  <w:vAlign w:val="bottom"/>
                </w:tcPr>
                <w:p w:rsidR="00745FEA" w:rsidRPr="00A14C9B" w:rsidRDefault="00745FEA" w:rsidP="00745FEA">
                  <w:pPr>
                    <w:pStyle w:val="TableBodyText"/>
                    <w:spacing w:after="20"/>
                    <w:ind w:right="57"/>
                  </w:pPr>
                  <w:r w:rsidRPr="0062598B">
                    <w:t>-228.0</w:t>
                  </w:r>
                </w:p>
              </w:tc>
              <w:tc>
                <w:tcPr>
                  <w:tcW w:w="501" w:type="pct"/>
                  <w:shd w:val="clear" w:color="auto" w:fill="auto"/>
                  <w:vAlign w:val="bottom"/>
                </w:tcPr>
                <w:p w:rsidR="00745FEA" w:rsidRPr="00A14C9B" w:rsidRDefault="00745FEA" w:rsidP="00745FEA">
                  <w:pPr>
                    <w:pStyle w:val="TableBodyText"/>
                    <w:spacing w:after="20"/>
                    <w:ind w:right="57"/>
                  </w:pPr>
                  <w:r w:rsidRPr="0062598B">
                    <w:t>-226.7</w:t>
                  </w:r>
                </w:p>
              </w:tc>
              <w:tc>
                <w:tcPr>
                  <w:tcW w:w="502" w:type="pct"/>
                  <w:shd w:val="clear" w:color="auto" w:fill="auto"/>
                  <w:vAlign w:val="bottom"/>
                </w:tcPr>
                <w:p w:rsidR="00745FEA" w:rsidRPr="00A14C9B" w:rsidRDefault="00745FEA" w:rsidP="00745FEA">
                  <w:pPr>
                    <w:pStyle w:val="TableBodyText"/>
                    <w:spacing w:after="20"/>
                    <w:ind w:right="57"/>
                  </w:pPr>
                  <w:r w:rsidRPr="0062598B">
                    <w:t>-228.9</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Retail trade</w:t>
                  </w:r>
                </w:p>
              </w:tc>
              <w:tc>
                <w:tcPr>
                  <w:tcW w:w="501" w:type="pct"/>
                  <w:vAlign w:val="bottom"/>
                </w:tcPr>
                <w:p w:rsidR="00745FEA" w:rsidRPr="00A14C9B" w:rsidRDefault="00745FEA" w:rsidP="00745FEA">
                  <w:pPr>
                    <w:pStyle w:val="TableBodyText"/>
                    <w:spacing w:after="20"/>
                    <w:ind w:right="57"/>
                  </w:pPr>
                  <w:r w:rsidRPr="0062598B">
                    <w:t>-138.3</w:t>
                  </w:r>
                </w:p>
              </w:tc>
              <w:tc>
                <w:tcPr>
                  <w:tcW w:w="501" w:type="pct"/>
                  <w:vAlign w:val="bottom"/>
                </w:tcPr>
                <w:p w:rsidR="00745FEA" w:rsidRPr="00A14C9B" w:rsidRDefault="00745FEA" w:rsidP="00745FEA">
                  <w:pPr>
                    <w:pStyle w:val="TableBodyText"/>
                    <w:spacing w:after="20"/>
                    <w:ind w:right="57"/>
                  </w:pPr>
                  <w:r w:rsidRPr="0062598B">
                    <w:t>-141.4</w:t>
                  </w:r>
                </w:p>
              </w:tc>
              <w:tc>
                <w:tcPr>
                  <w:tcW w:w="501" w:type="pct"/>
                  <w:vAlign w:val="bottom"/>
                </w:tcPr>
                <w:p w:rsidR="00745FEA" w:rsidRPr="00A14C9B" w:rsidRDefault="00745FEA" w:rsidP="00745FEA">
                  <w:pPr>
                    <w:pStyle w:val="TableBodyText"/>
                    <w:spacing w:after="20"/>
                    <w:ind w:right="57"/>
                  </w:pPr>
                  <w:r w:rsidRPr="0062598B">
                    <w:t>-141.9</w:t>
                  </w:r>
                </w:p>
              </w:tc>
              <w:tc>
                <w:tcPr>
                  <w:tcW w:w="501" w:type="pct"/>
                  <w:vAlign w:val="bottom"/>
                </w:tcPr>
                <w:p w:rsidR="00745FEA" w:rsidRPr="00A14C9B" w:rsidRDefault="00745FEA" w:rsidP="00745FEA">
                  <w:pPr>
                    <w:pStyle w:val="TableBodyText"/>
                    <w:spacing w:after="20"/>
                    <w:ind w:right="57"/>
                  </w:pPr>
                  <w:r w:rsidRPr="0062598B">
                    <w:t>-140.3</w:t>
                  </w:r>
                </w:p>
              </w:tc>
              <w:tc>
                <w:tcPr>
                  <w:tcW w:w="501" w:type="pct"/>
                  <w:shd w:val="clear" w:color="auto" w:fill="auto"/>
                  <w:vAlign w:val="bottom"/>
                </w:tcPr>
                <w:p w:rsidR="00745FEA" w:rsidRPr="00A14C9B" w:rsidRDefault="00745FEA" w:rsidP="00745FEA">
                  <w:pPr>
                    <w:pStyle w:val="TableBodyText"/>
                    <w:spacing w:after="20"/>
                    <w:ind w:right="57"/>
                  </w:pPr>
                  <w:r w:rsidRPr="0062598B">
                    <w:t>-142.3</w:t>
                  </w:r>
                </w:p>
              </w:tc>
              <w:tc>
                <w:tcPr>
                  <w:tcW w:w="502" w:type="pct"/>
                  <w:shd w:val="clear" w:color="auto" w:fill="auto"/>
                  <w:vAlign w:val="bottom"/>
                </w:tcPr>
                <w:p w:rsidR="00745FEA" w:rsidRPr="00A14C9B" w:rsidRDefault="00745FEA" w:rsidP="00745FEA">
                  <w:pPr>
                    <w:pStyle w:val="TableBodyText"/>
                    <w:spacing w:after="20"/>
                    <w:ind w:right="57"/>
                  </w:pPr>
                  <w:r w:rsidRPr="0062598B">
                    <w:t>-146.5</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Accommodation &amp; food services</w:t>
                  </w:r>
                </w:p>
              </w:tc>
              <w:tc>
                <w:tcPr>
                  <w:tcW w:w="501" w:type="pct"/>
                  <w:vAlign w:val="bottom"/>
                </w:tcPr>
                <w:p w:rsidR="00745FEA" w:rsidRPr="00A14C9B" w:rsidRDefault="00745FEA" w:rsidP="00745FEA">
                  <w:pPr>
                    <w:pStyle w:val="TableBodyText"/>
                    <w:spacing w:after="20"/>
                    <w:ind w:right="57"/>
                  </w:pPr>
                  <w:r w:rsidRPr="0062598B">
                    <w:t>-266.1</w:t>
                  </w:r>
                </w:p>
              </w:tc>
              <w:tc>
                <w:tcPr>
                  <w:tcW w:w="501" w:type="pct"/>
                  <w:vAlign w:val="bottom"/>
                </w:tcPr>
                <w:p w:rsidR="00745FEA" w:rsidRPr="00A14C9B" w:rsidRDefault="00745FEA" w:rsidP="00745FEA">
                  <w:pPr>
                    <w:pStyle w:val="TableBodyText"/>
                    <w:spacing w:after="20"/>
                    <w:ind w:right="57"/>
                  </w:pPr>
                  <w:r w:rsidRPr="0062598B">
                    <w:t>-275.1</w:t>
                  </w:r>
                </w:p>
              </w:tc>
              <w:tc>
                <w:tcPr>
                  <w:tcW w:w="501" w:type="pct"/>
                  <w:vAlign w:val="bottom"/>
                </w:tcPr>
                <w:p w:rsidR="00745FEA" w:rsidRPr="00A14C9B" w:rsidRDefault="00745FEA" w:rsidP="00745FEA">
                  <w:pPr>
                    <w:pStyle w:val="TableBodyText"/>
                    <w:spacing w:after="20"/>
                    <w:ind w:right="57"/>
                  </w:pPr>
                  <w:r w:rsidRPr="0062598B">
                    <w:t>-280.1</w:t>
                  </w:r>
                </w:p>
              </w:tc>
              <w:tc>
                <w:tcPr>
                  <w:tcW w:w="501" w:type="pct"/>
                  <w:vAlign w:val="bottom"/>
                </w:tcPr>
                <w:p w:rsidR="00745FEA" w:rsidRPr="00A14C9B" w:rsidRDefault="00745FEA" w:rsidP="00745FEA">
                  <w:pPr>
                    <w:pStyle w:val="TableBodyText"/>
                    <w:spacing w:after="20"/>
                    <w:ind w:right="57"/>
                  </w:pPr>
                  <w:r w:rsidRPr="0062598B">
                    <w:t>-292.6</w:t>
                  </w:r>
                </w:p>
              </w:tc>
              <w:tc>
                <w:tcPr>
                  <w:tcW w:w="501" w:type="pct"/>
                  <w:shd w:val="clear" w:color="auto" w:fill="auto"/>
                  <w:vAlign w:val="bottom"/>
                </w:tcPr>
                <w:p w:rsidR="00745FEA" w:rsidRPr="00A14C9B" w:rsidRDefault="00745FEA" w:rsidP="00745FEA">
                  <w:pPr>
                    <w:pStyle w:val="TableBodyText"/>
                    <w:spacing w:after="20"/>
                    <w:ind w:right="57"/>
                  </w:pPr>
                  <w:r w:rsidRPr="0062598B">
                    <w:t>-302.3</w:t>
                  </w:r>
                </w:p>
              </w:tc>
              <w:tc>
                <w:tcPr>
                  <w:tcW w:w="502" w:type="pct"/>
                  <w:shd w:val="clear" w:color="auto" w:fill="auto"/>
                  <w:vAlign w:val="bottom"/>
                </w:tcPr>
                <w:p w:rsidR="00745FEA" w:rsidRPr="00A14C9B" w:rsidRDefault="00745FEA" w:rsidP="00745FEA">
                  <w:pPr>
                    <w:pStyle w:val="TableBodyText"/>
                    <w:spacing w:after="20"/>
                    <w:ind w:right="57"/>
                  </w:pPr>
                  <w:r w:rsidRPr="0062598B">
                    <w:t>-293.4</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Transport, postal &amp; warehousing</w:t>
                  </w:r>
                </w:p>
              </w:tc>
              <w:tc>
                <w:tcPr>
                  <w:tcW w:w="501" w:type="pct"/>
                  <w:vAlign w:val="bottom"/>
                </w:tcPr>
                <w:p w:rsidR="00745FEA" w:rsidRPr="00A14C9B" w:rsidRDefault="00745FEA" w:rsidP="00745FEA">
                  <w:pPr>
                    <w:pStyle w:val="TableBodyText"/>
                    <w:spacing w:after="20"/>
                    <w:ind w:right="57"/>
                  </w:pPr>
                  <w:r w:rsidRPr="0062598B">
                    <w:t>-187.5</w:t>
                  </w:r>
                </w:p>
              </w:tc>
              <w:tc>
                <w:tcPr>
                  <w:tcW w:w="501" w:type="pct"/>
                  <w:vAlign w:val="bottom"/>
                </w:tcPr>
                <w:p w:rsidR="00745FEA" w:rsidRPr="00A14C9B" w:rsidRDefault="00745FEA" w:rsidP="00745FEA">
                  <w:pPr>
                    <w:pStyle w:val="TableBodyText"/>
                    <w:spacing w:after="20"/>
                    <w:ind w:right="57"/>
                  </w:pPr>
                  <w:r w:rsidRPr="0062598B">
                    <w:t>-196.7</w:t>
                  </w:r>
                </w:p>
              </w:tc>
              <w:tc>
                <w:tcPr>
                  <w:tcW w:w="501" w:type="pct"/>
                  <w:vAlign w:val="bottom"/>
                </w:tcPr>
                <w:p w:rsidR="00745FEA" w:rsidRPr="00A14C9B" w:rsidRDefault="00745FEA" w:rsidP="00745FEA">
                  <w:pPr>
                    <w:pStyle w:val="TableBodyText"/>
                    <w:spacing w:after="20"/>
                    <w:ind w:right="57"/>
                  </w:pPr>
                  <w:r w:rsidRPr="0062598B">
                    <w:t>-197.3</w:t>
                  </w:r>
                </w:p>
              </w:tc>
              <w:tc>
                <w:tcPr>
                  <w:tcW w:w="501" w:type="pct"/>
                  <w:vAlign w:val="bottom"/>
                </w:tcPr>
                <w:p w:rsidR="00745FEA" w:rsidRPr="00A14C9B" w:rsidRDefault="00745FEA" w:rsidP="00745FEA">
                  <w:pPr>
                    <w:pStyle w:val="TableBodyText"/>
                    <w:spacing w:after="20"/>
                    <w:ind w:right="57"/>
                  </w:pPr>
                  <w:r w:rsidRPr="0062598B">
                    <w:t>-202.3</w:t>
                  </w:r>
                </w:p>
              </w:tc>
              <w:tc>
                <w:tcPr>
                  <w:tcW w:w="501" w:type="pct"/>
                  <w:shd w:val="clear" w:color="auto" w:fill="auto"/>
                  <w:vAlign w:val="bottom"/>
                </w:tcPr>
                <w:p w:rsidR="00745FEA" w:rsidRPr="00A14C9B" w:rsidRDefault="00745FEA" w:rsidP="00745FEA">
                  <w:pPr>
                    <w:pStyle w:val="TableBodyText"/>
                    <w:spacing w:after="20"/>
                    <w:ind w:right="57"/>
                  </w:pPr>
                  <w:r w:rsidRPr="0062598B">
                    <w:t>-204.2</w:t>
                  </w:r>
                </w:p>
              </w:tc>
              <w:tc>
                <w:tcPr>
                  <w:tcW w:w="502" w:type="pct"/>
                  <w:shd w:val="clear" w:color="auto" w:fill="auto"/>
                  <w:vAlign w:val="bottom"/>
                </w:tcPr>
                <w:p w:rsidR="00745FEA" w:rsidRPr="00A14C9B" w:rsidRDefault="00745FEA" w:rsidP="00745FEA">
                  <w:pPr>
                    <w:pStyle w:val="TableBodyText"/>
                    <w:spacing w:after="20"/>
                    <w:ind w:right="57"/>
                  </w:pPr>
                  <w:r w:rsidRPr="0062598B">
                    <w:t>-203.5</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Information &amp; telecommunications</w:t>
                  </w:r>
                </w:p>
              </w:tc>
              <w:tc>
                <w:tcPr>
                  <w:tcW w:w="501" w:type="pct"/>
                  <w:vAlign w:val="bottom"/>
                </w:tcPr>
                <w:p w:rsidR="00745FEA" w:rsidRPr="00A14C9B" w:rsidRDefault="00745FEA" w:rsidP="00745FEA">
                  <w:pPr>
                    <w:pStyle w:val="TableBodyText"/>
                    <w:spacing w:after="20"/>
                    <w:ind w:right="57"/>
                  </w:pPr>
                  <w:r w:rsidRPr="0062598B">
                    <w:t>-71.8</w:t>
                  </w:r>
                </w:p>
              </w:tc>
              <w:tc>
                <w:tcPr>
                  <w:tcW w:w="501" w:type="pct"/>
                  <w:vAlign w:val="bottom"/>
                </w:tcPr>
                <w:p w:rsidR="00745FEA" w:rsidRPr="00A14C9B" w:rsidRDefault="00745FEA" w:rsidP="00745FEA">
                  <w:pPr>
                    <w:pStyle w:val="TableBodyText"/>
                    <w:spacing w:after="20"/>
                    <w:ind w:right="57"/>
                  </w:pPr>
                  <w:r w:rsidRPr="0062598B">
                    <w:t>-72.2</w:t>
                  </w:r>
                </w:p>
              </w:tc>
              <w:tc>
                <w:tcPr>
                  <w:tcW w:w="501" w:type="pct"/>
                  <w:vAlign w:val="bottom"/>
                </w:tcPr>
                <w:p w:rsidR="00745FEA" w:rsidRPr="00A14C9B" w:rsidRDefault="00745FEA" w:rsidP="00745FEA">
                  <w:pPr>
                    <w:pStyle w:val="TableBodyText"/>
                    <w:spacing w:after="20"/>
                    <w:ind w:right="57"/>
                  </w:pPr>
                  <w:r w:rsidRPr="0062598B">
                    <w:t>-73.3</w:t>
                  </w:r>
                </w:p>
              </w:tc>
              <w:tc>
                <w:tcPr>
                  <w:tcW w:w="501" w:type="pct"/>
                  <w:vAlign w:val="bottom"/>
                </w:tcPr>
                <w:p w:rsidR="00745FEA" w:rsidRPr="00A14C9B" w:rsidRDefault="00745FEA" w:rsidP="00745FEA">
                  <w:pPr>
                    <w:pStyle w:val="TableBodyText"/>
                    <w:spacing w:after="20"/>
                    <w:ind w:right="57"/>
                  </w:pPr>
                  <w:r w:rsidRPr="0062598B">
                    <w:t>-73.0</w:t>
                  </w:r>
                </w:p>
              </w:tc>
              <w:tc>
                <w:tcPr>
                  <w:tcW w:w="501" w:type="pct"/>
                  <w:shd w:val="clear" w:color="auto" w:fill="auto"/>
                  <w:vAlign w:val="bottom"/>
                </w:tcPr>
                <w:p w:rsidR="00745FEA" w:rsidRPr="00A14C9B" w:rsidRDefault="00745FEA" w:rsidP="00745FEA">
                  <w:pPr>
                    <w:pStyle w:val="TableBodyText"/>
                    <w:spacing w:after="20"/>
                    <w:ind w:right="57"/>
                  </w:pPr>
                  <w:r w:rsidRPr="0062598B">
                    <w:t>-71.7</w:t>
                  </w:r>
                </w:p>
              </w:tc>
              <w:tc>
                <w:tcPr>
                  <w:tcW w:w="502" w:type="pct"/>
                  <w:shd w:val="clear" w:color="auto" w:fill="auto"/>
                  <w:vAlign w:val="bottom"/>
                </w:tcPr>
                <w:p w:rsidR="00745FEA" w:rsidRPr="00A14C9B" w:rsidRDefault="00745FEA" w:rsidP="00745FEA">
                  <w:pPr>
                    <w:pStyle w:val="TableBodyText"/>
                    <w:spacing w:after="20"/>
                    <w:ind w:right="57"/>
                  </w:pPr>
                  <w:r w:rsidRPr="0062598B">
                    <w:t>-71.3</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Financial and insurance services</w:t>
                  </w:r>
                </w:p>
              </w:tc>
              <w:tc>
                <w:tcPr>
                  <w:tcW w:w="501" w:type="pct"/>
                  <w:vAlign w:val="bottom"/>
                </w:tcPr>
                <w:p w:rsidR="00745FEA" w:rsidRPr="00A14C9B" w:rsidRDefault="00745FEA" w:rsidP="00745FEA">
                  <w:pPr>
                    <w:pStyle w:val="TableBodyText"/>
                    <w:spacing w:after="20"/>
                    <w:ind w:right="57"/>
                  </w:pPr>
                  <w:r w:rsidRPr="0062598B">
                    <w:t>-12.6</w:t>
                  </w:r>
                </w:p>
              </w:tc>
              <w:tc>
                <w:tcPr>
                  <w:tcW w:w="501" w:type="pct"/>
                  <w:vAlign w:val="bottom"/>
                </w:tcPr>
                <w:p w:rsidR="00745FEA" w:rsidRPr="00A14C9B" w:rsidRDefault="00745FEA" w:rsidP="00745FEA">
                  <w:pPr>
                    <w:pStyle w:val="TableBodyText"/>
                    <w:spacing w:after="20"/>
                    <w:ind w:right="57"/>
                  </w:pPr>
                  <w:r w:rsidRPr="0062598B">
                    <w:t>-13.2</w:t>
                  </w:r>
                </w:p>
              </w:tc>
              <w:tc>
                <w:tcPr>
                  <w:tcW w:w="501" w:type="pct"/>
                  <w:vAlign w:val="bottom"/>
                </w:tcPr>
                <w:p w:rsidR="00745FEA" w:rsidRPr="00A14C9B" w:rsidRDefault="00745FEA" w:rsidP="00745FEA">
                  <w:pPr>
                    <w:pStyle w:val="TableBodyText"/>
                    <w:spacing w:after="20"/>
                    <w:ind w:right="57"/>
                  </w:pPr>
                  <w:r w:rsidRPr="0062598B">
                    <w:t>-13.8</w:t>
                  </w:r>
                </w:p>
              </w:tc>
              <w:tc>
                <w:tcPr>
                  <w:tcW w:w="501" w:type="pct"/>
                  <w:vAlign w:val="bottom"/>
                </w:tcPr>
                <w:p w:rsidR="00745FEA" w:rsidRPr="00A14C9B" w:rsidRDefault="00745FEA" w:rsidP="00745FEA">
                  <w:pPr>
                    <w:pStyle w:val="TableBodyText"/>
                    <w:spacing w:after="20"/>
                    <w:ind w:right="57"/>
                  </w:pPr>
                  <w:r w:rsidRPr="0062598B">
                    <w:t>-14.6</w:t>
                  </w:r>
                </w:p>
              </w:tc>
              <w:tc>
                <w:tcPr>
                  <w:tcW w:w="501" w:type="pct"/>
                  <w:shd w:val="clear" w:color="auto" w:fill="auto"/>
                  <w:vAlign w:val="bottom"/>
                </w:tcPr>
                <w:p w:rsidR="00745FEA" w:rsidRPr="00A14C9B" w:rsidRDefault="00745FEA" w:rsidP="00745FEA">
                  <w:pPr>
                    <w:pStyle w:val="TableBodyText"/>
                    <w:spacing w:after="20"/>
                    <w:ind w:right="57"/>
                  </w:pPr>
                  <w:r w:rsidRPr="0062598B">
                    <w:t>-15.1</w:t>
                  </w:r>
                </w:p>
              </w:tc>
              <w:tc>
                <w:tcPr>
                  <w:tcW w:w="502" w:type="pct"/>
                  <w:shd w:val="clear" w:color="auto" w:fill="auto"/>
                  <w:vAlign w:val="bottom"/>
                </w:tcPr>
                <w:p w:rsidR="00745FEA" w:rsidRPr="00A14C9B" w:rsidRDefault="00745FEA" w:rsidP="00745FEA">
                  <w:pPr>
                    <w:pStyle w:val="TableBodyText"/>
                    <w:spacing w:after="20"/>
                    <w:ind w:right="57"/>
                  </w:pPr>
                  <w:r w:rsidRPr="0062598B">
                    <w:t>-16.0</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Property, professional &amp; admin.</w:t>
                  </w:r>
                </w:p>
              </w:tc>
              <w:tc>
                <w:tcPr>
                  <w:tcW w:w="501" w:type="pct"/>
                  <w:vAlign w:val="bottom"/>
                </w:tcPr>
                <w:p w:rsidR="00745FEA" w:rsidRPr="00A14C9B" w:rsidRDefault="00745FEA" w:rsidP="00745FEA">
                  <w:pPr>
                    <w:pStyle w:val="TableBodyText"/>
                    <w:spacing w:after="20"/>
                    <w:ind w:right="57"/>
                  </w:pPr>
                  <w:r w:rsidRPr="0062598B">
                    <w:t>-340.0</w:t>
                  </w:r>
                </w:p>
              </w:tc>
              <w:tc>
                <w:tcPr>
                  <w:tcW w:w="501" w:type="pct"/>
                  <w:vAlign w:val="bottom"/>
                </w:tcPr>
                <w:p w:rsidR="00745FEA" w:rsidRPr="00A14C9B" w:rsidRDefault="00745FEA" w:rsidP="00745FEA">
                  <w:pPr>
                    <w:pStyle w:val="TableBodyText"/>
                    <w:spacing w:after="20"/>
                    <w:ind w:right="57"/>
                  </w:pPr>
                  <w:r w:rsidRPr="0062598B">
                    <w:t>-356.2</w:t>
                  </w:r>
                </w:p>
              </w:tc>
              <w:tc>
                <w:tcPr>
                  <w:tcW w:w="501" w:type="pct"/>
                  <w:vAlign w:val="bottom"/>
                </w:tcPr>
                <w:p w:rsidR="00745FEA" w:rsidRPr="00A14C9B" w:rsidRDefault="00745FEA" w:rsidP="00745FEA">
                  <w:pPr>
                    <w:pStyle w:val="TableBodyText"/>
                    <w:spacing w:after="20"/>
                    <w:ind w:right="57"/>
                  </w:pPr>
                  <w:r w:rsidRPr="0062598B">
                    <w:t>-365.3</w:t>
                  </w:r>
                </w:p>
              </w:tc>
              <w:tc>
                <w:tcPr>
                  <w:tcW w:w="501" w:type="pct"/>
                  <w:vAlign w:val="bottom"/>
                </w:tcPr>
                <w:p w:rsidR="00745FEA" w:rsidRPr="00A14C9B" w:rsidRDefault="00745FEA" w:rsidP="00745FEA">
                  <w:pPr>
                    <w:pStyle w:val="TableBodyText"/>
                    <w:spacing w:after="20"/>
                    <w:ind w:right="57"/>
                  </w:pPr>
                  <w:r w:rsidRPr="0062598B">
                    <w:t>-372.5</w:t>
                  </w:r>
                </w:p>
              </w:tc>
              <w:tc>
                <w:tcPr>
                  <w:tcW w:w="501" w:type="pct"/>
                  <w:shd w:val="clear" w:color="auto" w:fill="auto"/>
                  <w:vAlign w:val="bottom"/>
                </w:tcPr>
                <w:p w:rsidR="00745FEA" w:rsidRPr="00A14C9B" w:rsidRDefault="00745FEA" w:rsidP="00745FEA">
                  <w:pPr>
                    <w:pStyle w:val="TableBodyText"/>
                    <w:spacing w:after="20"/>
                    <w:ind w:right="57"/>
                  </w:pPr>
                  <w:r w:rsidRPr="0062598B">
                    <w:t>-375.7</w:t>
                  </w:r>
                </w:p>
              </w:tc>
              <w:tc>
                <w:tcPr>
                  <w:tcW w:w="502" w:type="pct"/>
                  <w:shd w:val="clear" w:color="auto" w:fill="auto"/>
                  <w:vAlign w:val="bottom"/>
                </w:tcPr>
                <w:p w:rsidR="00745FEA" w:rsidRPr="00A14C9B" w:rsidRDefault="00745FEA" w:rsidP="00745FEA">
                  <w:pPr>
                    <w:pStyle w:val="TableBodyText"/>
                    <w:spacing w:after="20"/>
                    <w:ind w:right="57"/>
                  </w:pPr>
                  <w:r w:rsidRPr="0062598B">
                    <w:t>-406.1</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Public administration and safety</w:t>
                  </w:r>
                </w:p>
              </w:tc>
              <w:tc>
                <w:tcPr>
                  <w:tcW w:w="501" w:type="pct"/>
                  <w:vAlign w:val="bottom"/>
                </w:tcPr>
                <w:p w:rsidR="00745FEA" w:rsidRPr="00A14C9B" w:rsidRDefault="00745FEA" w:rsidP="00745FEA">
                  <w:pPr>
                    <w:pStyle w:val="TableBodyText"/>
                    <w:spacing w:after="20"/>
                    <w:ind w:right="57"/>
                  </w:pPr>
                  <w:r w:rsidRPr="0062598B">
                    <w:t>-136.2</w:t>
                  </w:r>
                </w:p>
              </w:tc>
              <w:tc>
                <w:tcPr>
                  <w:tcW w:w="501" w:type="pct"/>
                  <w:vAlign w:val="bottom"/>
                </w:tcPr>
                <w:p w:rsidR="00745FEA" w:rsidRPr="00A14C9B" w:rsidRDefault="00745FEA" w:rsidP="00745FEA">
                  <w:pPr>
                    <w:pStyle w:val="TableBodyText"/>
                    <w:spacing w:after="20"/>
                    <w:ind w:right="57"/>
                  </w:pPr>
                  <w:r w:rsidRPr="0062598B">
                    <w:t>-140.4</w:t>
                  </w:r>
                </w:p>
              </w:tc>
              <w:tc>
                <w:tcPr>
                  <w:tcW w:w="501" w:type="pct"/>
                  <w:vAlign w:val="bottom"/>
                </w:tcPr>
                <w:p w:rsidR="00745FEA" w:rsidRPr="00A14C9B" w:rsidRDefault="00745FEA" w:rsidP="00745FEA">
                  <w:pPr>
                    <w:pStyle w:val="TableBodyText"/>
                    <w:spacing w:after="20"/>
                    <w:ind w:right="57"/>
                  </w:pPr>
                  <w:r w:rsidRPr="0062598B">
                    <w:t>-145.2</w:t>
                  </w:r>
                </w:p>
              </w:tc>
              <w:tc>
                <w:tcPr>
                  <w:tcW w:w="501" w:type="pct"/>
                  <w:vAlign w:val="bottom"/>
                </w:tcPr>
                <w:p w:rsidR="00745FEA" w:rsidRPr="00A14C9B" w:rsidRDefault="00745FEA" w:rsidP="00745FEA">
                  <w:pPr>
                    <w:pStyle w:val="TableBodyText"/>
                    <w:spacing w:after="20"/>
                    <w:ind w:right="57"/>
                  </w:pPr>
                  <w:r w:rsidRPr="0062598B">
                    <w:t>-140.9</w:t>
                  </w:r>
                </w:p>
              </w:tc>
              <w:tc>
                <w:tcPr>
                  <w:tcW w:w="501" w:type="pct"/>
                  <w:shd w:val="clear" w:color="auto" w:fill="auto"/>
                  <w:vAlign w:val="bottom"/>
                </w:tcPr>
                <w:p w:rsidR="00745FEA" w:rsidRPr="00A14C9B" w:rsidRDefault="00745FEA" w:rsidP="00745FEA">
                  <w:pPr>
                    <w:pStyle w:val="TableBodyText"/>
                    <w:spacing w:after="20"/>
                    <w:ind w:right="57"/>
                  </w:pPr>
                  <w:r w:rsidRPr="0062598B">
                    <w:t>-143.1</w:t>
                  </w:r>
                </w:p>
              </w:tc>
              <w:tc>
                <w:tcPr>
                  <w:tcW w:w="502" w:type="pct"/>
                  <w:shd w:val="clear" w:color="auto" w:fill="auto"/>
                  <w:vAlign w:val="bottom"/>
                </w:tcPr>
                <w:p w:rsidR="00745FEA" w:rsidRPr="00A14C9B" w:rsidRDefault="00745FEA" w:rsidP="00745FEA">
                  <w:pPr>
                    <w:pStyle w:val="TableBodyText"/>
                    <w:spacing w:after="20"/>
                    <w:ind w:right="57"/>
                  </w:pPr>
                  <w:r w:rsidRPr="0062598B">
                    <w:t>-144.9</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Education and training</w:t>
                  </w:r>
                </w:p>
              </w:tc>
              <w:tc>
                <w:tcPr>
                  <w:tcW w:w="501" w:type="pct"/>
                  <w:vAlign w:val="bottom"/>
                </w:tcPr>
                <w:p w:rsidR="00745FEA" w:rsidRPr="00A14C9B" w:rsidRDefault="00745FEA" w:rsidP="00745FEA">
                  <w:pPr>
                    <w:pStyle w:val="TableBodyText"/>
                    <w:spacing w:after="20"/>
                    <w:ind w:right="57"/>
                  </w:pPr>
                  <w:r w:rsidRPr="0062598B">
                    <w:t>-43.6</w:t>
                  </w:r>
                </w:p>
              </w:tc>
              <w:tc>
                <w:tcPr>
                  <w:tcW w:w="501" w:type="pct"/>
                  <w:vAlign w:val="bottom"/>
                </w:tcPr>
                <w:p w:rsidR="00745FEA" w:rsidRPr="00A14C9B" w:rsidRDefault="00745FEA" w:rsidP="00745FEA">
                  <w:pPr>
                    <w:pStyle w:val="TableBodyText"/>
                    <w:spacing w:after="20"/>
                    <w:ind w:right="57"/>
                  </w:pPr>
                  <w:r w:rsidRPr="0062598B">
                    <w:t>-45.7</w:t>
                  </w:r>
                </w:p>
              </w:tc>
              <w:tc>
                <w:tcPr>
                  <w:tcW w:w="501" w:type="pct"/>
                  <w:vAlign w:val="bottom"/>
                </w:tcPr>
                <w:p w:rsidR="00745FEA" w:rsidRPr="00A14C9B" w:rsidRDefault="00745FEA" w:rsidP="00745FEA">
                  <w:pPr>
                    <w:pStyle w:val="TableBodyText"/>
                    <w:spacing w:after="20"/>
                    <w:ind w:right="57"/>
                  </w:pPr>
                  <w:r w:rsidRPr="0062598B">
                    <w:t>-47.9</w:t>
                  </w:r>
                </w:p>
              </w:tc>
              <w:tc>
                <w:tcPr>
                  <w:tcW w:w="501" w:type="pct"/>
                  <w:vAlign w:val="bottom"/>
                </w:tcPr>
                <w:p w:rsidR="00745FEA" w:rsidRPr="00A14C9B" w:rsidRDefault="00745FEA" w:rsidP="00745FEA">
                  <w:pPr>
                    <w:pStyle w:val="TableBodyText"/>
                    <w:spacing w:after="20"/>
                    <w:ind w:right="57"/>
                  </w:pPr>
                  <w:r w:rsidRPr="0062598B">
                    <w:t>-48.6</w:t>
                  </w:r>
                </w:p>
              </w:tc>
              <w:tc>
                <w:tcPr>
                  <w:tcW w:w="501" w:type="pct"/>
                  <w:shd w:val="clear" w:color="auto" w:fill="auto"/>
                  <w:vAlign w:val="bottom"/>
                </w:tcPr>
                <w:p w:rsidR="00745FEA" w:rsidRPr="00A14C9B" w:rsidRDefault="00745FEA" w:rsidP="00745FEA">
                  <w:pPr>
                    <w:pStyle w:val="TableBodyText"/>
                    <w:spacing w:after="20"/>
                    <w:ind w:right="57"/>
                  </w:pPr>
                  <w:r w:rsidRPr="0062598B">
                    <w:t>-49.4</w:t>
                  </w:r>
                </w:p>
              </w:tc>
              <w:tc>
                <w:tcPr>
                  <w:tcW w:w="502" w:type="pct"/>
                  <w:shd w:val="clear" w:color="auto" w:fill="auto"/>
                  <w:vAlign w:val="bottom"/>
                </w:tcPr>
                <w:p w:rsidR="00745FEA" w:rsidRPr="00A14C9B" w:rsidRDefault="00745FEA" w:rsidP="00745FEA">
                  <w:pPr>
                    <w:pStyle w:val="TableBodyText"/>
                    <w:spacing w:after="20"/>
                    <w:ind w:right="57"/>
                  </w:pPr>
                  <w:r w:rsidRPr="0062598B">
                    <w:t>-51.5</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Health care and social assistance</w:t>
                  </w:r>
                </w:p>
              </w:tc>
              <w:tc>
                <w:tcPr>
                  <w:tcW w:w="501" w:type="pct"/>
                  <w:vAlign w:val="bottom"/>
                </w:tcPr>
                <w:p w:rsidR="00745FEA" w:rsidRPr="00A14C9B" w:rsidRDefault="00745FEA" w:rsidP="00745FEA">
                  <w:pPr>
                    <w:pStyle w:val="TableBodyText"/>
                    <w:spacing w:after="20"/>
                    <w:ind w:right="57"/>
                  </w:pPr>
                  <w:r w:rsidRPr="0062598B">
                    <w:t>-209.2</w:t>
                  </w:r>
                </w:p>
              </w:tc>
              <w:tc>
                <w:tcPr>
                  <w:tcW w:w="501" w:type="pct"/>
                  <w:vAlign w:val="bottom"/>
                </w:tcPr>
                <w:p w:rsidR="00745FEA" w:rsidRPr="00A14C9B" w:rsidRDefault="00745FEA" w:rsidP="00745FEA">
                  <w:pPr>
                    <w:pStyle w:val="TableBodyText"/>
                    <w:spacing w:after="20"/>
                    <w:ind w:right="57"/>
                  </w:pPr>
                  <w:r w:rsidRPr="0062598B">
                    <w:t>-220.7</w:t>
                  </w:r>
                </w:p>
              </w:tc>
              <w:tc>
                <w:tcPr>
                  <w:tcW w:w="501" w:type="pct"/>
                  <w:vAlign w:val="bottom"/>
                </w:tcPr>
                <w:p w:rsidR="00745FEA" w:rsidRPr="00A14C9B" w:rsidRDefault="00745FEA" w:rsidP="00745FEA">
                  <w:pPr>
                    <w:pStyle w:val="TableBodyText"/>
                    <w:spacing w:after="20"/>
                    <w:ind w:right="57"/>
                  </w:pPr>
                  <w:r w:rsidRPr="0062598B">
                    <w:t>-232.0</w:t>
                  </w:r>
                </w:p>
              </w:tc>
              <w:tc>
                <w:tcPr>
                  <w:tcW w:w="501" w:type="pct"/>
                  <w:vAlign w:val="bottom"/>
                </w:tcPr>
                <w:p w:rsidR="00745FEA" w:rsidRPr="00A14C9B" w:rsidRDefault="00745FEA" w:rsidP="00745FEA">
                  <w:pPr>
                    <w:pStyle w:val="TableBodyText"/>
                    <w:spacing w:after="20"/>
                    <w:ind w:right="57"/>
                  </w:pPr>
                  <w:r w:rsidRPr="0062598B">
                    <w:t>-228.8</w:t>
                  </w:r>
                </w:p>
              </w:tc>
              <w:tc>
                <w:tcPr>
                  <w:tcW w:w="501" w:type="pct"/>
                  <w:shd w:val="clear" w:color="auto" w:fill="auto"/>
                  <w:vAlign w:val="bottom"/>
                </w:tcPr>
                <w:p w:rsidR="00745FEA" w:rsidRPr="00A14C9B" w:rsidRDefault="00745FEA" w:rsidP="00745FEA">
                  <w:pPr>
                    <w:pStyle w:val="TableBodyText"/>
                    <w:spacing w:after="20"/>
                    <w:ind w:right="57"/>
                  </w:pPr>
                  <w:r w:rsidRPr="0062598B">
                    <w:t>-217.4</w:t>
                  </w:r>
                </w:p>
              </w:tc>
              <w:tc>
                <w:tcPr>
                  <w:tcW w:w="502" w:type="pct"/>
                  <w:shd w:val="clear" w:color="auto" w:fill="auto"/>
                  <w:vAlign w:val="bottom"/>
                </w:tcPr>
                <w:p w:rsidR="00745FEA" w:rsidRPr="00A14C9B" w:rsidRDefault="00745FEA" w:rsidP="00745FEA">
                  <w:pPr>
                    <w:pStyle w:val="TableBodyText"/>
                    <w:spacing w:after="20"/>
                    <w:ind w:right="57"/>
                  </w:pPr>
                  <w:r w:rsidRPr="0062598B">
                    <w:t>-228.5</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Arts and recreation services</w:t>
                  </w:r>
                </w:p>
              </w:tc>
              <w:tc>
                <w:tcPr>
                  <w:tcW w:w="501" w:type="pct"/>
                  <w:vAlign w:val="bottom"/>
                </w:tcPr>
                <w:p w:rsidR="00745FEA" w:rsidRPr="00A14C9B" w:rsidRDefault="00745FEA" w:rsidP="00745FEA">
                  <w:pPr>
                    <w:pStyle w:val="TableBodyText"/>
                    <w:spacing w:after="20"/>
                    <w:ind w:right="57"/>
                  </w:pPr>
                  <w:r w:rsidRPr="0062598B">
                    <w:t>-68.1</w:t>
                  </w:r>
                </w:p>
              </w:tc>
              <w:tc>
                <w:tcPr>
                  <w:tcW w:w="501" w:type="pct"/>
                  <w:vAlign w:val="bottom"/>
                </w:tcPr>
                <w:p w:rsidR="00745FEA" w:rsidRPr="00A14C9B" w:rsidRDefault="00745FEA" w:rsidP="00745FEA">
                  <w:pPr>
                    <w:pStyle w:val="TableBodyText"/>
                    <w:spacing w:after="20"/>
                    <w:ind w:right="57"/>
                  </w:pPr>
                  <w:r w:rsidRPr="0062598B">
                    <w:t>-68.4</w:t>
                  </w:r>
                </w:p>
              </w:tc>
              <w:tc>
                <w:tcPr>
                  <w:tcW w:w="501" w:type="pct"/>
                  <w:vAlign w:val="bottom"/>
                </w:tcPr>
                <w:p w:rsidR="00745FEA" w:rsidRPr="00A14C9B" w:rsidRDefault="00745FEA" w:rsidP="00745FEA">
                  <w:pPr>
                    <w:pStyle w:val="TableBodyText"/>
                    <w:spacing w:after="20"/>
                    <w:ind w:right="57"/>
                  </w:pPr>
                  <w:r w:rsidRPr="0062598B">
                    <w:t>-72.9</w:t>
                  </w:r>
                </w:p>
              </w:tc>
              <w:tc>
                <w:tcPr>
                  <w:tcW w:w="501" w:type="pct"/>
                  <w:vAlign w:val="bottom"/>
                </w:tcPr>
                <w:p w:rsidR="00745FEA" w:rsidRPr="00A14C9B" w:rsidRDefault="00745FEA" w:rsidP="00745FEA">
                  <w:pPr>
                    <w:pStyle w:val="TableBodyText"/>
                    <w:spacing w:after="20"/>
                    <w:ind w:right="57"/>
                  </w:pPr>
                  <w:r w:rsidRPr="0062598B">
                    <w:t>-74.0</w:t>
                  </w:r>
                </w:p>
              </w:tc>
              <w:tc>
                <w:tcPr>
                  <w:tcW w:w="501" w:type="pct"/>
                  <w:shd w:val="clear" w:color="auto" w:fill="auto"/>
                  <w:vAlign w:val="bottom"/>
                </w:tcPr>
                <w:p w:rsidR="00745FEA" w:rsidRPr="00A14C9B" w:rsidRDefault="00745FEA" w:rsidP="00745FEA">
                  <w:pPr>
                    <w:pStyle w:val="TableBodyText"/>
                    <w:spacing w:after="20"/>
                    <w:ind w:right="57"/>
                  </w:pPr>
                  <w:r w:rsidRPr="0062598B">
                    <w:t>-75.0</w:t>
                  </w:r>
                </w:p>
              </w:tc>
              <w:tc>
                <w:tcPr>
                  <w:tcW w:w="502" w:type="pct"/>
                  <w:shd w:val="clear" w:color="auto" w:fill="auto"/>
                  <w:vAlign w:val="bottom"/>
                </w:tcPr>
                <w:p w:rsidR="00745FEA" w:rsidRPr="00A14C9B" w:rsidRDefault="00745FEA" w:rsidP="00745FEA">
                  <w:pPr>
                    <w:pStyle w:val="TableBodyText"/>
                    <w:spacing w:after="20"/>
                    <w:ind w:right="57"/>
                  </w:pPr>
                  <w:r w:rsidRPr="0062598B">
                    <w:t>-74.7</w:t>
                  </w:r>
                </w:p>
              </w:tc>
            </w:tr>
            <w:tr w:rsidR="00745FEA" w:rsidTr="00745FEA">
              <w:tc>
                <w:tcPr>
                  <w:tcW w:w="1992" w:type="pct"/>
                  <w:shd w:val="clear" w:color="auto" w:fill="auto"/>
                  <w:vAlign w:val="center"/>
                </w:tcPr>
                <w:p w:rsidR="00745FEA" w:rsidRPr="007D1111" w:rsidRDefault="00745FEA" w:rsidP="00745FEA">
                  <w:pPr>
                    <w:spacing w:after="20"/>
                    <w:rPr>
                      <w:rFonts w:ascii="Arial" w:hAnsi="Arial" w:cs="Arial"/>
                      <w:sz w:val="18"/>
                      <w:szCs w:val="18"/>
                    </w:rPr>
                  </w:pPr>
                  <w:r w:rsidRPr="007D1111">
                    <w:rPr>
                      <w:rFonts w:ascii="Arial" w:hAnsi="Arial" w:cs="Arial"/>
                      <w:sz w:val="18"/>
                      <w:szCs w:val="18"/>
                    </w:rPr>
                    <w:t>Other services</w:t>
                  </w:r>
                </w:p>
              </w:tc>
              <w:tc>
                <w:tcPr>
                  <w:tcW w:w="501" w:type="pct"/>
                  <w:vAlign w:val="bottom"/>
                </w:tcPr>
                <w:p w:rsidR="00745FEA" w:rsidRPr="00A14C9B" w:rsidRDefault="00745FEA" w:rsidP="00745FEA">
                  <w:pPr>
                    <w:pStyle w:val="TableBodyText"/>
                    <w:spacing w:after="20"/>
                    <w:ind w:right="57"/>
                  </w:pPr>
                  <w:r w:rsidRPr="0062598B">
                    <w:t>-338.0</w:t>
                  </w:r>
                </w:p>
              </w:tc>
              <w:tc>
                <w:tcPr>
                  <w:tcW w:w="501" w:type="pct"/>
                  <w:vAlign w:val="bottom"/>
                </w:tcPr>
                <w:p w:rsidR="00745FEA" w:rsidRPr="00A14C9B" w:rsidRDefault="00745FEA" w:rsidP="00745FEA">
                  <w:pPr>
                    <w:pStyle w:val="TableBodyText"/>
                    <w:spacing w:after="20"/>
                    <w:ind w:right="57"/>
                  </w:pPr>
                  <w:r w:rsidRPr="0062598B">
                    <w:t>-333.7</w:t>
                  </w:r>
                </w:p>
              </w:tc>
              <w:tc>
                <w:tcPr>
                  <w:tcW w:w="501" w:type="pct"/>
                  <w:vAlign w:val="bottom"/>
                </w:tcPr>
                <w:p w:rsidR="00745FEA" w:rsidRPr="00A14C9B" w:rsidRDefault="00745FEA" w:rsidP="00745FEA">
                  <w:pPr>
                    <w:pStyle w:val="TableBodyText"/>
                    <w:spacing w:after="20"/>
                    <w:ind w:right="57"/>
                  </w:pPr>
                  <w:r w:rsidRPr="0062598B">
                    <w:t>-353.8</w:t>
                  </w:r>
                </w:p>
              </w:tc>
              <w:tc>
                <w:tcPr>
                  <w:tcW w:w="501" w:type="pct"/>
                  <w:vAlign w:val="bottom"/>
                </w:tcPr>
                <w:p w:rsidR="00745FEA" w:rsidRPr="00A14C9B" w:rsidRDefault="00745FEA" w:rsidP="00745FEA">
                  <w:pPr>
                    <w:pStyle w:val="TableBodyText"/>
                    <w:spacing w:after="20"/>
                    <w:ind w:right="57"/>
                  </w:pPr>
                  <w:r w:rsidRPr="0062598B">
                    <w:t>-350.9</w:t>
                  </w:r>
                </w:p>
              </w:tc>
              <w:tc>
                <w:tcPr>
                  <w:tcW w:w="501" w:type="pct"/>
                  <w:shd w:val="clear" w:color="auto" w:fill="auto"/>
                  <w:vAlign w:val="bottom"/>
                </w:tcPr>
                <w:p w:rsidR="00745FEA" w:rsidRPr="00A14C9B" w:rsidRDefault="00745FEA" w:rsidP="00745FEA">
                  <w:pPr>
                    <w:pStyle w:val="TableBodyText"/>
                    <w:spacing w:after="20"/>
                    <w:ind w:right="57"/>
                  </w:pPr>
                  <w:r w:rsidRPr="0062598B">
                    <w:t>-337.6</w:t>
                  </w:r>
                </w:p>
              </w:tc>
              <w:tc>
                <w:tcPr>
                  <w:tcW w:w="502" w:type="pct"/>
                  <w:shd w:val="clear" w:color="auto" w:fill="auto"/>
                  <w:vAlign w:val="bottom"/>
                </w:tcPr>
                <w:p w:rsidR="00745FEA" w:rsidRPr="00A14C9B" w:rsidRDefault="00745FEA" w:rsidP="00745FEA">
                  <w:pPr>
                    <w:pStyle w:val="TableBodyText"/>
                    <w:spacing w:after="20"/>
                    <w:ind w:right="57"/>
                  </w:pPr>
                  <w:r w:rsidRPr="0062598B">
                    <w:t>-327.1</w:t>
                  </w:r>
                </w:p>
              </w:tc>
            </w:tr>
            <w:tr w:rsidR="00745FEA" w:rsidTr="00745FEA">
              <w:tc>
                <w:tcPr>
                  <w:tcW w:w="1992" w:type="pct"/>
                  <w:shd w:val="clear" w:color="auto" w:fill="auto"/>
                  <w:vAlign w:val="center"/>
                </w:tcPr>
                <w:p w:rsidR="00745FEA" w:rsidRPr="007D1111" w:rsidRDefault="00745FEA" w:rsidP="00745FEA">
                  <w:pPr>
                    <w:rPr>
                      <w:rFonts w:ascii="Arial" w:hAnsi="Arial" w:cs="Arial"/>
                      <w:sz w:val="18"/>
                      <w:szCs w:val="18"/>
                    </w:rPr>
                  </w:pPr>
                  <w:r w:rsidRPr="007D1111">
                    <w:rPr>
                      <w:rFonts w:ascii="Arial" w:hAnsi="Arial" w:cs="Arial"/>
                      <w:sz w:val="18"/>
                      <w:szCs w:val="18"/>
                    </w:rPr>
                    <w:t>Unallocated services</w:t>
                  </w:r>
                  <w:r w:rsidRPr="008405D4">
                    <w:rPr>
                      <w:rStyle w:val="NoteLabel"/>
                    </w:rPr>
                    <w:t>b</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vAlign w:val="bottom"/>
                </w:tcPr>
                <w:p w:rsidR="00745FEA" w:rsidRPr="00A14C9B" w:rsidRDefault="00745FEA" w:rsidP="00745FEA">
                  <w:pPr>
                    <w:pStyle w:val="TableBodyText"/>
                    <w:ind w:right="57"/>
                  </w:pPr>
                  <w:r w:rsidRPr="0062598B">
                    <w:t xml:space="preserve">– </w:t>
                  </w:r>
                </w:p>
              </w:tc>
              <w:tc>
                <w:tcPr>
                  <w:tcW w:w="501" w:type="pct"/>
                  <w:shd w:val="clear" w:color="auto" w:fill="auto"/>
                  <w:vAlign w:val="bottom"/>
                </w:tcPr>
                <w:p w:rsidR="00745FEA" w:rsidRPr="00A14C9B" w:rsidRDefault="00745FEA" w:rsidP="00745FEA">
                  <w:pPr>
                    <w:pStyle w:val="TableBodyText"/>
                    <w:ind w:right="57"/>
                  </w:pPr>
                  <w:r w:rsidRPr="0062598B">
                    <w:t xml:space="preserve">– </w:t>
                  </w:r>
                </w:p>
              </w:tc>
              <w:tc>
                <w:tcPr>
                  <w:tcW w:w="502" w:type="pct"/>
                  <w:shd w:val="clear" w:color="auto" w:fill="auto"/>
                  <w:vAlign w:val="bottom"/>
                </w:tcPr>
                <w:p w:rsidR="00745FEA" w:rsidRPr="00A14C9B" w:rsidRDefault="00745FEA" w:rsidP="00745FEA">
                  <w:pPr>
                    <w:pStyle w:val="TableBodyText"/>
                    <w:ind w:right="57"/>
                  </w:pPr>
                  <w:r w:rsidRPr="0062598B">
                    <w:t xml:space="preserve">– </w:t>
                  </w:r>
                </w:p>
              </w:tc>
            </w:tr>
            <w:tr w:rsidR="00745FEA" w:rsidRPr="00302C4A" w:rsidTr="00745FEA">
              <w:tc>
                <w:tcPr>
                  <w:tcW w:w="1992" w:type="pct"/>
                  <w:shd w:val="clear" w:color="auto" w:fill="auto"/>
                  <w:vAlign w:val="center"/>
                </w:tcPr>
                <w:p w:rsidR="00745FEA" w:rsidRPr="00302C4A" w:rsidRDefault="00745FEA" w:rsidP="00745FEA">
                  <w:pPr>
                    <w:spacing w:after="20"/>
                    <w:rPr>
                      <w:rFonts w:ascii="Arial" w:hAnsi="Arial" w:cs="Arial"/>
                      <w:b/>
                      <w:bCs/>
                      <w:sz w:val="18"/>
                      <w:szCs w:val="18"/>
                    </w:rPr>
                  </w:pPr>
                  <w:r w:rsidRPr="00302C4A">
                    <w:rPr>
                      <w:rFonts w:ascii="Arial" w:hAnsi="Arial" w:cs="Arial"/>
                      <w:b/>
                      <w:bCs/>
                      <w:sz w:val="18"/>
                      <w:szCs w:val="18"/>
                    </w:rPr>
                    <w:t>Unallocated other</w:t>
                  </w:r>
                  <w:r w:rsidRPr="005D59CA">
                    <w:rPr>
                      <w:rStyle w:val="NoteLabel"/>
                      <w:b w:val="0"/>
                    </w:rPr>
                    <w:t>b</w:t>
                  </w:r>
                </w:p>
              </w:tc>
              <w:tc>
                <w:tcPr>
                  <w:tcW w:w="501" w:type="pct"/>
                  <w:vAlign w:val="bottom"/>
                </w:tcPr>
                <w:p w:rsidR="00745FEA" w:rsidRPr="00302C4A" w:rsidRDefault="00745FEA" w:rsidP="00745FEA">
                  <w:pPr>
                    <w:pStyle w:val="TableBodyText"/>
                    <w:ind w:right="57"/>
                    <w:rPr>
                      <w:b/>
                    </w:rPr>
                  </w:pPr>
                  <w:r w:rsidRPr="00302C4A">
                    <w:rPr>
                      <w:b/>
                    </w:rPr>
                    <w:t xml:space="preserve">– </w:t>
                  </w:r>
                </w:p>
              </w:tc>
              <w:tc>
                <w:tcPr>
                  <w:tcW w:w="501" w:type="pct"/>
                  <w:vAlign w:val="bottom"/>
                </w:tcPr>
                <w:p w:rsidR="00745FEA" w:rsidRPr="00302C4A" w:rsidRDefault="00745FEA" w:rsidP="00745FEA">
                  <w:pPr>
                    <w:pStyle w:val="TableBodyText"/>
                    <w:ind w:right="57"/>
                    <w:rPr>
                      <w:b/>
                    </w:rPr>
                  </w:pPr>
                  <w:r w:rsidRPr="00302C4A">
                    <w:rPr>
                      <w:b/>
                    </w:rPr>
                    <w:t xml:space="preserve">– </w:t>
                  </w:r>
                </w:p>
              </w:tc>
              <w:tc>
                <w:tcPr>
                  <w:tcW w:w="501" w:type="pct"/>
                  <w:vAlign w:val="bottom"/>
                </w:tcPr>
                <w:p w:rsidR="00745FEA" w:rsidRPr="00302C4A" w:rsidRDefault="00745FEA" w:rsidP="00745FEA">
                  <w:pPr>
                    <w:pStyle w:val="TableBodyText"/>
                    <w:ind w:right="57"/>
                    <w:rPr>
                      <w:b/>
                    </w:rPr>
                  </w:pPr>
                  <w:r w:rsidRPr="00302C4A">
                    <w:rPr>
                      <w:b/>
                    </w:rPr>
                    <w:t xml:space="preserve">– </w:t>
                  </w:r>
                </w:p>
              </w:tc>
              <w:tc>
                <w:tcPr>
                  <w:tcW w:w="501" w:type="pct"/>
                  <w:vAlign w:val="bottom"/>
                </w:tcPr>
                <w:p w:rsidR="00745FEA" w:rsidRPr="00302C4A" w:rsidRDefault="00745FEA" w:rsidP="00745FEA">
                  <w:pPr>
                    <w:pStyle w:val="TableBodyText"/>
                    <w:ind w:right="57"/>
                    <w:rPr>
                      <w:b/>
                    </w:rPr>
                  </w:pPr>
                  <w:r w:rsidRPr="00302C4A">
                    <w:rPr>
                      <w:b/>
                    </w:rPr>
                    <w:t xml:space="preserve">– </w:t>
                  </w:r>
                </w:p>
              </w:tc>
              <w:tc>
                <w:tcPr>
                  <w:tcW w:w="501" w:type="pct"/>
                  <w:shd w:val="clear" w:color="auto" w:fill="auto"/>
                  <w:vAlign w:val="bottom"/>
                </w:tcPr>
                <w:p w:rsidR="00745FEA" w:rsidRPr="00302C4A" w:rsidRDefault="00745FEA" w:rsidP="00745FEA">
                  <w:pPr>
                    <w:pStyle w:val="TableBodyText"/>
                    <w:ind w:right="57"/>
                    <w:rPr>
                      <w:b/>
                    </w:rPr>
                  </w:pPr>
                  <w:r w:rsidRPr="00302C4A">
                    <w:rPr>
                      <w:b/>
                    </w:rPr>
                    <w:t xml:space="preserve">– </w:t>
                  </w:r>
                </w:p>
              </w:tc>
              <w:tc>
                <w:tcPr>
                  <w:tcW w:w="502" w:type="pct"/>
                  <w:shd w:val="clear" w:color="auto" w:fill="auto"/>
                  <w:vAlign w:val="bottom"/>
                </w:tcPr>
                <w:p w:rsidR="00745FEA" w:rsidRPr="00302C4A" w:rsidRDefault="00745FEA" w:rsidP="00745FEA">
                  <w:pPr>
                    <w:pStyle w:val="TableBodyText"/>
                    <w:ind w:right="57"/>
                    <w:rPr>
                      <w:b/>
                    </w:rPr>
                  </w:pPr>
                  <w:r w:rsidRPr="00302C4A">
                    <w:rPr>
                      <w:b/>
                    </w:rPr>
                    <w:t xml:space="preserve">– </w:t>
                  </w:r>
                </w:p>
              </w:tc>
            </w:tr>
            <w:tr w:rsidR="00745FEA" w:rsidRPr="00302C4A" w:rsidTr="00745FEA">
              <w:tc>
                <w:tcPr>
                  <w:tcW w:w="1992" w:type="pct"/>
                  <w:tcBorders>
                    <w:bottom w:val="single" w:sz="6" w:space="0" w:color="BFBFBF"/>
                  </w:tcBorders>
                  <w:shd w:val="clear" w:color="auto" w:fill="auto"/>
                  <w:vAlign w:val="center"/>
                </w:tcPr>
                <w:p w:rsidR="00745FEA" w:rsidRPr="00302C4A" w:rsidRDefault="00745FEA" w:rsidP="00745FEA">
                  <w:pPr>
                    <w:spacing w:after="20"/>
                    <w:rPr>
                      <w:rFonts w:ascii="Arial" w:hAnsi="Arial" w:cs="Arial"/>
                      <w:b/>
                      <w:bCs/>
                      <w:sz w:val="18"/>
                      <w:szCs w:val="18"/>
                    </w:rPr>
                  </w:pPr>
                  <w:r w:rsidRPr="00302C4A">
                    <w:rPr>
                      <w:rFonts w:ascii="Arial" w:hAnsi="Arial" w:cs="Arial"/>
                      <w:b/>
                      <w:bCs/>
                      <w:sz w:val="18"/>
                      <w:szCs w:val="18"/>
                    </w:rPr>
                    <w:t>Total</w:t>
                  </w:r>
                </w:p>
              </w:tc>
              <w:tc>
                <w:tcPr>
                  <w:tcW w:w="501" w:type="pct"/>
                  <w:tcBorders>
                    <w:bottom w:val="single" w:sz="6" w:space="0" w:color="BFBFBF"/>
                  </w:tcBorders>
                  <w:vAlign w:val="bottom"/>
                </w:tcPr>
                <w:p w:rsidR="00745FEA" w:rsidRPr="00302C4A" w:rsidRDefault="00745FEA" w:rsidP="00745FEA">
                  <w:pPr>
                    <w:pStyle w:val="TableBodyText"/>
                    <w:spacing w:after="20"/>
                    <w:ind w:right="57"/>
                    <w:rPr>
                      <w:b/>
                    </w:rPr>
                  </w:pPr>
                  <w:r w:rsidRPr="00302C4A">
                    <w:rPr>
                      <w:b/>
                    </w:rPr>
                    <w:t>-5584.7</w:t>
                  </w:r>
                </w:p>
              </w:tc>
              <w:tc>
                <w:tcPr>
                  <w:tcW w:w="501" w:type="pct"/>
                  <w:tcBorders>
                    <w:bottom w:val="single" w:sz="6" w:space="0" w:color="BFBFBF"/>
                  </w:tcBorders>
                  <w:vAlign w:val="bottom"/>
                </w:tcPr>
                <w:p w:rsidR="00745FEA" w:rsidRPr="00302C4A" w:rsidRDefault="00745FEA" w:rsidP="00745FEA">
                  <w:pPr>
                    <w:pStyle w:val="TableBodyText"/>
                    <w:spacing w:after="20"/>
                    <w:ind w:right="57"/>
                    <w:rPr>
                      <w:b/>
                    </w:rPr>
                  </w:pPr>
                  <w:r w:rsidRPr="00302C4A">
                    <w:rPr>
                      <w:b/>
                    </w:rPr>
                    <w:t>-5648.9</w:t>
                  </w:r>
                </w:p>
              </w:tc>
              <w:tc>
                <w:tcPr>
                  <w:tcW w:w="501" w:type="pct"/>
                  <w:tcBorders>
                    <w:bottom w:val="single" w:sz="6" w:space="0" w:color="BFBFBF"/>
                  </w:tcBorders>
                  <w:vAlign w:val="bottom"/>
                </w:tcPr>
                <w:p w:rsidR="00745FEA" w:rsidRPr="00302C4A" w:rsidRDefault="00745FEA" w:rsidP="00745FEA">
                  <w:pPr>
                    <w:pStyle w:val="TableBodyText"/>
                    <w:spacing w:after="20"/>
                    <w:ind w:right="57"/>
                    <w:rPr>
                      <w:b/>
                    </w:rPr>
                  </w:pPr>
                  <w:r w:rsidRPr="00302C4A">
                    <w:rPr>
                      <w:b/>
                    </w:rPr>
                    <w:t>-5838.1</w:t>
                  </w:r>
                </w:p>
              </w:tc>
              <w:tc>
                <w:tcPr>
                  <w:tcW w:w="501" w:type="pct"/>
                  <w:tcBorders>
                    <w:bottom w:val="single" w:sz="6" w:space="0" w:color="BFBFBF"/>
                  </w:tcBorders>
                  <w:vAlign w:val="bottom"/>
                </w:tcPr>
                <w:p w:rsidR="00745FEA" w:rsidRPr="00302C4A" w:rsidRDefault="00745FEA" w:rsidP="00745FEA">
                  <w:pPr>
                    <w:pStyle w:val="TableBodyText"/>
                    <w:spacing w:after="20"/>
                    <w:ind w:right="57"/>
                    <w:rPr>
                      <w:b/>
                    </w:rPr>
                  </w:pPr>
                  <w:r w:rsidRPr="00302C4A">
                    <w:rPr>
                      <w:b/>
                    </w:rPr>
                    <w:t>-5876.4</w:t>
                  </w:r>
                </w:p>
              </w:tc>
              <w:tc>
                <w:tcPr>
                  <w:tcW w:w="501" w:type="pct"/>
                  <w:tcBorders>
                    <w:bottom w:val="single" w:sz="6" w:space="0" w:color="BFBFBF"/>
                  </w:tcBorders>
                  <w:shd w:val="clear" w:color="auto" w:fill="auto"/>
                  <w:vAlign w:val="bottom"/>
                </w:tcPr>
                <w:p w:rsidR="00745FEA" w:rsidRPr="00302C4A" w:rsidRDefault="00745FEA" w:rsidP="00745FEA">
                  <w:pPr>
                    <w:pStyle w:val="TableBodyText"/>
                    <w:spacing w:after="20"/>
                    <w:ind w:right="57"/>
                    <w:rPr>
                      <w:b/>
                    </w:rPr>
                  </w:pPr>
                  <w:r w:rsidRPr="00302C4A">
                    <w:rPr>
                      <w:b/>
                    </w:rPr>
                    <w:t>-5827.2</w:t>
                  </w:r>
                </w:p>
              </w:tc>
              <w:tc>
                <w:tcPr>
                  <w:tcW w:w="502" w:type="pct"/>
                  <w:tcBorders>
                    <w:bottom w:val="single" w:sz="6" w:space="0" w:color="BFBFBF"/>
                  </w:tcBorders>
                  <w:shd w:val="clear" w:color="auto" w:fill="auto"/>
                  <w:vAlign w:val="bottom"/>
                </w:tcPr>
                <w:p w:rsidR="00745FEA" w:rsidRPr="00302C4A" w:rsidRDefault="00745FEA" w:rsidP="00745FEA">
                  <w:pPr>
                    <w:pStyle w:val="TableBodyText"/>
                    <w:spacing w:after="20"/>
                    <w:ind w:right="57"/>
                    <w:rPr>
                      <w:b/>
                    </w:rPr>
                  </w:pPr>
                  <w:r w:rsidRPr="00302C4A">
                    <w:rPr>
                      <w:b/>
                    </w:rPr>
                    <w:t>-5924.5</w:t>
                  </w:r>
                </w:p>
              </w:tc>
            </w:tr>
          </w:tbl>
          <w:p w:rsidR="00745FEA" w:rsidRDefault="00745FEA" w:rsidP="00745FEA">
            <w:pPr>
              <w:pStyle w:val="Box"/>
            </w:pPr>
          </w:p>
        </w:tc>
      </w:tr>
      <w:tr w:rsidR="00745FEA" w:rsidTr="00745FEA">
        <w:trPr>
          <w:cantSplit/>
        </w:trPr>
        <w:tc>
          <w:tcPr>
            <w:tcW w:w="8789" w:type="dxa"/>
            <w:tcBorders>
              <w:top w:val="nil"/>
              <w:left w:val="nil"/>
              <w:bottom w:val="nil"/>
              <w:right w:val="nil"/>
            </w:tcBorders>
            <w:shd w:val="clear" w:color="auto" w:fill="auto"/>
          </w:tcPr>
          <w:p w:rsidR="00745FEA" w:rsidRDefault="00745FEA" w:rsidP="00745FEA">
            <w:pPr>
              <w:pStyle w:val="Note"/>
              <w:spacing w:before="40"/>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w:t>
            </w:r>
            <w:r w:rsidRPr="008405D4">
              <w:t>Tariff assistance estimates are derived using ABS Industry Gross Value Added and other supporting data.</w:t>
            </w:r>
            <w:r>
              <w:t xml:space="preserve"> </w:t>
            </w:r>
            <w:r>
              <w:rPr>
                <w:rStyle w:val="NoteLabel"/>
              </w:rPr>
              <w:t>b</w:t>
            </w:r>
            <w:r>
              <w:t> </w:t>
            </w:r>
            <w:r w:rsidRPr="008405D4">
              <w:t>Unallocated includes budgetary measures where details of beneficiaries are unknown.</w:t>
            </w:r>
            <w:r>
              <w:t xml:space="preserve"> These categories are not applicable for tariff assistance.</w:t>
            </w:r>
          </w:p>
        </w:tc>
      </w:tr>
      <w:tr w:rsidR="00745FEA" w:rsidTr="00745FEA">
        <w:trPr>
          <w:cantSplit/>
        </w:trPr>
        <w:tc>
          <w:tcPr>
            <w:tcW w:w="8789" w:type="dxa"/>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8789" w:type="dxa"/>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8789" w:type="dxa"/>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6</w:t>
            </w:r>
            <w:r>
              <w:tab/>
            </w:r>
            <w:r w:rsidRPr="008E7603">
              <w:t>Budgetary outlays by industry grouping, 20</w:t>
            </w:r>
            <w:r>
              <w:t>11</w:t>
            </w:r>
            <w:r>
              <w:noBreakHyphen/>
              <w:t>12</w:t>
            </w:r>
            <w:r w:rsidRPr="008E7603">
              <w:t xml:space="preserve"> to 201</w:t>
            </w:r>
            <w:r>
              <w:t>6</w:t>
            </w:r>
            <w:r>
              <w:noBreakHyphen/>
            </w:r>
            <w:r w:rsidRPr="008E7603">
              <w:t>1</w:t>
            </w:r>
            <w:r>
              <w:t>7</w:t>
            </w:r>
          </w:p>
          <w:p w:rsidR="00745FEA" w:rsidRPr="00784A05" w:rsidRDefault="00745FEA" w:rsidP="00745FEA">
            <w:pPr>
              <w:pStyle w:val="Subtitle"/>
            </w:pPr>
            <w:r w:rsidRPr="008E7603">
              <w:t>$ million (nominal)</w:t>
            </w:r>
          </w:p>
        </w:tc>
      </w:tr>
      <w:tr w:rsidR="00745FEA" w:rsidTr="00745FEA">
        <w:trPr>
          <w:cantSplit/>
        </w:trPr>
        <w:tc>
          <w:tcPr>
            <w:tcW w:w="5000" w:type="pct"/>
            <w:tcBorders>
              <w:top w:val="nil"/>
              <w:left w:val="nil"/>
              <w:bottom w:val="nil"/>
              <w:right w:val="nil"/>
            </w:tcBorders>
            <w:shd w:val="clear" w:color="auto" w:fill="auto"/>
          </w:tcPr>
          <w:tbl>
            <w:tblPr>
              <w:tblW w:w="8495" w:type="dxa"/>
              <w:tblCellMar>
                <w:top w:w="28" w:type="dxa"/>
                <w:left w:w="0" w:type="dxa"/>
                <w:right w:w="0" w:type="dxa"/>
              </w:tblCellMar>
              <w:tblLook w:val="0000" w:firstRow="0" w:lastRow="0" w:firstColumn="0" w:lastColumn="0" w:noHBand="0" w:noVBand="0"/>
            </w:tblPr>
            <w:tblGrid>
              <w:gridCol w:w="3401"/>
              <w:gridCol w:w="853"/>
              <w:gridCol w:w="851"/>
              <w:gridCol w:w="851"/>
              <w:gridCol w:w="848"/>
              <w:gridCol w:w="848"/>
              <w:gridCol w:w="843"/>
            </w:tblGrid>
            <w:tr w:rsidR="00745FEA" w:rsidTr="00C719FB">
              <w:trPr>
                <w:tblHeader/>
              </w:trPr>
              <w:tc>
                <w:tcPr>
                  <w:tcW w:w="2002"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r>
                    <w:t>Industry grouping</w:t>
                  </w:r>
                </w:p>
              </w:tc>
              <w:tc>
                <w:tcPr>
                  <w:tcW w:w="502"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9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9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9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D605D1" w:rsidTr="00745FEA">
              <w:tc>
                <w:tcPr>
                  <w:tcW w:w="2002" w:type="pct"/>
                  <w:tcBorders>
                    <w:top w:val="single" w:sz="6" w:space="0" w:color="BFBFBF"/>
                  </w:tcBorders>
                  <w:vAlign w:val="bottom"/>
                </w:tcPr>
                <w:p w:rsidR="00745FEA" w:rsidRPr="00D605D1" w:rsidRDefault="00745FEA" w:rsidP="00745FEA">
                  <w:pPr>
                    <w:spacing w:after="40"/>
                    <w:rPr>
                      <w:rFonts w:ascii="Arial" w:hAnsi="Arial" w:cs="Arial"/>
                      <w:b/>
                      <w:bCs/>
                      <w:sz w:val="18"/>
                      <w:szCs w:val="18"/>
                    </w:rPr>
                  </w:pPr>
                  <w:r w:rsidRPr="00D605D1">
                    <w:rPr>
                      <w:rFonts w:ascii="Arial" w:hAnsi="Arial" w:cs="Arial"/>
                      <w:b/>
                      <w:bCs/>
                      <w:sz w:val="18"/>
                      <w:szCs w:val="18"/>
                    </w:rPr>
                    <w:t>Primary production</w:t>
                  </w:r>
                </w:p>
              </w:tc>
              <w:tc>
                <w:tcPr>
                  <w:tcW w:w="502" w:type="pct"/>
                  <w:tcBorders>
                    <w:top w:val="single" w:sz="6" w:space="0" w:color="BFBFBF"/>
                  </w:tcBorders>
                  <w:vAlign w:val="bottom"/>
                </w:tcPr>
                <w:p w:rsidR="00745FEA" w:rsidRPr="00D605D1" w:rsidRDefault="00745FEA" w:rsidP="00745FEA">
                  <w:pPr>
                    <w:pStyle w:val="TableBodyText"/>
                    <w:ind w:right="57"/>
                    <w:rPr>
                      <w:b/>
                    </w:rPr>
                  </w:pPr>
                  <w:r w:rsidRPr="00D605D1">
                    <w:rPr>
                      <w:b/>
                    </w:rPr>
                    <w:t>946.6</w:t>
                  </w:r>
                </w:p>
              </w:tc>
              <w:tc>
                <w:tcPr>
                  <w:tcW w:w="501" w:type="pct"/>
                  <w:tcBorders>
                    <w:top w:val="single" w:sz="6" w:space="0" w:color="BFBFBF"/>
                  </w:tcBorders>
                  <w:vAlign w:val="bottom"/>
                </w:tcPr>
                <w:p w:rsidR="00745FEA" w:rsidRPr="00D605D1" w:rsidRDefault="00745FEA" w:rsidP="00745FEA">
                  <w:pPr>
                    <w:pStyle w:val="TableBodyText"/>
                    <w:ind w:right="57"/>
                    <w:rPr>
                      <w:b/>
                    </w:rPr>
                  </w:pPr>
                  <w:r w:rsidRPr="00D605D1">
                    <w:rPr>
                      <w:b/>
                    </w:rPr>
                    <w:t>755.0</w:t>
                  </w:r>
                </w:p>
              </w:tc>
              <w:tc>
                <w:tcPr>
                  <w:tcW w:w="501" w:type="pct"/>
                  <w:tcBorders>
                    <w:top w:val="single" w:sz="6" w:space="0" w:color="BFBFBF"/>
                  </w:tcBorders>
                  <w:vAlign w:val="bottom"/>
                </w:tcPr>
                <w:p w:rsidR="00745FEA" w:rsidRPr="00D605D1" w:rsidRDefault="00745FEA" w:rsidP="00745FEA">
                  <w:pPr>
                    <w:pStyle w:val="TableBodyText"/>
                    <w:ind w:right="57"/>
                    <w:rPr>
                      <w:b/>
                    </w:rPr>
                  </w:pPr>
                  <w:r w:rsidRPr="00D605D1">
                    <w:rPr>
                      <w:b/>
                    </w:rPr>
                    <w:t>793.5</w:t>
                  </w:r>
                </w:p>
              </w:tc>
              <w:tc>
                <w:tcPr>
                  <w:tcW w:w="499" w:type="pct"/>
                  <w:tcBorders>
                    <w:top w:val="single" w:sz="6" w:space="0" w:color="BFBFBF"/>
                  </w:tcBorders>
                  <w:vAlign w:val="bottom"/>
                </w:tcPr>
                <w:p w:rsidR="00745FEA" w:rsidRPr="00D605D1" w:rsidRDefault="00745FEA" w:rsidP="00745FEA">
                  <w:pPr>
                    <w:pStyle w:val="TableBodyText"/>
                    <w:ind w:right="57"/>
                    <w:rPr>
                      <w:b/>
                    </w:rPr>
                  </w:pPr>
                  <w:r w:rsidRPr="00D605D1">
                    <w:rPr>
                      <w:b/>
                    </w:rPr>
                    <w:t>853.5</w:t>
                  </w:r>
                </w:p>
              </w:tc>
              <w:tc>
                <w:tcPr>
                  <w:tcW w:w="499" w:type="pct"/>
                  <w:tcBorders>
                    <w:top w:val="single" w:sz="6" w:space="0" w:color="BFBFBF"/>
                  </w:tcBorders>
                  <w:vAlign w:val="bottom"/>
                </w:tcPr>
                <w:p w:rsidR="00745FEA" w:rsidRPr="00D605D1" w:rsidRDefault="00745FEA" w:rsidP="00745FEA">
                  <w:pPr>
                    <w:pStyle w:val="TableBodyText"/>
                    <w:ind w:right="57"/>
                    <w:rPr>
                      <w:b/>
                    </w:rPr>
                  </w:pPr>
                  <w:r w:rsidRPr="00D605D1">
                    <w:rPr>
                      <w:b/>
                    </w:rPr>
                    <w:t>776.0</w:t>
                  </w:r>
                </w:p>
              </w:tc>
              <w:tc>
                <w:tcPr>
                  <w:tcW w:w="496" w:type="pct"/>
                  <w:tcBorders>
                    <w:top w:val="single" w:sz="6" w:space="0" w:color="BFBFBF"/>
                  </w:tcBorders>
                  <w:vAlign w:val="bottom"/>
                </w:tcPr>
                <w:p w:rsidR="00745FEA" w:rsidRPr="00D605D1" w:rsidRDefault="00745FEA" w:rsidP="00745FEA">
                  <w:pPr>
                    <w:pStyle w:val="TableBodyText"/>
                    <w:ind w:right="57"/>
                    <w:rPr>
                      <w:b/>
                    </w:rPr>
                  </w:pPr>
                  <w:r w:rsidRPr="00D605D1">
                    <w:rPr>
                      <w:b/>
                    </w:rPr>
                    <w:t>879.9</w:t>
                  </w:r>
                </w:p>
              </w:tc>
            </w:tr>
            <w:tr w:rsidR="00745FEA" w:rsidTr="00745FEA">
              <w:tc>
                <w:tcPr>
                  <w:tcW w:w="2002" w:type="pct"/>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Horticulture and fruit growing</w:t>
                  </w:r>
                </w:p>
              </w:tc>
              <w:tc>
                <w:tcPr>
                  <w:tcW w:w="502" w:type="pct"/>
                  <w:vAlign w:val="bottom"/>
                </w:tcPr>
                <w:p w:rsidR="00745FEA" w:rsidRPr="00601F65" w:rsidRDefault="00745FEA" w:rsidP="00745FEA">
                  <w:pPr>
                    <w:pStyle w:val="TableBodyText"/>
                    <w:spacing w:after="20"/>
                    <w:ind w:right="57"/>
                  </w:pPr>
                  <w:r w:rsidRPr="00FC562B">
                    <w:t>85.9</w:t>
                  </w:r>
                </w:p>
              </w:tc>
              <w:tc>
                <w:tcPr>
                  <w:tcW w:w="501" w:type="pct"/>
                  <w:vAlign w:val="bottom"/>
                </w:tcPr>
                <w:p w:rsidR="00745FEA" w:rsidRPr="00601F65" w:rsidRDefault="00745FEA" w:rsidP="00745FEA">
                  <w:pPr>
                    <w:pStyle w:val="TableBodyText"/>
                    <w:spacing w:after="20"/>
                    <w:ind w:right="57"/>
                  </w:pPr>
                  <w:r w:rsidRPr="00FC562B">
                    <w:t>80.5</w:t>
                  </w:r>
                </w:p>
              </w:tc>
              <w:tc>
                <w:tcPr>
                  <w:tcW w:w="501" w:type="pct"/>
                  <w:vAlign w:val="bottom"/>
                </w:tcPr>
                <w:p w:rsidR="00745FEA" w:rsidRPr="00601F65" w:rsidRDefault="00745FEA" w:rsidP="00745FEA">
                  <w:pPr>
                    <w:pStyle w:val="TableBodyText"/>
                    <w:spacing w:after="20"/>
                    <w:ind w:right="57"/>
                  </w:pPr>
                  <w:r w:rsidRPr="00FC562B">
                    <w:t>82.5</w:t>
                  </w:r>
                </w:p>
              </w:tc>
              <w:tc>
                <w:tcPr>
                  <w:tcW w:w="499" w:type="pct"/>
                  <w:vAlign w:val="bottom"/>
                </w:tcPr>
                <w:p w:rsidR="00745FEA" w:rsidRPr="00601F65" w:rsidRDefault="00745FEA" w:rsidP="00745FEA">
                  <w:pPr>
                    <w:pStyle w:val="TableBodyText"/>
                    <w:spacing w:after="20"/>
                    <w:ind w:right="57"/>
                  </w:pPr>
                  <w:r w:rsidRPr="00FC562B">
                    <w:t>74.3</w:t>
                  </w:r>
                </w:p>
              </w:tc>
              <w:tc>
                <w:tcPr>
                  <w:tcW w:w="499" w:type="pct"/>
                  <w:vAlign w:val="bottom"/>
                </w:tcPr>
                <w:p w:rsidR="00745FEA" w:rsidRPr="00601F65" w:rsidRDefault="00745FEA" w:rsidP="00745FEA">
                  <w:pPr>
                    <w:pStyle w:val="TableBodyText"/>
                    <w:spacing w:after="20"/>
                    <w:ind w:right="57"/>
                  </w:pPr>
                  <w:r w:rsidRPr="00FC562B">
                    <w:t>85.4</w:t>
                  </w:r>
                </w:p>
              </w:tc>
              <w:tc>
                <w:tcPr>
                  <w:tcW w:w="496" w:type="pct"/>
                  <w:vAlign w:val="bottom"/>
                </w:tcPr>
                <w:p w:rsidR="00745FEA" w:rsidRPr="00770661" w:rsidRDefault="00745FEA" w:rsidP="00745FEA">
                  <w:pPr>
                    <w:pStyle w:val="TableBodyText"/>
                    <w:spacing w:after="20"/>
                    <w:ind w:right="57"/>
                  </w:pPr>
                  <w:r w:rsidRPr="00FC562B">
                    <w:t>95.5</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Sheep, beef cattle and grain farming</w:t>
                  </w:r>
                </w:p>
              </w:tc>
              <w:tc>
                <w:tcPr>
                  <w:tcW w:w="502" w:type="pct"/>
                  <w:vAlign w:val="bottom"/>
                </w:tcPr>
                <w:p w:rsidR="00745FEA" w:rsidRPr="00601F65" w:rsidRDefault="00745FEA" w:rsidP="00745FEA">
                  <w:pPr>
                    <w:pStyle w:val="TableBodyText"/>
                    <w:spacing w:after="20"/>
                    <w:ind w:right="57"/>
                  </w:pPr>
                  <w:r w:rsidRPr="00FC562B">
                    <w:t>253.1</w:t>
                  </w:r>
                </w:p>
              </w:tc>
              <w:tc>
                <w:tcPr>
                  <w:tcW w:w="501" w:type="pct"/>
                  <w:vAlign w:val="bottom"/>
                </w:tcPr>
                <w:p w:rsidR="00745FEA" w:rsidRPr="00601F65" w:rsidRDefault="00745FEA" w:rsidP="00745FEA">
                  <w:pPr>
                    <w:pStyle w:val="TableBodyText"/>
                    <w:spacing w:after="20"/>
                    <w:ind w:right="57"/>
                  </w:pPr>
                  <w:r w:rsidRPr="00FC562B">
                    <w:t>216.7</w:t>
                  </w:r>
                </w:p>
              </w:tc>
              <w:tc>
                <w:tcPr>
                  <w:tcW w:w="501" w:type="pct"/>
                  <w:vAlign w:val="bottom"/>
                </w:tcPr>
                <w:p w:rsidR="00745FEA" w:rsidRPr="00601F65" w:rsidRDefault="00745FEA" w:rsidP="00745FEA">
                  <w:pPr>
                    <w:pStyle w:val="TableBodyText"/>
                    <w:spacing w:after="20"/>
                    <w:ind w:right="57"/>
                  </w:pPr>
                  <w:r w:rsidRPr="00FC562B">
                    <w:t>285.2</w:t>
                  </w:r>
                </w:p>
              </w:tc>
              <w:tc>
                <w:tcPr>
                  <w:tcW w:w="499" w:type="pct"/>
                  <w:vAlign w:val="bottom"/>
                </w:tcPr>
                <w:p w:rsidR="00745FEA" w:rsidRPr="00601F65" w:rsidRDefault="00745FEA" w:rsidP="00745FEA">
                  <w:pPr>
                    <w:pStyle w:val="TableBodyText"/>
                    <w:spacing w:after="20"/>
                    <w:ind w:right="57"/>
                  </w:pPr>
                  <w:r w:rsidRPr="00FC562B">
                    <w:t>275.2</w:t>
                  </w:r>
                </w:p>
              </w:tc>
              <w:tc>
                <w:tcPr>
                  <w:tcW w:w="499" w:type="pct"/>
                  <w:shd w:val="clear" w:color="auto" w:fill="auto"/>
                  <w:vAlign w:val="bottom"/>
                </w:tcPr>
                <w:p w:rsidR="00745FEA" w:rsidRPr="00601F65" w:rsidRDefault="00745FEA" w:rsidP="00745FEA">
                  <w:pPr>
                    <w:pStyle w:val="TableBodyText"/>
                    <w:spacing w:after="20"/>
                    <w:ind w:right="57"/>
                  </w:pPr>
                  <w:r w:rsidRPr="00FC562B">
                    <w:t>245.4</w:t>
                  </w:r>
                </w:p>
              </w:tc>
              <w:tc>
                <w:tcPr>
                  <w:tcW w:w="496" w:type="pct"/>
                  <w:shd w:val="clear" w:color="auto" w:fill="auto"/>
                  <w:vAlign w:val="bottom"/>
                </w:tcPr>
                <w:p w:rsidR="00745FEA" w:rsidRPr="00770661" w:rsidRDefault="00745FEA" w:rsidP="00745FEA">
                  <w:pPr>
                    <w:pStyle w:val="TableBodyText"/>
                    <w:spacing w:after="20"/>
                    <w:ind w:right="57"/>
                  </w:pPr>
                  <w:r w:rsidRPr="00FC562B">
                    <w:t>249.2</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Other crop growing</w:t>
                  </w:r>
                </w:p>
              </w:tc>
              <w:tc>
                <w:tcPr>
                  <w:tcW w:w="502" w:type="pct"/>
                  <w:vAlign w:val="bottom"/>
                </w:tcPr>
                <w:p w:rsidR="00745FEA" w:rsidRPr="00601F65" w:rsidRDefault="00745FEA" w:rsidP="00745FEA">
                  <w:pPr>
                    <w:pStyle w:val="TableBodyText"/>
                    <w:spacing w:after="20"/>
                    <w:ind w:right="57"/>
                  </w:pPr>
                  <w:r w:rsidRPr="00FC562B">
                    <w:t>48.8</w:t>
                  </w:r>
                </w:p>
              </w:tc>
              <w:tc>
                <w:tcPr>
                  <w:tcW w:w="501" w:type="pct"/>
                  <w:vAlign w:val="bottom"/>
                </w:tcPr>
                <w:p w:rsidR="00745FEA" w:rsidRPr="00601F65" w:rsidRDefault="00745FEA" w:rsidP="00745FEA">
                  <w:pPr>
                    <w:pStyle w:val="TableBodyText"/>
                    <w:spacing w:after="20"/>
                    <w:ind w:right="57"/>
                  </w:pPr>
                  <w:r w:rsidRPr="00FC562B">
                    <w:t>45.5</w:t>
                  </w:r>
                </w:p>
              </w:tc>
              <w:tc>
                <w:tcPr>
                  <w:tcW w:w="501" w:type="pct"/>
                  <w:vAlign w:val="bottom"/>
                </w:tcPr>
                <w:p w:rsidR="00745FEA" w:rsidRPr="00601F65" w:rsidRDefault="00745FEA" w:rsidP="00745FEA">
                  <w:pPr>
                    <w:pStyle w:val="TableBodyText"/>
                    <w:spacing w:after="20"/>
                    <w:ind w:right="57"/>
                  </w:pPr>
                  <w:r w:rsidRPr="00FC562B">
                    <w:t>53.5</w:t>
                  </w:r>
                </w:p>
              </w:tc>
              <w:tc>
                <w:tcPr>
                  <w:tcW w:w="499" w:type="pct"/>
                  <w:vAlign w:val="bottom"/>
                </w:tcPr>
                <w:p w:rsidR="00745FEA" w:rsidRPr="00601F65" w:rsidRDefault="00745FEA" w:rsidP="00745FEA">
                  <w:pPr>
                    <w:pStyle w:val="TableBodyText"/>
                    <w:spacing w:after="20"/>
                    <w:ind w:right="57"/>
                  </w:pPr>
                  <w:r w:rsidRPr="00FC562B">
                    <w:t>53.4</w:t>
                  </w:r>
                </w:p>
              </w:tc>
              <w:tc>
                <w:tcPr>
                  <w:tcW w:w="499" w:type="pct"/>
                  <w:shd w:val="clear" w:color="auto" w:fill="auto"/>
                  <w:vAlign w:val="bottom"/>
                </w:tcPr>
                <w:p w:rsidR="00745FEA" w:rsidRPr="00601F65" w:rsidRDefault="00745FEA" w:rsidP="00745FEA">
                  <w:pPr>
                    <w:pStyle w:val="TableBodyText"/>
                    <w:spacing w:after="20"/>
                    <w:ind w:right="57"/>
                  </w:pPr>
                  <w:r w:rsidRPr="00FC562B">
                    <w:t>57.0</w:t>
                  </w:r>
                </w:p>
              </w:tc>
              <w:tc>
                <w:tcPr>
                  <w:tcW w:w="496" w:type="pct"/>
                  <w:shd w:val="clear" w:color="auto" w:fill="auto"/>
                  <w:vAlign w:val="bottom"/>
                </w:tcPr>
                <w:p w:rsidR="00745FEA" w:rsidRPr="00770661" w:rsidRDefault="00745FEA" w:rsidP="00745FEA">
                  <w:pPr>
                    <w:pStyle w:val="TableBodyText"/>
                    <w:spacing w:after="20"/>
                    <w:ind w:right="57"/>
                  </w:pPr>
                  <w:r w:rsidRPr="00FC562B">
                    <w:t>52.4</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Dairy cattle farming</w:t>
                  </w:r>
                </w:p>
              </w:tc>
              <w:tc>
                <w:tcPr>
                  <w:tcW w:w="502" w:type="pct"/>
                  <w:vAlign w:val="bottom"/>
                </w:tcPr>
                <w:p w:rsidR="00745FEA" w:rsidRPr="00601F65" w:rsidRDefault="00745FEA" w:rsidP="00745FEA">
                  <w:pPr>
                    <w:pStyle w:val="TableBodyText"/>
                    <w:spacing w:after="20"/>
                    <w:ind w:right="57"/>
                  </w:pPr>
                  <w:r w:rsidRPr="00FC562B">
                    <w:t>41.4</w:t>
                  </w:r>
                </w:p>
              </w:tc>
              <w:tc>
                <w:tcPr>
                  <w:tcW w:w="501" w:type="pct"/>
                  <w:vAlign w:val="bottom"/>
                </w:tcPr>
                <w:p w:rsidR="00745FEA" w:rsidRPr="00601F65" w:rsidRDefault="00745FEA" w:rsidP="00745FEA">
                  <w:pPr>
                    <w:pStyle w:val="TableBodyText"/>
                    <w:spacing w:after="20"/>
                    <w:ind w:right="57"/>
                  </w:pPr>
                  <w:r w:rsidRPr="00FC562B">
                    <w:t>29.7</w:t>
                  </w:r>
                </w:p>
              </w:tc>
              <w:tc>
                <w:tcPr>
                  <w:tcW w:w="501" w:type="pct"/>
                  <w:vAlign w:val="bottom"/>
                </w:tcPr>
                <w:p w:rsidR="00745FEA" w:rsidRPr="00601F65" w:rsidRDefault="00745FEA" w:rsidP="00745FEA">
                  <w:pPr>
                    <w:pStyle w:val="TableBodyText"/>
                    <w:spacing w:after="20"/>
                    <w:ind w:right="57"/>
                  </w:pPr>
                  <w:r w:rsidRPr="00FC562B">
                    <w:t>36.2</w:t>
                  </w:r>
                </w:p>
              </w:tc>
              <w:tc>
                <w:tcPr>
                  <w:tcW w:w="499" w:type="pct"/>
                  <w:vAlign w:val="bottom"/>
                </w:tcPr>
                <w:p w:rsidR="00745FEA" w:rsidRPr="00601F65" w:rsidRDefault="00745FEA" w:rsidP="00745FEA">
                  <w:pPr>
                    <w:pStyle w:val="TableBodyText"/>
                    <w:spacing w:after="20"/>
                    <w:ind w:right="57"/>
                  </w:pPr>
                  <w:r w:rsidRPr="00FC562B">
                    <w:t>35.5</w:t>
                  </w:r>
                </w:p>
              </w:tc>
              <w:tc>
                <w:tcPr>
                  <w:tcW w:w="499" w:type="pct"/>
                  <w:shd w:val="clear" w:color="auto" w:fill="auto"/>
                  <w:vAlign w:val="bottom"/>
                </w:tcPr>
                <w:p w:rsidR="00745FEA" w:rsidRPr="00601F65" w:rsidRDefault="00745FEA" w:rsidP="00745FEA">
                  <w:pPr>
                    <w:pStyle w:val="TableBodyText"/>
                    <w:spacing w:after="20"/>
                    <w:ind w:right="57"/>
                  </w:pPr>
                  <w:r w:rsidRPr="00FC562B">
                    <w:t>33.8</w:t>
                  </w:r>
                </w:p>
              </w:tc>
              <w:tc>
                <w:tcPr>
                  <w:tcW w:w="496" w:type="pct"/>
                  <w:shd w:val="clear" w:color="auto" w:fill="auto"/>
                  <w:vAlign w:val="bottom"/>
                </w:tcPr>
                <w:p w:rsidR="00745FEA" w:rsidRPr="00770661" w:rsidRDefault="00745FEA" w:rsidP="00745FEA">
                  <w:pPr>
                    <w:pStyle w:val="TableBodyText"/>
                    <w:spacing w:after="20"/>
                    <w:ind w:right="57"/>
                  </w:pPr>
                  <w:r w:rsidRPr="00FC562B">
                    <w:t>31.9</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Other livestock farming</w:t>
                  </w:r>
                </w:p>
              </w:tc>
              <w:tc>
                <w:tcPr>
                  <w:tcW w:w="502" w:type="pct"/>
                  <w:vAlign w:val="bottom"/>
                </w:tcPr>
                <w:p w:rsidR="00745FEA" w:rsidRPr="00601F65" w:rsidRDefault="00745FEA" w:rsidP="00745FEA">
                  <w:pPr>
                    <w:pStyle w:val="TableBodyText"/>
                    <w:spacing w:after="20"/>
                    <w:ind w:right="57"/>
                  </w:pPr>
                  <w:r w:rsidRPr="00FC562B">
                    <w:t>41.2</w:t>
                  </w:r>
                </w:p>
              </w:tc>
              <w:tc>
                <w:tcPr>
                  <w:tcW w:w="501" w:type="pct"/>
                  <w:vAlign w:val="bottom"/>
                </w:tcPr>
                <w:p w:rsidR="00745FEA" w:rsidRPr="00601F65" w:rsidRDefault="00745FEA" w:rsidP="00745FEA">
                  <w:pPr>
                    <w:pStyle w:val="TableBodyText"/>
                    <w:spacing w:after="20"/>
                    <w:ind w:right="57"/>
                  </w:pPr>
                  <w:r w:rsidRPr="00FC562B">
                    <w:t>32.4</w:t>
                  </w:r>
                </w:p>
              </w:tc>
              <w:tc>
                <w:tcPr>
                  <w:tcW w:w="501" w:type="pct"/>
                  <w:vAlign w:val="bottom"/>
                </w:tcPr>
                <w:p w:rsidR="00745FEA" w:rsidRPr="00601F65" w:rsidRDefault="00745FEA" w:rsidP="00745FEA">
                  <w:pPr>
                    <w:pStyle w:val="TableBodyText"/>
                    <w:spacing w:after="20"/>
                    <w:ind w:right="57"/>
                  </w:pPr>
                  <w:r w:rsidRPr="00FC562B">
                    <w:t>27.4</w:t>
                  </w:r>
                </w:p>
              </w:tc>
              <w:tc>
                <w:tcPr>
                  <w:tcW w:w="499" w:type="pct"/>
                  <w:vAlign w:val="bottom"/>
                </w:tcPr>
                <w:p w:rsidR="00745FEA" w:rsidRPr="00601F65" w:rsidRDefault="00745FEA" w:rsidP="00745FEA">
                  <w:pPr>
                    <w:pStyle w:val="TableBodyText"/>
                    <w:spacing w:after="20"/>
                    <w:ind w:right="57"/>
                  </w:pPr>
                  <w:r w:rsidRPr="00FC562B">
                    <w:t>36.3</w:t>
                  </w:r>
                </w:p>
              </w:tc>
              <w:tc>
                <w:tcPr>
                  <w:tcW w:w="499" w:type="pct"/>
                  <w:shd w:val="clear" w:color="auto" w:fill="auto"/>
                  <w:vAlign w:val="bottom"/>
                </w:tcPr>
                <w:p w:rsidR="00745FEA" w:rsidRPr="00601F65" w:rsidRDefault="00745FEA" w:rsidP="00745FEA">
                  <w:pPr>
                    <w:pStyle w:val="TableBodyText"/>
                    <w:spacing w:after="20"/>
                    <w:ind w:right="57"/>
                  </w:pPr>
                  <w:r w:rsidRPr="00FC562B">
                    <w:t>39.3</w:t>
                  </w:r>
                </w:p>
              </w:tc>
              <w:tc>
                <w:tcPr>
                  <w:tcW w:w="496" w:type="pct"/>
                  <w:shd w:val="clear" w:color="auto" w:fill="auto"/>
                  <w:vAlign w:val="bottom"/>
                </w:tcPr>
                <w:p w:rsidR="00745FEA" w:rsidRPr="00770661" w:rsidRDefault="00745FEA" w:rsidP="00745FEA">
                  <w:pPr>
                    <w:pStyle w:val="TableBodyText"/>
                    <w:spacing w:after="20"/>
                    <w:ind w:right="57"/>
                  </w:pPr>
                  <w:r w:rsidRPr="00FC562B">
                    <w:t>38.2</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Aquaculture and fishing</w:t>
                  </w:r>
                </w:p>
              </w:tc>
              <w:tc>
                <w:tcPr>
                  <w:tcW w:w="502" w:type="pct"/>
                  <w:vAlign w:val="bottom"/>
                </w:tcPr>
                <w:p w:rsidR="00745FEA" w:rsidRPr="00601F65" w:rsidRDefault="00745FEA" w:rsidP="00745FEA">
                  <w:pPr>
                    <w:pStyle w:val="TableBodyText"/>
                    <w:spacing w:after="20"/>
                    <w:ind w:right="57"/>
                  </w:pPr>
                  <w:r w:rsidRPr="00FC562B">
                    <w:t>53.8</w:t>
                  </w:r>
                </w:p>
              </w:tc>
              <w:tc>
                <w:tcPr>
                  <w:tcW w:w="501" w:type="pct"/>
                  <w:vAlign w:val="bottom"/>
                </w:tcPr>
                <w:p w:rsidR="00745FEA" w:rsidRPr="00601F65" w:rsidRDefault="00745FEA" w:rsidP="00745FEA">
                  <w:pPr>
                    <w:pStyle w:val="TableBodyText"/>
                    <w:spacing w:after="20"/>
                    <w:ind w:right="57"/>
                  </w:pPr>
                  <w:r w:rsidRPr="00FC562B">
                    <w:t>59.7</w:t>
                  </w:r>
                </w:p>
              </w:tc>
              <w:tc>
                <w:tcPr>
                  <w:tcW w:w="501" w:type="pct"/>
                  <w:vAlign w:val="bottom"/>
                </w:tcPr>
                <w:p w:rsidR="00745FEA" w:rsidRPr="00601F65" w:rsidRDefault="00745FEA" w:rsidP="00745FEA">
                  <w:pPr>
                    <w:pStyle w:val="TableBodyText"/>
                    <w:spacing w:after="20"/>
                    <w:ind w:right="57"/>
                  </w:pPr>
                  <w:r w:rsidRPr="00FC562B">
                    <w:t>60.1</w:t>
                  </w:r>
                </w:p>
              </w:tc>
              <w:tc>
                <w:tcPr>
                  <w:tcW w:w="499" w:type="pct"/>
                  <w:vAlign w:val="bottom"/>
                </w:tcPr>
                <w:p w:rsidR="00745FEA" w:rsidRPr="00601F65" w:rsidRDefault="00745FEA" w:rsidP="00745FEA">
                  <w:pPr>
                    <w:pStyle w:val="TableBodyText"/>
                    <w:spacing w:after="20"/>
                    <w:ind w:right="57"/>
                  </w:pPr>
                  <w:r w:rsidRPr="00FC562B">
                    <w:t>65.5</w:t>
                  </w:r>
                </w:p>
              </w:tc>
              <w:tc>
                <w:tcPr>
                  <w:tcW w:w="499" w:type="pct"/>
                  <w:shd w:val="clear" w:color="auto" w:fill="auto"/>
                  <w:vAlign w:val="bottom"/>
                </w:tcPr>
                <w:p w:rsidR="00745FEA" w:rsidRPr="00601F65" w:rsidRDefault="00745FEA" w:rsidP="00745FEA">
                  <w:pPr>
                    <w:pStyle w:val="TableBodyText"/>
                    <w:spacing w:after="20"/>
                    <w:ind w:right="57"/>
                  </w:pPr>
                  <w:r w:rsidRPr="00FC562B">
                    <w:t>70.9</w:t>
                  </w:r>
                </w:p>
              </w:tc>
              <w:tc>
                <w:tcPr>
                  <w:tcW w:w="496" w:type="pct"/>
                  <w:shd w:val="clear" w:color="auto" w:fill="auto"/>
                  <w:vAlign w:val="bottom"/>
                </w:tcPr>
                <w:p w:rsidR="00745FEA" w:rsidRPr="00770661" w:rsidRDefault="00745FEA" w:rsidP="00745FEA">
                  <w:pPr>
                    <w:pStyle w:val="TableBodyText"/>
                    <w:spacing w:after="20"/>
                    <w:ind w:right="57"/>
                  </w:pPr>
                  <w:r w:rsidRPr="00FC562B">
                    <w:t>77.5</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Forestry and logging</w:t>
                  </w:r>
                </w:p>
              </w:tc>
              <w:tc>
                <w:tcPr>
                  <w:tcW w:w="502" w:type="pct"/>
                  <w:vAlign w:val="bottom"/>
                </w:tcPr>
                <w:p w:rsidR="00745FEA" w:rsidRPr="00601F65" w:rsidRDefault="00745FEA" w:rsidP="00745FEA">
                  <w:pPr>
                    <w:pStyle w:val="TableBodyText"/>
                    <w:spacing w:after="20"/>
                    <w:ind w:right="57"/>
                  </w:pPr>
                  <w:r w:rsidRPr="00FC562B">
                    <w:t>64.1</w:t>
                  </w:r>
                </w:p>
              </w:tc>
              <w:tc>
                <w:tcPr>
                  <w:tcW w:w="501" w:type="pct"/>
                  <w:vAlign w:val="bottom"/>
                </w:tcPr>
                <w:p w:rsidR="00745FEA" w:rsidRPr="00601F65" w:rsidRDefault="00745FEA" w:rsidP="00745FEA">
                  <w:pPr>
                    <w:pStyle w:val="TableBodyText"/>
                    <w:spacing w:after="20"/>
                    <w:ind w:right="57"/>
                  </w:pPr>
                  <w:r w:rsidRPr="00FC562B">
                    <w:t>37.1</w:t>
                  </w:r>
                </w:p>
              </w:tc>
              <w:tc>
                <w:tcPr>
                  <w:tcW w:w="501" w:type="pct"/>
                  <w:vAlign w:val="bottom"/>
                </w:tcPr>
                <w:p w:rsidR="00745FEA" w:rsidRPr="00601F65" w:rsidRDefault="00745FEA" w:rsidP="00745FEA">
                  <w:pPr>
                    <w:pStyle w:val="TableBodyText"/>
                    <w:spacing w:after="20"/>
                    <w:ind w:right="57"/>
                  </w:pPr>
                  <w:r w:rsidRPr="00FC562B">
                    <w:t>15.2</w:t>
                  </w:r>
                </w:p>
              </w:tc>
              <w:tc>
                <w:tcPr>
                  <w:tcW w:w="499" w:type="pct"/>
                  <w:vAlign w:val="bottom"/>
                </w:tcPr>
                <w:p w:rsidR="00745FEA" w:rsidRPr="00601F65" w:rsidRDefault="00745FEA" w:rsidP="00745FEA">
                  <w:pPr>
                    <w:pStyle w:val="TableBodyText"/>
                    <w:spacing w:after="20"/>
                    <w:ind w:right="57"/>
                  </w:pPr>
                  <w:r w:rsidRPr="00FC562B">
                    <w:t>13.3</w:t>
                  </w:r>
                </w:p>
              </w:tc>
              <w:tc>
                <w:tcPr>
                  <w:tcW w:w="499" w:type="pct"/>
                  <w:shd w:val="clear" w:color="auto" w:fill="auto"/>
                  <w:vAlign w:val="bottom"/>
                </w:tcPr>
                <w:p w:rsidR="00745FEA" w:rsidRPr="00601F65" w:rsidRDefault="00745FEA" w:rsidP="00745FEA">
                  <w:pPr>
                    <w:pStyle w:val="TableBodyText"/>
                    <w:spacing w:after="20"/>
                    <w:ind w:right="57"/>
                  </w:pPr>
                  <w:r w:rsidRPr="00FC562B">
                    <w:t>14.0</w:t>
                  </w:r>
                </w:p>
              </w:tc>
              <w:tc>
                <w:tcPr>
                  <w:tcW w:w="496" w:type="pct"/>
                  <w:shd w:val="clear" w:color="auto" w:fill="auto"/>
                  <w:vAlign w:val="bottom"/>
                </w:tcPr>
                <w:p w:rsidR="00745FEA" w:rsidRPr="00770661" w:rsidRDefault="00745FEA" w:rsidP="00745FEA">
                  <w:pPr>
                    <w:pStyle w:val="TableBodyText"/>
                    <w:spacing w:after="20"/>
                    <w:ind w:right="57"/>
                  </w:pPr>
                  <w:r w:rsidRPr="00FC562B">
                    <w:t>16.0</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Primary production support services</w:t>
                  </w:r>
                </w:p>
              </w:tc>
              <w:tc>
                <w:tcPr>
                  <w:tcW w:w="502" w:type="pct"/>
                  <w:vAlign w:val="bottom"/>
                </w:tcPr>
                <w:p w:rsidR="00745FEA" w:rsidRPr="00601F65" w:rsidRDefault="00745FEA" w:rsidP="00745FEA">
                  <w:pPr>
                    <w:pStyle w:val="TableBodyText"/>
                    <w:spacing w:after="20"/>
                    <w:ind w:right="57"/>
                  </w:pPr>
                  <w:r w:rsidRPr="00FC562B">
                    <w:t>5.7</w:t>
                  </w:r>
                </w:p>
              </w:tc>
              <w:tc>
                <w:tcPr>
                  <w:tcW w:w="501" w:type="pct"/>
                  <w:vAlign w:val="bottom"/>
                </w:tcPr>
                <w:p w:rsidR="00745FEA" w:rsidRPr="00601F65" w:rsidRDefault="00745FEA" w:rsidP="00745FEA">
                  <w:pPr>
                    <w:pStyle w:val="TableBodyText"/>
                    <w:spacing w:after="20"/>
                    <w:ind w:right="57"/>
                  </w:pPr>
                  <w:r w:rsidRPr="00FC562B">
                    <w:t>7.5</w:t>
                  </w:r>
                </w:p>
              </w:tc>
              <w:tc>
                <w:tcPr>
                  <w:tcW w:w="501" w:type="pct"/>
                  <w:vAlign w:val="bottom"/>
                </w:tcPr>
                <w:p w:rsidR="00745FEA" w:rsidRPr="00601F65" w:rsidRDefault="00745FEA" w:rsidP="00745FEA">
                  <w:pPr>
                    <w:pStyle w:val="TableBodyText"/>
                    <w:spacing w:after="20"/>
                    <w:ind w:right="57"/>
                  </w:pPr>
                  <w:r w:rsidRPr="00FC562B">
                    <w:t>7.9</w:t>
                  </w:r>
                </w:p>
              </w:tc>
              <w:tc>
                <w:tcPr>
                  <w:tcW w:w="499" w:type="pct"/>
                  <w:vAlign w:val="bottom"/>
                </w:tcPr>
                <w:p w:rsidR="00745FEA" w:rsidRPr="00601F65" w:rsidRDefault="00745FEA" w:rsidP="00745FEA">
                  <w:pPr>
                    <w:pStyle w:val="TableBodyText"/>
                    <w:spacing w:after="20"/>
                    <w:ind w:right="57"/>
                  </w:pPr>
                  <w:r w:rsidRPr="00FC562B">
                    <w:t>6.9</w:t>
                  </w:r>
                </w:p>
              </w:tc>
              <w:tc>
                <w:tcPr>
                  <w:tcW w:w="499" w:type="pct"/>
                  <w:shd w:val="clear" w:color="auto" w:fill="auto"/>
                  <w:vAlign w:val="bottom"/>
                </w:tcPr>
                <w:p w:rsidR="00745FEA" w:rsidRPr="00601F65" w:rsidRDefault="00745FEA" w:rsidP="00745FEA">
                  <w:pPr>
                    <w:pStyle w:val="TableBodyText"/>
                    <w:spacing w:after="20"/>
                    <w:ind w:right="57"/>
                  </w:pPr>
                  <w:r w:rsidRPr="00FC562B">
                    <w:t>7.9</w:t>
                  </w:r>
                </w:p>
              </w:tc>
              <w:tc>
                <w:tcPr>
                  <w:tcW w:w="496" w:type="pct"/>
                  <w:shd w:val="clear" w:color="auto" w:fill="auto"/>
                  <w:vAlign w:val="bottom"/>
                </w:tcPr>
                <w:p w:rsidR="00745FEA" w:rsidRPr="00770661" w:rsidRDefault="00745FEA" w:rsidP="00745FEA">
                  <w:pPr>
                    <w:pStyle w:val="TableBodyText"/>
                    <w:spacing w:after="20"/>
                    <w:ind w:right="57"/>
                  </w:pPr>
                  <w:r w:rsidRPr="00FC562B">
                    <w:t>8.7</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Unallocated primary production</w:t>
                  </w:r>
                  <w:r>
                    <w:rPr>
                      <w:rStyle w:val="NoteLabel"/>
                    </w:rPr>
                    <w:t>a</w:t>
                  </w:r>
                </w:p>
              </w:tc>
              <w:tc>
                <w:tcPr>
                  <w:tcW w:w="502" w:type="pct"/>
                  <w:vAlign w:val="bottom"/>
                </w:tcPr>
                <w:p w:rsidR="00745FEA" w:rsidRPr="00601F65" w:rsidRDefault="00745FEA" w:rsidP="00745FEA">
                  <w:pPr>
                    <w:pStyle w:val="TableBodyText"/>
                    <w:ind w:right="57"/>
                  </w:pPr>
                  <w:r w:rsidRPr="00FC562B">
                    <w:t>352.5</w:t>
                  </w:r>
                </w:p>
              </w:tc>
              <w:tc>
                <w:tcPr>
                  <w:tcW w:w="501" w:type="pct"/>
                  <w:vAlign w:val="bottom"/>
                </w:tcPr>
                <w:p w:rsidR="00745FEA" w:rsidRPr="00601F65" w:rsidRDefault="00745FEA" w:rsidP="00745FEA">
                  <w:pPr>
                    <w:pStyle w:val="TableBodyText"/>
                    <w:ind w:right="57"/>
                  </w:pPr>
                  <w:r w:rsidRPr="00FC562B">
                    <w:t>245.8</w:t>
                  </w:r>
                </w:p>
              </w:tc>
              <w:tc>
                <w:tcPr>
                  <w:tcW w:w="501" w:type="pct"/>
                  <w:vAlign w:val="bottom"/>
                </w:tcPr>
                <w:p w:rsidR="00745FEA" w:rsidRPr="00601F65" w:rsidRDefault="00745FEA" w:rsidP="00745FEA">
                  <w:pPr>
                    <w:pStyle w:val="TableBodyText"/>
                    <w:ind w:right="57"/>
                  </w:pPr>
                  <w:r w:rsidRPr="00FC562B">
                    <w:t>225.5</w:t>
                  </w:r>
                </w:p>
              </w:tc>
              <w:tc>
                <w:tcPr>
                  <w:tcW w:w="499" w:type="pct"/>
                  <w:vAlign w:val="bottom"/>
                </w:tcPr>
                <w:p w:rsidR="00745FEA" w:rsidRPr="00601F65" w:rsidRDefault="00745FEA" w:rsidP="00745FEA">
                  <w:pPr>
                    <w:pStyle w:val="TableBodyText"/>
                    <w:ind w:right="57"/>
                  </w:pPr>
                  <w:r w:rsidRPr="00FC562B">
                    <w:t>293.0</w:t>
                  </w:r>
                </w:p>
              </w:tc>
              <w:tc>
                <w:tcPr>
                  <w:tcW w:w="499" w:type="pct"/>
                  <w:shd w:val="clear" w:color="auto" w:fill="auto"/>
                  <w:vAlign w:val="bottom"/>
                </w:tcPr>
                <w:p w:rsidR="00745FEA" w:rsidRPr="00601F65" w:rsidRDefault="00745FEA" w:rsidP="00745FEA">
                  <w:pPr>
                    <w:pStyle w:val="TableBodyText"/>
                    <w:ind w:right="57"/>
                  </w:pPr>
                  <w:r w:rsidRPr="00FC562B">
                    <w:t>222.4</w:t>
                  </w:r>
                </w:p>
              </w:tc>
              <w:tc>
                <w:tcPr>
                  <w:tcW w:w="496" w:type="pct"/>
                  <w:shd w:val="clear" w:color="auto" w:fill="auto"/>
                  <w:vAlign w:val="bottom"/>
                </w:tcPr>
                <w:p w:rsidR="00745FEA" w:rsidRDefault="00745FEA" w:rsidP="00745FEA">
                  <w:pPr>
                    <w:pStyle w:val="TableBodyText"/>
                    <w:ind w:right="57"/>
                  </w:pPr>
                  <w:r w:rsidRPr="00FC562B">
                    <w:t>310.6</w:t>
                  </w:r>
                </w:p>
              </w:tc>
            </w:tr>
            <w:tr w:rsidR="00745FEA" w:rsidRPr="00D605D1" w:rsidTr="00745FEA">
              <w:tc>
                <w:tcPr>
                  <w:tcW w:w="2002" w:type="pct"/>
                  <w:shd w:val="clear" w:color="auto" w:fill="auto"/>
                  <w:vAlign w:val="bottom"/>
                </w:tcPr>
                <w:p w:rsidR="00745FEA" w:rsidRPr="00D605D1" w:rsidRDefault="00745FEA" w:rsidP="00745FEA">
                  <w:pPr>
                    <w:spacing w:after="40"/>
                    <w:rPr>
                      <w:rFonts w:ascii="Arial" w:hAnsi="Arial" w:cs="Arial"/>
                      <w:b/>
                      <w:bCs/>
                      <w:sz w:val="18"/>
                      <w:szCs w:val="18"/>
                    </w:rPr>
                  </w:pPr>
                  <w:r w:rsidRPr="00D605D1">
                    <w:rPr>
                      <w:rFonts w:ascii="Arial" w:hAnsi="Arial" w:cs="Arial"/>
                      <w:b/>
                      <w:bCs/>
                      <w:sz w:val="18"/>
                      <w:szCs w:val="18"/>
                    </w:rPr>
                    <w:t>Mining</w:t>
                  </w:r>
                </w:p>
              </w:tc>
              <w:tc>
                <w:tcPr>
                  <w:tcW w:w="502" w:type="pct"/>
                  <w:vAlign w:val="bottom"/>
                </w:tcPr>
                <w:p w:rsidR="00745FEA" w:rsidRPr="00D605D1" w:rsidRDefault="00745FEA" w:rsidP="00745FEA">
                  <w:pPr>
                    <w:pStyle w:val="TableBodyText"/>
                    <w:ind w:right="57"/>
                    <w:rPr>
                      <w:b/>
                    </w:rPr>
                  </w:pPr>
                  <w:r w:rsidRPr="00D605D1">
                    <w:rPr>
                      <w:b/>
                    </w:rPr>
                    <w:t>398.1</w:t>
                  </w:r>
                </w:p>
              </w:tc>
              <w:tc>
                <w:tcPr>
                  <w:tcW w:w="501" w:type="pct"/>
                  <w:vAlign w:val="bottom"/>
                </w:tcPr>
                <w:p w:rsidR="00745FEA" w:rsidRPr="00D605D1" w:rsidRDefault="00745FEA" w:rsidP="00745FEA">
                  <w:pPr>
                    <w:pStyle w:val="TableBodyText"/>
                    <w:ind w:right="57"/>
                    <w:rPr>
                      <w:b/>
                    </w:rPr>
                  </w:pPr>
                  <w:r w:rsidRPr="00D605D1">
                    <w:rPr>
                      <w:b/>
                    </w:rPr>
                    <w:t>201.7</w:t>
                  </w:r>
                </w:p>
              </w:tc>
              <w:tc>
                <w:tcPr>
                  <w:tcW w:w="501" w:type="pct"/>
                  <w:vAlign w:val="bottom"/>
                </w:tcPr>
                <w:p w:rsidR="00745FEA" w:rsidRPr="00D605D1" w:rsidRDefault="00745FEA" w:rsidP="00745FEA">
                  <w:pPr>
                    <w:pStyle w:val="TableBodyText"/>
                    <w:ind w:right="57"/>
                    <w:rPr>
                      <w:b/>
                    </w:rPr>
                  </w:pPr>
                  <w:r w:rsidRPr="00D605D1">
                    <w:rPr>
                      <w:b/>
                    </w:rPr>
                    <w:t>252.0</w:t>
                  </w:r>
                </w:p>
              </w:tc>
              <w:tc>
                <w:tcPr>
                  <w:tcW w:w="499" w:type="pct"/>
                  <w:vAlign w:val="bottom"/>
                </w:tcPr>
                <w:p w:rsidR="00745FEA" w:rsidRPr="00D605D1" w:rsidRDefault="00745FEA" w:rsidP="00745FEA">
                  <w:pPr>
                    <w:pStyle w:val="TableBodyText"/>
                    <w:ind w:right="57"/>
                    <w:rPr>
                      <w:b/>
                    </w:rPr>
                  </w:pPr>
                  <w:r w:rsidRPr="00D605D1">
                    <w:rPr>
                      <w:b/>
                    </w:rPr>
                    <w:t>234.8</w:t>
                  </w:r>
                </w:p>
              </w:tc>
              <w:tc>
                <w:tcPr>
                  <w:tcW w:w="499" w:type="pct"/>
                  <w:shd w:val="clear" w:color="auto" w:fill="auto"/>
                  <w:vAlign w:val="bottom"/>
                </w:tcPr>
                <w:p w:rsidR="00745FEA" w:rsidRPr="00D605D1" w:rsidRDefault="00745FEA" w:rsidP="00745FEA">
                  <w:pPr>
                    <w:pStyle w:val="TableBodyText"/>
                    <w:ind w:right="57"/>
                    <w:rPr>
                      <w:b/>
                    </w:rPr>
                  </w:pPr>
                  <w:r w:rsidRPr="00D605D1">
                    <w:rPr>
                      <w:b/>
                    </w:rPr>
                    <w:t>206.1</w:t>
                  </w:r>
                </w:p>
              </w:tc>
              <w:tc>
                <w:tcPr>
                  <w:tcW w:w="496" w:type="pct"/>
                  <w:shd w:val="clear" w:color="auto" w:fill="auto"/>
                  <w:vAlign w:val="bottom"/>
                </w:tcPr>
                <w:p w:rsidR="00745FEA" w:rsidRPr="00D605D1" w:rsidRDefault="00745FEA" w:rsidP="00745FEA">
                  <w:pPr>
                    <w:pStyle w:val="TableBodyText"/>
                    <w:ind w:right="57"/>
                    <w:rPr>
                      <w:b/>
                    </w:rPr>
                  </w:pPr>
                  <w:r w:rsidRPr="00D605D1">
                    <w:rPr>
                      <w:b/>
                    </w:rPr>
                    <w:t>238.9</w:t>
                  </w:r>
                </w:p>
              </w:tc>
            </w:tr>
            <w:tr w:rsidR="00745FEA" w:rsidRPr="00D605D1" w:rsidTr="00745FEA">
              <w:tc>
                <w:tcPr>
                  <w:tcW w:w="2002" w:type="pct"/>
                  <w:shd w:val="clear" w:color="auto" w:fill="auto"/>
                  <w:vAlign w:val="bottom"/>
                </w:tcPr>
                <w:p w:rsidR="00745FEA" w:rsidRPr="00D605D1" w:rsidRDefault="00745FEA" w:rsidP="00745FEA">
                  <w:pPr>
                    <w:spacing w:after="40"/>
                    <w:rPr>
                      <w:rFonts w:ascii="Arial" w:hAnsi="Arial" w:cs="Arial"/>
                      <w:b/>
                      <w:bCs/>
                      <w:sz w:val="18"/>
                      <w:szCs w:val="18"/>
                    </w:rPr>
                  </w:pPr>
                  <w:r w:rsidRPr="00D605D1">
                    <w:rPr>
                      <w:rFonts w:ascii="Arial" w:hAnsi="Arial" w:cs="Arial"/>
                      <w:b/>
                      <w:bCs/>
                      <w:sz w:val="18"/>
                      <w:szCs w:val="18"/>
                    </w:rPr>
                    <w:t>Manufacturing</w:t>
                  </w:r>
                </w:p>
              </w:tc>
              <w:tc>
                <w:tcPr>
                  <w:tcW w:w="502" w:type="pct"/>
                  <w:vAlign w:val="bottom"/>
                </w:tcPr>
                <w:p w:rsidR="00745FEA" w:rsidRPr="00D605D1" w:rsidRDefault="00745FEA" w:rsidP="00745FEA">
                  <w:pPr>
                    <w:pStyle w:val="TableBodyText"/>
                    <w:ind w:right="57"/>
                    <w:rPr>
                      <w:b/>
                    </w:rPr>
                  </w:pPr>
                  <w:r w:rsidRPr="00D605D1">
                    <w:rPr>
                      <w:b/>
                    </w:rPr>
                    <w:t>1376.1</w:t>
                  </w:r>
                </w:p>
              </w:tc>
              <w:tc>
                <w:tcPr>
                  <w:tcW w:w="501" w:type="pct"/>
                  <w:vAlign w:val="bottom"/>
                </w:tcPr>
                <w:p w:rsidR="00745FEA" w:rsidRPr="00D605D1" w:rsidRDefault="00745FEA" w:rsidP="00745FEA">
                  <w:pPr>
                    <w:pStyle w:val="TableBodyText"/>
                    <w:ind w:right="57"/>
                    <w:rPr>
                      <w:b/>
                    </w:rPr>
                  </w:pPr>
                  <w:r w:rsidRPr="00D605D1">
                    <w:rPr>
                      <w:b/>
                    </w:rPr>
                    <w:t>1250.3</w:t>
                  </w:r>
                </w:p>
              </w:tc>
              <w:tc>
                <w:tcPr>
                  <w:tcW w:w="501" w:type="pct"/>
                  <w:vAlign w:val="bottom"/>
                </w:tcPr>
                <w:p w:rsidR="00745FEA" w:rsidRPr="00D605D1" w:rsidRDefault="00745FEA" w:rsidP="00745FEA">
                  <w:pPr>
                    <w:pStyle w:val="TableBodyText"/>
                    <w:ind w:right="57"/>
                    <w:rPr>
                      <w:b/>
                    </w:rPr>
                  </w:pPr>
                  <w:r w:rsidRPr="00D605D1">
                    <w:rPr>
                      <w:b/>
                    </w:rPr>
                    <w:t>1266.0</w:t>
                  </w:r>
                </w:p>
              </w:tc>
              <w:tc>
                <w:tcPr>
                  <w:tcW w:w="499" w:type="pct"/>
                  <w:vAlign w:val="bottom"/>
                </w:tcPr>
                <w:p w:rsidR="00745FEA" w:rsidRPr="00D605D1" w:rsidRDefault="00745FEA" w:rsidP="00745FEA">
                  <w:pPr>
                    <w:pStyle w:val="TableBodyText"/>
                    <w:ind w:right="57"/>
                    <w:rPr>
                      <w:b/>
                    </w:rPr>
                  </w:pPr>
                  <w:r w:rsidRPr="00D605D1">
                    <w:rPr>
                      <w:b/>
                    </w:rPr>
                    <w:t>1291.8</w:t>
                  </w:r>
                </w:p>
              </w:tc>
              <w:tc>
                <w:tcPr>
                  <w:tcW w:w="499" w:type="pct"/>
                  <w:shd w:val="clear" w:color="auto" w:fill="auto"/>
                  <w:vAlign w:val="bottom"/>
                </w:tcPr>
                <w:p w:rsidR="00745FEA" w:rsidRPr="00D605D1" w:rsidRDefault="00745FEA" w:rsidP="00745FEA">
                  <w:pPr>
                    <w:pStyle w:val="TableBodyText"/>
                    <w:ind w:right="57"/>
                    <w:rPr>
                      <w:b/>
                    </w:rPr>
                  </w:pPr>
                  <w:r w:rsidRPr="00D605D1">
                    <w:rPr>
                      <w:b/>
                    </w:rPr>
                    <w:t>1176.8</w:t>
                  </w:r>
                </w:p>
              </w:tc>
              <w:tc>
                <w:tcPr>
                  <w:tcW w:w="496" w:type="pct"/>
                  <w:shd w:val="clear" w:color="auto" w:fill="auto"/>
                  <w:vAlign w:val="bottom"/>
                </w:tcPr>
                <w:p w:rsidR="00745FEA" w:rsidRPr="00D605D1" w:rsidRDefault="00745FEA" w:rsidP="00745FEA">
                  <w:pPr>
                    <w:pStyle w:val="TableBodyText"/>
                    <w:ind w:right="57"/>
                    <w:rPr>
                      <w:b/>
                    </w:rPr>
                  </w:pPr>
                  <w:r w:rsidRPr="00D605D1">
                    <w:rPr>
                      <w:b/>
                    </w:rPr>
                    <w:t>1179.2</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Food, beverages and tobacco</w:t>
                  </w:r>
                </w:p>
              </w:tc>
              <w:tc>
                <w:tcPr>
                  <w:tcW w:w="502" w:type="pct"/>
                  <w:vAlign w:val="bottom"/>
                </w:tcPr>
                <w:p w:rsidR="00745FEA" w:rsidRPr="00601F65" w:rsidRDefault="00745FEA" w:rsidP="00745FEA">
                  <w:pPr>
                    <w:pStyle w:val="TableBodyText"/>
                    <w:spacing w:after="20"/>
                    <w:ind w:right="57"/>
                  </w:pPr>
                  <w:r w:rsidRPr="00FC562B">
                    <w:t>27.4</w:t>
                  </w:r>
                </w:p>
              </w:tc>
              <w:tc>
                <w:tcPr>
                  <w:tcW w:w="501" w:type="pct"/>
                  <w:vAlign w:val="bottom"/>
                </w:tcPr>
                <w:p w:rsidR="00745FEA" w:rsidRPr="00601F65" w:rsidRDefault="00745FEA" w:rsidP="00745FEA">
                  <w:pPr>
                    <w:pStyle w:val="TableBodyText"/>
                    <w:spacing w:after="20"/>
                    <w:ind w:right="57"/>
                  </w:pPr>
                  <w:r w:rsidRPr="00FC562B">
                    <w:t>64.1</w:t>
                  </w:r>
                </w:p>
              </w:tc>
              <w:tc>
                <w:tcPr>
                  <w:tcW w:w="501" w:type="pct"/>
                  <w:vAlign w:val="bottom"/>
                </w:tcPr>
                <w:p w:rsidR="00745FEA" w:rsidRPr="00601F65" w:rsidRDefault="00745FEA" w:rsidP="00745FEA">
                  <w:pPr>
                    <w:pStyle w:val="TableBodyText"/>
                    <w:spacing w:after="20"/>
                    <w:ind w:right="57"/>
                  </w:pPr>
                  <w:r w:rsidRPr="00FC562B">
                    <w:t>106.9</w:t>
                  </w:r>
                </w:p>
              </w:tc>
              <w:tc>
                <w:tcPr>
                  <w:tcW w:w="499" w:type="pct"/>
                  <w:vAlign w:val="bottom"/>
                </w:tcPr>
                <w:p w:rsidR="00745FEA" w:rsidRPr="00601F65" w:rsidRDefault="00745FEA" w:rsidP="00745FEA">
                  <w:pPr>
                    <w:pStyle w:val="TableBodyText"/>
                    <w:spacing w:after="20"/>
                    <w:ind w:right="57"/>
                  </w:pPr>
                  <w:r w:rsidRPr="00FC562B">
                    <w:t>100.2</w:t>
                  </w:r>
                </w:p>
              </w:tc>
              <w:tc>
                <w:tcPr>
                  <w:tcW w:w="499" w:type="pct"/>
                  <w:shd w:val="clear" w:color="auto" w:fill="auto"/>
                  <w:vAlign w:val="bottom"/>
                </w:tcPr>
                <w:p w:rsidR="00745FEA" w:rsidRPr="00601F65" w:rsidRDefault="00745FEA" w:rsidP="00745FEA">
                  <w:pPr>
                    <w:pStyle w:val="TableBodyText"/>
                    <w:spacing w:after="20"/>
                    <w:ind w:right="57"/>
                  </w:pPr>
                  <w:r w:rsidRPr="00FC562B">
                    <w:t>95.2</w:t>
                  </w:r>
                </w:p>
              </w:tc>
              <w:tc>
                <w:tcPr>
                  <w:tcW w:w="496" w:type="pct"/>
                  <w:shd w:val="clear" w:color="auto" w:fill="auto"/>
                  <w:vAlign w:val="bottom"/>
                </w:tcPr>
                <w:p w:rsidR="00745FEA" w:rsidRPr="00601F65" w:rsidRDefault="00745FEA" w:rsidP="00745FEA">
                  <w:pPr>
                    <w:pStyle w:val="TableBodyText"/>
                    <w:spacing w:after="20"/>
                    <w:ind w:right="57"/>
                  </w:pPr>
                  <w:r w:rsidRPr="00FC562B">
                    <w:t>83.0</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Textile</w:t>
                  </w:r>
                  <w:r>
                    <w:rPr>
                      <w:rFonts w:ascii="Arial" w:hAnsi="Arial" w:cs="Arial"/>
                      <w:sz w:val="18"/>
                      <w:szCs w:val="18"/>
                    </w:rPr>
                    <w:t>s</w:t>
                  </w:r>
                  <w:r w:rsidRPr="00E532D9">
                    <w:rPr>
                      <w:rFonts w:ascii="Arial" w:hAnsi="Arial" w:cs="Arial"/>
                      <w:sz w:val="18"/>
                      <w:szCs w:val="18"/>
                    </w:rPr>
                    <w:t>, leather, clothing and footwear</w:t>
                  </w:r>
                </w:p>
              </w:tc>
              <w:tc>
                <w:tcPr>
                  <w:tcW w:w="502" w:type="pct"/>
                  <w:vAlign w:val="bottom"/>
                </w:tcPr>
                <w:p w:rsidR="00745FEA" w:rsidRPr="00601F65" w:rsidRDefault="00745FEA" w:rsidP="00745FEA">
                  <w:pPr>
                    <w:pStyle w:val="TableBodyText"/>
                    <w:spacing w:after="20"/>
                    <w:ind w:right="57"/>
                  </w:pPr>
                  <w:r w:rsidRPr="00FC562B">
                    <w:t>50.4</w:t>
                  </w:r>
                </w:p>
              </w:tc>
              <w:tc>
                <w:tcPr>
                  <w:tcW w:w="501" w:type="pct"/>
                  <w:vAlign w:val="bottom"/>
                </w:tcPr>
                <w:p w:rsidR="00745FEA" w:rsidRPr="00601F65" w:rsidRDefault="00745FEA" w:rsidP="00745FEA">
                  <w:pPr>
                    <w:pStyle w:val="TableBodyText"/>
                    <w:spacing w:after="20"/>
                    <w:ind w:right="57"/>
                  </w:pPr>
                  <w:r w:rsidRPr="00FC562B">
                    <w:t>48.4</w:t>
                  </w:r>
                </w:p>
              </w:tc>
              <w:tc>
                <w:tcPr>
                  <w:tcW w:w="501" w:type="pct"/>
                  <w:vAlign w:val="bottom"/>
                </w:tcPr>
                <w:p w:rsidR="00745FEA" w:rsidRPr="00601F65" w:rsidRDefault="00745FEA" w:rsidP="00745FEA">
                  <w:pPr>
                    <w:pStyle w:val="TableBodyText"/>
                    <w:spacing w:after="20"/>
                    <w:ind w:right="57"/>
                  </w:pPr>
                  <w:r w:rsidRPr="00FC562B">
                    <w:t>52.4</w:t>
                  </w:r>
                </w:p>
              </w:tc>
              <w:tc>
                <w:tcPr>
                  <w:tcW w:w="499" w:type="pct"/>
                  <w:vAlign w:val="bottom"/>
                </w:tcPr>
                <w:p w:rsidR="00745FEA" w:rsidRPr="00601F65" w:rsidRDefault="00745FEA" w:rsidP="00745FEA">
                  <w:pPr>
                    <w:pStyle w:val="TableBodyText"/>
                    <w:spacing w:after="20"/>
                    <w:ind w:right="57"/>
                  </w:pPr>
                  <w:r w:rsidRPr="00FC562B">
                    <w:t>49.5</w:t>
                  </w:r>
                </w:p>
              </w:tc>
              <w:tc>
                <w:tcPr>
                  <w:tcW w:w="499" w:type="pct"/>
                  <w:shd w:val="clear" w:color="auto" w:fill="auto"/>
                  <w:vAlign w:val="bottom"/>
                </w:tcPr>
                <w:p w:rsidR="00745FEA" w:rsidRPr="00601F65" w:rsidRDefault="00745FEA" w:rsidP="00745FEA">
                  <w:pPr>
                    <w:pStyle w:val="TableBodyText"/>
                    <w:spacing w:after="20"/>
                    <w:ind w:right="57"/>
                  </w:pPr>
                  <w:r w:rsidRPr="00FC562B">
                    <w:t>44.1</w:t>
                  </w:r>
                </w:p>
              </w:tc>
              <w:tc>
                <w:tcPr>
                  <w:tcW w:w="496" w:type="pct"/>
                  <w:shd w:val="clear" w:color="auto" w:fill="auto"/>
                  <w:vAlign w:val="bottom"/>
                </w:tcPr>
                <w:p w:rsidR="00745FEA" w:rsidRPr="00601F65" w:rsidRDefault="00745FEA" w:rsidP="00745FEA">
                  <w:pPr>
                    <w:pStyle w:val="TableBodyText"/>
                    <w:spacing w:after="20"/>
                    <w:ind w:right="57"/>
                  </w:pPr>
                  <w:r w:rsidRPr="00FC562B">
                    <w:t>23.8</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Wood and paper products</w:t>
                  </w:r>
                </w:p>
              </w:tc>
              <w:tc>
                <w:tcPr>
                  <w:tcW w:w="502" w:type="pct"/>
                  <w:vAlign w:val="bottom"/>
                </w:tcPr>
                <w:p w:rsidR="00745FEA" w:rsidRPr="00601F65" w:rsidRDefault="00745FEA" w:rsidP="00745FEA">
                  <w:pPr>
                    <w:pStyle w:val="TableBodyText"/>
                    <w:spacing w:after="20"/>
                    <w:ind w:right="57"/>
                  </w:pPr>
                  <w:r w:rsidRPr="00FC562B">
                    <w:t>5.6</w:t>
                  </w:r>
                </w:p>
              </w:tc>
              <w:tc>
                <w:tcPr>
                  <w:tcW w:w="501" w:type="pct"/>
                  <w:vAlign w:val="bottom"/>
                </w:tcPr>
                <w:p w:rsidR="00745FEA" w:rsidRPr="00601F65" w:rsidRDefault="00745FEA" w:rsidP="00745FEA">
                  <w:pPr>
                    <w:pStyle w:val="TableBodyText"/>
                    <w:spacing w:after="20"/>
                    <w:ind w:right="57"/>
                  </w:pPr>
                  <w:r w:rsidRPr="00FC562B">
                    <w:t>18.5</w:t>
                  </w:r>
                </w:p>
              </w:tc>
              <w:tc>
                <w:tcPr>
                  <w:tcW w:w="501" w:type="pct"/>
                  <w:vAlign w:val="bottom"/>
                </w:tcPr>
                <w:p w:rsidR="00745FEA" w:rsidRPr="00601F65" w:rsidRDefault="00745FEA" w:rsidP="00745FEA">
                  <w:pPr>
                    <w:pStyle w:val="TableBodyText"/>
                    <w:spacing w:after="20"/>
                    <w:ind w:right="57"/>
                  </w:pPr>
                  <w:r w:rsidRPr="00FC562B">
                    <w:t>12.0</w:t>
                  </w:r>
                </w:p>
              </w:tc>
              <w:tc>
                <w:tcPr>
                  <w:tcW w:w="499" w:type="pct"/>
                  <w:vAlign w:val="bottom"/>
                </w:tcPr>
                <w:p w:rsidR="00745FEA" w:rsidRPr="00601F65" w:rsidRDefault="00745FEA" w:rsidP="00745FEA">
                  <w:pPr>
                    <w:pStyle w:val="TableBodyText"/>
                    <w:spacing w:after="20"/>
                    <w:ind w:right="57"/>
                  </w:pPr>
                  <w:r w:rsidRPr="00FC562B">
                    <w:t>12.7</w:t>
                  </w:r>
                </w:p>
              </w:tc>
              <w:tc>
                <w:tcPr>
                  <w:tcW w:w="499" w:type="pct"/>
                  <w:shd w:val="clear" w:color="auto" w:fill="auto"/>
                  <w:vAlign w:val="bottom"/>
                </w:tcPr>
                <w:p w:rsidR="00745FEA" w:rsidRPr="00601F65" w:rsidRDefault="00745FEA" w:rsidP="00745FEA">
                  <w:pPr>
                    <w:pStyle w:val="TableBodyText"/>
                    <w:spacing w:after="20"/>
                    <w:ind w:right="57"/>
                  </w:pPr>
                  <w:r w:rsidRPr="00FC562B">
                    <w:t>8.5</w:t>
                  </w:r>
                </w:p>
              </w:tc>
              <w:tc>
                <w:tcPr>
                  <w:tcW w:w="496" w:type="pct"/>
                  <w:shd w:val="clear" w:color="auto" w:fill="auto"/>
                  <w:vAlign w:val="bottom"/>
                </w:tcPr>
                <w:p w:rsidR="00745FEA" w:rsidRPr="00601F65" w:rsidRDefault="00745FEA" w:rsidP="00745FEA">
                  <w:pPr>
                    <w:pStyle w:val="TableBodyText"/>
                    <w:spacing w:after="20"/>
                    <w:ind w:right="57"/>
                  </w:pPr>
                  <w:r w:rsidRPr="00FC562B">
                    <w:t>13.4</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Printing and recorded media</w:t>
                  </w:r>
                </w:p>
              </w:tc>
              <w:tc>
                <w:tcPr>
                  <w:tcW w:w="502" w:type="pct"/>
                  <w:vAlign w:val="bottom"/>
                </w:tcPr>
                <w:p w:rsidR="00745FEA" w:rsidRPr="00601F65" w:rsidRDefault="00745FEA" w:rsidP="00745FEA">
                  <w:pPr>
                    <w:pStyle w:val="TableBodyText"/>
                    <w:spacing w:after="20"/>
                    <w:ind w:right="57"/>
                  </w:pPr>
                  <w:r w:rsidRPr="00FC562B">
                    <w:t>6.1</w:t>
                  </w:r>
                </w:p>
              </w:tc>
              <w:tc>
                <w:tcPr>
                  <w:tcW w:w="501" w:type="pct"/>
                  <w:vAlign w:val="bottom"/>
                </w:tcPr>
                <w:p w:rsidR="00745FEA" w:rsidRPr="00601F65" w:rsidRDefault="00745FEA" w:rsidP="00745FEA">
                  <w:pPr>
                    <w:pStyle w:val="TableBodyText"/>
                    <w:spacing w:after="20"/>
                    <w:ind w:right="57"/>
                  </w:pPr>
                  <w:r w:rsidRPr="00FC562B">
                    <w:t>36.7</w:t>
                  </w:r>
                </w:p>
              </w:tc>
              <w:tc>
                <w:tcPr>
                  <w:tcW w:w="501" w:type="pct"/>
                  <w:vAlign w:val="bottom"/>
                </w:tcPr>
                <w:p w:rsidR="00745FEA" w:rsidRPr="00601F65" w:rsidRDefault="00745FEA" w:rsidP="00745FEA">
                  <w:pPr>
                    <w:pStyle w:val="TableBodyText"/>
                    <w:spacing w:after="20"/>
                    <w:ind w:right="57"/>
                  </w:pPr>
                  <w:r w:rsidRPr="00FC562B">
                    <w:t>36.8</w:t>
                  </w:r>
                </w:p>
              </w:tc>
              <w:tc>
                <w:tcPr>
                  <w:tcW w:w="499" w:type="pct"/>
                  <w:vAlign w:val="bottom"/>
                </w:tcPr>
                <w:p w:rsidR="00745FEA" w:rsidRPr="00601F65" w:rsidRDefault="00745FEA" w:rsidP="00745FEA">
                  <w:pPr>
                    <w:pStyle w:val="TableBodyText"/>
                    <w:spacing w:after="20"/>
                    <w:ind w:right="57"/>
                  </w:pPr>
                  <w:r w:rsidRPr="00FC562B">
                    <w:t>46.0</w:t>
                  </w:r>
                </w:p>
              </w:tc>
              <w:tc>
                <w:tcPr>
                  <w:tcW w:w="499" w:type="pct"/>
                  <w:shd w:val="clear" w:color="auto" w:fill="auto"/>
                  <w:vAlign w:val="bottom"/>
                </w:tcPr>
                <w:p w:rsidR="00745FEA" w:rsidRPr="00601F65" w:rsidRDefault="00745FEA" w:rsidP="00745FEA">
                  <w:pPr>
                    <w:pStyle w:val="TableBodyText"/>
                    <w:spacing w:after="20"/>
                    <w:ind w:right="57"/>
                  </w:pPr>
                  <w:r w:rsidRPr="00FC562B">
                    <w:t>48.4</w:t>
                  </w:r>
                </w:p>
              </w:tc>
              <w:tc>
                <w:tcPr>
                  <w:tcW w:w="496" w:type="pct"/>
                  <w:shd w:val="clear" w:color="auto" w:fill="auto"/>
                  <w:vAlign w:val="bottom"/>
                </w:tcPr>
                <w:p w:rsidR="00745FEA" w:rsidRPr="00601F65" w:rsidRDefault="00745FEA" w:rsidP="00745FEA">
                  <w:pPr>
                    <w:pStyle w:val="TableBodyText"/>
                    <w:spacing w:after="20"/>
                    <w:ind w:right="57"/>
                  </w:pPr>
                  <w:r w:rsidRPr="00FC562B">
                    <w:t>58.3</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Petroleum, coal, chemical and rubber</w:t>
                  </w:r>
                </w:p>
              </w:tc>
              <w:tc>
                <w:tcPr>
                  <w:tcW w:w="502" w:type="pct"/>
                  <w:vAlign w:val="bottom"/>
                </w:tcPr>
                <w:p w:rsidR="00745FEA" w:rsidRPr="00601F65" w:rsidRDefault="00745FEA" w:rsidP="00745FEA">
                  <w:pPr>
                    <w:pStyle w:val="TableBodyText"/>
                    <w:spacing w:after="20"/>
                    <w:ind w:right="57"/>
                  </w:pPr>
                  <w:r w:rsidRPr="00FC562B">
                    <w:t>220.1</w:t>
                  </w:r>
                </w:p>
              </w:tc>
              <w:tc>
                <w:tcPr>
                  <w:tcW w:w="501" w:type="pct"/>
                  <w:vAlign w:val="bottom"/>
                </w:tcPr>
                <w:p w:rsidR="00745FEA" w:rsidRPr="00601F65" w:rsidRDefault="00745FEA" w:rsidP="00745FEA">
                  <w:pPr>
                    <w:pStyle w:val="TableBodyText"/>
                    <w:spacing w:after="20"/>
                    <w:ind w:right="57"/>
                  </w:pPr>
                  <w:r w:rsidRPr="00FC562B">
                    <w:t>262.9</w:t>
                  </w:r>
                </w:p>
              </w:tc>
              <w:tc>
                <w:tcPr>
                  <w:tcW w:w="501" w:type="pct"/>
                  <w:vAlign w:val="bottom"/>
                </w:tcPr>
                <w:p w:rsidR="00745FEA" w:rsidRPr="00601F65" w:rsidRDefault="00745FEA" w:rsidP="00745FEA">
                  <w:pPr>
                    <w:pStyle w:val="TableBodyText"/>
                    <w:spacing w:after="20"/>
                    <w:ind w:right="57"/>
                  </w:pPr>
                  <w:r w:rsidRPr="00FC562B">
                    <w:t>282.5</w:t>
                  </w:r>
                </w:p>
              </w:tc>
              <w:tc>
                <w:tcPr>
                  <w:tcW w:w="499" w:type="pct"/>
                  <w:vAlign w:val="bottom"/>
                </w:tcPr>
                <w:p w:rsidR="00745FEA" w:rsidRPr="00601F65" w:rsidRDefault="00745FEA" w:rsidP="00745FEA">
                  <w:pPr>
                    <w:pStyle w:val="TableBodyText"/>
                    <w:spacing w:after="20"/>
                    <w:ind w:right="57"/>
                  </w:pPr>
                  <w:r w:rsidRPr="00FC562B">
                    <w:t>277.2</w:t>
                  </w:r>
                </w:p>
              </w:tc>
              <w:tc>
                <w:tcPr>
                  <w:tcW w:w="499" w:type="pct"/>
                  <w:shd w:val="clear" w:color="auto" w:fill="auto"/>
                  <w:vAlign w:val="bottom"/>
                </w:tcPr>
                <w:p w:rsidR="00745FEA" w:rsidRPr="00601F65" w:rsidRDefault="00745FEA" w:rsidP="00745FEA">
                  <w:pPr>
                    <w:pStyle w:val="TableBodyText"/>
                    <w:spacing w:after="20"/>
                    <w:ind w:right="57"/>
                  </w:pPr>
                  <w:r w:rsidRPr="00FC562B">
                    <w:t>200.3</w:t>
                  </w:r>
                </w:p>
              </w:tc>
              <w:tc>
                <w:tcPr>
                  <w:tcW w:w="496" w:type="pct"/>
                  <w:shd w:val="clear" w:color="auto" w:fill="auto"/>
                  <w:vAlign w:val="bottom"/>
                </w:tcPr>
                <w:p w:rsidR="00745FEA" w:rsidRPr="00601F65" w:rsidRDefault="00745FEA" w:rsidP="00745FEA">
                  <w:pPr>
                    <w:pStyle w:val="TableBodyText"/>
                    <w:spacing w:after="20"/>
                    <w:ind w:right="57"/>
                  </w:pPr>
                  <w:r w:rsidRPr="00FC562B">
                    <w:t>203.5</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Non</w:t>
                  </w:r>
                  <w:r>
                    <w:rPr>
                      <w:rFonts w:ascii="Arial" w:hAnsi="Arial" w:cs="Arial"/>
                      <w:sz w:val="18"/>
                      <w:szCs w:val="18"/>
                    </w:rPr>
                    <w:noBreakHyphen/>
                  </w:r>
                  <w:r w:rsidRPr="00E532D9">
                    <w:rPr>
                      <w:rFonts w:ascii="Arial" w:hAnsi="Arial" w:cs="Arial"/>
                      <w:sz w:val="18"/>
                      <w:szCs w:val="18"/>
                    </w:rPr>
                    <w:t>metallic mineral products</w:t>
                  </w:r>
                </w:p>
              </w:tc>
              <w:tc>
                <w:tcPr>
                  <w:tcW w:w="502" w:type="pct"/>
                  <w:vAlign w:val="bottom"/>
                </w:tcPr>
                <w:p w:rsidR="00745FEA" w:rsidRPr="00601F65" w:rsidRDefault="00745FEA" w:rsidP="00745FEA">
                  <w:pPr>
                    <w:pStyle w:val="TableBodyText"/>
                    <w:spacing w:after="20"/>
                    <w:ind w:right="57"/>
                  </w:pPr>
                  <w:r w:rsidRPr="00FC562B">
                    <w:t>7.3</w:t>
                  </w:r>
                </w:p>
              </w:tc>
              <w:tc>
                <w:tcPr>
                  <w:tcW w:w="501" w:type="pct"/>
                  <w:vAlign w:val="bottom"/>
                </w:tcPr>
                <w:p w:rsidR="00745FEA" w:rsidRPr="00601F65" w:rsidRDefault="00745FEA" w:rsidP="00745FEA">
                  <w:pPr>
                    <w:pStyle w:val="TableBodyText"/>
                    <w:spacing w:after="20"/>
                    <w:ind w:right="57"/>
                  </w:pPr>
                  <w:r w:rsidRPr="00FC562B">
                    <w:t>16.2</w:t>
                  </w:r>
                </w:p>
              </w:tc>
              <w:tc>
                <w:tcPr>
                  <w:tcW w:w="501" w:type="pct"/>
                  <w:vAlign w:val="bottom"/>
                </w:tcPr>
                <w:p w:rsidR="00745FEA" w:rsidRPr="00601F65" w:rsidRDefault="00745FEA" w:rsidP="00745FEA">
                  <w:pPr>
                    <w:pStyle w:val="TableBodyText"/>
                    <w:spacing w:after="20"/>
                    <w:ind w:right="57"/>
                  </w:pPr>
                  <w:r w:rsidRPr="00FC562B">
                    <w:t>26.7</w:t>
                  </w:r>
                </w:p>
              </w:tc>
              <w:tc>
                <w:tcPr>
                  <w:tcW w:w="499" w:type="pct"/>
                  <w:vAlign w:val="bottom"/>
                </w:tcPr>
                <w:p w:rsidR="00745FEA" w:rsidRPr="00601F65" w:rsidRDefault="00745FEA" w:rsidP="00745FEA">
                  <w:pPr>
                    <w:pStyle w:val="TableBodyText"/>
                    <w:spacing w:after="20"/>
                    <w:ind w:right="57"/>
                  </w:pPr>
                  <w:r w:rsidRPr="00FC562B">
                    <w:t>21.4</w:t>
                  </w:r>
                </w:p>
              </w:tc>
              <w:tc>
                <w:tcPr>
                  <w:tcW w:w="499" w:type="pct"/>
                  <w:shd w:val="clear" w:color="auto" w:fill="auto"/>
                  <w:vAlign w:val="bottom"/>
                </w:tcPr>
                <w:p w:rsidR="00745FEA" w:rsidRPr="00601F65" w:rsidRDefault="00745FEA" w:rsidP="00745FEA">
                  <w:pPr>
                    <w:pStyle w:val="TableBodyText"/>
                    <w:spacing w:after="20"/>
                    <w:ind w:right="57"/>
                  </w:pPr>
                  <w:r w:rsidRPr="00FC562B">
                    <w:t>19.9</w:t>
                  </w:r>
                </w:p>
              </w:tc>
              <w:tc>
                <w:tcPr>
                  <w:tcW w:w="496" w:type="pct"/>
                  <w:shd w:val="clear" w:color="auto" w:fill="auto"/>
                  <w:vAlign w:val="bottom"/>
                </w:tcPr>
                <w:p w:rsidR="00745FEA" w:rsidRPr="00601F65" w:rsidRDefault="00745FEA" w:rsidP="00745FEA">
                  <w:pPr>
                    <w:pStyle w:val="TableBodyText"/>
                    <w:spacing w:after="20"/>
                    <w:ind w:right="57"/>
                  </w:pPr>
                  <w:r w:rsidRPr="00FC562B">
                    <w:t>19.0</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Metal and fabricated metal products</w:t>
                  </w:r>
                </w:p>
              </w:tc>
              <w:tc>
                <w:tcPr>
                  <w:tcW w:w="502" w:type="pct"/>
                  <w:vAlign w:val="bottom"/>
                </w:tcPr>
                <w:p w:rsidR="00745FEA" w:rsidRPr="00601F65" w:rsidRDefault="00745FEA" w:rsidP="00745FEA">
                  <w:pPr>
                    <w:pStyle w:val="TableBodyText"/>
                    <w:spacing w:after="20"/>
                    <w:ind w:right="57"/>
                  </w:pPr>
                  <w:r w:rsidRPr="00FC562B">
                    <w:t>205.4</w:t>
                  </w:r>
                </w:p>
              </w:tc>
              <w:tc>
                <w:tcPr>
                  <w:tcW w:w="501" w:type="pct"/>
                  <w:vAlign w:val="bottom"/>
                </w:tcPr>
                <w:p w:rsidR="00745FEA" w:rsidRPr="00601F65" w:rsidRDefault="00745FEA" w:rsidP="00745FEA">
                  <w:pPr>
                    <w:pStyle w:val="TableBodyText"/>
                    <w:spacing w:after="20"/>
                    <w:ind w:right="57"/>
                  </w:pPr>
                  <w:r w:rsidRPr="00FC562B">
                    <w:t>70.2</w:t>
                  </w:r>
                </w:p>
              </w:tc>
              <w:tc>
                <w:tcPr>
                  <w:tcW w:w="501" w:type="pct"/>
                  <w:vAlign w:val="bottom"/>
                </w:tcPr>
                <w:p w:rsidR="00745FEA" w:rsidRPr="00601F65" w:rsidRDefault="00745FEA" w:rsidP="00745FEA">
                  <w:pPr>
                    <w:pStyle w:val="TableBodyText"/>
                    <w:spacing w:after="20"/>
                    <w:ind w:right="57"/>
                  </w:pPr>
                  <w:r w:rsidRPr="00FC562B">
                    <w:t>67.3</w:t>
                  </w:r>
                </w:p>
              </w:tc>
              <w:tc>
                <w:tcPr>
                  <w:tcW w:w="499" w:type="pct"/>
                  <w:vAlign w:val="bottom"/>
                </w:tcPr>
                <w:p w:rsidR="00745FEA" w:rsidRPr="00601F65" w:rsidRDefault="00745FEA" w:rsidP="00745FEA">
                  <w:pPr>
                    <w:pStyle w:val="TableBodyText"/>
                    <w:spacing w:after="20"/>
                    <w:ind w:right="57"/>
                  </w:pPr>
                  <w:r w:rsidRPr="00FC562B">
                    <w:t>79.4</w:t>
                  </w:r>
                </w:p>
              </w:tc>
              <w:tc>
                <w:tcPr>
                  <w:tcW w:w="499" w:type="pct"/>
                  <w:shd w:val="clear" w:color="auto" w:fill="auto"/>
                  <w:vAlign w:val="bottom"/>
                </w:tcPr>
                <w:p w:rsidR="00745FEA" w:rsidRPr="00601F65" w:rsidRDefault="00745FEA" w:rsidP="00745FEA">
                  <w:pPr>
                    <w:pStyle w:val="TableBodyText"/>
                    <w:spacing w:after="20"/>
                    <w:ind w:right="57"/>
                  </w:pPr>
                  <w:r w:rsidRPr="00FC562B">
                    <w:t>87.8</w:t>
                  </w:r>
                </w:p>
              </w:tc>
              <w:tc>
                <w:tcPr>
                  <w:tcW w:w="496" w:type="pct"/>
                  <w:shd w:val="clear" w:color="auto" w:fill="auto"/>
                  <w:vAlign w:val="bottom"/>
                </w:tcPr>
                <w:p w:rsidR="00745FEA" w:rsidRPr="00601F65" w:rsidRDefault="00745FEA" w:rsidP="00745FEA">
                  <w:pPr>
                    <w:pStyle w:val="TableBodyText"/>
                    <w:spacing w:after="20"/>
                    <w:ind w:right="57"/>
                  </w:pPr>
                  <w:r w:rsidRPr="00FC562B">
                    <w:t>125.2</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Motor vehicle</w:t>
                  </w:r>
                  <w:r>
                    <w:rPr>
                      <w:rFonts w:ascii="Arial" w:hAnsi="Arial" w:cs="Arial"/>
                      <w:sz w:val="18"/>
                      <w:szCs w:val="18"/>
                    </w:rPr>
                    <w:t>s</w:t>
                  </w:r>
                  <w:r w:rsidRPr="00E532D9">
                    <w:rPr>
                      <w:rFonts w:ascii="Arial" w:hAnsi="Arial" w:cs="Arial"/>
                      <w:sz w:val="18"/>
                      <w:szCs w:val="18"/>
                    </w:rPr>
                    <w:t xml:space="preserve"> and parts</w:t>
                  </w:r>
                </w:p>
              </w:tc>
              <w:tc>
                <w:tcPr>
                  <w:tcW w:w="502" w:type="pct"/>
                  <w:vAlign w:val="bottom"/>
                </w:tcPr>
                <w:p w:rsidR="00745FEA" w:rsidRPr="00601F65" w:rsidRDefault="00745FEA" w:rsidP="00745FEA">
                  <w:pPr>
                    <w:pStyle w:val="TableBodyText"/>
                    <w:spacing w:after="20"/>
                    <w:ind w:right="57"/>
                  </w:pPr>
                  <w:r w:rsidRPr="00FC562B">
                    <w:t>580.4</w:t>
                  </w:r>
                </w:p>
              </w:tc>
              <w:tc>
                <w:tcPr>
                  <w:tcW w:w="501" w:type="pct"/>
                  <w:vAlign w:val="bottom"/>
                </w:tcPr>
                <w:p w:rsidR="00745FEA" w:rsidRPr="00601F65" w:rsidRDefault="00745FEA" w:rsidP="00745FEA">
                  <w:pPr>
                    <w:pStyle w:val="TableBodyText"/>
                    <w:spacing w:after="20"/>
                    <w:ind w:right="57"/>
                  </w:pPr>
                  <w:r w:rsidRPr="00FC562B">
                    <w:t>420.3</w:t>
                  </w:r>
                </w:p>
              </w:tc>
              <w:tc>
                <w:tcPr>
                  <w:tcW w:w="501" w:type="pct"/>
                  <w:vAlign w:val="bottom"/>
                </w:tcPr>
                <w:p w:rsidR="00745FEA" w:rsidRPr="00601F65" w:rsidRDefault="00745FEA" w:rsidP="00745FEA">
                  <w:pPr>
                    <w:pStyle w:val="TableBodyText"/>
                    <w:spacing w:after="20"/>
                    <w:ind w:right="57"/>
                  </w:pPr>
                  <w:r w:rsidRPr="00FC562B">
                    <w:t>366.1</w:t>
                  </w:r>
                </w:p>
              </w:tc>
              <w:tc>
                <w:tcPr>
                  <w:tcW w:w="499" w:type="pct"/>
                  <w:vAlign w:val="bottom"/>
                </w:tcPr>
                <w:p w:rsidR="00745FEA" w:rsidRPr="00601F65" w:rsidRDefault="00745FEA" w:rsidP="00745FEA">
                  <w:pPr>
                    <w:pStyle w:val="TableBodyText"/>
                    <w:spacing w:after="20"/>
                    <w:ind w:right="57"/>
                  </w:pPr>
                  <w:r w:rsidRPr="00FC562B">
                    <w:t>320.6</w:t>
                  </w:r>
                </w:p>
              </w:tc>
              <w:tc>
                <w:tcPr>
                  <w:tcW w:w="499" w:type="pct"/>
                  <w:shd w:val="clear" w:color="auto" w:fill="auto"/>
                  <w:vAlign w:val="bottom"/>
                </w:tcPr>
                <w:p w:rsidR="00745FEA" w:rsidRPr="00601F65" w:rsidRDefault="00745FEA" w:rsidP="00745FEA">
                  <w:pPr>
                    <w:pStyle w:val="TableBodyText"/>
                    <w:spacing w:after="20"/>
                    <w:ind w:right="57"/>
                  </w:pPr>
                  <w:r w:rsidRPr="00FC562B">
                    <w:t>264.4</w:t>
                  </w:r>
                </w:p>
              </w:tc>
              <w:tc>
                <w:tcPr>
                  <w:tcW w:w="496" w:type="pct"/>
                  <w:shd w:val="clear" w:color="auto" w:fill="auto"/>
                  <w:vAlign w:val="bottom"/>
                </w:tcPr>
                <w:p w:rsidR="00745FEA" w:rsidRPr="00601F65" w:rsidRDefault="00745FEA" w:rsidP="00745FEA">
                  <w:pPr>
                    <w:pStyle w:val="TableBodyText"/>
                    <w:spacing w:after="20"/>
                    <w:ind w:right="57"/>
                  </w:pPr>
                  <w:r w:rsidRPr="00FC562B">
                    <w:t>207.1</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Other transport equipment</w:t>
                  </w:r>
                </w:p>
              </w:tc>
              <w:tc>
                <w:tcPr>
                  <w:tcW w:w="502" w:type="pct"/>
                  <w:vAlign w:val="bottom"/>
                </w:tcPr>
                <w:p w:rsidR="00745FEA" w:rsidRPr="00601F65" w:rsidRDefault="00745FEA" w:rsidP="00745FEA">
                  <w:pPr>
                    <w:pStyle w:val="TableBodyText"/>
                    <w:spacing w:after="20"/>
                    <w:ind w:right="57"/>
                  </w:pPr>
                  <w:r w:rsidRPr="00FC562B">
                    <w:t>13.4</w:t>
                  </w:r>
                </w:p>
              </w:tc>
              <w:tc>
                <w:tcPr>
                  <w:tcW w:w="501" w:type="pct"/>
                  <w:vAlign w:val="bottom"/>
                </w:tcPr>
                <w:p w:rsidR="00745FEA" w:rsidRPr="00601F65" w:rsidRDefault="00745FEA" w:rsidP="00745FEA">
                  <w:pPr>
                    <w:pStyle w:val="TableBodyText"/>
                    <w:spacing w:after="20"/>
                    <w:ind w:right="57"/>
                  </w:pPr>
                  <w:r w:rsidRPr="00FC562B">
                    <w:t>19.1</w:t>
                  </w:r>
                </w:p>
              </w:tc>
              <w:tc>
                <w:tcPr>
                  <w:tcW w:w="501" w:type="pct"/>
                  <w:vAlign w:val="bottom"/>
                </w:tcPr>
                <w:p w:rsidR="00745FEA" w:rsidRPr="00601F65" w:rsidRDefault="00745FEA" w:rsidP="00745FEA">
                  <w:pPr>
                    <w:pStyle w:val="TableBodyText"/>
                    <w:spacing w:after="20"/>
                    <w:ind w:right="57"/>
                  </w:pPr>
                  <w:r w:rsidRPr="00FC562B">
                    <w:t>17.5</w:t>
                  </w:r>
                </w:p>
              </w:tc>
              <w:tc>
                <w:tcPr>
                  <w:tcW w:w="499" w:type="pct"/>
                  <w:vAlign w:val="bottom"/>
                </w:tcPr>
                <w:p w:rsidR="00745FEA" w:rsidRPr="00601F65" w:rsidRDefault="00745FEA" w:rsidP="00745FEA">
                  <w:pPr>
                    <w:pStyle w:val="TableBodyText"/>
                    <w:spacing w:after="20"/>
                    <w:ind w:right="57"/>
                  </w:pPr>
                  <w:r w:rsidRPr="00FC562B">
                    <w:t>23.5</w:t>
                  </w:r>
                </w:p>
              </w:tc>
              <w:tc>
                <w:tcPr>
                  <w:tcW w:w="499" w:type="pct"/>
                  <w:shd w:val="clear" w:color="auto" w:fill="auto"/>
                  <w:vAlign w:val="bottom"/>
                </w:tcPr>
                <w:p w:rsidR="00745FEA" w:rsidRPr="00601F65" w:rsidRDefault="00745FEA" w:rsidP="00745FEA">
                  <w:pPr>
                    <w:pStyle w:val="TableBodyText"/>
                    <w:spacing w:after="20"/>
                    <w:ind w:right="57"/>
                  </w:pPr>
                  <w:r w:rsidRPr="00FC562B">
                    <w:t>26.2</w:t>
                  </w:r>
                </w:p>
              </w:tc>
              <w:tc>
                <w:tcPr>
                  <w:tcW w:w="496" w:type="pct"/>
                  <w:shd w:val="clear" w:color="auto" w:fill="auto"/>
                  <w:vAlign w:val="bottom"/>
                </w:tcPr>
                <w:p w:rsidR="00745FEA" w:rsidRPr="00601F65" w:rsidRDefault="00745FEA" w:rsidP="00745FEA">
                  <w:pPr>
                    <w:pStyle w:val="TableBodyText"/>
                    <w:spacing w:after="20"/>
                    <w:ind w:right="57"/>
                  </w:pPr>
                  <w:r w:rsidRPr="00FC562B">
                    <w:t>26.5</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Machinery &amp; equipment manufacturing</w:t>
                  </w:r>
                </w:p>
              </w:tc>
              <w:tc>
                <w:tcPr>
                  <w:tcW w:w="502" w:type="pct"/>
                  <w:vAlign w:val="bottom"/>
                </w:tcPr>
                <w:p w:rsidR="00745FEA" w:rsidRPr="00601F65" w:rsidRDefault="00745FEA" w:rsidP="00745FEA">
                  <w:pPr>
                    <w:pStyle w:val="TableBodyText"/>
                    <w:spacing w:after="20"/>
                    <w:ind w:right="57"/>
                  </w:pPr>
                  <w:r w:rsidRPr="00FC562B">
                    <w:t>71.0</w:t>
                  </w:r>
                </w:p>
              </w:tc>
              <w:tc>
                <w:tcPr>
                  <w:tcW w:w="501" w:type="pct"/>
                  <w:vAlign w:val="bottom"/>
                </w:tcPr>
                <w:p w:rsidR="00745FEA" w:rsidRPr="00601F65" w:rsidRDefault="00745FEA" w:rsidP="00745FEA">
                  <w:pPr>
                    <w:pStyle w:val="TableBodyText"/>
                    <w:spacing w:after="20"/>
                    <w:ind w:right="57"/>
                  </w:pPr>
                  <w:r w:rsidRPr="00FC562B">
                    <w:t>135.4</w:t>
                  </w:r>
                </w:p>
              </w:tc>
              <w:tc>
                <w:tcPr>
                  <w:tcW w:w="501" w:type="pct"/>
                  <w:vAlign w:val="bottom"/>
                </w:tcPr>
                <w:p w:rsidR="00745FEA" w:rsidRPr="00601F65" w:rsidRDefault="00745FEA" w:rsidP="00745FEA">
                  <w:pPr>
                    <w:pStyle w:val="TableBodyText"/>
                    <w:spacing w:after="20"/>
                    <w:ind w:right="57"/>
                  </w:pPr>
                  <w:r w:rsidRPr="00FC562B">
                    <w:t>144.4</w:t>
                  </w:r>
                </w:p>
              </w:tc>
              <w:tc>
                <w:tcPr>
                  <w:tcW w:w="499" w:type="pct"/>
                  <w:vAlign w:val="bottom"/>
                </w:tcPr>
                <w:p w:rsidR="00745FEA" w:rsidRPr="00601F65" w:rsidRDefault="00745FEA" w:rsidP="00745FEA">
                  <w:pPr>
                    <w:pStyle w:val="TableBodyText"/>
                    <w:spacing w:after="20"/>
                    <w:ind w:right="57"/>
                  </w:pPr>
                  <w:r w:rsidRPr="00FC562B">
                    <w:t>194.2</w:t>
                  </w:r>
                </w:p>
              </w:tc>
              <w:tc>
                <w:tcPr>
                  <w:tcW w:w="499" w:type="pct"/>
                  <w:shd w:val="clear" w:color="auto" w:fill="auto"/>
                  <w:vAlign w:val="bottom"/>
                </w:tcPr>
                <w:p w:rsidR="00745FEA" w:rsidRPr="00601F65" w:rsidRDefault="00745FEA" w:rsidP="00745FEA">
                  <w:pPr>
                    <w:pStyle w:val="TableBodyText"/>
                    <w:spacing w:after="20"/>
                    <w:ind w:right="57"/>
                  </w:pPr>
                  <w:r w:rsidRPr="00FC562B">
                    <w:t>202.8</w:t>
                  </w:r>
                </w:p>
              </w:tc>
              <w:tc>
                <w:tcPr>
                  <w:tcW w:w="496" w:type="pct"/>
                  <w:shd w:val="clear" w:color="auto" w:fill="auto"/>
                  <w:vAlign w:val="bottom"/>
                </w:tcPr>
                <w:p w:rsidR="00745FEA" w:rsidRPr="00601F65" w:rsidRDefault="00745FEA" w:rsidP="00745FEA">
                  <w:pPr>
                    <w:pStyle w:val="TableBodyText"/>
                    <w:spacing w:after="20"/>
                    <w:ind w:right="57"/>
                  </w:pPr>
                  <w:r w:rsidRPr="00FC562B">
                    <w:t>223.6</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Furniture and other manufacturing</w:t>
                  </w:r>
                </w:p>
              </w:tc>
              <w:tc>
                <w:tcPr>
                  <w:tcW w:w="502" w:type="pct"/>
                  <w:vAlign w:val="bottom"/>
                </w:tcPr>
                <w:p w:rsidR="00745FEA" w:rsidRPr="00601F65" w:rsidRDefault="00745FEA" w:rsidP="00745FEA">
                  <w:pPr>
                    <w:pStyle w:val="TableBodyText"/>
                    <w:spacing w:after="20"/>
                    <w:ind w:right="57"/>
                  </w:pPr>
                  <w:r w:rsidRPr="00FC562B">
                    <w:t>25.9</w:t>
                  </w:r>
                </w:p>
              </w:tc>
              <w:tc>
                <w:tcPr>
                  <w:tcW w:w="501" w:type="pct"/>
                  <w:vAlign w:val="bottom"/>
                </w:tcPr>
                <w:p w:rsidR="00745FEA" w:rsidRPr="00601F65" w:rsidRDefault="00745FEA" w:rsidP="00745FEA">
                  <w:pPr>
                    <w:pStyle w:val="TableBodyText"/>
                    <w:spacing w:after="20"/>
                    <w:ind w:right="57"/>
                  </w:pPr>
                  <w:r w:rsidRPr="00FC562B">
                    <w:t>29.2</w:t>
                  </w:r>
                </w:p>
              </w:tc>
              <w:tc>
                <w:tcPr>
                  <w:tcW w:w="501" w:type="pct"/>
                  <w:vAlign w:val="bottom"/>
                </w:tcPr>
                <w:p w:rsidR="00745FEA" w:rsidRPr="00601F65" w:rsidRDefault="00745FEA" w:rsidP="00745FEA">
                  <w:pPr>
                    <w:pStyle w:val="TableBodyText"/>
                    <w:spacing w:after="20"/>
                    <w:ind w:right="57"/>
                  </w:pPr>
                  <w:r w:rsidRPr="00FC562B">
                    <w:t>23.6</w:t>
                  </w:r>
                </w:p>
              </w:tc>
              <w:tc>
                <w:tcPr>
                  <w:tcW w:w="499" w:type="pct"/>
                  <w:vAlign w:val="bottom"/>
                </w:tcPr>
                <w:p w:rsidR="00745FEA" w:rsidRPr="00601F65" w:rsidRDefault="00745FEA" w:rsidP="00745FEA">
                  <w:pPr>
                    <w:pStyle w:val="TableBodyText"/>
                    <w:spacing w:after="20"/>
                    <w:ind w:right="57"/>
                  </w:pPr>
                  <w:r w:rsidRPr="00FC562B">
                    <w:t>20.6</w:t>
                  </w:r>
                </w:p>
              </w:tc>
              <w:tc>
                <w:tcPr>
                  <w:tcW w:w="499" w:type="pct"/>
                  <w:shd w:val="clear" w:color="auto" w:fill="auto"/>
                  <w:vAlign w:val="bottom"/>
                </w:tcPr>
                <w:p w:rsidR="00745FEA" w:rsidRPr="00601F65" w:rsidRDefault="00745FEA" w:rsidP="00745FEA">
                  <w:pPr>
                    <w:pStyle w:val="TableBodyText"/>
                    <w:spacing w:after="20"/>
                    <w:ind w:right="57"/>
                  </w:pPr>
                  <w:r w:rsidRPr="00FC562B">
                    <w:t>20.6</w:t>
                  </w:r>
                </w:p>
              </w:tc>
              <w:tc>
                <w:tcPr>
                  <w:tcW w:w="496" w:type="pct"/>
                  <w:shd w:val="clear" w:color="auto" w:fill="auto"/>
                  <w:vAlign w:val="bottom"/>
                </w:tcPr>
                <w:p w:rsidR="00745FEA" w:rsidRPr="00601F65" w:rsidRDefault="00745FEA" w:rsidP="00745FEA">
                  <w:pPr>
                    <w:pStyle w:val="TableBodyText"/>
                    <w:spacing w:after="20"/>
                    <w:ind w:right="57"/>
                  </w:pPr>
                  <w:r w:rsidRPr="00FC562B">
                    <w:t>25.4</w:t>
                  </w:r>
                </w:p>
              </w:tc>
            </w:tr>
            <w:tr w:rsidR="00745FEA" w:rsidTr="00745FEA">
              <w:tc>
                <w:tcPr>
                  <w:tcW w:w="2002" w:type="pct"/>
                  <w:shd w:val="clear" w:color="auto" w:fill="auto"/>
                  <w:vAlign w:val="center"/>
                </w:tcPr>
                <w:p w:rsidR="00745FEA" w:rsidRPr="00E532D9" w:rsidRDefault="00745FEA" w:rsidP="00745FEA">
                  <w:pPr>
                    <w:spacing w:after="20"/>
                    <w:rPr>
                      <w:rFonts w:ascii="Arial" w:hAnsi="Arial" w:cs="Arial"/>
                      <w:sz w:val="18"/>
                      <w:szCs w:val="18"/>
                    </w:rPr>
                  </w:pPr>
                  <w:r w:rsidRPr="00E532D9">
                    <w:rPr>
                      <w:rFonts w:ascii="Arial" w:hAnsi="Arial" w:cs="Arial"/>
                      <w:sz w:val="18"/>
                      <w:szCs w:val="18"/>
                    </w:rPr>
                    <w:t>Unallocated manufacturing</w:t>
                  </w:r>
                  <w:r>
                    <w:rPr>
                      <w:rStyle w:val="NoteLabel"/>
                    </w:rPr>
                    <w:t>a</w:t>
                  </w:r>
                </w:p>
              </w:tc>
              <w:tc>
                <w:tcPr>
                  <w:tcW w:w="502" w:type="pct"/>
                  <w:vAlign w:val="bottom"/>
                </w:tcPr>
                <w:p w:rsidR="00745FEA" w:rsidRPr="00601F65" w:rsidRDefault="00745FEA" w:rsidP="00745FEA">
                  <w:pPr>
                    <w:pStyle w:val="TableBodyText"/>
                    <w:ind w:right="57"/>
                  </w:pPr>
                  <w:r w:rsidRPr="00FC562B">
                    <w:t>163.0</w:t>
                  </w:r>
                </w:p>
              </w:tc>
              <w:tc>
                <w:tcPr>
                  <w:tcW w:w="501" w:type="pct"/>
                  <w:vAlign w:val="bottom"/>
                </w:tcPr>
                <w:p w:rsidR="00745FEA" w:rsidRPr="00601F65" w:rsidRDefault="00745FEA" w:rsidP="00745FEA">
                  <w:pPr>
                    <w:pStyle w:val="TableBodyText"/>
                    <w:ind w:right="57"/>
                  </w:pPr>
                  <w:r w:rsidRPr="00FC562B">
                    <w:t>129.4</w:t>
                  </w:r>
                </w:p>
              </w:tc>
              <w:tc>
                <w:tcPr>
                  <w:tcW w:w="501" w:type="pct"/>
                  <w:vAlign w:val="bottom"/>
                </w:tcPr>
                <w:p w:rsidR="00745FEA" w:rsidRPr="00601F65" w:rsidRDefault="00745FEA" w:rsidP="00745FEA">
                  <w:pPr>
                    <w:pStyle w:val="TableBodyText"/>
                    <w:ind w:right="57"/>
                  </w:pPr>
                  <w:r w:rsidRPr="00FC562B">
                    <w:t>129.8</w:t>
                  </w:r>
                </w:p>
              </w:tc>
              <w:tc>
                <w:tcPr>
                  <w:tcW w:w="499" w:type="pct"/>
                  <w:vAlign w:val="bottom"/>
                </w:tcPr>
                <w:p w:rsidR="00745FEA" w:rsidRPr="00601F65" w:rsidRDefault="00745FEA" w:rsidP="00745FEA">
                  <w:pPr>
                    <w:pStyle w:val="TableBodyText"/>
                    <w:ind w:right="57"/>
                  </w:pPr>
                  <w:r w:rsidRPr="00FC562B">
                    <w:t>146.4</w:t>
                  </w:r>
                </w:p>
              </w:tc>
              <w:tc>
                <w:tcPr>
                  <w:tcW w:w="499" w:type="pct"/>
                  <w:shd w:val="clear" w:color="auto" w:fill="auto"/>
                  <w:vAlign w:val="bottom"/>
                </w:tcPr>
                <w:p w:rsidR="00745FEA" w:rsidRPr="00601F65" w:rsidRDefault="00745FEA" w:rsidP="00745FEA">
                  <w:pPr>
                    <w:pStyle w:val="TableBodyText"/>
                    <w:ind w:right="57"/>
                  </w:pPr>
                  <w:r w:rsidRPr="00FC562B">
                    <w:t>158.6</w:t>
                  </w:r>
                </w:p>
              </w:tc>
              <w:tc>
                <w:tcPr>
                  <w:tcW w:w="496" w:type="pct"/>
                  <w:shd w:val="clear" w:color="auto" w:fill="auto"/>
                  <w:vAlign w:val="bottom"/>
                </w:tcPr>
                <w:p w:rsidR="00745FEA" w:rsidRPr="00601F65" w:rsidRDefault="00745FEA" w:rsidP="00745FEA">
                  <w:pPr>
                    <w:pStyle w:val="TableBodyText"/>
                    <w:ind w:right="57"/>
                  </w:pPr>
                  <w:r w:rsidRPr="00FC562B">
                    <w:t>170.4</w:t>
                  </w:r>
                </w:p>
              </w:tc>
            </w:tr>
            <w:tr w:rsidR="00745FEA" w:rsidRPr="00D605D1" w:rsidTr="00745FEA">
              <w:tc>
                <w:tcPr>
                  <w:tcW w:w="2002" w:type="pct"/>
                  <w:shd w:val="clear" w:color="auto" w:fill="auto"/>
                  <w:vAlign w:val="bottom"/>
                </w:tcPr>
                <w:p w:rsidR="00745FEA" w:rsidRPr="00D605D1" w:rsidRDefault="00745FEA" w:rsidP="00745FEA">
                  <w:pPr>
                    <w:spacing w:after="40"/>
                    <w:rPr>
                      <w:rFonts w:ascii="Arial" w:hAnsi="Arial" w:cs="Arial"/>
                      <w:b/>
                      <w:bCs/>
                      <w:sz w:val="18"/>
                      <w:szCs w:val="18"/>
                    </w:rPr>
                  </w:pPr>
                  <w:r w:rsidRPr="00D605D1">
                    <w:rPr>
                      <w:rFonts w:ascii="Arial" w:hAnsi="Arial" w:cs="Arial"/>
                      <w:b/>
                      <w:bCs/>
                      <w:sz w:val="18"/>
                      <w:szCs w:val="18"/>
                    </w:rPr>
                    <w:t>Services</w:t>
                  </w:r>
                </w:p>
              </w:tc>
              <w:tc>
                <w:tcPr>
                  <w:tcW w:w="502" w:type="pct"/>
                  <w:vAlign w:val="bottom"/>
                </w:tcPr>
                <w:p w:rsidR="00745FEA" w:rsidRPr="00D605D1" w:rsidRDefault="00745FEA" w:rsidP="00745FEA">
                  <w:pPr>
                    <w:pStyle w:val="TableBodyText"/>
                    <w:ind w:right="57"/>
                    <w:rPr>
                      <w:b/>
                    </w:rPr>
                  </w:pPr>
                  <w:r w:rsidRPr="00D605D1">
                    <w:rPr>
                      <w:b/>
                    </w:rPr>
                    <w:t>2247.6</w:t>
                  </w:r>
                </w:p>
              </w:tc>
              <w:tc>
                <w:tcPr>
                  <w:tcW w:w="501" w:type="pct"/>
                  <w:vAlign w:val="bottom"/>
                </w:tcPr>
                <w:p w:rsidR="00745FEA" w:rsidRPr="00D605D1" w:rsidRDefault="00745FEA" w:rsidP="00745FEA">
                  <w:pPr>
                    <w:pStyle w:val="TableBodyText"/>
                    <w:ind w:right="57"/>
                    <w:rPr>
                      <w:b/>
                    </w:rPr>
                  </w:pPr>
                  <w:r w:rsidRPr="00D605D1">
                    <w:rPr>
                      <w:b/>
                    </w:rPr>
                    <w:t>1816.1</w:t>
                  </w:r>
                </w:p>
              </w:tc>
              <w:tc>
                <w:tcPr>
                  <w:tcW w:w="501" w:type="pct"/>
                  <w:vAlign w:val="bottom"/>
                </w:tcPr>
                <w:p w:rsidR="00745FEA" w:rsidRPr="00D605D1" w:rsidRDefault="00745FEA" w:rsidP="00745FEA">
                  <w:pPr>
                    <w:pStyle w:val="TableBodyText"/>
                    <w:ind w:right="57"/>
                    <w:rPr>
                      <w:b/>
                    </w:rPr>
                  </w:pPr>
                  <w:r w:rsidRPr="00D605D1">
                    <w:rPr>
                      <w:b/>
                    </w:rPr>
                    <w:t>1806.6</w:t>
                  </w:r>
                </w:p>
              </w:tc>
              <w:tc>
                <w:tcPr>
                  <w:tcW w:w="499" w:type="pct"/>
                  <w:vAlign w:val="bottom"/>
                </w:tcPr>
                <w:p w:rsidR="00745FEA" w:rsidRPr="00D605D1" w:rsidRDefault="00745FEA" w:rsidP="00745FEA">
                  <w:pPr>
                    <w:pStyle w:val="TableBodyText"/>
                    <w:ind w:right="57"/>
                    <w:rPr>
                      <w:b/>
                    </w:rPr>
                  </w:pPr>
                  <w:r w:rsidRPr="00D605D1">
                    <w:rPr>
                      <w:b/>
                    </w:rPr>
                    <w:t>2153.7</w:t>
                  </w:r>
                </w:p>
              </w:tc>
              <w:tc>
                <w:tcPr>
                  <w:tcW w:w="499" w:type="pct"/>
                  <w:shd w:val="clear" w:color="auto" w:fill="auto"/>
                  <w:vAlign w:val="bottom"/>
                </w:tcPr>
                <w:p w:rsidR="00745FEA" w:rsidRPr="00D605D1" w:rsidRDefault="00745FEA" w:rsidP="00745FEA">
                  <w:pPr>
                    <w:pStyle w:val="TableBodyText"/>
                    <w:ind w:right="57"/>
                    <w:rPr>
                      <w:b/>
                    </w:rPr>
                  </w:pPr>
                  <w:r w:rsidRPr="00D605D1">
                    <w:rPr>
                      <w:b/>
                    </w:rPr>
                    <w:t>2170.1</w:t>
                  </w:r>
                </w:p>
              </w:tc>
              <w:tc>
                <w:tcPr>
                  <w:tcW w:w="496" w:type="pct"/>
                  <w:shd w:val="clear" w:color="auto" w:fill="auto"/>
                  <w:vAlign w:val="bottom"/>
                </w:tcPr>
                <w:p w:rsidR="00745FEA" w:rsidRPr="00D605D1" w:rsidRDefault="00745FEA" w:rsidP="00745FEA">
                  <w:pPr>
                    <w:pStyle w:val="TableBodyText"/>
                    <w:ind w:right="57"/>
                    <w:rPr>
                      <w:b/>
                    </w:rPr>
                  </w:pPr>
                  <w:r w:rsidRPr="00D605D1">
                    <w:rPr>
                      <w:b/>
                    </w:rPr>
                    <w:t>2634.1</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Electricity, gas, water &amp; waste services</w:t>
                  </w:r>
                </w:p>
              </w:tc>
              <w:tc>
                <w:tcPr>
                  <w:tcW w:w="502" w:type="pct"/>
                  <w:vAlign w:val="bottom"/>
                </w:tcPr>
                <w:p w:rsidR="00745FEA" w:rsidRPr="00601F65" w:rsidRDefault="00745FEA" w:rsidP="00745FEA">
                  <w:pPr>
                    <w:pStyle w:val="TableBodyText"/>
                    <w:spacing w:after="20"/>
                    <w:ind w:right="57"/>
                  </w:pPr>
                  <w:r w:rsidRPr="00FC562B">
                    <w:t>1072.2</w:t>
                  </w:r>
                </w:p>
              </w:tc>
              <w:tc>
                <w:tcPr>
                  <w:tcW w:w="501" w:type="pct"/>
                  <w:vAlign w:val="bottom"/>
                </w:tcPr>
                <w:p w:rsidR="00745FEA" w:rsidRPr="00601F65" w:rsidRDefault="00745FEA" w:rsidP="00745FEA">
                  <w:pPr>
                    <w:pStyle w:val="TableBodyText"/>
                    <w:spacing w:after="20"/>
                    <w:ind w:right="57"/>
                  </w:pPr>
                  <w:r w:rsidRPr="00FC562B">
                    <w:t>106.6</w:t>
                  </w:r>
                </w:p>
              </w:tc>
              <w:tc>
                <w:tcPr>
                  <w:tcW w:w="501" w:type="pct"/>
                  <w:vAlign w:val="bottom"/>
                </w:tcPr>
                <w:p w:rsidR="00745FEA" w:rsidRPr="00601F65" w:rsidRDefault="00745FEA" w:rsidP="00745FEA">
                  <w:pPr>
                    <w:pStyle w:val="TableBodyText"/>
                    <w:spacing w:after="20"/>
                    <w:ind w:right="57"/>
                  </w:pPr>
                  <w:r w:rsidRPr="00FC562B">
                    <w:t>139.3</w:t>
                  </w:r>
                </w:p>
              </w:tc>
              <w:tc>
                <w:tcPr>
                  <w:tcW w:w="499" w:type="pct"/>
                  <w:vAlign w:val="bottom"/>
                </w:tcPr>
                <w:p w:rsidR="00745FEA" w:rsidRPr="00601F65" w:rsidRDefault="00745FEA" w:rsidP="00745FEA">
                  <w:pPr>
                    <w:pStyle w:val="TableBodyText"/>
                    <w:spacing w:after="20"/>
                    <w:ind w:right="57"/>
                  </w:pPr>
                  <w:r w:rsidRPr="00FC562B">
                    <w:t>212.7</w:t>
                  </w:r>
                </w:p>
              </w:tc>
              <w:tc>
                <w:tcPr>
                  <w:tcW w:w="499" w:type="pct"/>
                  <w:shd w:val="clear" w:color="auto" w:fill="auto"/>
                  <w:vAlign w:val="bottom"/>
                </w:tcPr>
                <w:p w:rsidR="00745FEA" w:rsidRPr="00601F65" w:rsidRDefault="00745FEA" w:rsidP="00745FEA">
                  <w:pPr>
                    <w:pStyle w:val="TableBodyText"/>
                    <w:spacing w:after="20"/>
                    <w:ind w:right="57"/>
                  </w:pPr>
                  <w:r w:rsidRPr="00FC562B">
                    <w:t>137.2</w:t>
                  </w:r>
                </w:p>
              </w:tc>
              <w:tc>
                <w:tcPr>
                  <w:tcW w:w="496" w:type="pct"/>
                  <w:shd w:val="clear" w:color="auto" w:fill="auto"/>
                  <w:vAlign w:val="bottom"/>
                </w:tcPr>
                <w:p w:rsidR="00745FEA" w:rsidRPr="00601F65" w:rsidRDefault="00745FEA" w:rsidP="00745FEA">
                  <w:pPr>
                    <w:pStyle w:val="TableBodyText"/>
                    <w:spacing w:after="20"/>
                    <w:ind w:right="57"/>
                  </w:pPr>
                  <w:r w:rsidRPr="00FC562B">
                    <w:t>120.5</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Construction</w:t>
                  </w:r>
                </w:p>
              </w:tc>
              <w:tc>
                <w:tcPr>
                  <w:tcW w:w="502" w:type="pct"/>
                  <w:vAlign w:val="bottom"/>
                </w:tcPr>
                <w:p w:rsidR="00745FEA" w:rsidRPr="00601F65" w:rsidRDefault="00745FEA" w:rsidP="00745FEA">
                  <w:pPr>
                    <w:pStyle w:val="TableBodyText"/>
                    <w:spacing w:after="20"/>
                    <w:ind w:right="57"/>
                  </w:pPr>
                  <w:r w:rsidRPr="00FC562B">
                    <w:t>18.3</w:t>
                  </w:r>
                </w:p>
              </w:tc>
              <w:tc>
                <w:tcPr>
                  <w:tcW w:w="501" w:type="pct"/>
                  <w:vAlign w:val="bottom"/>
                </w:tcPr>
                <w:p w:rsidR="00745FEA" w:rsidRPr="00601F65" w:rsidRDefault="00745FEA" w:rsidP="00745FEA">
                  <w:pPr>
                    <w:pStyle w:val="TableBodyText"/>
                    <w:spacing w:after="20"/>
                    <w:ind w:right="57"/>
                  </w:pPr>
                  <w:r w:rsidRPr="00FC562B">
                    <w:t>54.7</w:t>
                  </w:r>
                </w:p>
              </w:tc>
              <w:tc>
                <w:tcPr>
                  <w:tcW w:w="501" w:type="pct"/>
                  <w:vAlign w:val="bottom"/>
                </w:tcPr>
                <w:p w:rsidR="00745FEA" w:rsidRPr="00601F65" w:rsidRDefault="00745FEA" w:rsidP="00745FEA">
                  <w:pPr>
                    <w:pStyle w:val="TableBodyText"/>
                    <w:spacing w:after="20"/>
                    <w:ind w:right="57"/>
                  </w:pPr>
                  <w:r w:rsidRPr="00FC562B">
                    <w:t>55.5</w:t>
                  </w:r>
                </w:p>
              </w:tc>
              <w:tc>
                <w:tcPr>
                  <w:tcW w:w="499" w:type="pct"/>
                  <w:vAlign w:val="bottom"/>
                </w:tcPr>
                <w:p w:rsidR="00745FEA" w:rsidRPr="00601F65" w:rsidRDefault="00745FEA" w:rsidP="00745FEA">
                  <w:pPr>
                    <w:pStyle w:val="TableBodyText"/>
                    <w:spacing w:after="20"/>
                    <w:ind w:right="57"/>
                  </w:pPr>
                  <w:r w:rsidRPr="00FC562B">
                    <w:t>71.6</w:t>
                  </w:r>
                </w:p>
              </w:tc>
              <w:tc>
                <w:tcPr>
                  <w:tcW w:w="499" w:type="pct"/>
                  <w:shd w:val="clear" w:color="auto" w:fill="auto"/>
                  <w:vAlign w:val="bottom"/>
                </w:tcPr>
                <w:p w:rsidR="00745FEA" w:rsidRPr="00601F65" w:rsidRDefault="00745FEA" w:rsidP="00745FEA">
                  <w:pPr>
                    <w:pStyle w:val="TableBodyText"/>
                    <w:spacing w:after="20"/>
                    <w:ind w:right="57"/>
                  </w:pPr>
                  <w:r w:rsidRPr="00FC562B">
                    <w:t>65.9</w:t>
                  </w:r>
                </w:p>
              </w:tc>
              <w:tc>
                <w:tcPr>
                  <w:tcW w:w="496" w:type="pct"/>
                  <w:shd w:val="clear" w:color="auto" w:fill="auto"/>
                  <w:vAlign w:val="bottom"/>
                </w:tcPr>
                <w:p w:rsidR="00745FEA" w:rsidRPr="00601F65" w:rsidRDefault="00745FEA" w:rsidP="00745FEA">
                  <w:pPr>
                    <w:pStyle w:val="TableBodyText"/>
                    <w:spacing w:after="20"/>
                    <w:ind w:right="57"/>
                  </w:pPr>
                  <w:r w:rsidRPr="00FC562B">
                    <w:t>81.6</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Wholesale trade</w:t>
                  </w:r>
                </w:p>
              </w:tc>
              <w:tc>
                <w:tcPr>
                  <w:tcW w:w="502" w:type="pct"/>
                  <w:vAlign w:val="bottom"/>
                </w:tcPr>
                <w:p w:rsidR="00745FEA" w:rsidRPr="00601F65" w:rsidRDefault="00745FEA" w:rsidP="00745FEA">
                  <w:pPr>
                    <w:pStyle w:val="TableBodyText"/>
                    <w:spacing w:after="20"/>
                    <w:ind w:right="57"/>
                  </w:pPr>
                  <w:r w:rsidRPr="00FC562B">
                    <w:t>38.6</w:t>
                  </w:r>
                </w:p>
              </w:tc>
              <w:tc>
                <w:tcPr>
                  <w:tcW w:w="501" w:type="pct"/>
                  <w:vAlign w:val="bottom"/>
                </w:tcPr>
                <w:p w:rsidR="00745FEA" w:rsidRPr="00601F65" w:rsidRDefault="00745FEA" w:rsidP="00745FEA">
                  <w:pPr>
                    <w:pStyle w:val="TableBodyText"/>
                    <w:spacing w:after="20"/>
                    <w:ind w:right="57"/>
                  </w:pPr>
                  <w:r w:rsidRPr="00FC562B">
                    <w:t>66.5</w:t>
                  </w:r>
                </w:p>
              </w:tc>
              <w:tc>
                <w:tcPr>
                  <w:tcW w:w="501" w:type="pct"/>
                  <w:vAlign w:val="bottom"/>
                </w:tcPr>
                <w:p w:rsidR="00745FEA" w:rsidRPr="00601F65" w:rsidRDefault="00745FEA" w:rsidP="00745FEA">
                  <w:pPr>
                    <w:pStyle w:val="TableBodyText"/>
                    <w:spacing w:after="20"/>
                    <w:ind w:right="57"/>
                  </w:pPr>
                  <w:r w:rsidRPr="00FC562B">
                    <w:t>61.0</w:t>
                  </w:r>
                </w:p>
              </w:tc>
              <w:tc>
                <w:tcPr>
                  <w:tcW w:w="499" w:type="pct"/>
                  <w:vAlign w:val="bottom"/>
                </w:tcPr>
                <w:p w:rsidR="00745FEA" w:rsidRPr="00601F65" w:rsidRDefault="00745FEA" w:rsidP="00745FEA">
                  <w:pPr>
                    <w:pStyle w:val="TableBodyText"/>
                    <w:spacing w:after="20"/>
                    <w:ind w:right="57"/>
                  </w:pPr>
                  <w:r w:rsidRPr="00FC562B">
                    <w:t>80.8</w:t>
                  </w:r>
                </w:p>
              </w:tc>
              <w:tc>
                <w:tcPr>
                  <w:tcW w:w="499" w:type="pct"/>
                  <w:shd w:val="clear" w:color="auto" w:fill="auto"/>
                  <w:vAlign w:val="bottom"/>
                </w:tcPr>
                <w:p w:rsidR="00745FEA" w:rsidRPr="00601F65" w:rsidRDefault="00745FEA" w:rsidP="00745FEA">
                  <w:pPr>
                    <w:pStyle w:val="TableBodyText"/>
                    <w:spacing w:after="20"/>
                    <w:ind w:right="57"/>
                  </w:pPr>
                  <w:r w:rsidRPr="00FC562B">
                    <w:t>84.8</w:t>
                  </w:r>
                </w:p>
              </w:tc>
              <w:tc>
                <w:tcPr>
                  <w:tcW w:w="496" w:type="pct"/>
                  <w:shd w:val="clear" w:color="auto" w:fill="auto"/>
                  <w:vAlign w:val="bottom"/>
                </w:tcPr>
                <w:p w:rsidR="00745FEA" w:rsidRPr="00601F65" w:rsidRDefault="00745FEA" w:rsidP="00745FEA">
                  <w:pPr>
                    <w:pStyle w:val="TableBodyText"/>
                    <w:spacing w:after="20"/>
                    <w:ind w:right="57"/>
                  </w:pPr>
                  <w:r w:rsidRPr="00FC562B">
                    <w:t>103.2</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Retail trade</w:t>
                  </w:r>
                </w:p>
              </w:tc>
              <w:tc>
                <w:tcPr>
                  <w:tcW w:w="502" w:type="pct"/>
                  <w:vAlign w:val="bottom"/>
                </w:tcPr>
                <w:p w:rsidR="00745FEA" w:rsidRPr="00601F65" w:rsidRDefault="00745FEA" w:rsidP="00745FEA">
                  <w:pPr>
                    <w:pStyle w:val="TableBodyText"/>
                    <w:spacing w:after="20"/>
                    <w:ind w:right="57"/>
                  </w:pPr>
                  <w:r w:rsidRPr="00FC562B">
                    <w:t>32.2</w:t>
                  </w:r>
                </w:p>
              </w:tc>
              <w:tc>
                <w:tcPr>
                  <w:tcW w:w="501" w:type="pct"/>
                  <w:vAlign w:val="bottom"/>
                </w:tcPr>
                <w:p w:rsidR="00745FEA" w:rsidRPr="00601F65" w:rsidRDefault="00745FEA" w:rsidP="00745FEA">
                  <w:pPr>
                    <w:pStyle w:val="TableBodyText"/>
                    <w:spacing w:after="20"/>
                    <w:ind w:right="57"/>
                  </w:pPr>
                  <w:r w:rsidRPr="00FC562B">
                    <w:t>30.3</w:t>
                  </w:r>
                </w:p>
              </w:tc>
              <w:tc>
                <w:tcPr>
                  <w:tcW w:w="501" w:type="pct"/>
                  <w:vAlign w:val="bottom"/>
                </w:tcPr>
                <w:p w:rsidR="00745FEA" w:rsidRPr="00601F65" w:rsidRDefault="00745FEA" w:rsidP="00745FEA">
                  <w:pPr>
                    <w:pStyle w:val="TableBodyText"/>
                    <w:spacing w:after="20"/>
                    <w:ind w:right="57"/>
                  </w:pPr>
                  <w:r w:rsidRPr="00FC562B">
                    <w:t>24.5</w:t>
                  </w:r>
                </w:p>
              </w:tc>
              <w:tc>
                <w:tcPr>
                  <w:tcW w:w="499" w:type="pct"/>
                  <w:vAlign w:val="bottom"/>
                </w:tcPr>
                <w:p w:rsidR="00745FEA" w:rsidRPr="00601F65" w:rsidRDefault="00745FEA" w:rsidP="00745FEA">
                  <w:pPr>
                    <w:pStyle w:val="TableBodyText"/>
                    <w:spacing w:after="20"/>
                    <w:ind w:right="57"/>
                  </w:pPr>
                  <w:r w:rsidRPr="00FC562B">
                    <w:t>34.0</w:t>
                  </w:r>
                </w:p>
              </w:tc>
              <w:tc>
                <w:tcPr>
                  <w:tcW w:w="499" w:type="pct"/>
                  <w:shd w:val="clear" w:color="auto" w:fill="auto"/>
                  <w:vAlign w:val="bottom"/>
                </w:tcPr>
                <w:p w:rsidR="00745FEA" w:rsidRPr="00601F65" w:rsidRDefault="00745FEA" w:rsidP="00745FEA">
                  <w:pPr>
                    <w:pStyle w:val="TableBodyText"/>
                    <w:spacing w:after="20"/>
                    <w:ind w:right="57"/>
                  </w:pPr>
                  <w:r w:rsidRPr="00FC562B">
                    <w:t>37.2</w:t>
                  </w:r>
                </w:p>
              </w:tc>
              <w:tc>
                <w:tcPr>
                  <w:tcW w:w="496" w:type="pct"/>
                  <w:shd w:val="clear" w:color="auto" w:fill="auto"/>
                  <w:vAlign w:val="bottom"/>
                </w:tcPr>
                <w:p w:rsidR="00745FEA" w:rsidRPr="00601F65" w:rsidRDefault="00745FEA" w:rsidP="00745FEA">
                  <w:pPr>
                    <w:pStyle w:val="TableBodyText"/>
                    <w:spacing w:after="20"/>
                    <w:ind w:right="57"/>
                  </w:pPr>
                  <w:r w:rsidRPr="00FC562B">
                    <w:t>46.6</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Accommodation &amp; food services</w:t>
                  </w:r>
                </w:p>
              </w:tc>
              <w:tc>
                <w:tcPr>
                  <w:tcW w:w="502" w:type="pct"/>
                  <w:vAlign w:val="bottom"/>
                </w:tcPr>
                <w:p w:rsidR="00745FEA" w:rsidRPr="00601F65" w:rsidRDefault="00745FEA" w:rsidP="00745FEA">
                  <w:pPr>
                    <w:pStyle w:val="TableBodyText"/>
                    <w:spacing w:after="20"/>
                    <w:ind w:right="57"/>
                  </w:pPr>
                  <w:r w:rsidRPr="00FC562B">
                    <w:t>4.6</w:t>
                  </w:r>
                </w:p>
              </w:tc>
              <w:tc>
                <w:tcPr>
                  <w:tcW w:w="501" w:type="pct"/>
                  <w:vAlign w:val="bottom"/>
                </w:tcPr>
                <w:p w:rsidR="00745FEA" w:rsidRPr="00601F65" w:rsidRDefault="00745FEA" w:rsidP="00745FEA">
                  <w:pPr>
                    <w:pStyle w:val="TableBodyText"/>
                    <w:spacing w:after="20"/>
                    <w:ind w:right="57"/>
                  </w:pPr>
                  <w:r w:rsidRPr="00FC562B">
                    <w:t>6.5</w:t>
                  </w:r>
                </w:p>
              </w:tc>
              <w:tc>
                <w:tcPr>
                  <w:tcW w:w="501" w:type="pct"/>
                  <w:vAlign w:val="bottom"/>
                </w:tcPr>
                <w:p w:rsidR="00745FEA" w:rsidRPr="00601F65" w:rsidRDefault="00745FEA" w:rsidP="00745FEA">
                  <w:pPr>
                    <w:pStyle w:val="TableBodyText"/>
                    <w:spacing w:after="20"/>
                    <w:ind w:right="57"/>
                  </w:pPr>
                  <w:r w:rsidRPr="00FC562B">
                    <w:t>5.9</w:t>
                  </w:r>
                </w:p>
              </w:tc>
              <w:tc>
                <w:tcPr>
                  <w:tcW w:w="499" w:type="pct"/>
                  <w:vAlign w:val="bottom"/>
                </w:tcPr>
                <w:p w:rsidR="00745FEA" w:rsidRPr="00601F65" w:rsidRDefault="00745FEA" w:rsidP="00745FEA">
                  <w:pPr>
                    <w:pStyle w:val="TableBodyText"/>
                    <w:spacing w:after="20"/>
                    <w:ind w:right="57"/>
                  </w:pPr>
                  <w:r w:rsidRPr="00FC562B">
                    <w:t>8.5</w:t>
                  </w:r>
                </w:p>
              </w:tc>
              <w:tc>
                <w:tcPr>
                  <w:tcW w:w="499" w:type="pct"/>
                  <w:shd w:val="clear" w:color="auto" w:fill="auto"/>
                  <w:vAlign w:val="bottom"/>
                </w:tcPr>
                <w:p w:rsidR="00745FEA" w:rsidRPr="00601F65" w:rsidRDefault="00745FEA" w:rsidP="00745FEA">
                  <w:pPr>
                    <w:pStyle w:val="TableBodyText"/>
                    <w:spacing w:after="20"/>
                    <w:ind w:right="57"/>
                  </w:pPr>
                  <w:r w:rsidRPr="00FC562B">
                    <w:t>9.1</w:t>
                  </w:r>
                </w:p>
              </w:tc>
              <w:tc>
                <w:tcPr>
                  <w:tcW w:w="496" w:type="pct"/>
                  <w:shd w:val="clear" w:color="auto" w:fill="auto"/>
                  <w:vAlign w:val="bottom"/>
                </w:tcPr>
                <w:p w:rsidR="00745FEA" w:rsidRPr="00601F65" w:rsidRDefault="00745FEA" w:rsidP="00745FEA">
                  <w:pPr>
                    <w:pStyle w:val="TableBodyText"/>
                    <w:spacing w:after="20"/>
                    <w:ind w:right="57"/>
                  </w:pPr>
                  <w:r w:rsidRPr="00FC562B">
                    <w:t>8.7</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Transport, postal &amp; warehousing</w:t>
                  </w:r>
                </w:p>
              </w:tc>
              <w:tc>
                <w:tcPr>
                  <w:tcW w:w="502" w:type="pct"/>
                  <w:vAlign w:val="bottom"/>
                </w:tcPr>
                <w:p w:rsidR="00745FEA" w:rsidRPr="00601F65" w:rsidRDefault="00745FEA" w:rsidP="00745FEA">
                  <w:pPr>
                    <w:pStyle w:val="TableBodyText"/>
                    <w:spacing w:after="20"/>
                    <w:ind w:right="57"/>
                  </w:pPr>
                  <w:r w:rsidRPr="00FC562B">
                    <w:t>57.9</w:t>
                  </w:r>
                </w:p>
              </w:tc>
              <w:tc>
                <w:tcPr>
                  <w:tcW w:w="501" w:type="pct"/>
                  <w:vAlign w:val="bottom"/>
                </w:tcPr>
                <w:p w:rsidR="00745FEA" w:rsidRPr="00601F65" w:rsidRDefault="00745FEA" w:rsidP="00745FEA">
                  <w:pPr>
                    <w:pStyle w:val="TableBodyText"/>
                    <w:spacing w:after="20"/>
                    <w:ind w:right="57"/>
                  </w:pPr>
                  <w:r w:rsidRPr="00FC562B">
                    <w:t>49.7</w:t>
                  </w:r>
                </w:p>
              </w:tc>
              <w:tc>
                <w:tcPr>
                  <w:tcW w:w="501" w:type="pct"/>
                  <w:vAlign w:val="bottom"/>
                </w:tcPr>
                <w:p w:rsidR="00745FEA" w:rsidRPr="00601F65" w:rsidRDefault="00745FEA" w:rsidP="00745FEA">
                  <w:pPr>
                    <w:pStyle w:val="TableBodyText"/>
                    <w:spacing w:after="20"/>
                    <w:ind w:right="57"/>
                  </w:pPr>
                  <w:r w:rsidRPr="00FC562B">
                    <w:t>53.3</w:t>
                  </w:r>
                </w:p>
              </w:tc>
              <w:tc>
                <w:tcPr>
                  <w:tcW w:w="499" w:type="pct"/>
                  <w:vAlign w:val="bottom"/>
                </w:tcPr>
                <w:p w:rsidR="00745FEA" w:rsidRPr="00601F65" w:rsidRDefault="00745FEA" w:rsidP="00745FEA">
                  <w:pPr>
                    <w:pStyle w:val="TableBodyText"/>
                    <w:spacing w:after="20"/>
                    <w:ind w:right="57"/>
                  </w:pPr>
                  <w:r w:rsidRPr="00FC562B">
                    <w:t>63.0</w:t>
                  </w:r>
                </w:p>
              </w:tc>
              <w:tc>
                <w:tcPr>
                  <w:tcW w:w="499" w:type="pct"/>
                  <w:shd w:val="clear" w:color="auto" w:fill="auto"/>
                  <w:vAlign w:val="bottom"/>
                </w:tcPr>
                <w:p w:rsidR="00745FEA" w:rsidRPr="00601F65" w:rsidRDefault="00745FEA" w:rsidP="00745FEA">
                  <w:pPr>
                    <w:pStyle w:val="TableBodyText"/>
                    <w:spacing w:after="20"/>
                    <w:ind w:right="57"/>
                  </w:pPr>
                  <w:r w:rsidRPr="00FC562B">
                    <w:t>66.4</w:t>
                  </w:r>
                </w:p>
              </w:tc>
              <w:tc>
                <w:tcPr>
                  <w:tcW w:w="496" w:type="pct"/>
                  <w:shd w:val="clear" w:color="auto" w:fill="auto"/>
                  <w:vAlign w:val="bottom"/>
                </w:tcPr>
                <w:p w:rsidR="00745FEA" w:rsidRPr="00601F65" w:rsidRDefault="00745FEA" w:rsidP="00745FEA">
                  <w:pPr>
                    <w:pStyle w:val="TableBodyText"/>
                    <w:spacing w:after="20"/>
                    <w:ind w:right="57"/>
                  </w:pPr>
                  <w:r w:rsidRPr="00FC562B">
                    <w:t>79.8</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Information &amp; telecommunications</w:t>
                  </w:r>
                </w:p>
              </w:tc>
              <w:tc>
                <w:tcPr>
                  <w:tcW w:w="502" w:type="pct"/>
                  <w:vAlign w:val="bottom"/>
                </w:tcPr>
                <w:p w:rsidR="00745FEA" w:rsidRPr="00601F65" w:rsidRDefault="00745FEA" w:rsidP="00745FEA">
                  <w:pPr>
                    <w:pStyle w:val="TableBodyText"/>
                    <w:spacing w:after="20"/>
                    <w:ind w:right="57"/>
                  </w:pPr>
                  <w:r w:rsidRPr="00FC562B">
                    <w:t>88.0</w:t>
                  </w:r>
                </w:p>
              </w:tc>
              <w:tc>
                <w:tcPr>
                  <w:tcW w:w="501" w:type="pct"/>
                  <w:vAlign w:val="bottom"/>
                </w:tcPr>
                <w:p w:rsidR="00745FEA" w:rsidRPr="00601F65" w:rsidRDefault="00745FEA" w:rsidP="00745FEA">
                  <w:pPr>
                    <w:pStyle w:val="TableBodyText"/>
                    <w:spacing w:after="20"/>
                    <w:ind w:right="57"/>
                  </w:pPr>
                  <w:r w:rsidRPr="00FC562B">
                    <w:t>172.0</w:t>
                  </w:r>
                </w:p>
              </w:tc>
              <w:tc>
                <w:tcPr>
                  <w:tcW w:w="501" w:type="pct"/>
                  <w:vAlign w:val="bottom"/>
                </w:tcPr>
                <w:p w:rsidR="00745FEA" w:rsidRPr="00601F65" w:rsidRDefault="00745FEA" w:rsidP="00745FEA">
                  <w:pPr>
                    <w:pStyle w:val="TableBodyText"/>
                    <w:spacing w:after="20"/>
                    <w:ind w:right="57"/>
                  </w:pPr>
                  <w:r w:rsidRPr="00FC562B">
                    <w:t>173.9</w:t>
                  </w:r>
                </w:p>
              </w:tc>
              <w:tc>
                <w:tcPr>
                  <w:tcW w:w="499" w:type="pct"/>
                  <w:vAlign w:val="bottom"/>
                </w:tcPr>
                <w:p w:rsidR="00745FEA" w:rsidRPr="00601F65" w:rsidRDefault="00745FEA" w:rsidP="00745FEA">
                  <w:pPr>
                    <w:pStyle w:val="TableBodyText"/>
                    <w:spacing w:after="20"/>
                    <w:ind w:right="57"/>
                  </w:pPr>
                  <w:r w:rsidRPr="00FC562B">
                    <w:t>203.0</w:t>
                  </w:r>
                </w:p>
              </w:tc>
              <w:tc>
                <w:tcPr>
                  <w:tcW w:w="499" w:type="pct"/>
                  <w:shd w:val="clear" w:color="auto" w:fill="auto"/>
                  <w:vAlign w:val="bottom"/>
                </w:tcPr>
                <w:p w:rsidR="00745FEA" w:rsidRPr="00601F65" w:rsidRDefault="00745FEA" w:rsidP="00745FEA">
                  <w:pPr>
                    <w:pStyle w:val="TableBodyText"/>
                    <w:spacing w:after="20"/>
                    <w:ind w:right="57"/>
                  </w:pPr>
                  <w:r w:rsidRPr="00FC562B">
                    <w:t>197.8</w:t>
                  </w:r>
                </w:p>
              </w:tc>
              <w:tc>
                <w:tcPr>
                  <w:tcW w:w="496" w:type="pct"/>
                  <w:shd w:val="clear" w:color="auto" w:fill="auto"/>
                  <w:vAlign w:val="bottom"/>
                </w:tcPr>
                <w:p w:rsidR="00745FEA" w:rsidRPr="00601F65" w:rsidRDefault="00745FEA" w:rsidP="00745FEA">
                  <w:pPr>
                    <w:pStyle w:val="TableBodyText"/>
                    <w:spacing w:after="20"/>
                    <w:ind w:right="57"/>
                  </w:pPr>
                  <w:r w:rsidRPr="00FC562B">
                    <w:t>350.9</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Financial and insurance services</w:t>
                  </w:r>
                </w:p>
              </w:tc>
              <w:tc>
                <w:tcPr>
                  <w:tcW w:w="502" w:type="pct"/>
                  <w:vAlign w:val="bottom"/>
                </w:tcPr>
                <w:p w:rsidR="00745FEA" w:rsidRPr="00601F65" w:rsidRDefault="00745FEA" w:rsidP="00745FEA">
                  <w:pPr>
                    <w:pStyle w:val="TableBodyText"/>
                    <w:spacing w:after="20"/>
                    <w:ind w:right="57"/>
                  </w:pPr>
                  <w:r w:rsidRPr="00FC562B">
                    <w:t>137.2</w:t>
                  </w:r>
                </w:p>
              </w:tc>
              <w:tc>
                <w:tcPr>
                  <w:tcW w:w="501" w:type="pct"/>
                  <w:vAlign w:val="bottom"/>
                </w:tcPr>
                <w:p w:rsidR="00745FEA" w:rsidRPr="00601F65" w:rsidRDefault="00745FEA" w:rsidP="00745FEA">
                  <w:pPr>
                    <w:pStyle w:val="TableBodyText"/>
                    <w:spacing w:after="20"/>
                    <w:ind w:right="57"/>
                  </w:pPr>
                  <w:r w:rsidRPr="00FC562B">
                    <w:t>85.2</w:t>
                  </w:r>
                </w:p>
              </w:tc>
              <w:tc>
                <w:tcPr>
                  <w:tcW w:w="501" w:type="pct"/>
                  <w:vAlign w:val="bottom"/>
                </w:tcPr>
                <w:p w:rsidR="00745FEA" w:rsidRPr="00601F65" w:rsidRDefault="00745FEA" w:rsidP="00745FEA">
                  <w:pPr>
                    <w:pStyle w:val="TableBodyText"/>
                    <w:spacing w:after="20"/>
                    <w:ind w:right="57"/>
                  </w:pPr>
                  <w:r w:rsidRPr="00FC562B">
                    <w:t>84.5</w:t>
                  </w:r>
                </w:p>
              </w:tc>
              <w:tc>
                <w:tcPr>
                  <w:tcW w:w="499" w:type="pct"/>
                  <w:vAlign w:val="bottom"/>
                </w:tcPr>
                <w:p w:rsidR="00745FEA" w:rsidRPr="00601F65" w:rsidRDefault="00745FEA" w:rsidP="00745FEA">
                  <w:pPr>
                    <w:pStyle w:val="TableBodyText"/>
                    <w:spacing w:after="20"/>
                    <w:ind w:right="57"/>
                  </w:pPr>
                  <w:r w:rsidRPr="00FC562B">
                    <w:t>114.0</w:t>
                  </w:r>
                </w:p>
              </w:tc>
              <w:tc>
                <w:tcPr>
                  <w:tcW w:w="499" w:type="pct"/>
                  <w:shd w:val="clear" w:color="auto" w:fill="auto"/>
                  <w:vAlign w:val="bottom"/>
                </w:tcPr>
                <w:p w:rsidR="00745FEA" w:rsidRPr="00601F65" w:rsidRDefault="00745FEA" w:rsidP="00745FEA">
                  <w:pPr>
                    <w:pStyle w:val="TableBodyText"/>
                    <w:spacing w:after="20"/>
                    <w:ind w:right="57"/>
                  </w:pPr>
                  <w:r w:rsidRPr="00FC562B">
                    <w:t>129.5</w:t>
                  </w:r>
                </w:p>
              </w:tc>
              <w:tc>
                <w:tcPr>
                  <w:tcW w:w="496" w:type="pct"/>
                  <w:shd w:val="clear" w:color="auto" w:fill="auto"/>
                  <w:vAlign w:val="bottom"/>
                </w:tcPr>
                <w:p w:rsidR="00745FEA" w:rsidRPr="00601F65" w:rsidRDefault="00745FEA" w:rsidP="00745FEA">
                  <w:pPr>
                    <w:pStyle w:val="TableBodyText"/>
                    <w:spacing w:after="20"/>
                    <w:ind w:right="57"/>
                  </w:pPr>
                  <w:r w:rsidRPr="00FC562B">
                    <w:t>135.4</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Property, professional &amp; admin.</w:t>
                  </w:r>
                </w:p>
              </w:tc>
              <w:tc>
                <w:tcPr>
                  <w:tcW w:w="502" w:type="pct"/>
                  <w:vAlign w:val="bottom"/>
                </w:tcPr>
                <w:p w:rsidR="00745FEA" w:rsidRPr="00601F65" w:rsidRDefault="00745FEA" w:rsidP="00745FEA">
                  <w:pPr>
                    <w:pStyle w:val="TableBodyText"/>
                    <w:spacing w:after="20"/>
                    <w:ind w:right="57"/>
                  </w:pPr>
                  <w:r w:rsidRPr="00FC562B">
                    <w:t>328.6</w:t>
                  </w:r>
                </w:p>
              </w:tc>
              <w:tc>
                <w:tcPr>
                  <w:tcW w:w="501" w:type="pct"/>
                  <w:vAlign w:val="bottom"/>
                </w:tcPr>
                <w:p w:rsidR="00745FEA" w:rsidRPr="00601F65" w:rsidRDefault="00745FEA" w:rsidP="00745FEA">
                  <w:pPr>
                    <w:pStyle w:val="TableBodyText"/>
                    <w:spacing w:after="20"/>
                    <w:ind w:right="57"/>
                  </w:pPr>
                  <w:r w:rsidRPr="00FC562B">
                    <w:t>761.7</w:t>
                  </w:r>
                </w:p>
              </w:tc>
              <w:tc>
                <w:tcPr>
                  <w:tcW w:w="501" w:type="pct"/>
                  <w:vAlign w:val="bottom"/>
                </w:tcPr>
                <w:p w:rsidR="00745FEA" w:rsidRPr="00601F65" w:rsidRDefault="00745FEA" w:rsidP="00745FEA">
                  <w:pPr>
                    <w:pStyle w:val="TableBodyText"/>
                    <w:spacing w:after="20"/>
                    <w:ind w:right="57"/>
                  </w:pPr>
                  <w:r w:rsidRPr="00FC562B">
                    <w:t>733.3</w:t>
                  </w:r>
                </w:p>
              </w:tc>
              <w:tc>
                <w:tcPr>
                  <w:tcW w:w="499" w:type="pct"/>
                  <w:vAlign w:val="bottom"/>
                </w:tcPr>
                <w:p w:rsidR="00745FEA" w:rsidRPr="00601F65" w:rsidRDefault="00745FEA" w:rsidP="00745FEA">
                  <w:pPr>
                    <w:pStyle w:val="TableBodyText"/>
                    <w:spacing w:after="20"/>
                    <w:ind w:right="57"/>
                  </w:pPr>
                  <w:r w:rsidRPr="00FC562B">
                    <w:t>948.6</w:t>
                  </w:r>
                </w:p>
              </w:tc>
              <w:tc>
                <w:tcPr>
                  <w:tcW w:w="499" w:type="pct"/>
                  <w:shd w:val="clear" w:color="auto" w:fill="auto"/>
                  <w:vAlign w:val="bottom"/>
                </w:tcPr>
                <w:p w:rsidR="00745FEA" w:rsidRPr="00601F65" w:rsidRDefault="00745FEA" w:rsidP="00745FEA">
                  <w:pPr>
                    <w:pStyle w:val="TableBodyText"/>
                    <w:spacing w:after="20"/>
                    <w:ind w:right="57"/>
                  </w:pPr>
                  <w:r w:rsidRPr="00FC562B">
                    <w:t>1019.8</w:t>
                  </w:r>
                </w:p>
              </w:tc>
              <w:tc>
                <w:tcPr>
                  <w:tcW w:w="496" w:type="pct"/>
                  <w:shd w:val="clear" w:color="auto" w:fill="auto"/>
                  <w:vAlign w:val="bottom"/>
                </w:tcPr>
                <w:p w:rsidR="00745FEA" w:rsidRPr="00601F65" w:rsidRDefault="00745FEA" w:rsidP="00745FEA">
                  <w:pPr>
                    <w:pStyle w:val="TableBodyText"/>
                    <w:spacing w:after="20"/>
                    <w:ind w:right="57"/>
                  </w:pPr>
                  <w:r w:rsidRPr="00FC562B">
                    <w:t>1234.4</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Public administration and safety</w:t>
                  </w:r>
                </w:p>
              </w:tc>
              <w:tc>
                <w:tcPr>
                  <w:tcW w:w="502" w:type="pct"/>
                  <w:vAlign w:val="bottom"/>
                </w:tcPr>
                <w:p w:rsidR="00745FEA" w:rsidRPr="00601F65" w:rsidRDefault="00745FEA" w:rsidP="00745FEA">
                  <w:pPr>
                    <w:pStyle w:val="TableBodyText"/>
                    <w:spacing w:after="20"/>
                    <w:ind w:right="57"/>
                  </w:pPr>
                  <w:r w:rsidRPr="00FC562B">
                    <w:t>10.6</w:t>
                  </w:r>
                </w:p>
              </w:tc>
              <w:tc>
                <w:tcPr>
                  <w:tcW w:w="501" w:type="pct"/>
                  <w:vAlign w:val="bottom"/>
                </w:tcPr>
                <w:p w:rsidR="00745FEA" w:rsidRPr="00601F65" w:rsidRDefault="00745FEA" w:rsidP="00745FEA">
                  <w:pPr>
                    <w:pStyle w:val="TableBodyText"/>
                    <w:spacing w:after="20"/>
                    <w:ind w:right="57"/>
                  </w:pPr>
                  <w:r w:rsidRPr="00FC562B">
                    <w:t>10.4</w:t>
                  </w:r>
                </w:p>
              </w:tc>
              <w:tc>
                <w:tcPr>
                  <w:tcW w:w="501" w:type="pct"/>
                  <w:vAlign w:val="bottom"/>
                </w:tcPr>
                <w:p w:rsidR="00745FEA" w:rsidRPr="00601F65" w:rsidRDefault="00745FEA" w:rsidP="00745FEA">
                  <w:pPr>
                    <w:pStyle w:val="TableBodyText"/>
                    <w:spacing w:after="20"/>
                    <w:ind w:right="57"/>
                  </w:pPr>
                  <w:r w:rsidRPr="00FC562B">
                    <w:t>8.5</w:t>
                  </w:r>
                </w:p>
              </w:tc>
              <w:tc>
                <w:tcPr>
                  <w:tcW w:w="499" w:type="pct"/>
                  <w:vAlign w:val="bottom"/>
                </w:tcPr>
                <w:p w:rsidR="00745FEA" w:rsidRPr="00601F65" w:rsidRDefault="00745FEA" w:rsidP="00745FEA">
                  <w:pPr>
                    <w:pStyle w:val="TableBodyText"/>
                    <w:spacing w:after="20"/>
                    <w:ind w:right="57"/>
                  </w:pPr>
                  <w:r w:rsidRPr="00FC562B">
                    <w:t>15.8</w:t>
                  </w:r>
                </w:p>
              </w:tc>
              <w:tc>
                <w:tcPr>
                  <w:tcW w:w="499" w:type="pct"/>
                  <w:shd w:val="clear" w:color="auto" w:fill="auto"/>
                  <w:vAlign w:val="bottom"/>
                </w:tcPr>
                <w:p w:rsidR="00745FEA" w:rsidRPr="00601F65" w:rsidRDefault="00745FEA" w:rsidP="00745FEA">
                  <w:pPr>
                    <w:pStyle w:val="TableBodyText"/>
                    <w:spacing w:after="20"/>
                    <w:ind w:right="57"/>
                  </w:pPr>
                  <w:r w:rsidRPr="00FC562B">
                    <w:t>16.8</w:t>
                  </w:r>
                </w:p>
              </w:tc>
              <w:tc>
                <w:tcPr>
                  <w:tcW w:w="496" w:type="pct"/>
                  <w:shd w:val="clear" w:color="auto" w:fill="auto"/>
                  <w:vAlign w:val="bottom"/>
                </w:tcPr>
                <w:p w:rsidR="00745FEA" w:rsidRPr="00601F65" w:rsidRDefault="00745FEA" w:rsidP="00745FEA">
                  <w:pPr>
                    <w:pStyle w:val="TableBodyText"/>
                    <w:spacing w:after="20"/>
                    <w:ind w:right="57"/>
                  </w:pPr>
                  <w:r w:rsidRPr="00FC562B">
                    <w:t>21.6</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Education and training</w:t>
                  </w:r>
                </w:p>
              </w:tc>
              <w:tc>
                <w:tcPr>
                  <w:tcW w:w="502" w:type="pct"/>
                  <w:vAlign w:val="bottom"/>
                </w:tcPr>
                <w:p w:rsidR="00745FEA" w:rsidRPr="00601F65" w:rsidRDefault="00745FEA" w:rsidP="00745FEA">
                  <w:pPr>
                    <w:pStyle w:val="TableBodyText"/>
                    <w:spacing w:after="20"/>
                    <w:ind w:right="57"/>
                  </w:pPr>
                  <w:r w:rsidRPr="00FC562B">
                    <w:t>18.6</w:t>
                  </w:r>
                </w:p>
              </w:tc>
              <w:tc>
                <w:tcPr>
                  <w:tcW w:w="501" w:type="pct"/>
                  <w:vAlign w:val="bottom"/>
                </w:tcPr>
                <w:p w:rsidR="00745FEA" w:rsidRPr="00601F65" w:rsidRDefault="00745FEA" w:rsidP="00745FEA">
                  <w:pPr>
                    <w:pStyle w:val="TableBodyText"/>
                    <w:spacing w:after="20"/>
                    <w:ind w:right="57"/>
                  </w:pPr>
                  <w:r w:rsidRPr="00FC562B">
                    <w:t>21.7</w:t>
                  </w:r>
                </w:p>
              </w:tc>
              <w:tc>
                <w:tcPr>
                  <w:tcW w:w="501" w:type="pct"/>
                  <w:vAlign w:val="bottom"/>
                </w:tcPr>
                <w:p w:rsidR="00745FEA" w:rsidRPr="00601F65" w:rsidRDefault="00745FEA" w:rsidP="00745FEA">
                  <w:pPr>
                    <w:pStyle w:val="TableBodyText"/>
                    <w:spacing w:after="20"/>
                    <w:ind w:right="57"/>
                  </w:pPr>
                  <w:r w:rsidRPr="00FC562B">
                    <w:t>19.8</w:t>
                  </w:r>
                </w:p>
              </w:tc>
              <w:tc>
                <w:tcPr>
                  <w:tcW w:w="499" w:type="pct"/>
                  <w:vAlign w:val="bottom"/>
                </w:tcPr>
                <w:p w:rsidR="00745FEA" w:rsidRPr="00601F65" w:rsidRDefault="00745FEA" w:rsidP="00745FEA">
                  <w:pPr>
                    <w:pStyle w:val="TableBodyText"/>
                    <w:spacing w:after="20"/>
                    <w:ind w:right="57"/>
                  </w:pPr>
                  <w:r w:rsidRPr="00FC562B">
                    <w:t>22.5</w:t>
                  </w:r>
                </w:p>
              </w:tc>
              <w:tc>
                <w:tcPr>
                  <w:tcW w:w="499" w:type="pct"/>
                  <w:shd w:val="clear" w:color="auto" w:fill="auto"/>
                  <w:vAlign w:val="bottom"/>
                </w:tcPr>
                <w:p w:rsidR="00745FEA" w:rsidRPr="00601F65" w:rsidRDefault="00745FEA" w:rsidP="00745FEA">
                  <w:pPr>
                    <w:pStyle w:val="TableBodyText"/>
                    <w:spacing w:after="20"/>
                    <w:ind w:right="57"/>
                  </w:pPr>
                  <w:r w:rsidRPr="00FC562B">
                    <w:t>22.9</w:t>
                  </w:r>
                </w:p>
              </w:tc>
              <w:tc>
                <w:tcPr>
                  <w:tcW w:w="496" w:type="pct"/>
                  <w:shd w:val="clear" w:color="auto" w:fill="auto"/>
                  <w:vAlign w:val="bottom"/>
                </w:tcPr>
                <w:p w:rsidR="00745FEA" w:rsidRPr="00601F65" w:rsidRDefault="00745FEA" w:rsidP="00745FEA">
                  <w:pPr>
                    <w:pStyle w:val="TableBodyText"/>
                    <w:spacing w:after="20"/>
                    <w:ind w:right="57"/>
                  </w:pPr>
                  <w:r w:rsidRPr="00FC562B">
                    <w:t>26.8</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Health care and social assistance</w:t>
                  </w:r>
                </w:p>
              </w:tc>
              <w:tc>
                <w:tcPr>
                  <w:tcW w:w="502" w:type="pct"/>
                  <w:vAlign w:val="bottom"/>
                </w:tcPr>
                <w:p w:rsidR="00745FEA" w:rsidRPr="00601F65" w:rsidRDefault="00745FEA" w:rsidP="00745FEA">
                  <w:pPr>
                    <w:pStyle w:val="TableBodyText"/>
                    <w:spacing w:after="20"/>
                    <w:ind w:right="57"/>
                  </w:pPr>
                  <w:r w:rsidRPr="00FC562B">
                    <w:t>113.5</w:t>
                  </w:r>
                </w:p>
              </w:tc>
              <w:tc>
                <w:tcPr>
                  <w:tcW w:w="501" w:type="pct"/>
                  <w:vAlign w:val="bottom"/>
                </w:tcPr>
                <w:p w:rsidR="00745FEA" w:rsidRPr="00601F65" w:rsidRDefault="00745FEA" w:rsidP="00745FEA">
                  <w:pPr>
                    <w:pStyle w:val="TableBodyText"/>
                    <w:spacing w:after="20"/>
                    <w:ind w:right="57"/>
                  </w:pPr>
                  <w:r w:rsidRPr="00FC562B">
                    <w:t>122.9</w:t>
                  </w:r>
                </w:p>
              </w:tc>
              <w:tc>
                <w:tcPr>
                  <w:tcW w:w="501" w:type="pct"/>
                  <w:vAlign w:val="bottom"/>
                </w:tcPr>
                <w:p w:rsidR="00745FEA" w:rsidRPr="00601F65" w:rsidRDefault="00745FEA" w:rsidP="00745FEA">
                  <w:pPr>
                    <w:pStyle w:val="TableBodyText"/>
                    <w:spacing w:after="20"/>
                    <w:ind w:right="57"/>
                  </w:pPr>
                  <w:r w:rsidRPr="00FC562B">
                    <w:t>133.7</w:t>
                  </w:r>
                </w:p>
              </w:tc>
              <w:tc>
                <w:tcPr>
                  <w:tcW w:w="499" w:type="pct"/>
                  <w:vAlign w:val="bottom"/>
                </w:tcPr>
                <w:p w:rsidR="00745FEA" w:rsidRPr="00601F65" w:rsidRDefault="00745FEA" w:rsidP="00745FEA">
                  <w:pPr>
                    <w:pStyle w:val="TableBodyText"/>
                    <w:spacing w:after="20"/>
                    <w:ind w:right="57"/>
                  </w:pPr>
                  <w:r w:rsidRPr="00FC562B">
                    <w:t>110.1</w:t>
                  </w:r>
                </w:p>
              </w:tc>
              <w:tc>
                <w:tcPr>
                  <w:tcW w:w="499" w:type="pct"/>
                  <w:shd w:val="clear" w:color="auto" w:fill="auto"/>
                  <w:vAlign w:val="bottom"/>
                </w:tcPr>
                <w:p w:rsidR="00745FEA" w:rsidRPr="00601F65" w:rsidRDefault="00745FEA" w:rsidP="00745FEA">
                  <w:pPr>
                    <w:pStyle w:val="TableBodyText"/>
                    <w:spacing w:after="20"/>
                    <w:ind w:right="57"/>
                  </w:pPr>
                  <w:r w:rsidRPr="00FC562B">
                    <w:t>111.5</w:t>
                  </w:r>
                </w:p>
              </w:tc>
              <w:tc>
                <w:tcPr>
                  <w:tcW w:w="496" w:type="pct"/>
                  <w:shd w:val="clear" w:color="auto" w:fill="auto"/>
                  <w:vAlign w:val="bottom"/>
                </w:tcPr>
                <w:p w:rsidR="00745FEA" w:rsidRPr="00601F65" w:rsidRDefault="00745FEA" w:rsidP="00745FEA">
                  <w:pPr>
                    <w:pStyle w:val="TableBodyText"/>
                    <w:spacing w:after="20"/>
                    <w:ind w:right="57"/>
                  </w:pPr>
                  <w:r w:rsidRPr="00FC562B">
                    <w:t>109.6</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Arts and recreation services</w:t>
                  </w:r>
                </w:p>
              </w:tc>
              <w:tc>
                <w:tcPr>
                  <w:tcW w:w="502" w:type="pct"/>
                  <w:vAlign w:val="bottom"/>
                </w:tcPr>
                <w:p w:rsidR="00745FEA" w:rsidRPr="00601F65" w:rsidRDefault="00745FEA" w:rsidP="00745FEA">
                  <w:pPr>
                    <w:pStyle w:val="TableBodyText"/>
                    <w:spacing w:after="20"/>
                    <w:ind w:right="57"/>
                  </w:pPr>
                  <w:r w:rsidRPr="00FC562B">
                    <w:t>128.8</w:t>
                  </w:r>
                </w:p>
              </w:tc>
              <w:tc>
                <w:tcPr>
                  <w:tcW w:w="501" w:type="pct"/>
                  <w:vAlign w:val="bottom"/>
                </w:tcPr>
                <w:p w:rsidR="00745FEA" w:rsidRPr="00601F65" w:rsidRDefault="00745FEA" w:rsidP="00745FEA">
                  <w:pPr>
                    <w:pStyle w:val="TableBodyText"/>
                    <w:spacing w:after="20"/>
                    <w:ind w:right="57"/>
                  </w:pPr>
                  <w:r w:rsidRPr="00FC562B">
                    <w:t>131.3</w:t>
                  </w:r>
                </w:p>
              </w:tc>
              <w:tc>
                <w:tcPr>
                  <w:tcW w:w="501" w:type="pct"/>
                  <w:vAlign w:val="bottom"/>
                </w:tcPr>
                <w:p w:rsidR="00745FEA" w:rsidRPr="00601F65" w:rsidRDefault="00745FEA" w:rsidP="00745FEA">
                  <w:pPr>
                    <w:pStyle w:val="TableBodyText"/>
                    <w:spacing w:after="20"/>
                    <w:ind w:right="57"/>
                  </w:pPr>
                  <w:r w:rsidRPr="00FC562B">
                    <w:t>134.0</w:t>
                  </w:r>
                </w:p>
              </w:tc>
              <w:tc>
                <w:tcPr>
                  <w:tcW w:w="499" w:type="pct"/>
                  <w:vAlign w:val="bottom"/>
                </w:tcPr>
                <w:p w:rsidR="00745FEA" w:rsidRPr="00601F65" w:rsidRDefault="00745FEA" w:rsidP="00745FEA">
                  <w:pPr>
                    <w:pStyle w:val="TableBodyText"/>
                    <w:spacing w:after="20"/>
                    <w:ind w:right="57"/>
                  </w:pPr>
                  <w:r w:rsidRPr="00FC562B">
                    <w:t>112.2</w:t>
                  </w:r>
                </w:p>
              </w:tc>
              <w:tc>
                <w:tcPr>
                  <w:tcW w:w="499" w:type="pct"/>
                  <w:shd w:val="clear" w:color="auto" w:fill="auto"/>
                  <w:vAlign w:val="bottom"/>
                </w:tcPr>
                <w:p w:rsidR="00745FEA" w:rsidRPr="00601F65" w:rsidRDefault="00745FEA" w:rsidP="00745FEA">
                  <w:pPr>
                    <w:pStyle w:val="TableBodyText"/>
                    <w:spacing w:after="20"/>
                    <w:ind w:right="57"/>
                  </w:pPr>
                  <w:r w:rsidRPr="00FC562B">
                    <w:t>107.0</w:t>
                  </w:r>
                </w:p>
              </w:tc>
              <w:tc>
                <w:tcPr>
                  <w:tcW w:w="496" w:type="pct"/>
                  <w:shd w:val="clear" w:color="auto" w:fill="auto"/>
                  <w:vAlign w:val="bottom"/>
                </w:tcPr>
                <w:p w:rsidR="00745FEA" w:rsidRPr="00601F65" w:rsidRDefault="00745FEA" w:rsidP="00745FEA">
                  <w:pPr>
                    <w:pStyle w:val="TableBodyText"/>
                    <w:spacing w:after="20"/>
                    <w:ind w:right="57"/>
                  </w:pPr>
                  <w:r w:rsidRPr="00FC562B">
                    <w:t>149.7</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Other services</w:t>
                  </w:r>
                </w:p>
              </w:tc>
              <w:tc>
                <w:tcPr>
                  <w:tcW w:w="502" w:type="pct"/>
                  <w:vAlign w:val="bottom"/>
                </w:tcPr>
                <w:p w:rsidR="00745FEA" w:rsidRPr="00601F65" w:rsidRDefault="00745FEA" w:rsidP="00745FEA">
                  <w:pPr>
                    <w:pStyle w:val="TableBodyText"/>
                    <w:spacing w:after="20"/>
                    <w:ind w:right="57"/>
                  </w:pPr>
                  <w:r w:rsidRPr="00FC562B">
                    <w:t>19.4</w:t>
                  </w:r>
                </w:p>
              </w:tc>
              <w:tc>
                <w:tcPr>
                  <w:tcW w:w="501" w:type="pct"/>
                  <w:vAlign w:val="bottom"/>
                </w:tcPr>
                <w:p w:rsidR="00745FEA" w:rsidRPr="00601F65" w:rsidRDefault="00745FEA" w:rsidP="00745FEA">
                  <w:pPr>
                    <w:pStyle w:val="TableBodyText"/>
                    <w:spacing w:after="20"/>
                    <w:ind w:right="57"/>
                  </w:pPr>
                  <w:r w:rsidRPr="00FC562B">
                    <w:t>25.9</w:t>
                  </w:r>
                </w:p>
              </w:tc>
              <w:tc>
                <w:tcPr>
                  <w:tcW w:w="501" w:type="pct"/>
                  <w:vAlign w:val="bottom"/>
                </w:tcPr>
                <w:p w:rsidR="00745FEA" w:rsidRPr="00601F65" w:rsidRDefault="00745FEA" w:rsidP="00745FEA">
                  <w:pPr>
                    <w:pStyle w:val="TableBodyText"/>
                    <w:spacing w:after="20"/>
                    <w:ind w:right="57"/>
                  </w:pPr>
                  <w:r w:rsidRPr="00FC562B">
                    <w:t>22.6</w:t>
                  </w:r>
                </w:p>
              </w:tc>
              <w:tc>
                <w:tcPr>
                  <w:tcW w:w="499" w:type="pct"/>
                  <w:vAlign w:val="bottom"/>
                </w:tcPr>
                <w:p w:rsidR="00745FEA" w:rsidRPr="00601F65" w:rsidRDefault="00745FEA" w:rsidP="00745FEA">
                  <w:pPr>
                    <w:pStyle w:val="TableBodyText"/>
                    <w:spacing w:after="20"/>
                    <w:ind w:right="57"/>
                  </w:pPr>
                  <w:r w:rsidRPr="00FC562B">
                    <w:t>18.1</w:t>
                  </w:r>
                </w:p>
              </w:tc>
              <w:tc>
                <w:tcPr>
                  <w:tcW w:w="499" w:type="pct"/>
                  <w:shd w:val="clear" w:color="auto" w:fill="auto"/>
                  <w:vAlign w:val="bottom"/>
                </w:tcPr>
                <w:p w:rsidR="00745FEA" w:rsidRPr="00601F65" w:rsidRDefault="00745FEA" w:rsidP="00745FEA">
                  <w:pPr>
                    <w:pStyle w:val="TableBodyText"/>
                    <w:spacing w:after="20"/>
                    <w:ind w:right="57"/>
                  </w:pPr>
                  <w:r w:rsidRPr="00FC562B">
                    <w:t>20.0</w:t>
                  </w:r>
                </w:p>
              </w:tc>
              <w:tc>
                <w:tcPr>
                  <w:tcW w:w="496" w:type="pct"/>
                  <w:shd w:val="clear" w:color="auto" w:fill="auto"/>
                  <w:vAlign w:val="bottom"/>
                </w:tcPr>
                <w:p w:rsidR="00745FEA" w:rsidRPr="00601F65" w:rsidRDefault="00745FEA" w:rsidP="00745FEA">
                  <w:pPr>
                    <w:pStyle w:val="TableBodyText"/>
                    <w:spacing w:after="20"/>
                    <w:ind w:right="57"/>
                  </w:pPr>
                  <w:r w:rsidRPr="00FC562B">
                    <w:t>22.9</w:t>
                  </w:r>
                </w:p>
              </w:tc>
            </w:tr>
            <w:tr w:rsidR="00745FEA" w:rsidTr="00745FEA">
              <w:tc>
                <w:tcPr>
                  <w:tcW w:w="2002" w:type="pct"/>
                  <w:shd w:val="clear" w:color="auto" w:fill="auto"/>
                  <w:vAlign w:val="center"/>
                </w:tcPr>
                <w:p w:rsidR="00745FEA" w:rsidRPr="002E0713" w:rsidRDefault="00745FEA" w:rsidP="00745FEA">
                  <w:pPr>
                    <w:spacing w:after="20"/>
                    <w:rPr>
                      <w:rFonts w:ascii="Arial" w:hAnsi="Arial" w:cs="Arial"/>
                      <w:sz w:val="18"/>
                      <w:szCs w:val="18"/>
                    </w:rPr>
                  </w:pPr>
                  <w:r w:rsidRPr="002E0713">
                    <w:rPr>
                      <w:rFonts w:ascii="Arial" w:hAnsi="Arial" w:cs="Arial"/>
                      <w:sz w:val="18"/>
                      <w:szCs w:val="18"/>
                    </w:rPr>
                    <w:t>Unallocated services</w:t>
                  </w:r>
                  <w:r>
                    <w:rPr>
                      <w:rStyle w:val="NoteLabel"/>
                    </w:rPr>
                    <w:t>a</w:t>
                  </w:r>
                </w:p>
              </w:tc>
              <w:tc>
                <w:tcPr>
                  <w:tcW w:w="502" w:type="pct"/>
                  <w:vAlign w:val="bottom"/>
                </w:tcPr>
                <w:p w:rsidR="00745FEA" w:rsidRPr="00601F65" w:rsidRDefault="00745FEA" w:rsidP="00745FEA">
                  <w:pPr>
                    <w:pStyle w:val="TableBodyText"/>
                    <w:ind w:right="57"/>
                  </w:pPr>
                  <w:r w:rsidRPr="00FC562B">
                    <w:t>179.0</w:t>
                  </w:r>
                </w:p>
              </w:tc>
              <w:tc>
                <w:tcPr>
                  <w:tcW w:w="501" w:type="pct"/>
                  <w:vAlign w:val="bottom"/>
                </w:tcPr>
                <w:p w:rsidR="00745FEA" w:rsidRPr="00601F65" w:rsidRDefault="00745FEA" w:rsidP="00745FEA">
                  <w:pPr>
                    <w:pStyle w:val="TableBodyText"/>
                    <w:ind w:right="57"/>
                  </w:pPr>
                  <w:r w:rsidRPr="00FC562B">
                    <w:t>170.8</w:t>
                  </w:r>
                </w:p>
              </w:tc>
              <w:tc>
                <w:tcPr>
                  <w:tcW w:w="501" w:type="pct"/>
                  <w:vAlign w:val="bottom"/>
                </w:tcPr>
                <w:p w:rsidR="00745FEA" w:rsidRPr="00601F65" w:rsidRDefault="00745FEA" w:rsidP="00745FEA">
                  <w:pPr>
                    <w:pStyle w:val="TableBodyText"/>
                    <w:ind w:right="57"/>
                  </w:pPr>
                  <w:r w:rsidRPr="00FC562B">
                    <w:t>156.8</w:t>
                  </w:r>
                </w:p>
              </w:tc>
              <w:tc>
                <w:tcPr>
                  <w:tcW w:w="499" w:type="pct"/>
                  <w:vAlign w:val="bottom"/>
                </w:tcPr>
                <w:p w:rsidR="00745FEA" w:rsidRPr="00601F65" w:rsidRDefault="00745FEA" w:rsidP="00745FEA">
                  <w:pPr>
                    <w:pStyle w:val="TableBodyText"/>
                    <w:ind w:right="57"/>
                  </w:pPr>
                  <w:r w:rsidRPr="00FC562B">
                    <w:t>138.9</w:t>
                  </w:r>
                </w:p>
              </w:tc>
              <w:tc>
                <w:tcPr>
                  <w:tcW w:w="499" w:type="pct"/>
                  <w:shd w:val="clear" w:color="auto" w:fill="auto"/>
                  <w:vAlign w:val="bottom"/>
                </w:tcPr>
                <w:p w:rsidR="00745FEA" w:rsidRPr="00601F65" w:rsidRDefault="00745FEA" w:rsidP="00745FEA">
                  <w:pPr>
                    <w:pStyle w:val="TableBodyText"/>
                    <w:ind w:right="57"/>
                  </w:pPr>
                  <w:r w:rsidRPr="00FC562B">
                    <w:t>144.1</w:t>
                  </w:r>
                </w:p>
              </w:tc>
              <w:tc>
                <w:tcPr>
                  <w:tcW w:w="496" w:type="pct"/>
                  <w:shd w:val="clear" w:color="auto" w:fill="auto"/>
                  <w:vAlign w:val="bottom"/>
                </w:tcPr>
                <w:p w:rsidR="00745FEA" w:rsidRPr="00601F65" w:rsidRDefault="00745FEA" w:rsidP="00745FEA">
                  <w:pPr>
                    <w:pStyle w:val="TableBodyText"/>
                    <w:ind w:right="57"/>
                  </w:pPr>
                  <w:r w:rsidRPr="00FC562B">
                    <w:t>142.4</w:t>
                  </w:r>
                </w:p>
              </w:tc>
            </w:tr>
            <w:tr w:rsidR="00745FEA" w:rsidRPr="00D605D1" w:rsidTr="00745FEA">
              <w:tc>
                <w:tcPr>
                  <w:tcW w:w="2002" w:type="pct"/>
                  <w:shd w:val="clear" w:color="auto" w:fill="auto"/>
                  <w:vAlign w:val="center"/>
                </w:tcPr>
                <w:p w:rsidR="00745FEA" w:rsidRPr="00D605D1" w:rsidRDefault="00745FEA" w:rsidP="00745FEA">
                  <w:pPr>
                    <w:spacing w:after="40"/>
                    <w:rPr>
                      <w:rFonts w:ascii="Arial" w:hAnsi="Arial" w:cs="Arial"/>
                      <w:b/>
                      <w:bCs/>
                      <w:sz w:val="18"/>
                      <w:szCs w:val="18"/>
                    </w:rPr>
                  </w:pPr>
                  <w:r w:rsidRPr="00D605D1">
                    <w:rPr>
                      <w:rFonts w:ascii="Arial" w:hAnsi="Arial" w:cs="Arial"/>
                      <w:b/>
                      <w:bCs/>
                      <w:sz w:val="18"/>
                      <w:szCs w:val="18"/>
                    </w:rPr>
                    <w:t>Unallocated other</w:t>
                  </w:r>
                  <w:r w:rsidRPr="009E76C0">
                    <w:rPr>
                      <w:rStyle w:val="NoteLabel"/>
                    </w:rPr>
                    <w:t>a</w:t>
                  </w:r>
                </w:p>
              </w:tc>
              <w:tc>
                <w:tcPr>
                  <w:tcW w:w="502" w:type="pct"/>
                  <w:vAlign w:val="bottom"/>
                </w:tcPr>
                <w:p w:rsidR="00745FEA" w:rsidRPr="00D605D1" w:rsidRDefault="00745FEA" w:rsidP="00745FEA">
                  <w:pPr>
                    <w:pStyle w:val="TableBodyText"/>
                    <w:ind w:right="57"/>
                    <w:rPr>
                      <w:b/>
                    </w:rPr>
                  </w:pPr>
                  <w:r w:rsidRPr="00D605D1">
                    <w:rPr>
                      <w:b/>
                    </w:rPr>
                    <w:t>337.1</w:t>
                  </w:r>
                </w:p>
              </w:tc>
              <w:tc>
                <w:tcPr>
                  <w:tcW w:w="501" w:type="pct"/>
                  <w:vAlign w:val="bottom"/>
                </w:tcPr>
                <w:p w:rsidR="00745FEA" w:rsidRPr="00D605D1" w:rsidRDefault="00745FEA" w:rsidP="00745FEA">
                  <w:pPr>
                    <w:pStyle w:val="TableBodyText"/>
                    <w:ind w:right="57"/>
                    <w:rPr>
                      <w:b/>
                    </w:rPr>
                  </w:pPr>
                  <w:r w:rsidRPr="00D605D1">
                    <w:rPr>
                      <w:b/>
                    </w:rPr>
                    <w:t>297.5</w:t>
                  </w:r>
                </w:p>
              </w:tc>
              <w:tc>
                <w:tcPr>
                  <w:tcW w:w="501" w:type="pct"/>
                  <w:vAlign w:val="bottom"/>
                </w:tcPr>
                <w:p w:rsidR="00745FEA" w:rsidRPr="00D605D1" w:rsidRDefault="00745FEA" w:rsidP="00745FEA">
                  <w:pPr>
                    <w:pStyle w:val="TableBodyText"/>
                    <w:ind w:right="57"/>
                    <w:rPr>
                      <w:b/>
                    </w:rPr>
                  </w:pPr>
                  <w:r w:rsidRPr="00D605D1">
                    <w:rPr>
                      <w:b/>
                    </w:rPr>
                    <w:t>436.0</w:t>
                  </w:r>
                </w:p>
              </w:tc>
              <w:tc>
                <w:tcPr>
                  <w:tcW w:w="499" w:type="pct"/>
                  <w:vAlign w:val="bottom"/>
                </w:tcPr>
                <w:p w:rsidR="00745FEA" w:rsidRPr="00D605D1" w:rsidRDefault="00745FEA" w:rsidP="00745FEA">
                  <w:pPr>
                    <w:pStyle w:val="TableBodyText"/>
                    <w:ind w:right="57"/>
                    <w:rPr>
                      <w:b/>
                    </w:rPr>
                  </w:pPr>
                  <w:r w:rsidRPr="00D605D1">
                    <w:rPr>
                      <w:b/>
                    </w:rPr>
                    <w:t>415.7</w:t>
                  </w:r>
                </w:p>
              </w:tc>
              <w:tc>
                <w:tcPr>
                  <w:tcW w:w="499" w:type="pct"/>
                  <w:shd w:val="clear" w:color="auto" w:fill="auto"/>
                  <w:vAlign w:val="bottom"/>
                </w:tcPr>
                <w:p w:rsidR="00745FEA" w:rsidRPr="00D605D1" w:rsidRDefault="00745FEA" w:rsidP="00745FEA">
                  <w:pPr>
                    <w:pStyle w:val="TableBodyText"/>
                    <w:ind w:right="57"/>
                    <w:rPr>
                      <w:b/>
                    </w:rPr>
                  </w:pPr>
                  <w:r w:rsidRPr="00D605D1">
                    <w:rPr>
                      <w:b/>
                    </w:rPr>
                    <w:t>281.3</w:t>
                  </w:r>
                </w:p>
              </w:tc>
              <w:tc>
                <w:tcPr>
                  <w:tcW w:w="496" w:type="pct"/>
                  <w:shd w:val="clear" w:color="auto" w:fill="auto"/>
                  <w:vAlign w:val="bottom"/>
                </w:tcPr>
                <w:p w:rsidR="00745FEA" w:rsidRPr="00D605D1" w:rsidRDefault="00745FEA" w:rsidP="00745FEA">
                  <w:pPr>
                    <w:pStyle w:val="TableBodyText"/>
                    <w:ind w:right="57"/>
                    <w:rPr>
                      <w:b/>
                    </w:rPr>
                  </w:pPr>
                  <w:r w:rsidRPr="00D605D1">
                    <w:rPr>
                      <w:b/>
                    </w:rPr>
                    <w:t>359.1</w:t>
                  </w:r>
                </w:p>
              </w:tc>
            </w:tr>
            <w:tr w:rsidR="00745FEA" w:rsidRPr="00D605D1" w:rsidTr="00745FEA">
              <w:tc>
                <w:tcPr>
                  <w:tcW w:w="2002" w:type="pct"/>
                  <w:tcBorders>
                    <w:bottom w:val="single" w:sz="6" w:space="0" w:color="BFBFBF"/>
                  </w:tcBorders>
                  <w:shd w:val="clear" w:color="auto" w:fill="auto"/>
                  <w:vAlign w:val="center"/>
                </w:tcPr>
                <w:p w:rsidR="00745FEA" w:rsidRPr="00D605D1" w:rsidRDefault="00745FEA" w:rsidP="00745FEA">
                  <w:pPr>
                    <w:spacing w:after="40"/>
                    <w:rPr>
                      <w:rFonts w:ascii="Arial" w:hAnsi="Arial" w:cs="Arial"/>
                      <w:b/>
                      <w:bCs/>
                      <w:sz w:val="18"/>
                      <w:szCs w:val="18"/>
                    </w:rPr>
                  </w:pPr>
                  <w:r w:rsidRPr="00D605D1">
                    <w:rPr>
                      <w:rFonts w:ascii="Arial" w:hAnsi="Arial" w:cs="Arial"/>
                      <w:b/>
                      <w:bCs/>
                      <w:sz w:val="18"/>
                      <w:szCs w:val="18"/>
                    </w:rPr>
                    <w:t>Total</w:t>
                  </w:r>
                </w:p>
              </w:tc>
              <w:tc>
                <w:tcPr>
                  <w:tcW w:w="502" w:type="pct"/>
                  <w:tcBorders>
                    <w:bottom w:val="single" w:sz="6" w:space="0" w:color="BFBFBF"/>
                  </w:tcBorders>
                  <w:vAlign w:val="bottom"/>
                </w:tcPr>
                <w:p w:rsidR="00745FEA" w:rsidRPr="00D605D1" w:rsidRDefault="00745FEA" w:rsidP="00745FEA">
                  <w:pPr>
                    <w:pStyle w:val="TableBodyText"/>
                    <w:ind w:right="57"/>
                    <w:rPr>
                      <w:b/>
                    </w:rPr>
                  </w:pPr>
                  <w:r w:rsidRPr="00D605D1">
                    <w:rPr>
                      <w:b/>
                    </w:rPr>
                    <w:t>5305.5</w:t>
                  </w:r>
                </w:p>
              </w:tc>
              <w:tc>
                <w:tcPr>
                  <w:tcW w:w="501" w:type="pct"/>
                  <w:tcBorders>
                    <w:bottom w:val="single" w:sz="6" w:space="0" w:color="BFBFBF"/>
                  </w:tcBorders>
                  <w:vAlign w:val="bottom"/>
                </w:tcPr>
                <w:p w:rsidR="00745FEA" w:rsidRPr="00D605D1" w:rsidRDefault="00745FEA" w:rsidP="00745FEA">
                  <w:pPr>
                    <w:pStyle w:val="TableBodyText"/>
                    <w:ind w:right="57"/>
                    <w:rPr>
                      <w:b/>
                    </w:rPr>
                  </w:pPr>
                  <w:r w:rsidRPr="00D605D1">
                    <w:rPr>
                      <w:b/>
                    </w:rPr>
                    <w:t>4320.5</w:t>
                  </w:r>
                </w:p>
              </w:tc>
              <w:tc>
                <w:tcPr>
                  <w:tcW w:w="501" w:type="pct"/>
                  <w:tcBorders>
                    <w:bottom w:val="single" w:sz="6" w:space="0" w:color="BFBFBF"/>
                  </w:tcBorders>
                  <w:vAlign w:val="bottom"/>
                </w:tcPr>
                <w:p w:rsidR="00745FEA" w:rsidRPr="00D605D1" w:rsidRDefault="00745FEA" w:rsidP="00745FEA">
                  <w:pPr>
                    <w:pStyle w:val="TableBodyText"/>
                    <w:ind w:right="57"/>
                    <w:rPr>
                      <w:b/>
                    </w:rPr>
                  </w:pPr>
                  <w:r w:rsidRPr="00D605D1">
                    <w:rPr>
                      <w:b/>
                    </w:rPr>
                    <w:t>4554.2</w:t>
                  </w:r>
                </w:p>
              </w:tc>
              <w:tc>
                <w:tcPr>
                  <w:tcW w:w="499" w:type="pct"/>
                  <w:tcBorders>
                    <w:bottom w:val="single" w:sz="6" w:space="0" w:color="BFBFBF"/>
                  </w:tcBorders>
                  <w:vAlign w:val="bottom"/>
                </w:tcPr>
                <w:p w:rsidR="00745FEA" w:rsidRPr="00D605D1" w:rsidRDefault="00745FEA" w:rsidP="00745FEA">
                  <w:pPr>
                    <w:pStyle w:val="TableBodyText"/>
                    <w:ind w:right="57"/>
                    <w:rPr>
                      <w:b/>
                    </w:rPr>
                  </w:pPr>
                  <w:r w:rsidRPr="00D605D1">
                    <w:rPr>
                      <w:b/>
                    </w:rPr>
                    <w:t>4949.5</w:t>
                  </w:r>
                </w:p>
              </w:tc>
              <w:tc>
                <w:tcPr>
                  <w:tcW w:w="499" w:type="pct"/>
                  <w:tcBorders>
                    <w:bottom w:val="single" w:sz="6" w:space="0" w:color="BFBFBF"/>
                  </w:tcBorders>
                  <w:shd w:val="clear" w:color="auto" w:fill="auto"/>
                  <w:vAlign w:val="bottom"/>
                </w:tcPr>
                <w:p w:rsidR="00745FEA" w:rsidRPr="00D605D1" w:rsidRDefault="00745FEA" w:rsidP="00745FEA">
                  <w:pPr>
                    <w:pStyle w:val="TableBodyText"/>
                    <w:ind w:right="57"/>
                    <w:rPr>
                      <w:b/>
                    </w:rPr>
                  </w:pPr>
                  <w:r w:rsidRPr="00D605D1">
                    <w:rPr>
                      <w:b/>
                    </w:rPr>
                    <w:t>4610.3</w:t>
                  </w:r>
                </w:p>
              </w:tc>
              <w:tc>
                <w:tcPr>
                  <w:tcW w:w="496" w:type="pct"/>
                  <w:tcBorders>
                    <w:bottom w:val="single" w:sz="6" w:space="0" w:color="BFBFBF"/>
                  </w:tcBorders>
                  <w:shd w:val="clear" w:color="auto" w:fill="auto"/>
                  <w:vAlign w:val="bottom"/>
                </w:tcPr>
                <w:p w:rsidR="00745FEA" w:rsidRPr="00D605D1" w:rsidRDefault="00745FEA" w:rsidP="00745FEA">
                  <w:pPr>
                    <w:pStyle w:val="TableBodyText"/>
                    <w:ind w:right="57"/>
                    <w:rPr>
                      <w:b/>
                    </w:rPr>
                  </w:pPr>
                  <w:r w:rsidRPr="00D605D1">
                    <w:rPr>
                      <w:b/>
                    </w:rPr>
                    <w:t>5291.3</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spacing w:before="60"/>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w:t>
            </w:r>
            <w:r w:rsidRPr="008405D4">
              <w:t>Unallocated includes budgetary measures where details of beneficiaries are unknown.</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keepNext w:val="0"/>
              <w:keepLines w:val="0"/>
            </w:pPr>
            <w:r>
              <w:rPr>
                <w:b w:val="0"/>
              </w:rPr>
              <w:t>Table A.</w:t>
            </w:r>
            <w:r>
              <w:rPr>
                <w:b w:val="0"/>
                <w:noProof/>
              </w:rPr>
              <w:t>7</w:t>
            </w:r>
            <w:r>
              <w:tab/>
            </w:r>
            <w:r w:rsidRPr="003803B3">
              <w:t xml:space="preserve">Budgetary tax concessions by industry grouping, </w:t>
            </w:r>
            <w:r>
              <w:br/>
            </w:r>
            <w:r w:rsidRPr="003803B3">
              <w:t>20</w:t>
            </w:r>
            <w:r>
              <w:t>11</w:t>
            </w:r>
            <w:r>
              <w:noBreakHyphen/>
              <w:t>12</w:t>
            </w:r>
            <w:r w:rsidRPr="003803B3">
              <w:t xml:space="preserve"> to 201</w:t>
            </w:r>
            <w:r>
              <w:t>6</w:t>
            </w:r>
            <w:r>
              <w:noBreakHyphen/>
            </w:r>
            <w:r w:rsidRPr="003803B3">
              <w:t>1</w:t>
            </w:r>
            <w:r>
              <w:t>7</w:t>
            </w:r>
          </w:p>
          <w:p w:rsidR="00745FEA" w:rsidRPr="00784A05" w:rsidRDefault="00745FEA" w:rsidP="00745FEA">
            <w:pPr>
              <w:pStyle w:val="Subtitle"/>
              <w:keepNext w:val="0"/>
              <w:keepLines w:val="0"/>
            </w:pPr>
            <w:r w:rsidRPr="003803B3">
              <w:t>$ million (nominal)</w:t>
            </w:r>
          </w:p>
        </w:tc>
      </w:tr>
      <w:tr w:rsidR="00745FEA" w:rsidTr="00745FEA">
        <w:trPr>
          <w:cantSplit/>
        </w:trPr>
        <w:tc>
          <w:tcPr>
            <w:tcW w:w="5000" w:type="pct"/>
            <w:tcBorders>
              <w:top w:val="nil"/>
              <w:left w:val="nil"/>
              <w:bottom w:val="nil"/>
              <w:right w:val="nil"/>
            </w:tcBorders>
            <w:shd w:val="clear" w:color="auto" w:fill="auto"/>
          </w:tcPr>
          <w:tbl>
            <w:tblPr>
              <w:tblW w:w="8508" w:type="dxa"/>
              <w:tblCellMar>
                <w:top w:w="28" w:type="dxa"/>
                <w:left w:w="0" w:type="dxa"/>
                <w:right w:w="0" w:type="dxa"/>
              </w:tblCellMar>
              <w:tblLook w:val="0000" w:firstRow="0" w:lastRow="0" w:firstColumn="0" w:lastColumn="0" w:noHBand="0" w:noVBand="0"/>
            </w:tblPr>
            <w:tblGrid>
              <w:gridCol w:w="3400"/>
              <w:gridCol w:w="853"/>
              <w:gridCol w:w="853"/>
              <w:gridCol w:w="853"/>
              <w:gridCol w:w="849"/>
              <w:gridCol w:w="849"/>
              <w:gridCol w:w="851"/>
            </w:tblGrid>
            <w:tr w:rsidR="00745FEA" w:rsidTr="00C719FB">
              <w:trPr>
                <w:tblHeader/>
              </w:trPr>
              <w:tc>
                <w:tcPr>
                  <w:tcW w:w="199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spacing w:before="60" w:after="60"/>
                    <w:jc w:val="left"/>
                  </w:pPr>
                  <w:r>
                    <w:t>Industry grouping</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9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9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500"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F45219" w:rsidTr="00745FEA">
              <w:tc>
                <w:tcPr>
                  <w:tcW w:w="1998" w:type="pct"/>
                  <w:tcBorders>
                    <w:top w:val="single" w:sz="6" w:space="0" w:color="BFBFBF"/>
                  </w:tcBorders>
                  <w:vAlign w:val="bottom"/>
                </w:tcPr>
                <w:p w:rsidR="00745FEA" w:rsidRPr="00F45219" w:rsidRDefault="00745FEA" w:rsidP="00745FEA">
                  <w:pPr>
                    <w:spacing w:after="30"/>
                    <w:rPr>
                      <w:rFonts w:ascii="Arial" w:hAnsi="Arial" w:cs="Arial"/>
                      <w:b/>
                      <w:bCs/>
                      <w:sz w:val="18"/>
                      <w:szCs w:val="18"/>
                    </w:rPr>
                  </w:pPr>
                  <w:r w:rsidRPr="00F45219">
                    <w:rPr>
                      <w:rFonts w:ascii="Arial" w:hAnsi="Arial" w:cs="Arial"/>
                      <w:b/>
                      <w:bCs/>
                      <w:sz w:val="18"/>
                      <w:szCs w:val="18"/>
                    </w:rPr>
                    <w:t>Primary production</w:t>
                  </w:r>
                </w:p>
              </w:tc>
              <w:tc>
                <w:tcPr>
                  <w:tcW w:w="501" w:type="pct"/>
                  <w:tcBorders>
                    <w:top w:val="single" w:sz="6" w:space="0" w:color="BFBFBF"/>
                  </w:tcBorders>
                  <w:vAlign w:val="bottom"/>
                </w:tcPr>
                <w:p w:rsidR="00745FEA" w:rsidRPr="00F45219" w:rsidRDefault="00745FEA" w:rsidP="00745FEA">
                  <w:pPr>
                    <w:pStyle w:val="TableBodyText"/>
                    <w:ind w:right="57"/>
                    <w:rPr>
                      <w:b/>
                    </w:rPr>
                  </w:pPr>
                  <w:r w:rsidRPr="00F45219">
                    <w:rPr>
                      <w:b/>
                    </w:rPr>
                    <w:t>606.5</w:t>
                  </w:r>
                </w:p>
              </w:tc>
              <w:tc>
                <w:tcPr>
                  <w:tcW w:w="501" w:type="pct"/>
                  <w:tcBorders>
                    <w:top w:val="single" w:sz="6" w:space="0" w:color="BFBFBF"/>
                  </w:tcBorders>
                  <w:vAlign w:val="bottom"/>
                </w:tcPr>
                <w:p w:rsidR="00745FEA" w:rsidRPr="00F45219" w:rsidRDefault="00745FEA" w:rsidP="00745FEA">
                  <w:pPr>
                    <w:pStyle w:val="TableBodyText"/>
                    <w:ind w:right="57"/>
                    <w:rPr>
                      <w:b/>
                    </w:rPr>
                  </w:pPr>
                  <w:r w:rsidRPr="00F45219">
                    <w:rPr>
                      <w:b/>
                    </w:rPr>
                    <w:t>488.6</w:t>
                  </w:r>
                </w:p>
              </w:tc>
              <w:tc>
                <w:tcPr>
                  <w:tcW w:w="501" w:type="pct"/>
                  <w:tcBorders>
                    <w:top w:val="single" w:sz="6" w:space="0" w:color="BFBFBF"/>
                  </w:tcBorders>
                  <w:vAlign w:val="bottom"/>
                </w:tcPr>
                <w:p w:rsidR="00745FEA" w:rsidRPr="00F45219" w:rsidRDefault="00745FEA" w:rsidP="00745FEA">
                  <w:pPr>
                    <w:pStyle w:val="TableBodyText"/>
                    <w:ind w:right="57"/>
                    <w:rPr>
                      <w:b/>
                    </w:rPr>
                  </w:pPr>
                  <w:r w:rsidRPr="00F45219">
                    <w:rPr>
                      <w:b/>
                    </w:rPr>
                    <w:t>507.3</w:t>
                  </w:r>
                </w:p>
              </w:tc>
              <w:tc>
                <w:tcPr>
                  <w:tcW w:w="499" w:type="pct"/>
                  <w:tcBorders>
                    <w:top w:val="single" w:sz="6" w:space="0" w:color="BFBFBF"/>
                  </w:tcBorders>
                  <w:vAlign w:val="bottom"/>
                </w:tcPr>
                <w:p w:rsidR="00745FEA" w:rsidRPr="00F45219" w:rsidRDefault="00745FEA" w:rsidP="00745FEA">
                  <w:pPr>
                    <w:pStyle w:val="TableBodyText"/>
                    <w:ind w:right="57"/>
                    <w:rPr>
                      <w:b/>
                    </w:rPr>
                  </w:pPr>
                  <w:r w:rsidRPr="00F45219">
                    <w:rPr>
                      <w:b/>
                    </w:rPr>
                    <w:t>518.8</w:t>
                  </w:r>
                </w:p>
              </w:tc>
              <w:tc>
                <w:tcPr>
                  <w:tcW w:w="499" w:type="pct"/>
                  <w:tcBorders>
                    <w:top w:val="single" w:sz="6" w:space="0" w:color="BFBFBF"/>
                  </w:tcBorders>
                  <w:vAlign w:val="bottom"/>
                </w:tcPr>
                <w:p w:rsidR="00745FEA" w:rsidRPr="00F45219" w:rsidRDefault="00745FEA" w:rsidP="00745FEA">
                  <w:pPr>
                    <w:pStyle w:val="TableBodyText"/>
                    <w:ind w:right="57"/>
                    <w:rPr>
                      <w:b/>
                    </w:rPr>
                  </w:pPr>
                  <w:r w:rsidRPr="00F45219">
                    <w:rPr>
                      <w:b/>
                    </w:rPr>
                    <w:t>598.3</w:t>
                  </w:r>
                </w:p>
              </w:tc>
              <w:tc>
                <w:tcPr>
                  <w:tcW w:w="500" w:type="pct"/>
                  <w:tcBorders>
                    <w:top w:val="single" w:sz="6" w:space="0" w:color="BFBFBF"/>
                  </w:tcBorders>
                  <w:vAlign w:val="bottom"/>
                </w:tcPr>
                <w:p w:rsidR="00745FEA" w:rsidRPr="00F45219" w:rsidRDefault="00745FEA" w:rsidP="00745FEA">
                  <w:pPr>
                    <w:pStyle w:val="TableBodyText"/>
                    <w:ind w:right="57"/>
                    <w:rPr>
                      <w:b/>
                    </w:rPr>
                  </w:pPr>
                  <w:r w:rsidRPr="00F45219">
                    <w:rPr>
                      <w:b/>
                    </w:rPr>
                    <w:t>759.9</w:t>
                  </w:r>
                </w:p>
              </w:tc>
            </w:tr>
            <w:tr w:rsidR="00745FEA" w:rsidTr="00745FEA">
              <w:tc>
                <w:tcPr>
                  <w:tcW w:w="1998" w:type="pct"/>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Horticulture and fruit growing</w:t>
                  </w:r>
                </w:p>
              </w:tc>
              <w:tc>
                <w:tcPr>
                  <w:tcW w:w="501" w:type="pct"/>
                  <w:vAlign w:val="bottom"/>
                </w:tcPr>
                <w:p w:rsidR="00745FEA" w:rsidRPr="005841BB" w:rsidRDefault="00745FEA" w:rsidP="00745FEA">
                  <w:pPr>
                    <w:pStyle w:val="TableBodyText"/>
                    <w:spacing w:after="20"/>
                    <w:ind w:right="57"/>
                  </w:pPr>
                  <w:r w:rsidRPr="00860261">
                    <w:t>50.4</w:t>
                  </w:r>
                </w:p>
              </w:tc>
              <w:tc>
                <w:tcPr>
                  <w:tcW w:w="501" w:type="pct"/>
                  <w:vAlign w:val="bottom"/>
                </w:tcPr>
                <w:p w:rsidR="00745FEA" w:rsidRPr="005841BB" w:rsidRDefault="00745FEA" w:rsidP="00745FEA">
                  <w:pPr>
                    <w:pStyle w:val="TableBodyText"/>
                    <w:spacing w:after="20"/>
                    <w:ind w:right="57"/>
                  </w:pPr>
                  <w:r w:rsidRPr="00860261">
                    <w:t>49.7</w:t>
                  </w:r>
                </w:p>
              </w:tc>
              <w:tc>
                <w:tcPr>
                  <w:tcW w:w="501" w:type="pct"/>
                  <w:vAlign w:val="bottom"/>
                </w:tcPr>
                <w:p w:rsidR="00745FEA" w:rsidRPr="005841BB" w:rsidRDefault="00745FEA" w:rsidP="00745FEA">
                  <w:pPr>
                    <w:pStyle w:val="TableBodyText"/>
                    <w:spacing w:after="20"/>
                    <w:ind w:right="57"/>
                  </w:pPr>
                  <w:r w:rsidRPr="00860261">
                    <w:t>49.0</w:t>
                  </w:r>
                </w:p>
              </w:tc>
              <w:tc>
                <w:tcPr>
                  <w:tcW w:w="499" w:type="pct"/>
                  <w:vAlign w:val="bottom"/>
                </w:tcPr>
                <w:p w:rsidR="00745FEA" w:rsidRPr="005841BB" w:rsidRDefault="00745FEA" w:rsidP="00745FEA">
                  <w:pPr>
                    <w:pStyle w:val="TableBodyText"/>
                    <w:spacing w:after="20"/>
                    <w:ind w:right="57"/>
                  </w:pPr>
                  <w:r w:rsidRPr="00860261">
                    <w:t>51.7</w:t>
                  </w:r>
                </w:p>
              </w:tc>
              <w:tc>
                <w:tcPr>
                  <w:tcW w:w="499" w:type="pct"/>
                  <w:vAlign w:val="bottom"/>
                </w:tcPr>
                <w:p w:rsidR="00745FEA" w:rsidRPr="005841BB" w:rsidRDefault="00745FEA" w:rsidP="00745FEA">
                  <w:pPr>
                    <w:pStyle w:val="TableBodyText"/>
                    <w:spacing w:after="20"/>
                    <w:ind w:right="57"/>
                  </w:pPr>
                  <w:r w:rsidRPr="00860261">
                    <w:t>60.7</w:t>
                  </w:r>
                </w:p>
              </w:tc>
              <w:tc>
                <w:tcPr>
                  <w:tcW w:w="500" w:type="pct"/>
                  <w:vAlign w:val="bottom"/>
                </w:tcPr>
                <w:p w:rsidR="00745FEA" w:rsidRPr="00A376A4" w:rsidRDefault="00745FEA" w:rsidP="00745FEA">
                  <w:pPr>
                    <w:pStyle w:val="TableBodyText"/>
                    <w:spacing w:after="20"/>
                    <w:ind w:right="57"/>
                  </w:pPr>
                  <w:r w:rsidRPr="00860261">
                    <w:t>79.5</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Sheep, beef cattle and grain farming</w:t>
                  </w:r>
                </w:p>
              </w:tc>
              <w:tc>
                <w:tcPr>
                  <w:tcW w:w="501" w:type="pct"/>
                  <w:vAlign w:val="bottom"/>
                </w:tcPr>
                <w:p w:rsidR="00745FEA" w:rsidRPr="005841BB" w:rsidRDefault="00745FEA" w:rsidP="00745FEA">
                  <w:pPr>
                    <w:pStyle w:val="TableBodyText"/>
                    <w:spacing w:after="20"/>
                    <w:ind w:right="57"/>
                  </w:pPr>
                  <w:r w:rsidRPr="00860261">
                    <w:t>409.7</w:t>
                  </w:r>
                </w:p>
              </w:tc>
              <w:tc>
                <w:tcPr>
                  <w:tcW w:w="501" w:type="pct"/>
                  <w:vAlign w:val="bottom"/>
                </w:tcPr>
                <w:p w:rsidR="00745FEA" w:rsidRPr="005841BB" w:rsidRDefault="00745FEA" w:rsidP="00745FEA">
                  <w:pPr>
                    <w:pStyle w:val="TableBodyText"/>
                    <w:spacing w:after="20"/>
                    <w:ind w:right="57"/>
                  </w:pPr>
                  <w:r w:rsidRPr="00860261">
                    <w:t>309.5</w:t>
                  </w:r>
                </w:p>
              </w:tc>
              <w:tc>
                <w:tcPr>
                  <w:tcW w:w="501" w:type="pct"/>
                  <w:vAlign w:val="bottom"/>
                </w:tcPr>
                <w:p w:rsidR="00745FEA" w:rsidRPr="005841BB" w:rsidRDefault="00745FEA" w:rsidP="00745FEA">
                  <w:pPr>
                    <w:pStyle w:val="TableBodyText"/>
                    <w:spacing w:after="20"/>
                    <w:ind w:right="57"/>
                  </w:pPr>
                  <w:r w:rsidRPr="00860261">
                    <w:t>321.3</w:t>
                  </w:r>
                </w:p>
              </w:tc>
              <w:tc>
                <w:tcPr>
                  <w:tcW w:w="499" w:type="pct"/>
                  <w:vAlign w:val="bottom"/>
                </w:tcPr>
                <w:p w:rsidR="00745FEA" w:rsidRPr="005841BB" w:rsidRDefault="00745FEA" w:rsidP="00745FEA">
                  <w:pPr>
                    <w:pStyle w:val="TableBodyText"/>
                    <w:spacing w:after="20"/>
                    <w:ind w:right="57"/>
                  </w:pPr>
                  <w:r w:rsidRPr="00860261">
                    <w:t>328.7</w:t>
                  </w:r>
                </w:p>
              </w:tc>
              <w:tc>
                <w:tcPr>
                  <w:tcW w:w="499" w:type="pct"/>
                  <w:shd w:val="clear" w:color="auto" w:fill="auto"/>
                  <w:vAlign w:val="bottom"/>
                </w:tcPr>
                <w:p w:rsidR="00745FEA" w:rsidRPr="005841BB" w:rsidRDefault="00745FEA" w:rsidP="00745FEA">
                  <w:pPr>
                    <w:pStyle w:val="TableBodyText"/>
                    <w:spacing w:after="20"/>
                    <w:ind w:right="57"/>
                  </w:pPr>
                  <w:r w:rsidRPr="00860261">
                    <w:t>386.6</w:t>
                  </w:r>
                </w:p>
              </w:tc>
              <w:tc>
                <w:tcPr>
                  <w:tcW w:w="500" w:type="pct"/>
                  <w:shd w:val="clear" w:color="auto" w:fill="auto"/>
                  <w:vAlign w:val="bottom"/>
                </w:tcPr>
                <w:p w:rsidR="00745FEA" w:rsidRPr="00A376A4" w:rsidRDefault="00745FEA" w:rsidP="00745FEA">
                  <w:pPr>
                    <w:pStyle w:val="TableBodyText"/>
                    <w:spacing w:after="20"/>
                    <w:ind w:right="57"/>
                  </w:pPr>
                  <w:r w:rsidRPr="00860261">
                    <w:t>509.2</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Other crop growing</w:t>
                  </w:r>
                </w:p>
              </w:tc>
              <w:tc>
                <w:tcPr>
                  <w:tcW w:w="501" w:type="pct"/>
                  <w:vAlign w:val="bottom"/>
                </w:tcPr>
                <w:p w:rsidR="00745FEA" w:rsidRPr="005841BB" w:rsidRDefault="00745FEA" w:rsidP="00745FEA">
                  <w:pPr>
                    <w:pStyle w:val="TableBodyText"/>
                    <w:spacing w:after="20"/>
                    <w:ind w:right="57"/>
                  </w:pPr>
                  <w:r w:rsidRPr="00860261">
                    <w:t>45.2</w:t>
                  </w:r>
                </w:p>
              </w:tc>
              <w:tc>
                <w:tcPr>
                  <w:tcW w:w="501" w:type="pct"/>
                  <w:vAlign w:val="bottom"/>
                </w:tcPr>
                <w:p w:rsidR="00745FEA" w:rsidRPr="005841BB" w:rsidRDefault="00745FEA" w:rsidP="00745FEA">
                  <w:pPr>
                    <w:pStyle w:val="TableBodyText"/>
                    <w:spacing w:after="20"/>
                    <w:ind w:right="57"/>
                  </w:pPr>
                  <w:r w:rsidRPr="00860261">
                    <w:t>48.9</w:t>
                  </w:r>
                </w:p>
              </w:tc>
              <w:tc>
                <w:tcPr>
                  <w:tcW w:w="501" w:type="pct"/>
                  <w:vAlign w:val="bottom"/>
                </w:tcPr>
                <w:p w:rsidR="00745FEA" w:rsidRPr="005841BB" w:rsidRDefault="00745FEA" w:rsidP="00745FEA">
                  <w:pPr>
                    <w:pStyle w:val="TableBodyText"/>
                    <w:spacing w:after="20"/>
                    <w:ind w:right="57"/>
                  </w:pPr>
                  <w:r w:rsidRPr="00860261">
                    <w:t>49.0</w:t>
                  </w:r>
                </w:p>
              </w:tc>
              <w:tc>
                <w:tcPr>
                  <w:tcW w:w="499" w:type="pct"/>
                  <w:vAlign w:val="bottom"/>
                </w:tcPr>
                <w:p w:rsidR="00745FEA" w:rsidRPr="005841BB" w:rsidRDefault="00745FEA" w:rsidP="00745FEA">
                  <w:pPr>
                    <w:pStyle w:val="TableBodyText"/>
                    <w:spacing w:after="20"/>
                    <w:ind w:right="57"/>
                  </w:pPr>
                  <w:r w:rsidRPr="00860261">
                    <w:t>28.5</w:t>
                  </w:r>
                </w:p>
              </w:tc>
              <w:tc>
                <w:tcPr>
                  <w:tcW w:w="499" w:type="pct"/>
                  <w:shd w:val="clear" w:color="auto" w:fill="auto"/>
                  <w:vAlign w:val="bottom"/>
                </w:tcPr>
                <w:p w:rsidR="00745FEA" w:rsidRPr="005841BB" w:rsidRDefault="00745FEA" w:rsidP="00745FEA">
                  <w:pPr>
                    <w:pStyle w:val="TableBodyText"/>
                    <w:spacing w:after="20"/>
                    <w:ind w:right="57"/>
                  </w:pPr>
                  <w:r w:rsidRPr="00860261">
                    <w:t>34.2</w:t>
                  </w:r>
                </w:p>
              </w:tc>
              <w:tc>
                <w:tcPr>
                  <w:tcW w:w="500" w:type="pct"/>
                  <w:shd w:val="clear" w:color="auto" w:fill="auto"/>
                  <w:vAlign w:val="bottom"/>
                </w:tcPr>
                <w:p w:rsidR="00745FEA" w:rsidRPr="00A376A4" w:rsidRDefault="00745FEA" w:rsidP="00745FEA">
                  <w:pPr>
                    <w:pStyle w:val="TableBodyText"/>
                    <w:spacing w:after="20"/>
                    <w:ind w:right="57"/>
                  </w:pPr>
                  <w:r w:rsidRPr="00860261">
                    <w:t>43.5</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Dairy cattle farming</w:t>
                  </w:r>
                </w:p>
              </w:tc>
              <w:tc>
                <w:tcPr>
                  <w:tcW w:w="501" w:type="pct"/>
                  <w:vAlign w:val="bottom"/>
                </w:tcPr>
                <w:p w:rsidR="00745FEA" w:rsidRPr="005841BB" w:rsidRDefault="00745FEA" w:rsidP="00745FEA">
                  <w:pPr>
                    <w:pStyle w:val="TableBodyText"/>
                    <w:spacing w:after="20"/>
                    <w:ind w:right="57"/>
                  </w:pPr>
                  <w:r w:rsidRPr="00860261">
                    <w:t>36.6</w:t>
                  </w:r>
                </w:p>
              </w:tc>
              <w:tc>
                <w:tcPr>
                  <w:tcW w:w="501" w:type="pct"/>
                  <w:vAlign w:val="bottom"/>
                </w:tcPr>
                <w:p w:rsidR="00745FEA" w:rsidRPr="005841BB" w:rsidRDefault="00745FEA" w:rsidP="00745FEA">
                  <w:pPr>
                    <w:pStyle w:val="TableBodyText"/>
                    <w:spacing w:after="20"/>
                    <w:ind w:right="57"/>
                  </w:pPr>
                  <w:r w:rsidRPr="00860261">
                    <w:t>21.8</w:t>
                  </w:r>
                </w:p>
              </w:tc>
              <w:tc>
                <w:tcPr>
                  <w:tcW w:w="501" w:type="pct"/>
                  <w:vAlign w:val="bottom"/>
                </w:tcPr>
                <w:p w:rsidR="00745FEA" w:rsidRPr="005841BB" w:rsidRDefault="00745FEA" w:rsidP="00745FEA">
                  <w:pPr>
                    <w:pStyle w:val="TableBodyText"/>
                    <w:spacing w:after="20"/>
                    <w:ind w:right="57"/>
                  </w:pPr>
                  <w:r w:rsidRPr="00860261">
                    <w:t>24.7</w:t>
                  </w:r>
                </w:p>
              </w:tc>
              <w:tc>
                <w:tcPr>
                  <w:tcW w:w="499" w:type="pct"/>
                  <w:vAlign w:val="bottom"/>
                </w:tcPr>
                <w:p w:rsidR="00745FEA" w:rsidRPr="005841BB" w:rsidRDefault="00745FEA" w:rsidP="00745FEA">
                  <w:pPr>
                    <w:pStyle w:val="TableBodyText"/>
                    <w:spacing w:after="20"/>
                    <w:ind w:right="57"/>
                  </w:pPr>
                  <w:r w:rsidRPr="00860261">
                    <w:t>38.9</w:t>
                  </w:r>
                </w:p>
              </w:tc>
              <w:tc>
                <w:tcPr>
                  <w:tcW w:w="499" w:type="pct"/>
                  <w:shd w:val="clear" w:color="auto" w:fill="auto"/>
                  <w:vAlign w:val="bottom"/>
                </w:tcPr>
                <w:p w:rsidR="00745FEA" w:rsidRPr="005841BB" w:rsidRDefault="00745FEA" w:rsidP="00745FEA">
                  <w:pPr>
                    <w:pStyle w:val="TableBodyText"/>
                    <w:spacing w:after="20"/>
                    <w:ind w:right="57"/>
                  </w:pPr>
                  <w:r w:rsidRPr="00860261">
                    <w:t>43.7</w:t>
                  </w:r>
                </w:p>
              </w:tc>
              <w:tc>
                <w:tcPr>
                  <w:tcW w:w="500" w:type="pct"/>
                  <w:shd w:val="clear" w:color="auto" w:fill="auto"/>
                  <w:vAlign w:val="bottom"/>
                </w:tcPr>
                <w:p w:rsidR="00745FEA" w:rsidRPr="00A376A4" w:rsidRDefault="00745FEA" w:rsidP="00745FEA">
                  <w:pPr>
                    <w:pStyle w:val="TableBodyText"/>
                    <w:spacing w:after="20"/>
                    <w:ind w:right="57"/>
                  </w:pPr>
                  <w:r w:rsidRPr="00860261">
                    <w:t>33.6</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Other livestock farming</w:t>
                  </w:r>
                </w:p>
              </w:tc>
              <w:tc>
                <w:tcPr>
                  <w:tcW w:w="501" w:type="pct"/>
                  <w:vAlign w:val="bottom"/>
                </w:tcPr>
                <w:p w:rsidR="00745FEA" w:rsidRPr="005841BB" w:rsidRDefault="00745FEA" w:rsidP="00745FEA">
                  <w:pPr>
                    <w:pStyle w:val="TableBodyText"/>
                    <w:spacing w:after="20"/>
                    <w:ind w:right="57"/>
                  </w:pPr>
                  <w:r w:rsidRPr="00860261">
                    <w:t>25.0</w:t>
                  </w:r>
                </w:p>
              </w:tc>
              <w:tc>
                <w:tcPr>
                  <w:tcW w:w="501" w:type="pct"/>
                  <w:vAlign w:val="bottom"/>
                </w:tcPr>
                <w:p w:rsidR="00745FEA" w:rsidRPr="005841BB" w:rsidRDefault="00745FEA" w:rsidP="00745FEA">
                  <w:pPr>
                    <w:pStyle w:val="TableBodyText"/>
                    <w:spacing w:after="20"/>
                    <w:ind w:right="57"/>
                  </w:pPr>
                  <w:r w:rsidRPr="00860261">
                    <w:t>14.0</w:t>
                  </w:r>
                </w:p>
              </w:tc>
              <w:tc>
                <w:tcPr>
                  <w:tcW w:w="501" w:type="pct"/>
                  <w:vAlign w:val="bottom"/>
                </w:tcPr>
                <w:p w:rsidR="00745FEA" w:rsidRPr="005841BB" w:rsidRDefault="00745FEA" w:rsidP="00745FEA">
                  <w:pPr>
                    <w:pStyle w:val="TableBodyText"/>
                    <w:spacing w:after="20"/>
                    <w:ind w:right="57"/>
                  </w:pPr>
                  <w:r w:rsidRPr="00860261">
                    <w:t>15.2</w:t>
                  </w:r>
                </w:p>
              </w:tc>
              <w:tc>
                <w:tcPr>
                  <w:tcW w:w="499" w:type="pct"/>
                  <w:vAlign w:val="bottom"/>
                </w:tcPr>
                <w:p w:rsidR="00745FEA" w:rsidRPr="005841BB" w:rsidRDefault="00745FEA" w:rsidP="00745FEA">
                  <w:pPr>
                    <w:pStyle w:val="TableBodyText"/>
                    <w:spacing w:after="20"/>
                    <w:ind w:right="57"/>
                  </w:pPr>
                  <w:r w:rsidRPr="00860261">
                    <w:t>15.1</w:t>
                  </w:r>
                </w:p>
              </w:tc>
              <w:tc>
                <w:tcPr>
                  <w:tcW w:w="499" w:type="pct"/>
                  <w:shd w:val="clear" w:color="auto" w:fill="auto"/>
                  <w:vAlign w:val="bottom"/>
                </w:tcPr>
                <w:p w:rsidR="00745FEA" w:rsidRPr="005841BB" w:rsidRDefault="00745FEA" w:rsidP="00745FEA">
                  <w:pPr>
                    <w:pStyle w:val="TableBodyText"/>
                    <w:spacing w:after="20"/>
                    <w:ind w:right="57"/>
                  </w:pPr>
                  <w:r w:rsidRPr="00860261">
                    <w:t>18.2</w:t>
                  </w:r>
                </w:p>
              </w:tc>
              <w:tc>
                <w:tcPr>
                  <w:tcW w:w="500" w:type="pct"/>
                  <w:shd w:val="clear" w:color="auto" w:fill="auto"/>
                  <w:vAlign w:val="bottom"/>
                </w:tcPr>
                <w:p w:rsidR="00745FEA" w:rsidRPr="00A376A4" w:rsidRDefault="00745FEA" w:rsidP="00745FEA">
                  <w:pPr>
                    <w:pStyle w:val="TableBodyText"/>
                    <w:spacing w:after="20"/>
                    <w:ind w:right="57"/>
                  </w:pPr>
                  <w:r w:rsidRPr="00860261">
                    <w:t>24.9</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Aquaculture and fishing</w:t>
                  </w:r>
                </w:p>
              </w:tc>
              <w:tc>
                <w:tcPr>
                  <w:tcW w:w="501" w:type="pct"/>
                  <w:vAlign w:val="bottom"/>
                </w:tcPr>
                <w:p w:rsidR="00745FEA" w:rsidRPr="005841BB" w:rsidRDefault="00745FEA" w:rsidP="00745FEA">
                  <w:pPr>
                    <w:pStyle w:val="TableBodyText"/>
                    <w:spacing w:after="20"/>
                    <w:ind w:right="57"/>
                  </w:pPr>
                  <w:r w:rsidRPr="00860261">
                    <w:t>13.4</w:t>
                  </w:r>
                </w:p>
              </w:tc>
              <w:tc>
                <w:tcPr>
                  <w:tcW w:w="501" w:type="pct"/>
                  <w:vAlign w:val="bottom"/>
                </w:tcPr>
                <w:p w:rsidR="00745FEA" w:rsidRPr="005841BB" w:rsidRDefault="00745FEA" w:rsidP="00745FEA">
                  <w:pPr>
                    <w:pStyle w:val="TableBodyText"/>
                    <w:spacing w:after="20"/>
                    <w:ind w:right="57"/>
                  </w:pPr>
                  <w:r w:rsidRPr="00860261">
                    <w:t>10.8</w:t>
                  </w:r>
                </w:p>
              </w:tc>
              <w:tc>
                <w:tcPr>
                  <w:tcW w:w="501" w:type="pct"/>
                  <w:vAlign w:val="bottom"/>
                </w:tcPr>
                <w:p w:rsidR="00745FEA" w:rsidRPr="005841BB" w:rsidRDefault="00745FEA" w:rsidP="00745FEA">
                  <w:pPr>
                    <w:pStyle w:val="TableBodyText"/>
                    <w:spacing w:after="20"/>
                    <w:ind w:right="57"/>
                  </w:pPr>
                  <w:r w:rsidRPr="00860261">
                    <w:t>12.0</w:t>
                  </w:r>
                </w:p>
              </w:tc>
              <w:tc>
                <w:tcPr>
                  <w:tcW w:w="499" w:type="pct"/>
                  <w:vAlign w:val="bottom"/>
                </w:tcPr>
                <w:p w:rsidR="00745FEA" w:rsidRPr="005841BB" w:rsidRDefault="00745FEA" w:rsidP="00745FEA">
                  <w:pPr>
                    <w:pStyle w:val="TableBodyText"/>
                    <w:spacing w:after="20"/>
                    <w:ind w:right="57"/>
                  </w:pPr>
                  <w:r w:rsidRPr="00860261">
                    <w:t>18.2</w:t>
                  </w:r>
                </w:p>
              </w:tc>
              <w:tc>
                <w:tcPr>
                  <w:tcW w:w="499" w:type="pct"/>
                  <w:shd w:val="clear" w:color="auto" w:fill="auto"/>
                  <w:vAlign w:val="bottom"/>
                </w:tcPr>
                <w:p w:rsidR="00745FEA" w:rsidRPr="005841BB" w:rsidRDefault="00745FEA" w:rsidP="00745FEA">
                  <w:pPr>
                    <w:pStyle w:val="TableBodyText"/>
                    <w:spacing w:after="20"/>
                    <w:ind w:right="57"/>
                  </w:pPr>
                  <w:r w:rsidRPr="00860261">
                    <w:t>16.7</w:t>
                  </w:r>
                </w:p>
              </w:tc>
              <w:tc>
                <w:tcPr>
                  <w:tcW w:w="500" w:type="pct"/>
                  <w:shd w:val="clear" w:color="auto" w:fill="auto"/>
                  <w:vAlign w:val="bottom"/>
                </w:tcPr>
                <w:p w:rsidR="00745FEA" w:rsidRPr="00A376A4" w:rsidRDefault="00745FEA" w:rsidP="00745FEA">
                  <w:pPr>
                    <w:pStyle w:val="TableBodyText"/>
                    <w:spacing w:after="20"/>
                    <w:ind w:right="57"/>
                  </w:pPr>
                  <w:r w:rsidRPr="00860261">
                    <w:t>18.6</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Forestry and logging</w:t>
                  </w:r>
                </w:p>
              </w:tc>
              <w:tc>
                <w:tcPr>
                  <w:tcW w:w="501" w:type="pct"/>
                  <w:vAlign w:val="bottom"/>
                </w:tcPr>
                <w:p w:rsidR="00745FEA" w:rsidRPr="005841BB" w:rsidRDefault="00745FEA" w:rsidP="00745FEA">
                  <w:pPr>
                    <w:pStyle w:val="TableBodyText"/>
                    <w:spacing w:after="20"/>
                    <w:ind w:right="57"/>
                  </w:pPr>
                  <w:r w:rsidRPr="00860261">
                    <w:t>8.2</w:t>
                  </w:r>
                </w:p>
              </w:tc>
              <w:tc>
                <w:tcPr>
                  <w:tcW w:w="501" w:type="pct"/>
                  <w:vAlign w:val="bottom"/>
                </w:tcPr>
                <w:p w:rsidR="00745FEA" w:rsidRPr="005841BB" w:rsidRDefault="00745FEA" w:rsidP="00745FEA">
                  <w:pPr>
                    <w:pStyle w:val="TableBodyText"/>
                    <w:spacing w:after="20"/>
                    <w:ind w:right="57"/>
                  </w:pPr>
                  <w:r w:rsidRPr="00860261">
                    <w:t>9.5</w:t>
                  </w:r>
                </w:p>
              </w:tc>
              <w:tc>
                <w:tcPr>
                  <w:tcW w:w="501" w:type="pct"/>
                  <w:vAlign w:val="bottom"/>
                </w:tcPr>
                <w:p w:rsidR="00745FEA" w:rsidRPr="005841BB" w:rsidRDefault="00745FEA" w:rsidP="00745FEA">
                  <w:pPr>
                    <w:pStyle w:val="TableBodyText"/>
                    <w:spacing w:after="20"/>
                    <w:ind w:right="57"/>
                  </w:pPr>
                  <w:r w:rsidRPr="00860261">
                    <w:t>11.7</w:t>
                  </w:r>
                </w:p>
              </w:tc>
              <w:tc>
                <w:tcPr>
                  <w:tcW w:w="499" w:type="pct"/>
                  <w:vAlign w:val="bottom"/>
                </w:tcPr>
                <w:p w:rsidR="00745FEA" w:rsidRPr="005841BB" w:rsidRDefault="00745FEA" w:rsidP="00745FEA">
                  <w:pPr>
                    <w:pStyle w:val="TableBodyText"/>
                    <w:spacing w:after="20"/>
                    <w:ind w:right="57"/>
                  </w:pPr>
                  <w:r w:rsidRPr="00860261">
                    <w:t>14.3</w:t>
                  </w:r>
                </w:p>
              </w:tc>
              <w:tc>
                <w:tcPr>
                  <w:tcW w:w="499" w:type="pct"/>
                  <w:shd w:val="clear" w:color="auto" w:fill="auto"/>
                  <w:vAlign w:val="bottom"/>
                </w:tcPr>
                <w:p w:rsidR="00745FEA" w:rsidRPr="005841BB" w:rsidRDefault="00745FEA" w:rsidP="00745FEA">
                  <w:pPr>
                    <w:pStyle w:val="TableBodyText"/>
                    <w:spacing w:after="20"/>
                    <w:ind w:right="57"/>
                  </w:pPr>
                  <w:r w:rsidRPr="00860261">
                    <w:t>13.8</w:t>
                  </w:r>
                </w:p>
              </w:tc>
              <w:tc>
                <w:tcPr>
                  <w:tcW w:w="500" w:type="pct"/>
                  <w:shd w:val="clear" w:color="auto" w:fill="auto"/>
                  <w:vAlign w:val="bottom"/>
                </w:tcPr>
                <w:p w:rsidR="00745FEA" w:rsidRPr="00A376A4" w:rsidRDefault="00745FEA" w:rsidP="00745FEA">
                  <w:pPr>
                    <w:pStyle w:val="TableBodyText"/>
                    <w:spacing w:after="20"/>
                    <w:ind w:right="57"/>
                  </w:pPr>
                  <w:r w:rsidRPr="00860261">
                    <w:t>18.4</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Primary production support services</w:t>
                  </w:r>
                </w:p>
              </w:tc>
              <w:tc>
                <w:tcPr>
                  <w:tcW w:w="501" w:type="pct"/>
                  <w:vAlign w:val="bottom"/>
                </w:tcPr>
                <w:p w:rsidR="00745FEA" w:rsidRPr="005841BB" w:rsidRDefault="00745FEA" w:rsidP="00745FEA">
                  <w:pPr>
                    <w:pStyle w:val="TableBodyText"/>
                    <w:spacing w:after="20"/>
                    <w:ind w:right="57"/>
                  </w:pPr>
                  <w:r w:rsidRPr="00860261">
                    <w:t>16.2</w:t>
                  </w:r>
                </w:p>
              </w:tc>
              <w:tc>
                <w:tcPr>
                  <w:tcW w:w="501" w:type="pct"/>
                  <w:vAlign w:val="bottom"/>
                </w:tcPr>
                <w:p w:rsidR="00745FEA" w:rsidRPr="005841BB" w:rsidRDefault="00745FEA" w:rsidP="00745FEA">
                  <w:pPr>
                    <w:pStyle w:val="TableBodyText"/>
                    <w:spacing w:after="20"/>
                    <w:ind w:right="57"/>
                  </w:pPr>
                  <w:r w:rsidRPr="00860261">
                    <w:t>19.5</w:t>
                  </w:r>
                </w:p>
              </w:tc>
              <w:tc>
                <w:tcPr>
                  <w:tcW w:w="501" w:type="pct"/>
                  <w:vAlign w:val="bottom"/>
                </w:tcPr>
                <w:p w:rsidR="00745FEA" w:rsidRPr="005841BB" w:rsidRDefault="00745FEA" w:rsidP="00745FEA">
                  <w:pPr>
                    <w:pStyle w:val="TableBodyText"/>
                    <w:spacing w:after="20"/>
                    <w:ind w:right="57"/>
                  </w:pPr>
                  <w:r w:rsidRPr="00860261">
                    <w:t>21.6</w:t>
                  </w:r>
                </w:p>
              </w:tc>
              <w:tc>
                <w:tcPr>
                  <w:tcW w:w="499" w:type="pct"/>
                  <w:vAlign w:val="bottom"/>
                </w:tcPr>
                <w:p w:rsidR="00745FEA" w:rsidRPr="005841BB" w:rsidRDefault="00745FEA" w:rsidP="00745FEA">
                  <w:pPr>
                    <w:pStyle w:val="TableBodyText"/>
                    <w:spacing w:after="20"/>
                    <w:ind w:right="57"/>
                  </w:pPr>
                  <w:r w:rsidRPr="00860261">
                    <w:t>20.3</w:t>
                  </w:r>
                </w:p>
              </w:tc>
              <w:tc>
                <w:tcPr>
                  <w:tcW w:w="499" w:type="pct"/>
                  <w:shd w:val="clear" w:color="auto" w:fill="auto"/>
                  <w:vAlign w:val="bottom"/>
                </w:tcPr>
                <w:p w:rsidR="00745FEA" w:rsidRPr="005841BB" w:rsidRDefault="00745FEA" w:rsidP="00745FEA">
                  <w:pPr>
                    <w:pStyle w:val="TableBodyText"/>
                    <w:spacing w:after="20"/>
                    <w:ind w:right="57"/>
                  </w:pPr>
                  <w:r w:rsidRPr="00860261">
                    <w:t>20.2</w:t>
                  </w:r>
                </w:p>
              </w:tc>
              <w:tc>
                <w:tcPr>
                  <w:tcW w:w="500" w:type="pct"/>
                  <w:shd w:val="clear" w:color="auto" w:fill="auto"/>
                  <w:vAlign w:val="bottom"/>
                </w:tcPr>
                <w:p w:rsidR="00745FEA" w:rsidRPr="00A376A4" w:rsidRDefault="00745FEA" w:rsidP="00745FEA">
                  <w:pPr>
                    <w:pStyle w:val="TableBodyText"/>
                    <w:spacing w:after="20"/>
                    <w:ind w:right="57"/>
                  </w:pPr>
                  <w:r w:rsidRPr="00860261">
                    <w:t>28.0</w:t>
                  </w:r>
                </w:p>
              </w:tc>
            </w:tr>
            <w:tr w:rsidR="00745FEA" w:rsidTr="00745FEA">
              <w:tc>
                <w:tcPr>
                  <w:tcW w:w="1998" w:type="pct"/>
                  <w:shd w:val="clear" w:color="auto" w:fill="auto"/>
                  <w:vAlign w:val="center"/>
                </w:tcPr>
                <w:p w:rsidR="00745FEA" w:rsidRPr="00037109" w:rsidRDefault="00745FEA" w:rsidP="00745FEA">
                  <w:pPr>
                    <w:rPr>
                      <w:rFonts w:ascii="Arial" w:hAnsi="Arial" w:cs="Arial"/>
                      <w:sz w:val="18"/>
                      <w:szCs w:val="18"/>
                    </w:rPr>
                  </w:pPr>
                  <w:r w:rsidRPr="00037109">
                    <w:rPr>
                      <w:rFonts w:ascii="Arial" w:hAnsi="Arial" w:cs="Arial"/>
                      <w:sz w:val="18"/>
                      <w:szCs w:val="18"/>
                    </w:rPr>
                    <w:t>Unallocated primary production</w:t>
                  </w:r>
                  <w:r>
                    <w:rPr>
                      <w:rStyle w:val="NoteLabel"/>
                    </w:rPr>
                    <w:t>a</w:t>
                  </w:r>
                </w:p>
              </w:tc>
              <w:tc>
                <w:tcPr>
                  <w:tcW w:w="501" w:type="pct"/>
                  <w:vAlign w:val="bottom"/>
                </w:tcPr>
                <w:p w:rsidR="00745FEA" w:rsidRPr="005841BB" w:rsidRDefault="00745FEA" w:rsidP="00745FEA">
                  <w:pPr>
                    <w:pStyle w:val="TableBodyText"/>
                    <w:ind w:right="57"/>
                  </w:pPr>
                  <w:r w:rsidRPr="00860261">
                    <w:t>1.8</w:t>
                  </w:r>
                </w:p>
              </w:tc>
              <w:tc>
                <w:tcPr>
                  <w:tcW w:w="501" w:type="pct"/>
                  <w:vAlign w:val="bottom"/>
                </w:tcPr>
                <w:p w:rsidR="00745FEA" w:rsidRPr="005841BB" w:rsidRDefault="00745FEA" w:rsidP="00745FEA">
                  <w:pPr>
                    <w:pStyle w:val="TableBodyText"/>
                    <w:ind w:right="57"/>
                  </w:pPr>
                  <w:r w:rsidRPr="00860261">
                    <w:t>4.8</w:t>
                  </w:r>
                </w:p>
              </w:tc>
              <w:tc>
                <w:tcPr>
                  <w:tcW w:w="501" w:type="pct"/>
                  <w:vAlign w:val="bottom"/>
                </w:tcPr>
                <w:p w:rsidR="00745FEA" w:rsidRPr="005841BB" w:rsidRDefault="00745FEA" w:rsidP="00745FEA">
                  <w:pPr>
                    <w:pStyle w:val="TableBodyText"/>
                    <w:ind w:right="57"/>
                  </w:pPr>
                  <w:r w:rsidRPr="00860261">
                    <w:t>2.7</w:t>
                  </w:r>
                </w:p>
              </w:tc>
              <w:tc>
                <w:tcPr>
                  <w:tcW w:w="499" w:type="pct"/>
                  <w:vAlign w:val="bottom"/>
                </w:tcPr>
                <w:p w:rsidR="00745FEA" w:rsidRPr="005841BB" w:rsidRDefault="00745FEA" w:rsidP="00745FEA">
                  <w:pPr>
                    <w:pStyle w:val="TableBodyText"/>
                    <w:ind w:right="57"/>
                  </w:pPr>
                  <w:r w:rsidRPr="00860261">
                    <w:t>3.0</w:t>
                  </w:r>
                </w:p>
              </w:tc>
              <w:tc>
                <w:tcPr>
                  <w:tcW w:w="499" w:type="pct"/>
                  <w:shd w:val="clear" w:color="auto" w:fill="auto"/>
                  <w:vAlign w:val="bottom"/>
                </w:tcPr>
                <w:p w:rsidR="00745FEA" w:rsidRPr="005841BB" w:rsidRDefault="00745FEA" w:rsidP="00745FEA">
                  <w:pPr>
                    <w:pStyle w:val="TableBodyText"/>
                    <w:ind w:right="57"/>
                  </w:pPr>
                  <w:r w:rsidRPr="00860261">
                    <w:t>4.3</w:t>
                  </w:r>
                </w:p>
              </w:tc>
              <w:tc>
                <w:tcPr>
                  <w:tcW w:w="500" w:type="pct"/>
                  <w:shd w:val="clear" w:color="auto" w:fill="auto"/>
                  <w:vAlign w:val="bottom"/>
                </w:tcPr>
                <w:p w:rsidR="00745FEA" w:rsidRDefault="00745FEA" w:rsidP="00745FEA">
                  <w:pPr>
                    <w:pStyle w:val="TableBodyText"/>
                    <w:ind w:right="57"/>
                  </w:pPr>
                  <w:r w:rsidRPr="00860261">
                    <w:t>4.1</w:t>
                  </w:r>
                </w:p>
              </w:tc>
            </w:tr>
            <w:tr w:rsidR="00745FEA" w:rsidRPr="00F45219" w:rsidTr="00745FEA">
              <w:tc>
                <w:tcPr>
                  <w:tcW w:w="1998" w:type="pct"/>
                  <w:shd w:val="clear" w:color="auto" w:fill="auto"/>
                  <w:vAlign w:val="bottom"/>
                </w:tcPr>
                <w:p w:rsidR="00745FEA" w:rsidRPr="00F45219" w:rsidRDefault="00745FEA" w:rsidP="00745FEA">
                  <w:pPr>
                    <w:spacing w:after="30"/>
                    <w:rPr>
                      <w:rFonts w:ascii="Arial" w:hAnsi="Arial" w:cs="Arial"/>
                      <w:b/>
                      <w:bCs/>
                      <w:sz w:val="18"/>
                      <w:szCs w:val="18"/>
                    </w:rPr>
                  </w:pPr>
                  <w:r w:rsidRPr="00F45219">
                    <w:rPr>
                      <w:rFonts w:ascii="Arial" w:hAnsi="Arial" w:cs="Arial"/>
                      <w:b/>
                      <w:bCs/>
                      <w:sz w:val="18"/>
                      <w:szCs w:val="18"/>
                    </w:rPr>
                    <w:t>Mining</w:t>
                  </w:r>
                </w:p>
              </w:tc>
              <w:tc>
                <w:tcPr>
                  <w:tcW w:w="501" w:type="pct"/>
                  <w:vAlign w:val="bottom"/>
                </w:tcPr>
                <w:p w:rsidR="00745FEA" w:rsidRPr="00F45219" w:rsidRDefault="00745FEA" w:rsidP="00745FEA">
                  <w:pPr>
                    <w:pStyle w:val="TableBodyText"/>
                    <w:ind w:right="57"/>
                    <w:rPr>
                      <w:b/>
                    </w:rPr>
                  </w:pPr>
                  <w:r w:rsidRPr="00F45219">
                    <w:rPr>
                      <w:b/>
                    </w:rPr>
                    <w:t>347.5</w:t>
                  </w:r>
                </w:p>
              </w:tc>
              <w:tc>
                <w:tcPr>
                  <w:tcW w:w="501" w:type="pct"/>
                  <w:vAlign w:val="bottom"/>
                </w:tcPr>
                <w:p w:rsidR="00745FEA" w:rsidRPr="00F45219" w:rsidRDefault="00745FEA" w:rsidP="00745FEA">
                  <w:pPr>
                    <w:pStyle w:val="TableBodyText"/>
                    <w:ind w:right="57"/>
                    <w:rPr>
                      <w:b/>
                    </w:rPr>
                  </w:pPr>
                  <w:r w:rsidRPr="00F45219">
                    <w:rPr>
                      <w:b/>
                    </w:rPr>
                    <w:t>281.6</w:t>
                  </w:r>
                </w:p>
              </w:tc>
              <w:tc>
                <w:tcPr>
                  <w:tcW w:w="501" w:type="pct"/>
                  <w:vAlign w:val="bottom"/>
                </w:tcPr>
                <w:p w:rsidR="00745FEA" w:rsidRPr="00F45219" w:rsidRDefault="00745FEA" w:rsidP="00745FEA">
                  <w:pPr>
                    <w:pStyle w:val="TableBodyText"/>
                    <w:ind w:right="57"/>
                    <w:rPr>
                      <w:b/>
                    </w:rPr>
                  </w:pPr>
                  <w:r w:rsidRPr="00F45219">
                    <w:rPr>
                      <w:b/>
                    </w:rPr>
                    <w:t>263.7</w:t>
                  </w:r>
                </w:p>
              </w:tc>
              <w:tc>
                <w:tcPr>
                  <w:tcW w:w="499" w:type="pct"/>
                  <w:vAlign w:val="bottom"/>
                </w:tcPr>
                <w:p w:rsidR="00745FEA" w:rsidRPr="00F45219" w:rsidRDefault="00745FEA" w:rsidP="00745FEA">
                  <w:pPr>
                    <w:pStyle w:val="TableBodyText"/>
                    <w:ind w:right="57"/>
                    <w:rPr>
                      <w:b/>
                    </w:rPr>
                  </w:pPr>
                  <w:r w:rsidRPr="00F45219">
                    <w:rPr>
                      <w:b/>
                    </w:rPr>
                    <w:t>289.8</w:t>
                  </w:r>
                </w:p>
              </w:tc>
              <w:tc>
                <w:tcPr>
                  <w:tcW w:w="499" w:type="pct"/>
                  <w:shd w:val="clear" w:color="auto" w:fill="auto"/>
                  <w:vAlign w:val="bottom"/>
                </w:tcPr>
                <w:p w:rsidR="00745FEA" w:rsidRPr="00F45219" w:rsidRDefault="00745FEA" w:rsidP="00745FEA">
                  <w:pPr>
                    <w:pStyle w:val="TableBodyText"/>
                    <w:ind w:right="57"/>
                    <w:rPr>
                      <w:b/>
                    </w:rPr>
                  </w:pPr>
                  <w:r w:rsidRPr="00F45219">
                    <w:rPr>
                      <w:b/>
                    </w:rPr>
                    <w:t>309.6</w:t>
                  </w:r>
                </w:p>
              </w:tc>
              <w:tc>
                <w:tcPr>
                  <w:tcW w:w="500" w:type="pct"/>
                  <w:shd w:val="clear" w:color="auto" w:fill="auto"/>
                  <w:vAlign w:val="bottom"/>
                </w:tcPr>
                <w:p w:rsidR="00745FEA" w:rsidRPr="00F45219" w:rsidRDefault="00745FEA" w:rsidP="00745FEA">
                  <w:pPr>
                    <w:pStyle w:val="TableBodyText"/>
                    <w:ind w:right="57"/>
                    <w:rPr>
                      <w:b/>
                    </w:rPr>
                  </w:pPr>
                  <w:r w:rsidRPr="00F45219">
                    <w:rPr>
                      <w:b/>
                    </w:rPr>
                    <w:t>282.9</w:t>
                  </w:r>
                </w:p>
              </w:tc>
            </w:tr>
            <w:tr w:rsidR="00745FEA" w:rsidRPr="00F45219" w:rsidTr="00745FEA">
              <w:tc>
                <w:tcPr>
                  <w:tcW w:w="1998" w:type="pct"/>
                  <w:shd w:val="clear" w:color="auto" w:fill="auto"/>
                  <w:vAlign w:val="bottom"/>
                </w:tcPr>
                <w:p w:rsidR="00745FEA" w:rsidRPr="00F45219" w:rsidRDefault="00745FEA" w:rsidP="00745FEA">
                  <w:pPr>
                    <w:spacing w:after="30"/>
                    <w:rPr>
                      <w:rFonts w:ascii="Arial" w:hAnsi="Arial" w:cs="Arial"/>
                      <w:b/>
                      <w:bCs/>
                      <w:sz w:val="18"/>
                      <w:szCs w:val="18"/>
                    </w:rPr>
                  </w:pPr>
                  <w:r w:rsidRPr="00F45219">
                    <w:rPr>
                      <w:rFonts w:ascii="Arial" w:hAnsi="Arial" w:cs="Arial"/>
                      <w:b/>
                      <w:bCs/>
                      <w:sz w:val="18"/>
                      <w:szCs w:val="18"/>
                    </w:rPr>
                    <w:t>Manufacturing</w:t>
                  </w:r>
                </w:p>
              </w:tc>
              <w:tc>
                <w:tcPr>
                  <w:tcW w:w="501" w:type="pct"/>
                  <w:vAlign w:val="bottom"/>
                </w:tcPr>
                <w:p w:rsidR="00745FEA" w:rsidRPr="00F45219" w:rsidRDefault="00745FEA" w:rsidP="00745FEA">
                  <w:pPr>
                    <w:pStyle w:val="TableBodyText"/>
                    <w:ind w:right="57"/>
                    <w:rPr>
                      <w:b/>
                    </w:rPr>
                  </w:pPr>
                  <w:r w:rsidRPr="00F45219">
                    <w:rPr>
                      <w:b/>
                    </w:rPr>
                    <w:t>475.4</w:t>
                  </w:r>
                </w:p>
              </w:tc>
              <w:tc>
                <w:tcPr>
                  <w:tcW w:w="501" w:type="pct"/>
                  <w:vAlign w:val="bottom"/>
                </w:tcPr>
                <w:p w:rsidR="00745FEA" w:rsidRPr="00F45219" w:rsidRDefault="00745FEA" w:rsidP="00745FEA">
                  <w:pPr>
                    <w:pStyle w:val="TableBodyText"/>
                    <w:ind w:right="57"/>
                    <w:rPr>
                      <w:b/>
                    </w:rPr>
                  </w:pPr>
                  <w:r w:rsidRPr="00F45219">
                    <w:rPr>
                      <w:b/>
                    </w:rPr>
                    <w:t>684.1</w:t>
                  </w:r>
                </w:p>
              </w:tc>
              <w:tc>
                <w:tcPr>
                  <w:tcW w:w="501" w:type="pct"/>
                  <w:vAlign w:val="bottom"/>
                </w:tcPr>
                <w:p w:rsidR="00745FEA" w:rsidRPr="00F45219" w:rsidRDefault="00745FEA" w:rsidP="00745FEA">
                  <w:pPr>
                    <w:pStyle w:val="TableBodyText"/>
                    <w:ind w:right="57"/>
                    <w:rPr>
                      <w:b/>
                    </w:rPr>
                  </w:pPr>
                  <w:r w:rsidRPr="00F45219">
                    <w:rPr>
                      <w:b/>
                    </w:rPr>
                    <w:t>570.9</w:t>
                  </w:r>
                </w:p>
              </w:tc>
              <w:tc>
                <w:tcPr>
                  <w:tcW w:w="499" w:type="pct"/>
                  <w:vAlign w:val="bottom"/>
                </w:tcPr>
                <w:p w:rsidR="00745FEA" w:rsidRPr="00F45219" w:rsidRDefault="00745FEA" w:rsidP="00745FEA">
                  <w:pPr>
                    <w:pStyle w:val="TableBodyText"/>
                    <w:ind w:right="57"/>
                    <w:rPr>
                      <w:b/>
                    </w:rPr>
                  </w:pPr>
                  <w:r w:rsidRPr="00F45219">
                    <w:rPr>
                      <w:b/>
                    </w:rPr>
                    <w:t>486.9</w:t>
                  </w:r>
                </w:p>
              </w:tc>
              <w:tc>
                <w:tcPr>
                  <w:tcW w:w="499" w:type="pct"/>
                  <w:shd w:val="clear" w:color="auto" w:fill="auto"/>
                  <w:vAlign w:val="bottom"/>
                </w:tcPr>
                <w:p w:rsidR="00745FEA" w:rsidRPr="00F45219" w:rsidRDefault="00745FEA" w:rsidP="00745FEA">
                  <w:pPr>
                    <w:pStyle w:val="TableBodyText"/>
                    <w:ind w:right="57"/>
                    <w:rPr>
                      <w:b/>
                    </w:rPr>
                  </w:pPr>
                  <w:r w:rsidRPr="00F45219">
                    <w:rPr>
                      <w:b/>
                    </w:rPr>
                    <w:t>504.1</w:t>
                  </w:r>
                </w:p>
              </w:tc>
              <w:tc>
                <w:tcPr>
                  <w:tcW w:w="500" w:type="pct"/>
                  <w:shd w:val="clear" w:color="auto" w:fill="auto"/>
                  <w:vAlign w:val="bottom"/>
                </w:tcPr>
                <w:p w:rsidR="00745FEA" w:rsidRPr="00F45219" w:rsidRDefault="00745FEA" w:rsidP="00745FEA">
                  <w:pPr>
                    <w:pStyle w:val="TableBodyText"/>
                    <w:ind w:right="57"/>
                    <w:rPr>
                      <w:b/>
                    </w:rPr>
                  </w:pPr>
                  <w:r w:rsidRPr="00F45219">
                    <w:rPr>
                      <w:b/>
                    </w:rPr>
                    <w:t>550.5</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Food, beverages and tobacco</w:t>
                  </w:r>
                </w:p>
              </w:tc>
              <w:tc>
                <w:tcPr>
                  <w:tcW w:w="501" w:type="pct"/>
                  <w:vAlign w:val="bottom"/>
                </w:tcPr>
                <w:p w:rsidR="00745FEA" w:rsidRPr="005841BB" w:rsidRDefault="00745FEA" w:rsidP="00745FEA">
                  <w:pPr>
                    <w:pStyle w:val="TableBodyText"/>
                    <w:spacing w:after="20"/>
                    <w:ind w:right="57"/>
                  </w:pPr>
                  <w:r w:rsidRPr="00860261">
                    <w:t>81.1</w:t>
                  </w:r>
                </w:p>
              </w:tc>
              <w:tc>
                <w:tcPr>
                  <w:tcW w:w="501" w:type="pct"/>
                  <w:vAlign w:val="bottom"/>
                </w:tcPr>
                <w:p w:rsidR="00745FEA" w:rsidRPr="005841BB" w:rsidRDefault="00745FEA" w:rsidP="00745FEA">
                  <w:pPr>
                    <w:pStyle w:val="TableBodyText"/>
                    <w:spacing w:after="20"/>
                    <w:ind w:right="57"/>
                  </w:pPr>
                  <w:r w:rsidRPr="00860261">
                    <w:t>62.6</w:t>
                  </w:r>
                </w:p>
              </w:tc>
              <w:tc>
                <w:tcPr>
                  <w:tcW w:w="501" w:type="pct"/>
                  <w:vAlign w:val="bottom"/>
                </w:tcPr>
                <w:p w:rsidR="00745FEA" w:rsidRPr="005841BB" w:rsidRDefault="00745FEA" w:rsidP="00745FEA">
                  <w:pPr>
                    <w:pStyle w:val="TableBodyText"/>
                    <w:spacing w:after="20"/>
                    <w:ind w:right="57"/>
                  </w:pPr>
                  <w:r w:rsidRPr="00860261">
                    <w:t>77.5</w:t>
                  </w:r>
                </w:p>
              </w:tc>
              <w:tc>
                <w:tcPr>
                  <w:tcW w:w="499" w:type="pct"/>
                  <w:vAlign w:val="bottom"/>
                </w:tcPr>
                <w:p w:rsidR="00745FEA" w:rsidRPr="005841BB" w:rsidRDefault="00745FEA" w:rsidP="00745FEA">
                  <w:pPr>
                    <w:pStyle w:val="TableBodyText"/>
                    <w:spacing w:after="20"/>
                    <w:ind w:right="57"/>
                  </w:pPr>
                  <w:r w:rsidRPr="00860261">
                    <w:t>72.8</w:t>
                  </w:r>
                </w:p>
              </w:tc>
              <w:tc>
                <w:tcPr>
                  <w:tcW w:w="499" w:type="pct"/>
                  <w:shd w:val="clear" w:color="auto" w:fill="auto"/>
                  <w:vAlign w:val="bottom"/>
                </w:tcPr>
                <w:p w:rsidR="00745FEA" w:rsidRPr="005841BB" w:rsidRDefault="00745FEA" w:rsidP="00745FEA">
                  <w:pPr>
                    <w:pStyle w:val="TableBodyText"/>
                    <w:spacing w:after="20"/>
                    <w:ind w:right="57"/>
                  </w:pPr>
                  <w:r w:rsidRPr="00860261">
                    <w:t>53.8</w:t>
                  </w:r>
                </w:p>
              </w:tc>
              <w:tc>
                <w:tcPr>
                  <w:tcW w:w="500" w:type="pct"/>
                  <w:shd w:val="clear" w:color="auto" w:fill="auto"/>
                  <w:vAlign w:val="bottom"/>
                </w:tcPr>
                <w:p w:rsidR="00745FEA" w:rsidRPr="005841BB" w:rsidRDefault="00745FEA" w:rsidP="00745FEA">
                  <w:pPr>
                    <w:pStyle w:val="TableBodyText"/>
                    <w:spacing w:after="20"/>
                    <w:ind w:right="57"/>
                  </w:pPr>
                  <w:r w:rsidRPr="00860261">
                    <w:t>51.7</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Textile</w:t>
                  </w:r>
                  <w:r>
                    <w:rPr>
                      <w:rFonts w:ascii="Arial" w:hAnsi="Arial" w:cs="Arial"/>
                      <w:sz w:val="18"/>
                      <w:szCs w:val="18"/>
                    </w:rPr>
                    <w:t>s</w:t>
                  </w:r>
                  <w:r w:rsidRPr="00037109">
                    <w:rPr>
                      <w:rFonts w:ascii="Arial" w:hAnsi="Arial" w:cs="Arial"/>
                      <w:sz w:val="18"/>
                      <w:szCs w:val="18"/>
                    </w:rPr>
                    <w:t>, leather, clothing and footwear</w:t>
                  </w:r>
                </w:p>
              </w:tc>
              <w:tc>
                <w:tcPr>
                  <w:tcW w:w="501" w:type="pct"/>
                  <w:vAlign w:val="bottom"/>
                </w:tcPr>
                <w:p w:rsidR="00745FEA" w:rsidRPr="005841BB" w:rsidRDefault="00745FEA" w:rsidP="00745FEA">
                  <w:pPr>
                    <w:pStyle w:val="TableBodyText"/>
                    <w:spacing w:after="20"/>
                    <w:ind w:right="57"/>
                  </w:pPr>
                  <w:r w:rsidRPr="00860261">
                    <w:t>10.5</w:t>
                  </w:r>
                </w:p>
              </w:tc>
              <w:tc>
                <w:tcPr>
                  <w:tcW w:w="501" w:type="pct"/>
                  <w:vAlign w:val="bottom"/>
                </w:tcPr>
                <w:p w:rsidR="00745FEA" w:rsidRPr="005841BB" w:rsidRDefault="00745FEA" w:rsidP="00745FEA">
                  <w:pPr>
                    <w:pStyle w:val="TableBodyText"/>
                    <w:spacing w:after="20"/>
                    <w:ind w:right="57"/>
                  </w:pPr>
                  <w:r w:rsidRPr="00860261">
                    <w:t>8.8</w:t>
                  </w:r>
                </w:p>
              </w:tc>
              <w:tc>
                <w:tcPr>
                  <w:tcW w:w="501" w:type="pct"/>
                  <w:vAlign w:val="bottom"/>
                </w:tcPr>
                <w:p w:rsidR="00745FEA" w:rsidRPr="005841BB" w:rsidRDefault="00745FEA" w:rsidP="00745FEA">
                  <w:pPr>
                    <w:pStyle w:val="TableBodyText"/>
                    <w:spacing w:after="20"/>
                    <w:ind w:right="57"/>
                  </w:pPr>
                  <w:r w:rsidRPr="00860261">
                    <w:t>9.2</w:t>
                  </w:r>
                </w:p>
              </w:tc>
              <w:tc>
                <w:tcPr>
                  <w:tcW w:w="499" w:type="pct"/>
                  <w:vAlign w:val="bottom"/>
                </w:tcPr>
                <w:p w:rsidR="00745FEA" w:rsidRPr="005841BB" w:rsidRDefault="00745FEA" w:rsidP="00745FEA">
                  <w:pPr>
                    <w:pStyle w:val="TableBodyText"/>
                    <w:spacing w:after="20"/>
                    <w:ind w:right="57"/>
                  </w:pPr>
                  <w:r w:rsidRPr="00860261">
                    <w:t>6.7</w:t>
                  </w:r>
                </w:p>
              </w:tc>
              <w:tc>
                <w:tcPr>
                  <w:tcW w:w="499" w:type="pct"/>
                  <w:shd w:val="clear" w:color="auto" w:fill="auto"/>
                  <w:vAlign w:val="bottom"/>
                </w:tcPr>
                <w:p w:rsidR="00745FEA" w:rsidRPr="005841BB" w:rsidRDefault="00745FEA" w:rsidP="00745FEA">
                  <w:pPr>
                    <w:pStyle w:val="TableBodyText"/>
                    <w:spacing w:after="20"/>
                    <w:ind w:right="57"/>
                  </w:pPr>
                  <w:r w:rsidRPr="00860261">
                    <w:t>7.4</w:t>
                  </w:r>
                </w:p>
              </w:tc>
              <w:tc>
                <w:tcPr>
                  <w:tcW w:w="500" w:type="pct"/>
                  <w:shd w:val="clear" w:color="auto" w:fill="auto"/>
                  <w:vAlign w:val="bottom"/>
                </w:tcPr>
                <w:p w:rsidR="00745FEA" w:rsidRPr="005841BB" w:rsidRDefault="00745FEA" w:rsidP="00745FEA">
                  <w:pPr>
                    <w:pStyle w:val="TableBodyText"/>
                    <w:spacing w:after="20"/>
                    <w:ind w:right="57"/>
                  </w:pPr>
                  <w:r w:rsidRPr="00860261">
                    <w:t>14.1</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Wood and paper products</w:t>
                  </w:r>
                </w:p>
              </w:tc>
              <w:tc>
                <w:tcPr>
                  <w:tcW w:w="501" w:type="pct"/>
                  <w:vAlign w:val="bottom"/>
                </w:tcPr>
                <w:p w:rsidR="00745FEA" w:rsidRPr="005841BB" w:rsidRDefault="00745FEA" w:rsidP="00745FEA">
                  <w:pPr>
                    <w:pStyle w:val="TableBodyText"/>
                    <w:spacing w:after="20"/>
                    <w:ind w:right="57"/>
                  </w:pPr>
                  <w:r w:rsidRPr="00860261">
                    <w:t>11.7</w:t>
                  </w:r>
                </w:p>
              </w:tc>
              <w:tc>
                <w:tcPr>
                  <w:tcW w:w="501" w:type="pct"/>
                  <w:vAlign w:val="bottom"/>
                </w:tcPr>
                <w:p w:rsidR="00745FEA" w:rsidRPr="005841BB" w:rsidRDefault="00745FEA" w:rsidP="00745FEA">
                  <w:pPr>
                    <w:pStyle w:val="TableBodyText"/>
                    <w:spacing w:after="20"/>
                    <w:ind w:right="57"/>
                  </w:pPr>
                  <w:r w:rsidRPr="00860261">
                    <w:t>10.5</w:t>
                  </w:r>
                </w:p>
              </w:tc>
              <w:tc>
                <w:tcPr>
                  <w:tcW w:w="501" w:type="pct"/>
                  <w:vAlign w:val="bottom"/>
                </w:tcPr>
                <w:p w:rsidR="00745FEA" w:rsidRPr="005841BB" w:rsidRDefault="00745FEA" w:rsidP="00745FEA">
                  <w:pPr>
                    <w:pStyle w:val="TableBodyText"/>
                    <w:spacing w:after="20"/>
                    <w:ind w:right="57"/>
                  </w:pPr>
                  <w:r w:rsidRPr="00860261">
                    <w:t>10.1</w:t>
                  </w:r>
                </w:p>
              </w:tc>
              <w:tc>
                <w:tcPr>
                  <w:tcW w:w="499" w:type="pct"/>
                  <w:vAlign w:val="bottom"/>
                </w:tcPr>
                <w:p w:rsidR="00745FEA" w:rsidRPr="005841BB" w:rsidRDefault="00745FEA" w:rsidP="00745FEA">
                  <w:pPr>
                    <w:pStyle w:val="TableBodyText"/>
                    <w:spacing w:after="20"/>
                    <w:ind w:right="57"/>
                  </w:pPr>
                  <w:r w:rsidRPr="00860261">
                    <w:t>6.9</w:t>
                  </w:r>
                </w:p>
              </w:tc>
              <w:tc>
                <w:tcPr>
                  <w:tcW w:w="499" w:type="pct"/>
                  <w:shd w:val="clear" w:color="auto" w:fill="auto"/>
                  <w:vAlign w:val="bottom"/>
                </w:tcPr>
                <w:p w:rsidR="00745FEA" w:rsidRPr="005841BB" w:rsidRDefault="00745FEA" w:rsidP="00745FEA">
                  <w:pPr>
                    <w:pStyle w:val="TableBodyText"/>
                    <w:spacing w:after="20"/>
                    <w:ind w:right="57"/>
                  </w:pPr>
                  <w:r w:rsidRPr="00860261">
                    <w:t>8.8</w:t>
                  </w:r>
                </w:p>
              </w:tc>
              <w:tc>
                <w:tcPr>
                  <w:tcW w:w="500" w:type="pct"/>
                  <w:shd w:val="clear" w:color="auto" w:fill="auto"/>
                  <w:vAlign w:val="bottom"/>
                </w:tcPr>
                <w:p w:rsidR="00745FEA" w:rsidRPr="005841BB" w:rsidRDefault="00745FEA" w:rsidP="00745FEA">
                  <w:pPr>
                    <w:pStyle w:val="TableBodyText"/>
                    <w:spacing w:after="20"/>
                    <w:ind w:right="57"/>
                  </w:pPr>
                  <w:r w:rsidRPr="00860261">
                    <w:t>16.8</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Printing and recorded media</w:t>
                  </w:r>
                </w:p>
              </w:tc>
              <w:tc>
                <w:tcPr>
                  <w:tcW w:w="501" w:type="pct"/>
                  <w:vAlign w:val="bottom"/>
                </w:tcPr>
                <w:p w:rsidR="00745FEA" w:rsidRPr="005841BB" w:rsidRDefault="00745FEA" w:rsidP="00745FEA">
                  <w:pPr>
                    <w:pStyle w:val="TableBodyText"/>
                    <w:spacing w:after="20"/>
                    <w:ind w:right="57"/>
                  </w:pPr>
                  <w:r w:rsidRPr="00860261">
                    <w:t>10.3</w:t>
                  </w:r>
                </w:p>
              </w:tc>
              <w:tc>
                <w:tcPr>
                  <w:tcW w:w="501" w:type="pct"/>
                  <w:vAlign w:val="bottom"/>
                </w:tcPr>
                <w:p w:rsidR="00745FEA" w:rsidRPr="005841BB" w:rsidRDefault="00745FEA" w:rsidP="00745FEA">
                  <w:pPr>
                    <w:pStyle w:val="TableBodyText"/>
                    <w:spacing w:after="20"/>
                    <w:ind w:right="57"/>
                  </w:pPr>
                  <w:r w:rsidRPr="00860261">
                    <w:t>9.1</w:t>
                  </w:r>
                </w:p>
              </w:tc>
              <w:tc>
                <w:tcPr>
                  <w:tcW w:w="501" w:type="pct"/>
                  <w:vAlign w:val="bottom"/>
                </w:tcPr>
                <w:p w:rsidR="00745FEA" w:rsidRPr="005841BB" w:rsidRDefault="00745FEA" w:rsidP="00745FEA">
                  <w:pPr>
                    <w:pStyle w:val="TableBodyText"/>
                    <w:spacing w:after="20"/>
                    <w:ind w:right="57"/>
                  </w:pPr>
                  <w:r w:rsidRPr="00860261">
                    <w:t>8.6</w:t>
                  </w:r>
                </w:p>
              </w:tc>
              <w:tc>
                <w:tcPr>
                  <w:tcW w:w="499" w:type="pct"/>
                  <w:vAlign w:val="bottom"/>
                </w:tcPr>
                <w:p w:rsidR="00745FEA" w:rsidRPr="005841BB" w:rsidRDefault="00745FEA" w:rsidP="00745FEA">
                  <w:pPr>
                    <w:pStyle w:val="TableBodyText"/>
                    <w:spacing w:after="20"/>
                    <w:ind w:right="57"/>
                  </w:pPr>
                  <w:r w:rsidRPr="00860261">
                    <w:t>6.0</w:t>
                  </w:r>
                </w:p>
              </w:tc>
              <w:tc>
                <w:tcPr>
                  <w:tcW w:w="499" w:type="pct"/>
                  <w:shd w:val="clear" w:color="auto" w:fill="auto"/>
                  <w:vAlign w:val="bottom"/>
                </w:tcPr>
                <w:p w:rsidR="00745FEA" w:rsidRPr="005841BB" w:rsidRDefault="00745FEA" w:rsidP="00745FEA">
                  <w:pPr>
                    <w:pStyle w:val="TableBodyText"/>
                    <w:spacing w:after="20"/>
                    <w:ind w:right="57"/>
                  </w:pPr>
                  <w:r w:rsidRPr="00860261">
                    <w:t>11.3</w:t>
                  </w:r>
                </w:p>
              </w:tc>
              <w:tc>
                <w:tcPr>
                  <w:tcW w:w="500" w:type="pct"/>
                  <w:shd w:val="clear" w:color="auto" w:fill="auto"/>
                  <w:vAlign w:val="bottom"/>
                </w:tcPr>
                <w:p w:rsidR="00745FEA" w:rsidRPr="005841BB" w:rsidRDefault="00745FEA" w:rsidP="00745FEA">
                  <w:pPr>
                    <w:pStyle w:val="TableBodyText"/>
                    <w:spacing w:after="20"/>
                    <w:ind w:right="57"/>
                  </w:pPr>
                  <w:r w:rsidRPr="00860261">
                    <w:t>15.1</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Petroleum, coal, chemical and rubber</w:t>
                  </w:r>
                </w:p>
              </w:tc>
              <w:tc>
                <w:tcPr>
                  <w:tcW w:w="501" w:type="pct"/>
                  <w:vAlign w:val="bottom"/>
                </w:tcPr>
                <w:p w:rsidR="00745FEA" w:rsidRPr="005841BB" w:rsidRDefault="00745FEA" w:rsidP="00745FEA">
                  <w:pPr>
                    <w:pStyle w:val="TableBodyText"/>
                    <w:spacing w:after="20"/>
                    <w:ind w:right="57"/>
                  </w:pPr>
                  <w:r w:rsidRPr="00860261">
                    <w:t>59.0</w:t>
                  </w:r>
                </w:p>
              </w:tc>
              <w:tc>
                <w:tcPr>
                  <w:tcW w:w="501" w:type="pct"/>
                  <w:vAlign w:val="bottom"/>
                </w:tcPr>
                <w:p w:rsidR="00745FEA" w:rsidRPr="005841BB" w:rsidRDefault="00745FEA" w:rsidP="00745FEA">
                  <w:pPr>
                    <w:pStyle w:val="TableBodyText"/>
                    <w:spacing w:after="20"/>
                    <w:ind w:right="57"/>
                  </w:pPr>
                  <w:r w:rsidRPr="00860261">
                    <w:t>71.4</w:t>
                  </w:r>
                </w:p>
              </w:tc>
              <w:tc>
                <w:tcPr>
                  <w:tcW w:w="501" w:type="pct"/>
                  <w:vAlign w:val="bottom"/>
                </w:tcPr>
                <w:p w:rsidR="00745FEA" w:rsidRPr="005841BB" w:rsidRDefault="00745FEA" w:rsidP="00745FEA">
                  <w:pPr>
                    <w:pStyle w:val="TableBodyText"/>
                    <w:spacing w:after="20"/>
                    <w:ind w:right="57"/>
                  </w:pPr>
                  <w:r w:rsidRPr="00860261">
                    <w:t>51.5</w:t>
                  </w:r>
                </w:p>
              </w:tc>
              <w:tc>
                <w:tcPr>
                  <w:tcW w:w="499" w:type="pct"/>
                  <w:vAlign w:val="bottom"/>
                </w:tcPr>
                <w:p w:rsidR="00745FEA" w:rsidRPr="005841BB" w:rsidRDefault="00745FEA" w:rsidP="00745FEA">
                  <w:pPr>
                    <w:pStyle w:val="TableBodyText"/>
                    <w:spacing w:after="20"/>
                    <w:ind w:right="57"/>
                  </w:pPr>
                  <w:r w:rsidRPr="00860261">
                    <w:t>38.4</w:t>
                  </w:r>
                </w:p>
              </w:tc>
              <w:tc>
                <w:tcPr>
                  <w:tcW w:w="499" w:type="pct"/>
                  <w:shd w:val="clear" w:color="auto" w:fill="auto"/>
                  <w:vAlign w:val="bottom"/>
                </w:tcPr>
                <w:p w:rsidR="00745FEA" w:rsidRPr="005841BB" w:rsidRDefault="00745FEA" w:rsidP="00745FEA">
                  <w:pPr>
                    <w:pStyle w:val="TableBodyText"/>
                    <w:spacing w:after="20"/>
                    <w:ind w:right="57"/>
                  </w:pPr>
                  <w:r w:rsidRPr="00860261">
                    <w:t>36.3</w:t>
                  </w:r>
                </w:p>
              </w:tc>
              <w:tc>
                <w:tcPr>
                  <w:tcW w:w="500" w:type="pct"/>
                  <w:shd w:val="clear" w:color="auto" w:fill="auto"/>
                  <w:vAlign w:val="bottom"/>
                </w:tcPr>
                <w:p w:rsidR="00745FEA" w:rsidRPr="005841BB" w:rsidRDefault="00745FEA" w:rsidP="00745FEA">
                  <w:pPr>
                    <w:pStyle w:val="TableBodyText"/>
                    <w:spacing w:after="20"/>
                    <w:ind w:right="57"/>
                  </w:pPr>
                  <w:r w:rsidRPr="00860261">
                    <w:t>35.3</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Non</w:t>
                  </w:r>
                  <w:r>
                    <w:rPr>
                      <w:rFonts w:ascii="Arial" w:hAnsi="Arial" w:cs="Arial"/>
                      <w:sz w:val="18"/>
                      <w:szCs w:val="18"/>
                    </w:rPr>
                    <w:noBreakHyphen/>
                  </w:r>
                  <w:r w:rsidRPr="00037109">
                    <w:rPr>
                      <w:rFonts w:ascii="Arial" w:hAnsi="Arial" w:cs="Arial"/>
                      <w:sz w:val="18"/>
                      <w:szCs w:val="18"/>
                    </w:rPr>
                    <w:t>metallic mineral products</w:t>
                  </w:r>
                </w:p>
              </w:tc>
              <w:tc>
                <w:tcPr>
                  <w:tcW w:w="501" w:type="pct"/>
                  <w:vAlign w:val="bottom"/>
                </w:tcPr>
                <w:p w:rsidR="00745FEA" w:rsidRPr="005841BB" w:rsidRDefault="00745FEA" w:rsidP="00745FEA">
                  <w:pPr>
                    <w:pStyle w:val="TableBodyText"/>
                    <w:spacing w:after="20"/>
                    <w:ind w:right="57"/>
                  </w:pPr>
                  <w:r w:rsidRPr="00860261">
                    <w:t>9.4</w:t>
                  </w:r>
                </w:p>
              </w:tc>
              <w:tc>
                <w:tcPr>
                  <w:tcW w:w="501" w:type="pct"/>
                  <w:vAlign w:val="bottom"/>
                </w:tcPr>
                <w:p w:rsidR="00745FEA" w:rsidRPr="005841BB" w:rsidRDefault="00745FEA" w:rsidP="00745FEA">
                  <w:pPr>
                    <w:pStyle w:val="TableBodyText"/>
                    <w:spacing w:after="20"/>
                    <w:ind w:right="57"/>
                  </w:pPr>
                  <w:r w:rsidRPr="00860261">
                    <w:t>7.5</w:t>
                  </w:r>
                </w:p>
              </w:tc>
              <w:tc>
                <w:tcPr>
                  <w:tcW w:w="501" w:type="pct"/>
                  <w:vAlign w:val="bottom"/>
                </w:tcPr>
                <w:p w:rsidR="00745FEA" w:rsidRPr="005841BB" w:rsidRDefault="00745FEA" w:rsidP="00745FEA">
                  <w:pPr>
                    <w:pStyle w:val="TableBodyText"/>
                    <w:spacing w:after="20"/>
                    <w:ind w:right="57"/>
                  </w:pPr>
                  <w:r w:rsidRPr="00860261">
                    <w:t>7.4</w:t>
                  </w:r>
                </w:p>
              </w:tc>
              <w:tc>
                <w:tcPr>
                  <w:tcW w:w="499" w:type="pct"/>
                  <w:vAlign w:val="bottom"/>
                </w:tcPr>
                <w:p w:rsidR="00745FEA" w:rsidRPr="005841BB" w:rsidRDefault="00745FEA" w:rsidP="00745FEA">
                  <w:pPr>
                    <w:pStyle w:val="TableBodyText"/>
                    <w:spacing w:after="20"/>
                    <w:ind w:right="57"/>
                  </w:pPr>
                  <w:r w:rsidRPr="00860261">
                    <w:t>5.0</w:t>
                  </w:r>
                </w:p>
              </w:tc>
              <w:tc>
                <w:tcPr>
                  <w:tcW w:w="499" w:type="pct"/>
                  <w:shd w:val="clear" w:color="auto" w:fill="auto"/>
                  <w:vAlign w:val="bottom"/>
                </w:tcPr>
                <w:p w:rsidR="00745FEA" w:rsidRPr="005841BB" w:rsidRDefault="00745FEA" w:rsidP="00745FEA">
                  <w:pPr>
                    <w:pStyle w:val="TableBodyText"/>
                    <w:spacing w:after="20"/>
                    <w:ind w:right="57"/>
                  </w:pPr>
                  <w:r w:rsidRPr="00860261">
                    <w:t>4.4</w:t>
                  </w:r>
                </w:p>
              </w:tc>
              <w:tc>
                <w:tcPr>
                  <w:tcW w:w="500" w:type="pct"/>
                  <w:shd w:val="clear" w:color="auto" w:fill="auto"/>
                  <w:vAlign w:val="bottom"/>
                </w:tcPr>
                <w:p w:rsidR="00745FEA" w:rsidRPr="005841BB" w:rsidRDefault="00745FEA" w:rsidP="00745FEA">
                  <w:pPr>
                    <w:pStyle w:val="TableBodyText"/>
                    <w:spacing w:after="20"/>
                    <w:ind w:right="57"/>
                  </w:pPr>
                  <w:r w:rsidRPr="00860261">
                    <w:t>7.4</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Metal and fabricated metal products</w:t>
                  </w:r>
                </w:p>
              </w:tc>
              <w:tc>
                <w:tcPr>
                  <w:tcW w:w="501" w:type="pct"/>
                  <w:vAlign w:val="bottom"/>
                </w:tcPr>
                <w:p w:rsidR="00745FEA" w:rsidRPr="005841BB" w:rsidRDefault="00745FEA" w:rsidP="00745FEA">
                  <w:pPr>
                    <w:pStyle w:val="TableBodyText"/>
                    <w:spacing w:after="20"/>
                    <w:ind w:right="57"/>
                  </w:pPr>
                  <w:r w:rsidRPr="00860261">
                    <w:t>83.4</w:t>
                  </w:r>
                </w:p>
              </w:tc>
              <w:tc>
                <w:tcPr>
                  <w:tcW w:w="501" w:type="pct"/>
                  <w:vAlign w:val="bottom"/>
                </w:tcPr>
                <w:p w:rsidR="00745FEA" w:rsidRPr="005841BB" w:rsidRDefault="00745FEA" w:rsidP="00745FEA">
                  <w:pPr>
                    <w:pStyle w:val="TableBodyText"/>
                    <w:spacing w:after="20"/>
                    <w:ind w:right="57"/>
                  </w:pPr>
                  <w:r w:rsidRPr="00860261">
                    <w:t>292.1</w:t>
                  </w:r>
                </w:p>
              </w:tc>
              <w:tc>
                <w:tcPr>
                  <w:tcW w:w="501" w:type="pct"/>
                  <w:vAlign w:val="bottom"/>
                </w:tcPr>
                <w:p w:rsidR="00745FEA" w:rsidRPr="005841BB" w:rsidRDefault="00745FEA" w:rsidP="00745FEA">
                  <w:pPr>
                    <w:pStyle w:val="TableBodyText"/>
                    <w:spacing w:after="20"/>
                    <w:ind w:right="57"/>
                  </w:pPr>
                  <w:r w:rsidRPr="00860261">
                    <w:t>231.4</w:t>
                  </w:r>
                </w:p>
              </w:tc>
              <w:tc>
                <w:tcPr>
                  <w:tcW w:w="499" w:type="pct"/>
                  <w:vAlign w:val="bottom"/>
                </w:tcPr>
                <w:p w:rsidR="00745FEA" w:rsidRPr="005841BB" w:rsidRDefault="00745FEA" w:rsidP="00745FEA">
                  <w:pPr>
                    <w:pStyle w:val="TableBodyText"/>
                    <w:spacing w:after="20"/>
                    <w:ind w:right="57"/>
                  </w:pPr>
                  <w:r w:rsidRPr="00860261">
                    <w:t>176.4</w:t>
                  </w:r>
                </w:p>
              </w:tc>
              <w:tc>
                <w:tcPr>
                  <w:tcW w:w="499" w:type="pct"/>
                  <w:shd w:val="clear" w:color="auto" w:fill="auto"/>
                  <w:vAlign w:val="bottom"/>
                </w:tcPr>
                <w:p w:rsidR="00745FEA" w:rsidRPr="005841BB" w:rsidRDefault="00745FEA" w:rsidP="00745FEA">
                  <w:pPr>
                    <w:pStyle w:val="TableBodyText"/>
                    <w:spacing w:after="20"/>
                    <w:ind w:right="57"/>
                  </w:pPr>
                  <w:r w:rsidRPr="00860261">
                    <w:t>121.0</w:t>
                  </w:r>
                </w:p>
              </w:tc>
              <w:tc>
                <w:tcPr>
                  <w:tcW w:w="500" w:type="pct"/>
                  <w:shd w:val="clear" w:color="auto" w:fill="auto"/>
                  <w:vAlign w:val="bottom"/>
                </w:tcPr>
                <w:p w:rsidR="00745FEA" w:rsidRPr="005841BB" w:rsidRDefault="00745FEA" w:rsidP="00745FEA">
                  <w:pPr>
                    <w:pStyle w:val="TableBodyText"/>
                    <w:spacing w:after="20"/>
                    <w:ind w:right="57"/>
                  </w:pPr>
                  <w:r w:rsidRPr="00860261">
                    <w:t>138.6</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Motor vehicle</w:t>
                  </w:r>
                  <w:r>
                    <w:rPr>
                      <w:rFonts w:ascii="Arial" w:hAnsi="Arial" w:cs="Arial"/>
                      <w:sz w:val="18"/>
                      <w:szCs w:val="18"/>
                    </w:rPr>
                    <w:t>s</w:t>
                  </w:r>
                  <w:r w:rsidRPr="00037109">
                    <w:rPr>
                      <w:rFonts w:ascii="Arial" w:hAnsi="Arial" w:cs="Arial"/>
                      <w:sz w:val="18"/>
                      <w:szCs w:val="18"/>
                    </w:rPr>
                    <w:t xml:space="preserve"> and parts</w:t>
                  </w:r>
                </w:p>
              </w:tc>
              <w:tc>
                <w:tcPr>
                  <w:tcW w:w="501" w:type="pct"/>
                  <w:vAlign w:val="bottom"/>
                </w:tcPr>
                <w:p w:rsidR="00745FEA" w:rsidRPr="005841BB" w:rsidRDefault="00745FEA" w:rsidP="00745FEA">
                  <w:pPr>
                    <w:pStyle w:val="TableBodyText"/>
                    <w:spacing w:after="20"/>
                    <w:ind w:right="57"/>
                  </w:pPr>
                  <w:r w:rsidRPr="00860261">
                    <w:t>45.0</w:t>
                  </w:r>
                </w:p>
              </w:tc>
              <w:tc>
                <w:tcPr>
                  <w:tcW w:w="501" w:type="pct"/>
                  <w:vAlign w:val="bottom"/>
                </w:tcPr>
                <w:p w:rsidR="00745FEA" w:rsidRPr="005841BB" w:rsidRDefault="00745FEA" w:rsidP="00745FEA">
                  <w:pPr>
                    <w:pStyle w:val="TableBodyText"/>
                    <w:spacing w:after="20"/>
                    <w:ind w:right="57"/>
                  </w:pPr>
                  <w:r w:rsidRPr="00860261">
                    <w:t>38.3</w:t>
                  </w:r>
                </w:p>
              </w:tc>
              <w:tc>
                <w:tcPr>
                  <w:tcW w:w="501" w:type="pct"/>
                  <w:vAlign w:val="bottom"/>
                </w:tcPr>
                <w:p w:rsidR="00745FEA" w:rsidRPr="005841BB" w:rsidRDefault="00745FEA" w:rsidP="00745FEA">
                  <w:pPr>
                    <w:pStyle w:val="TableBodyText"/>
                    <w:spacing w:after="20"/>
                    <w:ind w:right="57"/>
                  </w:pPr>
                  <w:r w:rsidRPr="00860261">
                    <w:t>33.8</w:t>
                  </w:r>
                </w:p>
              </w:tc>
              <w:tc>
                <w:tcPr>
                  <w:tcW w:w="499" w:type="pct"/>
                  <w:vAlign w:val="bottom"/>
                </w:tcPr>
                <w:p w:rsidR="00745FEA" w:rsidRPr="005841BB" w:rsidRDefault="00745FEA" w:rsidP="00745FEA">
                  <w:pPr>
                    <w:pStyle w:val="TableBodyText"/>
                    <w:spacing w:after="20"/>
                    <w:ind w:right="57"/>
                  </w:pPr>
                  <w:r w:rsidRPr="00860261">
                    <w:t>31.2</w:t>
                  </w:r>
                </w:p>
              </w:tc>
              <w:tc>
                <w:tcPr>
                  <w:tcW w:w="499" w:type="pct"/>
                  <w:shd w:val="clear" w:color="auto" w:fill="auto"/>
                  <w:vAlign w:val="bottom"/>
                </w:tcPr>
                <w:p w:rsidR="00745FEA" w:rsidRPr="005841BB" w:rsidRDefault="00745FEA" w:rsidP="00745FEA">
                  <w:pPr>
                    <w:pStyle w:val="TableBodyText"/>
                    <w:spacing w:after="20"/>
                    <w:ind w:right="57"/>
                  </w:pPr>
                  <w:r w:rsidRPr="00860261">
                    <w:t>35.1</w:t>
                  </w:r>
                </w:p>
              </w:tc>
              <w:tc>
                <w:tcPr>
                  <w:tcW w:w="500" w:type="pct"/>
                  <w:shd w:val="clear" w:color="auto" w:fill="auto"/>
                  <w:vAlign w:val="bottom"/>
                </w:tcPr>
                <w:p w:rsidR="00745FEA" w:rsidRPr="005841BB" w:rsidRDefault="00745FEA" w:rsidP="00745FEA">
                  <w:pPr>
                    <w:pStyle w:val="TableBodyText"/>
                    <w:spacing w:after="20"/>
                    <w:ind w:right="57"/>
                  </w:pPr>
                  <w:r w:rsidRPr="00860261">
                    <w:t>36.3</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Other transport equipment</w:t>
                  </w:r>
                </w:p>
              </w:tc>
              <w:tc>
                <w:tcPr>
                  <w:tcW w:w="501" w:type="pct"/>
                  <w:vAlign w:val="bottom"/>
                </w:tcPr>
                <w:p w:rsidR="00745FEA" w:rsidRPr="005841BB" w:rsidRDefault="00745FEA" w:rsidP="00745FEA">
                  <w:pPr>
                    <w:pStyle w:val="TableBodyText"/>
                    <w:spacing w:after="20"/>
                    <w:ind w:right="57"/>
                  </w:pPr>
                  <w:r w:rsidRPr="00860261">
                    <w:t>8.6</w:t>
                  </w:r>
                </w:p>
              </w:tc>
              <w:tc>
                <w:tcPr>
                  <w:tcW w:w="501" w:type="pct"/>
                  <w:vAlign w:val="bottom"/>
                </w:tcPr>
                <w:p w:rsidR="00745FEA" w:rsidRPr="005841BB" w:rsidRDefault="00745FEA" w:rsidP="00745FEA">
                  <w:pPr>
                    <w:pStyle w:val="TableBodyText"/>
                    <w:spacing w:after="20"/>
                    <w:ind w:right="57"/>
                  </w:pPr>
                  <w:r w:rsidRPr="00860261">
                    <w:t>5.2</w:t>
                  </w:r>
                </w:p>
              </w:tc>
              <w:tc>
                <w:tcPr>
                  <w:tcW w:w="501" w:type="pct"/>
                  <w:vAlign w:val="bottom"/>
                </w:tcPr>
                <w:p w:rsidR="00745FEA" w:rsidRPr="005841BB" w:rsidRDefault="00745FEA" w:rsidP="00745FEA">
                  <w:pPr>
                    <w:pStyle w:val="TableBodyText"/>
                    <w:spacing w:after="20"/>
                    <w:ind w:right="57"/>
                  </w:pPr>
                  <w:r w:rsidRPr="00860261">
                    <w:t>4.8</w:t>
                  </w:r>
                </w:p>
              </w:tc>
              <w:tc>
                <w:tcPr>
                  <w:tcW w:w="499" w:type="pct"/>
                  <w:vAlign w:val="bottom"/>
                </w:tcPr>
                <w:p w:rsidR="00745FEA" w:rsidRPr="005841BB" w:rsidRDefault="00745FEA" w:rsidP="00745FEA">
                  <w:pPr>
                    <w:pStyle w:val="TableBodyText"/>
                    <w:spacing w:after="20"/>
                    <w:ind w:right="57"/>
                  </w:pPr>
                  <w:r w:rsidRPr="00860261">
                    <w:t>7.3</w:t>
                  </w:r>
                </w:p>
              </w:tc>
              <w:tc>
                <w:tcPr>
                  <w:tcW w:w="499" w:type="pct"/>
                  <w:shd w:val="clear" w:color="auto" w:fill="auto"/>
                  <w:vAlign w:val="bottom"/>
                </w:tcPr>
                <w:p w:rsidR="00745FEA" w:rsidRPr="005841BB" w:rsidRDefault="00745FEA" w:rsidP="00745FEA">
                  <w:pPr>
                    <w:pStyle w:val="TableBodyText"/>
                    <w:spacing w:after="20"/>
                    <w:ind w:right="57"/>
                  </w:pPr>
                  <w:r w:rsidRPr="00860261">
                    <w:t>16.4</w:t>
                  </w:r>
                </w:p>
              </w:tc>
              <w:tc>
                <w:tcPr>
                  <w:tcW w:w="500" w:type="pct"/>
                  <w:shd w:val="clear" w:color="auto" w:fill="auto"/>
                  <w:vAlign w:val="bottom"/>
                </w:tcPr>
                <w:p w:rsidR="00745FEA" w:rsidRPr="005841BB" w:rsidRDefault="00745FEA" w:rsidP="00745FEA">
                  <w:pPr>
                    <w:pStyle w:val="TableBodyText"/>
                    <w:spacing w:after="20"/>
                    <w:ind w:right="57"/>
                  </w:pPr>
                  <w:r w:rsidRPr="00860261">
                    <w:t>9.7</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Machinery &amp; equipment manufacturing</w:t>
                  </w:r>
                </w:p>
              </w:tc>
              <w:tc>
                <w:tcPr>
                  <w:tcW w:w="501" w:type="pct"/>
                  <w:vAlign w:val="bottom"/>
                </w:tcPr>
                <w:p w:rsidR="00745FEA" w:rsidRPr="005841BB" w:rsidRDefault="00745FEA" w:rsidP="00745FEA">
                  <w:pPr>
                    <w:pStyle w:val="TableBodyText"/>
                    <w:spacing w:after="20"/>
                    <w:ind w:right="57"/>
                  </w:pPr>
                  <w:r w:rsidRPr="00860261">
                    <w:t>83.0</w:t>
                  </w:r>
                </w:p>
              </w:tc>
              <w:tc>
                <w:tcPr>
                  <w:tcW w:w="501" w:type="pct"/>
                  <w:vAlign w:val="bottom"/>
                </w:tcPr>
                <w:p w:rsidR="00745FEA" w:rsidRPr="005841BB" w:rsidRDefault="00745FEA" w:rsidP="00745FEA">
                  <w:pPr>
                    <w:pStyle w:val="TableBodyText"/>
                    <w:spacing w:after="20"/>
                    <w:ind w:right="57"/>
                  </w:pPr>
                  <w:r w:rsidRPr="00860261">
                    <w:t>99.3</w:t>
                  </w:r>
                </w:p>
              </w:tc>
              <w:tc>
                <w:tcPr>
                  <w:tcW w:w="501" w:type="pct"/>
                  <w:vAlign w:val="bottom"/>
                </w:tcPr>
                <w:p w:rsidR="00745FEA" w:rsidRPr="005841BB" w:rsidRDefault="00745FEA" w:rsidP="00745FEA">
                  <w:pPr>
                    <w:pStyle w:val="TableBodyText"/>
                    <w:spacing w:after="20"/>
                    <w:ind w:right="57"/>
                  </w:pPr>
                  <w:r w:rsidRPr="00860261">
                    <w:t>62.5</w:t>
                  </w:r>
                </w:p>
              </w:tc>
              <w:tc>
                <w:tcPr>
                  <w:tcW w:w="499" w:type="pct"/>
                  <w:vAlign w:val="bottom"/>
                </w:tcPr>
                <w:p w:rsidR="00745FEA" w:rsidRPr="005841BB" w:rsidRDefault="00745FEA" w:rsidP="00745FEA">
                  <w:pPr>
                    <w:pStyle w:val="TableBodyText"/>
                    <w:spacing w:after="20"/>
                    <w:ind w:right="57"/>
                  </w:pPr>
                  <w:r w:rsidRPr="00860261">
                    <w:t>42.5</w:t>
                  </w:r>
                </w:p>
              </w:tc>
              <w:tc>
                <w:tcPr>
                  <w:tcW w:w="499" w:type="pct"/>
                  <w:shd w:val="clear" w:color="auto" w:fill="auto"/>
                  <w:vAlign w:val="bottom"/>
                </w:tcPr>
                <w:p w:rsidR="00745FEA" w:rsidRPr="005841BB" w:rsidRDefault="00745FEA" w:rsidP="00745FEA">
                  <w:pPr>
                    <w:pStyle w:val="TableBodyText"/>
                    <w:spacing w:after="20"/>
                    <w:ind w:right="57"/>
                  </w:pPr>
                  <w:r w:rsidRPr="00860261">
                    <w:t>40.2</w:t>
                  </w:r>
                </w:p>
              </w:tc>
              <w:tc>
                <w:tcPr>
                  <w:tcW w:w="500" w:type="pct"/>
                  <w:shd w:val="clear" w:color="auto" w:fill="auto"/>
                  <w:vAlign w:val="bottom"/>
                </w:tcPr>
                <w:p w:rsidR="00745FEA" w:rsidRPr="005841BB" w:rsidRDefault="00745FEA" w:rsidP="00745FEA">
                  <w:pPr>
                    <w:pStyle w:val="TableBodyText"/>
                    <w:spacing w:after="20"/>
                    <w:ind w:right="57"/>
                  </w:pPr>
                  <w:r w:rsidRPr="00860261">
                    <w:t>51.8</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Furniture and other manufacturing</w:t>
                  </w:r>
                </w:p>
              </w:tc>
              <w:tc>
                <w:tcPr>
                  <w:tcW w:w="501" w:type="pct"/>
                  <w:vAlign w:val="bottom"/>
                </w:tcPr>
                <w:p w:rsidR="00745FEA" w:rsidRPr="005841BB" w:rsidRDefault="00745FEA" w:rsidP="00745FEA">
                  <w:pPr>
                    <w:pStyle w:val="TableBodyText"/>
                    <w:spacing w:after="20"/>
                    <w:ind w:right="57"/>
                  </w:pPr>
                  <w:r w:rsidRPr="00860261">
                    <w:t>6.5</w:t>
                  </w:r>
                </w:p>
              </w:tc>
              <w:tc>
                <w:tcPr>
                  <w:tcW w:w="501" w:type="pct"/>
                  <w:vAlign w:val="bottom"/>
                </w:tcPr>
                <w:p w:rsidR="00745FEA" w:rsidRPr="005841BB" w:rsidRDefault="00745FEA" w:rsidP="00745FEA">
                  <w:pPr>
                    <w:pStyle w:val="TableBodyText"/>
                    <w:spacing w:after="20"/>
                    <w:ind w:right="57"/>
                  </w:pPr>
                  <w:r w:rsidRPr="00860261">
                    <w:t>5.5</w:t>
                  </w:r>
                </w:p>
              </w:tc>
              <w:tc>
                <w:tcPr>
                  <w:tcW w:w="501" w:type="pct"/>
                  <w:vAlign w:val="bottom"/>
                </w:tcPr>
                <w:p w:rsidR="00745FEA" w:rsidRPr="005841BB" w:rsidRDefault="00745FEA" w:rsidP="00745FEA">
                  <w:pPr>
                    <w:pStyle w:val="TableBodyText"/>
                    <w:spacing w:after="20"/>
                    <w:ind w:right="57"/>
                  </w:pPr>
                  <w:r w:rsidRPr="00860261">
                    <w:t>6.2</w:t>
                  </w:r>
                </w:p>
              </w:tc>
              <w:tc>
                <w:tcPr>
                  <w:tcW w:w="499" w:type="pct"/>
                  <w:vAlign w:val="bottom"/>
                </w:tcPr>
                <w:p w:rsidR="00745FEA" w:rsidRPr="005841BB" w:rsidRDefault="00745FEA" w:rsidP="00745FEA">
                  <w:pPr>
                    <w:pStyle w:val="TableBodyText"/>
                    <w:spacing w:after="20"/>
                    <w:ind w:right="57"/>
                  </w:pPr>
                  <w:r w:rsidRPr="00860261">
                    <w:t>2.4</w:t>
                  </w:r>
                </w:p>
              </w:tc>
              <w:tc>
                <w:tcPr>
                  <w:tcW w:w="499" w:type="pct"/>
                  <w:shd w:val="clear" w:color="auto" w:fill="auto"/>
                  <w:vAlign w:val="bottom"/>
                </w:tcPr>
                <w:p w:rsidR="00745FEA" w:rsidRPr="005841BB" w:rsidRDefault="00745FEA" w:rsidP="00745FEA">
                  <w:pPr>
                    <w:pStyle w:val="TableBodyText"/>
                    <w:spacing w:after="20"/>
                    <w:ind w:right="57"/>
                  </w:pPr>
                  <w:r w:rsidRPr="00860261">
                    <w:t>1.8</w:t>
                  </w:r>
                </w:p>
              </w:tc>
              <w:tc>
                <w:tcPr>
                  <w:tcW w:w="500" w:type="pct"/>
                  <w:shd w:val="clear" w:color="auto" w:fill="auto"/>
                  <w:vAlign w:val="bottom"/>
                </w:tcPr>
                <w:p w:rsidR="00745FEA" w:rsidRPr="005841BB" w:rsidRDefault="00745FEA" w:rsidP="00745FEA">
                  <w:pPr>
                    <w:pStyle w:val="TableBodyText"/>
                    <w:spacing w:after="20"/>
                    <w:ind w:right="57"/>
                  </w:pPr>
                  <w:r w:rsidRPr="00860261">
                    <w:t>6.4</w:t>
                  </w:r>
                </w:p>
              </w:tc>
            </w:tr>
            <w:tr w:rsidR="00745FEA" w:rsidTr="00745FEA">
              <w:tc>
                <w:tcPr>
                  <w:tcW w:w="1998" w:type="pct"/>
                  <w:shd w:val="clear" w:color="auto" w:fill="auto"/>
                  <w:vAlign w:val="center"/>
                </w:tcPr>
                <w:p w:rsidR="00745FEA" w:rsidRPr="00037109" w:rsidRDefault="00745FEA" w:rsidP="00745FEA">
                  <w:pPr>
                    <w:rPr>
                      <w:rFonts w:ascii="Arial" w:hAnsi="Arial" w:cs="Arial"/>
                      <w:sz w:val="18"/>
                      <w:szCs w:val="18"/>
                    </w:rPr>
                  </w:pPr>
                  <w:r w:rsidRPr="00037109">
                    <w:rPr>
                      <w:rFonts w:ascii="Arial" w:hAnsi="Arial" w:cs="Arial"/>
                      <w:sz w:val="18"/>
                      <w:szCs w:val="18"/>
                    </w:rPr>
                    <w:t>Unallocated manufacturing</w:t>
                  </w:r>
                  <w:r>
                    <w:rPr>
                      <w:rStyle w:val="NoteLabel"/>
                    </w:rPr>
                    <w:t>a</w:t>
                  </w:r>
                </w:p>
              </w:tc>
              <w:tc>
                <w:tcPr>
                  <w:tcW w:w="501" w:type="pct"/>
                  <w:vAlign w:val="bottom"/>
                </w:tcPr>
                <w:p w:rsidR="00745FEA" w:rsidRPr="005841BB" w:rsidRDefault="00745FEA" w:rsidP="00745FEA">
                  <w:pPr>
                    <w:pStyle w:val="TableBodyText"/>
                    <w:ind w:right="57"/>
                  </w:pPr>
                  <w:r w:rsidRPr="00860261">
                    <w:t>67.0</w:t>
                  </w:r>
                </w:p>
              </w:tc>
              <w:tc>
                <w:tcPr>
                  <w:tcW w:w="501" w:type="pct"/>
                  <w:vAlign w:val="bottom"/>
                </w:tcPr>
                <w:p w:rsidR="00745FEA" w:rsidRPr="005841BB" w:rsidRDefault="00745FEA" w:rsidP="00745FEA">
                  <w:pPr>
                    <w:pStyle w:val="TableBodyText"/>
                    <w:ind w:right="57"/>
                  </w:pPr>
                  <w:r w:rsidRPr="00860261">
                    <w:t>73.8</w:t>
                  </w:r>
                </w:p>
              </w:tc>
              <w:tc>
                <w:tcPr>
                  <w:tcW w:w="501" w:type="pct"/>
                  <w:vAlign w:val="bottom"/>
                </w:tcPr>
                <w:p w:rsidR="00745FEA" w:rsidRPr="005841BB" w:rsidRDefault="00745FEA" w:rsidP="00745FEA">
                  <w:pPr>
                    <w:pStyle w:val="TableBodyText"/>
                    <w:ind w:right="57"/>
                  </w:pPr>
                  <w:r w:rsidRPr="00860261">
                    <w:t>68.0</w:t>
                  </w:r>
                </w:p>
              </w:tc>
              <w:tc>
                <w:tcPr>
                  <w:tcW w:w="499" w:type="pct"/>
                  <w:vAlign w:val="bottom"/>
                </w:tcPr>
                <w:p w:rsidR="00745FEA" w:rsidRPr="005841BB" w:rsidRDefault="00745FEA" w:rsidP="00745FEA">
                  <w:pPr>
                    <w:pStyle w:val="TableBodyText"/>
                    <w:ind w:right="57"/>
                  </w:pPr>
                  <w:r w:rsidRPr="00860261">
                    <w:t>91.3</w:t>
                  </w:r>
                </w:p>
              </w:tc>
              <w:tc>
                <w:tcPr>
                  <w:tcW w:w="499" w:type="pct"/>
                  <w:shd w:val="clear" w:color="auto" w:fill="auto"/>
                  <w:vAlign w:val="bottom"/>
                </w:tcPr>
                <w:p w:rsidR="00745FEA" w:rsidRPr="005841BB" w:rsidRDefault="00745FEA" w:rsidP="00745FEA">
                  <w:pPr>
                    <w:pStyle w:val="TableBodyText"/>
                    <w:ind w:right="57"/>
                  </w:pPr>
                  <w:r w:rsidRPr="00860261">
                    <w:t>167.6</w:t>
                  </w:r>
                </w:p>
              </w:tc>
              <w:tc>
                <w:tcPr>
                  <w:tcW w:w="500" w:type="pct"/>
                  <w:shd w:val="clear" w:color="auto" w:fill="auto"/>
                  <w:vAlign w:val="bottom"/>
                </w:tcPr>
                <w:p w:rsidR="00745FEA" w:rsidRPr="005841BB" w:rsidRDefault="00745FEA" w:rsidP="00745FEA">
                  <w:pPr>
                    <w:pStyle w:val="TableBodyText"/>
                    <w:ind w:right="57"/>
                  </w:pPr>
                  <w:r w:rsidRPr="00860261">
                    <w:t>167.4</w:t>
                  </w:r>
                </w:p>
              </w:tc>
            </w:tr>
            <w:tr w:rsidR="00745FEA" w:rsidRPr="00F45219" w:rsidTr="00745FEA">
              <w:tc>
                <w:tcPr>
                  <w:tcW w:w="1998" w:type="pct"/>
                  <w:shd w:val="clear" w:color="auto" w:fill="auto"/>
                  <w:vAlign w:val="bottom"/>
                </w:tcPr>
                <w:p w:rsidR="00745FEA" w:rsidRPr="00F45219" w:rsidRDefault="00745FEA" w:rsidP="00745FEA">
                  <w:pPr>
                    <w:spacing w:after="30"/>
                    <w:rPr>
                      <w:rFonts w:ascii="Arial" w:hAnsi="Arial" w:cs="Arial"/>
                      <w:b/>
                      <w:bCs/>
                      <w:sz w:val="18"/>
                      <w:szCs w:val="18"/>
                    </w:rPr>
                  </w:pPr>
                  <w:r w:rsidRPr="00F45219">
                    <w:rPr>
                      <w:rFonts w:ascii="Arial" w:hAnsi="Arial" w:cs="Arial"/>
                      <w:b/>
                      <w:bCs/>
                      <w:sz w:val="18"/>
                      <w:szCs w:val="18"/>
                    </w:rPr>
                    <w:t>Services</w:t>
                  </w:r>
                </w:p>
              </w:tc>
              <w:tc>
                <w:tcPr>
                  <w:tcW w:w="501" w:type="pct"/>
                  <w:vAlign w:val="bottom"/>
                </w:tcPr>
                <w:p w:rsidR="00745FEA" w:rsidRPr="00F45219" w:rsidRDefault="00745FEA" w:rsidP="00745FEA">
                  <w:pPr>
                    <w:pStyle w:val="TableBodyText"/>
                    <w:ind w:right="57"/>
                    <w:rPr>
                      <w:b/>
                    </w:rPr>
                  </w:pPr>
                  <w:r w:rsidRPr="00F45219">
                    <w:rPr>
                      <w:b/>
                    </w:rPr>
                    <w:t>2835.4</w:t>
                  </w:r>
                </w:p>
              </w:tc>
              <w:tc>
                <w:tcPr>
                  <w:tcW w:w="501" w:type="pct"/>
                  <w:vAlign w:val="bottom"/>
                </w:tcPr>
                <w:p w:rsidR="00745FEA" w:rsidRPr="00F45219" w:rsidRDefault="00745FEA" w:rsidP="00745FEA">
                  <w:pPr>
                    <w:pStyle w:val="TableBodyText"/>
                    <w:ind w:right="57"/>
                    <w:rPr>
                      <w:b/>
                    </w:rPr>
                  </w:pPr>
                  <w:r w:rsidRPr="00F45219">
                    <w:rPr>
                      <w:b/>
                    </w:rPr>
                    <w:t>2436.8</w:t>
                  </w:r>
                </w:p>
              </w:tc>
              <w:tc>
                <w:tcPr>
                  <w:tcW w:w="501" w:type="pct"/>
                  <w:vAlign w:val="bottom"/>
                </w:tcPr>
                <w:p w:rsidR="00745FEA" w:rsidRPr="00F45219" w:rsidRDefault="00745FEA" w:rsidP="00745FEA">
                  <w:pPr>
                    <w:pStyle w:val="TableBodyText"/>
                    <w:ind w:right="57"/>
                    <w:rPr>
                      <w:b/>
                    </w:rPr>
                  </w:pPr>
                  <w:r w:rsidRPr="00F45219">
                    <w:rPr>
                      <w:b/>
                    </w:rPr>
                    <w:t>2158.4</w:t>
                  </w:r>
                </w:p>
              </w:tc>
              <w:tc>
                <w:tcPr>
                  <w:tcW w:w="499" w:type="pct"/>
                  <w:vAlign w:val="bottom"/>
                </w:tcPr>
                <w:p w:rsidR="00745FEA" w:rsidRPr="00F45219" w:rsidRDefault="00745FEA" w:rsidP="00745FEA">
                  <w:pPr>
                    <w:pStyle w:val="TableBodyText"/>
                    <w:ind w:right="57"/>
                    <w:rPr>
                      <w:b/>
                    </w:rPr>
                  </w:pPr>
                  <w:r w:rsidRPr="00F45219">
                    <w:rPr>
                      <w:b/>
                    </w:rPr>
                    <w:t>1952.1</w:t>
                  </w:r>
                </w:p>
              </w:tc>
              <w:tc>
                <w:tcPr>
                  <w:tcW w:w="499" w:type="pct"/>
                  <w:shd w:val="clear" w:color="auto" w:fill="auto"/>
                  <w:vAlign w:val="bottom"/>
                </w:tcPr>
                <w:p w:rsidR="00745FEA" w:rsidRPr="00F45219" w:rsidRDefault="00745FEA" w:rsidP="00745FEA">
                  <w:pPr>
                    <w:pStyle w:val="TableBodyText"/>
                    <w:ind w:right="57"/>
                    <w:rPr>
                      <w:b/>
                    </w:rPr>
                  </w:pPr>
                  <w:r w:rsidRPr="00F45219">
                    <w:rPr>
                      <w:b/>
                    </w:rPr>
                    <w:t>2057.4</w:t>
                  </w:r>
                </w:p>
              </w:tc>
              <w:tc>
                <w:tcPr>
                  <w:tcW w:w="500" w:type="pct"/>
                  <w:shd w:val="clear" w:color="auto" w:fill="auto"/>
                  <w:vAlign w:val="bottom"/>
                </w:tcPr>
                <w:p w:rsidR="00745FEA" w:rsidRPr="00F45219" w:rsidRDefault="00745FEA" w:rsidP="00745FEA">
                  <w:pPr>
                    <w:pStyle w:val="TableBodyText"/>
                    <w:ind w:right="57"/>
                    <w:rPr>
                      <w:b/>
                    </w:rPr>
                  </w:pPr>
                  <w:r w:rsidRPr="00F45219">
                    <w:rPr>
                      <w:b/>
                    </w:rPr>
                    <w:t>2843.9</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Electricity, gas, water &amp; waste services</w:t>
                  </w:r>
                </w:p>
              </w:tc>
              <w:tc>
                <w:tcPr>
                  <w:tcW w:w="501" w:type="pct"/>
                  <w:vAlign w:val="bottom"/>
                </w:tcPr>
                <w:p w:rsidR="00745FEA" w:rsidRPr="005841BB" w:rsidRDefault="00745FEA" w:rsidP="00745FEA">
                  <w:pPr>
                    <w:pStyle w:val="TableBodyText"/>
                    <w:spacing w:after="20"/>
                    <w:ind w:right="57"/>
                  </w:pPr>
                  <w:r w:rsidRPr="00860261">
                    <w:t>33.9</w:t>
                  </w:r>
                </w:p>
              </w:tc>
              <w:tc>
                <w:tcPr>
                  <w:tcW w:w="501" w:type="pct"/>
                  <w:vAlign w:val="bottom"/>
                </w:tcPr>
                <w:p w:rsidR="00745FEA" w:rsidRPr="005841BB" w:rsidRDefault="00745FEA" w:rsidP="00745FEA">
                  <w:pPr>
                    <w:pStyle w:val="TableBodyText"/>
                    <w:spacing w:after="20"/>
                    <w:ind w:right="57"/>
                  </w:pPr>
                  <w:r w:rsidRPr="00860261">
                    <w:t>36.3</w:t>
                  </w:r>
                </w:p>
              </w:tc>
              <w:tc>
                <w:tcPr>
                  <w:tcW w:w="501" w:type="pct"/>
                  <w:vAlign w:val="bottom"/>
                </w:tcPr>
                <w:p w:rsidR="00745FEA" w:rsidRPr="005841BB" w:rsidRDefault="00745FEA" w:rsidP="00745FEA">
                  <w:pPr>
                    <w:pStyle w:val="TableBodyText"/>
                    <w:spacing w:after="20"/>
                    <w:ind w:right="57"/>
                  </w:pPr>
                  <w:r w:rsidRPr="00860261">
                    <w:t>27.2</w:t>
                  </w:r>
                </w:p>
              </w:tc>
              <w:tc>
                <w:tcPr>
                  <w:tcW w:w="499" w:type="pct"/>
                  <w:vAlign w:val="bottom"/>
                </w:tcPr>
                <w:p w:rsidR="00745FEA" w:rsidRPr="005841BB" w:rsidRDefault="00745FEA" w:rsidP="00745FEA">
                  <w:pPr>
                    <w:pStyle w:val="TableBodyText"/>
                    <w:spacing w:after="20"/>
                    <w:ind w:right="57"/>
                  </w:pPr>
                  <w:r w:rsidRPr="00860261">
                    <w:t>18.8</w:t>
                  </w:r>
                </w:p>
              </w:tc>
              <w:tc>
                <w:tcPr>
                  <w:tcW w:w="499" w:type="pct"/>
                  <w:shd w:val="clear" w:color="auto" w:fill="auto"/>
                  <w:vAlign w:val="bottom"/>
                </w:tcPr>
                <w:p w:rsidR="00745FEA" w:rsidRPr="005841BB" w:rsidRDefault="00745FEA" w:rsidP="00745FEA">
                  <w:pPr>
                    <w:pStyle w:val="TableBodyText"/>
                    <w:spacing w:after="20"/>
                    <w:ind w:right="57"/>
                  </w:pPr>
                  <w:r w:rsidRPr="00860261">
                    <w:t>20.6</w:t>
                  </w:r>
                </w:p>
              </w:tc>
              <w:tc>
                <w:tcPr>
                  <w:tcW w:w="500" w:type="pct"/>
                  <w:shd w:val="clear" w:color="auto" w:fill="auto"/>
                  <w:vAlign w:val="bottom"/>
                </w:tcPr>
                <w:p w:rsidR="00745FEA" w:rsidRPr="005841BB" w:rsidRDefault="00745FEA" w:rsidP="00745FEA">
                  <w:pPr>
                    <w:pStyle w:val="TableBodyText"/>
                    <w:spacing w:after="20"/>
                    <w:ind w:right="57"/>
                  </w:pPr>
                  <w:r w:rsidRPr="00860261">
                    <w:t>28.8</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Construction</w:t>
                  </w:r>
                </w:p>
              </w:tc>
              <w:tc>
                <w:tcPr>
                  <w:tcW w:w="501" w:type="pct"/>
                  <w:vAlign w:val="bottom"/>
                </w:tcPr>
                <w:p w:rsidR="00745FEA" w:rsidRPr="005841BB" w:rsidRDefault="00745FEA" w:rsidP="00745FEA">
                  <w:pPr>
                    <w:pStyle w:val="TableBodyText"/>
                    <w:spacing w:after="20"/>
                    <w:ind w:right="57"/>
                  </w:pPr>
                  <w:r w:rsidRPr="00860261">
                    <w:t>192.3</w:t>
                  </w:r>
                </w:p>
              </w:tc>
              <w:tc>
                <w:tcPr>
                  <w:tcW w:w="501" w:type="pct"/>
                  <w:vAlign w:val="bottom"/>
                </w:tcPr>
                <w:p w:rsidR="00745FEA" w:rsidRPr="005841BB" w:rsidRDefault="00745FEA" w:rsidP="00745FEA">
                  <w:pPr>
                    <w:pStyle w:val="TableBodyText"/>
                    <w:spacing w:after="20"/>
                    <w:ind w:right="57"/>
                  </w:pPr>
                  <w:r w:rsidRPr="00860261">
                    <w:t>143.0</w:t>
                  </w:r>
                </w:p>
              </w:tc>
              <w:tc>
                <w:tcPr>
                  <w:tcW w:w="501" w:type="pct"/>
                  <w:vAlign w:val="bottom"/>
                </w:tcPr>
                <w:p w:rsidR="00745FEA" w:rsidRPr="005841BB" w:rsidRDefault="00745FEA" w:rsidP="00745FEA">
                  <w:pPr>
                    <w:pStyle w:val="TableBodyText"/>
                    <w:spacing w:after="20"/>
                    <w:ind w:right="57"/>
                  </w:pPr>
                  <w:r w:rsidRPr="00860261">
                    <w:t>102.1</w:t>
                  </w:r>
                </w:p>
              </w:tc>
              <w:tc>
                <w:tcPr>
                  <w:tcW w:w="499" w:type="pct"/>
                  <w:vAlign w:val="bottom"/>
                </w:tcPr>
                <w:p w:rsidR="00745FEA" w:rsidRPr="005841BB" w:rsidRDefault="00745FEA" w:rsidP="00745FEA">
                  <w:pPr>
                    <w:pStyle w:val="TableBodyText"/>
                    <w:spacing w:after="20"/>
                    <w:ind w:right="57"/>
                  </w:pPr>
                  <w:r w:rsidRPr="00860261">
                    <w:t>60.2</w:t>
                  </w:r>
                </w:p>
              </w:tc>
              <w:tc>
                <w:tcPr>
                  <w:tcW w:w="499" w:type="pct"/>
                  <w:shd w:val="clear" w:color="auto" w:fill="auto"/>
                  <w:vAlign w:val="bottom"/>
                </w:tcPr>
                <w:p w:rsidR="00745FEA" w:rsidRPr="005841BB" w:rsidRDefault="00745FEA" w:rsidP="00745FEA">
                  <w:pPr>
                    <w:pStyle w:val="TableBodyText"/>
                    <w:spacing w:after="20"/>
                    <w:ind w:right="57"/>
                  </w:pPr>
                  <w:r w:rsidRPr="00860261">
                    <w:t>47.1</w:t>
                  </w:r>
                </w:p>
              </w:tc>
              <w:tc>
                <w:tcPr>
                  <w:tcW w:w="500" w:type="pct"/>
                  <w:shd w:val="clear" w:color="auto" w:fill="auto"/>
                  <w:vAlign w:val="bottom"/>
                </w:tcPr>
                <w:p w:rsidR="00745FEA" w:rsidRPr="005841BB" w:rsidRDefault="00745FEA" w:rsidP="00745FEA">
                  <w:pPr>
                    <w:pStyle w:val="TableBodyText"/>
                    <w:spacing w:after="20"/>
                    <w:ind w:right="57"/>
                  </w:pPr>
                  <w:r w:rsidRPr="00860261">
                    <w:t>247.4</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Wholesale trade</w:t>
                  </w:r>
                </w:p>
              </w:tc>
              <w:tc>
                <w:tcPr>
                  <w:tcW w:w="501" w:type="pct"/>
                  <w:vAlign w:val="bottom"/>
                </w:tcPr>
                <w:p w:rsidR="00745FEA" w:rsidRPr="005841BB" w:rsidRDefault="00745FEA" w:rsidP="00745FEA">
                  <w:pPr>
                    <w:pStyle w:val="TableBodyText"/>
                    <w:spacing w:after="20"/>
                    <w:ind w:right="57"/>
                  </w:pPr>
                  <w:r w:rsidRPr="00860261">
                    <w:t>246.9</w:t>
                  </w:r>
                </w:p>
              </w:tc>
              <w:tc>
                <w:tcPr>
                  <w:tcW w:w="501" w:type="pct"/>
                  <w:vAlign w:val="bottom"/>
                </w:tcPr>
                <w:p w:rsidR="00745FEA" w:rsidRPr="005841BB" w:rsidRDefault="00745FEA" w:rsidP="00745FEA">
                  <w:pPr>
                    <w:pStyle w:val="TableBodyText"/>
                    <w:spacing w:after="20"/>
                    <w:ind w:right="57"/>
                  </w:pPr>
                  <w:r w:rsidRPr="00860261">
                    <w:t>136.1</w:t>
                  </w:r>
                </w:p>
              </w:tc>
              <w:tc>
                <w:tcPr>
                  <w:tcW w:w="501" w:type="pct"/>
                  <w:vAlign w:val="bottom"/>
                </w:tcPr>
                <w:p w:rsidR="00745FEA" w:rsidRPr="005841BB" w:rsidRDefault="00745FEA" w:rsidP="00745FEA">
                  <w:pPr>
                    <w:pStyle w:val="TableBodyText"/>
                    <w:spacing w:after="20"/>
                    <w:ind w:right="57"/>
                  </w:pPr>
                  <w:r w:rsidRPr="00860261">
                    <w:t>114.6</w:t>
                  </w:r>
                </w:p>
              </w:tc>
              <w:tc>
                <w:tcPr>
                  <w:tcW w:w="499" w:type="pct"/>
                  <w:vAlign w:val="bottom"/>
                </w:tcPr>
                <w:p w:rsidR="00745FEA" w:rsidRPr="005841BB" w:rsidRDefault="00745FEA" w:rsidP="00745FEA">
                  <w:pPr>
                    <w:pStyle w:val="TableBodyText"/>
                    <w:spacing w:after="20"/>
                    <w:ind w:right="57"/>
                  </w:pPr>
                  <w:r w:rsidRPr="00860261">
                    <w:t>108.7</w:t>
                  </w:r>
                </w:p>
              </w:tc>
              <w:tc>
                <w:tcPr>
                  <w:tcW w:w="499" w:type="pct"/>
                  <w:shd w:val="clear" w:color="auto" w:fill="auto"/>
                  <w:vAlign w:val="bottom"/>
                </w:tcPr>
                <w:p w:rsidR="00745FEA" w:rsidRPr="005841BB" w:rsidRDefault="00745FEA" w:rsidP="00745FEA">
                  <w:pPr>
                    <w:pStyle w:val="TableBodyText"/>
                    <w:spacing w:after="20"/>
                    <w:ind w:right="57"/>
                  </w:pPr>
                  <w:r w:rsidRPr="00860261">
                    <w:t>76.7</w:t>
                  </w:r>
                </w:p>
              </w:tc>
              <w:tc>
                <w:tcPr>
                  <w:tcW w:w="500" w:type="pct"/>
                  <w:shd w:val="clear" w:color="auto" w:fill="auto"/>
                  <w:vAlign w:val="bottom"/>
                </w:tcPr>
                <w:p w:rsidR="00745FEA" w:rsidRPr="005841BB" w:rsidRDefault="00745FEA" w:rsidP="00745FEA">
                  <w:pPr>
                    <w:pStyle w:val="TableBodyText"/>
                    <w:spacing w:after="20"/>
                    <w:ind w:right="57"/>
                  </w:pPr>
                  <w:r w:rsidRPr="00860261">
                    <w:t>115.1</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Retail trade</w:t>
                  </w:r>
                </w:p>
              </w:tc>
              <w:tc>
                <w:tcPr>
                  <w:tcW w:w="501" w:type="pct"/>
                  <w:vAlign w:val="bottom"/>
                </w:tcPr>
                <w:p w:rsidR="00745FEA" w:rsidRPr="005841BB" w:rsidRDefault="00745FEA" w:rsidP="00745FEA">
                  <w:pPr>
                    <w:pStyle w:val="TableBodyText"/>
                    <w:spacing w:after="20"/>
                    <w:ind w:right="57"/>
                  </w:pPr>
                  <w:r w:rsidRPr="00860261">
                    <w:t>104.1</w:t>
                  </w:r>
                </w:p>
              </w:tc>
              <w:tc>
                <w:tcPr>
                  <w:tcW w:w="501" w:type="pct"/>
                  <w:vAlign w:val="bottom"/>
                </w:tcPr>
                <w:p w:rsidR="00745FEA" w:rsidRPr="005841BB" w:rsidRDefault="00745FEA" w:rsidP="00745FEA">
                  <w:pPr>
                    <w:pStyle w:val="TableBodyText"/>
                    <w:spacing w:after="20"/>
                    <w:ind w:right="57"/>
                  </w:pPr>
                  <w:r w:rsidRPr="00860261">
                    <w:t>98.5</w:t>
                  </w:r>
                </w:p>
              </w:tc>
              <w:tc>
                <w:tcPr>
                  <w:tcW w:w="501" w:type="pct"/>
                  <w:vAlign w:val="bottom"/>
                </w:tcPr>
                <w:p w:rsidR="00745FEA" w:rsidRPr="005841BB" w:rsidRDefault="00745FEA" w:rsidP="00745FEA">
                  <w:pPr>
                    <w:pStyle w:val="TableBodyText"/>
                    <w:spacing w:after="20"/>
                    <w:ind w:right="57"/>
                  </w:pPr>
                  <w:r w:rsidRPr="00860261">
                    <w:t>87.5</w:t>
                  </w:r>
                </w:p>
              </w:tc>
              <w:tc>
                <w:tcPr>
                  <w:tcW w:w="499" w:type="pct"/>
                  <w:vAlign w:val="bottom"/>
                </w:tcPr>
                <w:p w:rsidR="00745FEA" w:rsidRPr="005841BB" w:rsidRDefault="00745FEA" w:rsidP="00745FEA">
                  <w:pPr>
                    <w:pStyle w:val="TableBodyText"/>
                    <w:spacing w:after="20"/>
                    <w:ind w:right="57"/>
                  </w:pPr>
                  <w:r w:rsidRPr="00860261">
                    <w:t>86.6</w:t>
                  </w:r>
                </w:p>
              </w:tc>
              <w:tc>
                <w:tcPr>
                  <w:tcW w:w="499" w:type="pct"/>
                  <w:shd w:val="clear" w:color="auto" w:fill="auto"/>
                  <w:vAlign w:val="bottom"/>
                </w:tcPr>
                <w:p w:rsidR="00745FEA" w:rsidRPr="005841BB" w:rsidRDefault="00745FEA" w:rsidP="00745FEA">
                  <w:pPr>
                    <w:pStyle w:val="TableBodyText"/>
                    <w:spacing w:after="20"/>
                    <w:ind w:right="57"/>
                  </w:pPr>
                  <w:r w:rsidRPr="00860261">
                    <w:t>74.9</w:t>
                  </w:r>
                </w:p>
              </w:tc>
              <w:tc>
                <w:tcPr>
                  <w:tcW w:w="500" w:type="pct"/>
                  <w:shd w:val="clear" w:color="auto" w:fill="auto"/>
                  <w:vAlign w:val="bottom"/>
                </w:tcPr>
                <w:p w:rsidR="00745FEA" w:rsidRPr="005841BB" w:rsidRDefault="00745FEA" w:rsidP="00745FEA">
                  <w:pPr>
                    <w:pStyle w:val="TableBodyText"/>
                    <w:spacing w:after="20"/>
                    <w:ind w:right="57"/>
                  </w:pPr>
                  <w:r w:rsidRPr="00860261">
                    <w:t>139.3</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Accommodation &amp; food services</w:t>
                  </w:r>
                </w:p>
              </w:tc>
              <w:tc>
                <w:tcPr>
                  <w:tcW w:w="501" w:type="pct"/>
                  <w:vAlign w:val="bottom"/>
                </w:tcPr>
                <w:p w:rsidR="00745FEA" w:rsidRPr="005841BB" w:rsidRDefault="00745FEA" w:rsidP="00745FEA">
                  <w:pPr>
                    <w:pStyle w:val="TableBodyText"/>
                    <w:spacing w:after="20"/>
                    <w:ind w:right="57"/>
                  </w:pPr>
                  <w:r w:rsidRPr="00860261">
                    <w:t>63.2</w:t>
                  </w:r>
                </w:p>
              </w:tc>
              <w:tc>
                <w:tcPr>
                  <w:tcW w:w="501" w:type="pct"/>
                  <w:vAlign w:val="bottom"/>
                </w:tcPr>
                <w:p w:rsidR="00745FEA" w:rsidRPr="005841BB" w:rsidRDefault="00745FEA" w:rsidP="00745FEA">
                  <w:pPr>
                    <w:pStyle w:val="TableBodyText"/>
                    <w:spacing w:after="20"/>
                    <w:ind w:right="57"/>
                  </w:pPr>
                  <w:r w:rsidRPr="00860261">
                    <w:t>64.3</w:t>
                  </w:r>
                </w:p>
              </w:tc>
              <w:tc>
                <w:tcPr>
                  <w:tcW w:w="501" w:type="pct"/>
                  <w:vAlign w:val="bottom"/>
                </w:tcPr>
                <w:p w:rsidR="00745FEA" w:rsidRPr="005841BB" w:rsidRDefault="00745FEA" w:rsidP="00745FEA">
                  <w:pPr>
                    <w:pStyle w:val="TableBodyText"/>
                    <w:spacing w:after="20"/>
                    <w:ind w:right="57"/>
                  </w:pPr>
                  <w:r w:rsidRPr="00860261">
                    <w:t>71.0</w:t>
                  </w:r>
                </w:p>
              </w:tc>
              <w:tc>
                <w:tcPr>
                  <w:tcW w:w="499" w:type="pct"/>
                  <w:vAlign w:val="bottom"/>
                </w:tcPr>
                <w:p w:rsidR="00745FEA" w:rsidRPr="005841BB" w:rsidRDefault="00745FEA" w:rsidP="00745FEA">
                  <w:pPr>
                    <w:pStyle w:val="TableBodyText"/>
                    <w:spacing w:after="20"/>
                    <w:ind w:right="57"/>
                  </w:pPr>
                  <w:r w:rsidRPr="00860261">
                    <w:t>73.7</w:t>
                  </w:r>
                </w:p>
              </w:tc>
              <w:tc>
                <w:tcPr>
                  <w:tcW w:w="499" w:type="pct"/>
                  <w:shd w:val="clear" w:color="auto" w:fill="auto"/>
                  <w:vAlign w:val="bottom"/>
                </w:tcPr>
                <w:p w:rsidR="00745FEA" w:rsidRPr="005841BB" w:rsidRDefault="00745FEA" w:rsidP="00745FEA">
                  <w:pPr>
                    <w:pStyle w:val="TableBodyText"/>
                    <w:spacing w:after="20"/>
                    <w:ind w:right="57"/>
                  </w:pPr>
                  <w:r w:rsidRPr="00860261">
                    <w:t>59.9</w:t>
                  </w:r>
                </w:p>
              </w:tc>
              <w:tc>
                <w:tcPr>
                  <w:tcW w:w="500" w:type="pct"/>
                  <w:shd w:val="clear" w:color="auto" w:fill="auto"/>
                  <w:vAlign w:val="bottom"/>
                </w:tcPr>
                <w:p w:rsidR="00745FEA" w:rsidRPr="005841BB" w:rsidRDefault="00745FEA" w:rsidP="00745FEA">
                  <w:pPr>
                    <w:pStyle w:val="TableBodyText"/>
                    <w:spacing w:after="20"/>
                    <w:ind w:right="57"/>
                  </w:pPr>
                  <w:r w:rsidRPr="00860261">
                    <w:t>116.8</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Transport, postal &amp; warehousing</w:t>
                  </w:r>
                </w:p>
              </w:tc>
              <w:tc>
                <w:tcPr>
                  <w:tcW w:w="501" w:type="pct"/>
                  <w:vAlign w:val="bottom"/>
                </w:tcPr>
                <w:p w:rsidR="00745FEA" w:rsidRPr="005841BB" w:rsidRDefault="00745FEA" w:rsidP="00745FEA">
                  <w:pPr>
                    <w:pStyle w:val="TableBodyText"/>
                    <w:spacing w:after="20"/>
                    <w:ind w:right="57"/>
                  </w:pPr>
                  <w:r w:rsidRPr="00860261">
                    <w:t>187.8</w:t>
                  </w:r>
                </w:p>
              </w:tc>
              <w:tc>
                <w:tcPr>
                  <w:tcW w:w="501" w:type="pct"/>
                  <w:vAlign w:val="bottom"/>
                </w:tcPr>
                <w:p w:rsidR="00745FEA" w:rsidRPr="005841BB" w:rsidRDefault="00745FEA" w:rsidP="00745FEA">
                  <w:pPr>
                    <w:pStyle w:val="TableBodyText"/>
                    <w:spacing w:after="20"/>
                    <w:ind w:right="57"/>
                  </w:pPr>
                  <w:r w:rsidRPr="00860261">
                    <w:t>131.3</w:t>
                  </w:r>
                </w:p>
              </w:tc>
              <w:tc>
                <w:tcPr>
                  <w:tcW w:w="501" w:type="pct"/>
                  <w:vAlign w:val="bottom"/>
                </w:tcPr>
                <w:p w:rsidR="00745FEA" w:rsidRPr="005841BB" w:rsidRDefault="00745FEA" w:rsidP="00745FEA">
                  <w:pPr>
                    <w:pStyle w:val="TableBodyText"/>
                    <w:spacing w:after="20"/>
                    <w:ind w:right="57"/>
                  </w:pPr>
                  <w:r w:rsidRPr="00860261">
                    <w:t>77.3</w:t>
                  </w:r>
                </w:p>
              </w:tc>
              <w:tc>
                <w:tcPr>
                  <w:tcW w:w="499" w:type="pct"/>
                  <w:vAlign w:val="bottom"/>
                </w:tcPr>
                <w:p w:rsidR="00745FEA" w:rsidRPr="005841BB" w:rsidRDefault="00745FEA" w:rsidP="00745FEA">
                  <w:pPr>
                    <w:pStyle w:val="TableBodyText"/>
                    <w:spacing w:after="20"/>
                    <w:ind w:right="57"/>
                  </w:pPr>
                  <w:r w:rsidRPr="00860261">
                    <w:t>42.6</w:t>
                  </w:r>
                </w:p>
              </w:tc>
              <w:tc>
                <w:tcPr>
                  <w:tcW w:w="499" w:type="pct"/>
                  <w:shd w:val="clear" w:color="auto" w:fill="auto"/>
                  <w:vAlign w:val="bottom"/>
                </w:tcPr>
                <w:p w:rsidR="00745FEA" w:rsidRPr="005841BB" w:rsidRDefault="00745FEA" w:rsidP="00745FEA">
                  <w:pPr>
                    <w:pStyle w:val="TableBodyText"/>
                    <w:spacing w:after="20"/>
                    <w:ind w:right="57"/>
                  </w:pPr>
                  <w:r w:rsidRPr="00860261">
                    <w:t>29.4</w:t>
                  </w:r>
                </w:p>
              </w:tc>
              <w:tc>
                <w:tcPr>
                  <w:tcW w:w="500" w:type="pct"/>
                  <w:shd w:val="clear" w:color="auto" w:fill="auto"/>
                  <w:vAlign w:val="bottom"/>
                </w:tcPr>
                <w:p w:rsidR="00745FEA" w:rsidRPr="005841BB" w:rsidRDefault="00745FEA" w:rsidP="00745FEA">
                  <w:pPr>
                    <w:pStyle w:val="TableBodyText"/>
                    <w:spacing w:after="20"/>
                    <w:ind w:right="57"/>
                  </w:pPr>
                  <w:r w:rsidRPr="00860261">
                    <w:t>108.6</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Information &amp; telecommunications</w:t>
                  </w:r>
                </w:p>
              </w:tc>
              <w:tc>
                <w:tcPr>
                  <w:tcW w:w="501" w:type="pct"/>
                  <w:vAlign w:val="bottom"/>
                </w:tcPr>
                <w:p w:rsidR="00745FEA" w:rsidRPr="005841BB" w:rsidRDefault="00745FEA" w:rsidP="00745FEA">
                  <w:pPr>
                    <w:pStyle w:val="TableBodyText"/>
                    <w:spacing w:after="20"/>
                    <w:ind w:right="57"/>
                  </w:pPr>
                  <w:r w:rsidRPr="00860261">
                    <w:t>205.5</w:t>
                  </w:r>
                </w:p>
              </w:tc>
              <w:tc>
                <w:tcPr>
                  <w:tcW w:w="501" w:type="pct"/>
                  <w:vAlign w:val="bottom"/>
                </w:tcPr>
                <w:p w:rsidR="00745FEA" w:rsidRPr="005841BB" w:rsidRDefault="00745FEA" w:rsidP="00745FEA">
                  <w:pPr>
                    <w:pStyle w:val="TableBodyText"/>
                    <w:spacing w:after="20"/>
                    <w:ind w:right="57"/>
                  </w:pPr>
                  <w:r w:rsidRPr="00860261">
                    <w:t>218.9</w:t>
                  </w:r>
                </w:p>
              </w:tc>
              <w:tc>
                <w:tcPr>
                  <w:tcW w:w="501" w:type="pct"/>
                  <w:vAlign w:val="bottom"/>
                </w:tcPr>
                <w:p w:rsidR="00745FEA" w:rsidRPr="005841BB" w:rsidRDefault="00745FEA" w:rsidP="00745FEA">
                  <w:pPr>
                    <w:pStyle w:val="TableBodyText"/>
                    <w:spacing w:after="20"/>
                    <w:ind w:right="57"/>
                  </w:pPr>
                  <w:r w:rsidRPr="00860261">
                    <w:t>59.6</w:t>
                  </w:r>
                </w:p>
              </w:tc>
              <w:tc>
                <w:tcPr>
                  <w:tcW w:w="499" w:type="pct"/>
                  <w:vAlign w:val="bottom"/>
                </w:tcPr>
                <w:p w:rsidR="00745FEA" w:rsidRPr="005841BB" w:rsidRDefault="00745FEA" w:rsidP="00745FEA">
                  <w:pPr>
                    <w:pStyle w:val="TableBodyText"/>
                    <w:spacing w:after="20"/>
                    <w:ind w:right="57"/>
                  </w:pPr>
                  <w:r w:rsidRPr="00860261">
                    <w:t>30.4</w:t>
                  </w:r>
                </w:p>
              </w:tc>
              <w:tc>
                <w:tcPr>
                  <w:tcW w:w="499" w:type="pct"/>
                  <w:shd w:val="clear" w:color="auto" w:fill="auto"/>
                  <w:vAlign w:val="bottom"/>
                </w:tcPr>
                <w:p w:rsidR="00745FEA" w:rsidRPr="005841BB" w:rsidRDefault="00745FEA" w:rsidP="00745FEA">
                  <w:pPr>
                    <w:pStyle w:val="TableBodyText"/>
                    <w:spacing w:after="20"/>
                    <w:ind w:right="57"/>
                  </w:pPr>
                  <w:r w:rsidRPr="00860261">
                    <w:t>34.7</w:t>
                  </w:r>
                </w:p>
              </w:tc>
              <w:tc>
                <w:tcPr>
                  <w:tcW w:w="500" w:type="pct"/>
                  <w:shd w:val="clear" w:color="auto" w:fill="auto"/>
                  <w:vAlign w:val="bottom"/>
                </w:tcPr>
                <w:p w:rsidR="00745FEA" w:rsidRPr="005841BB" w:rsidRDefault="00745FEA" w:rsidP="00745FEA">
                  <w:pPr>
                    <w:pStyle w:val="TableBodyText"/>
                    <w:spacing w:after="20"/>
                    <w:ind w:right="57"/>
                  </w:pPr>
                  <w:r w:rsidRPr="00860261">
                    <w:t>52.9</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Financial and insurance services</w:t>
                  </w:r>
                </w:p>
              </w:tc>
              <w:tc>
                <w:tcPr>
                  <w:tcW w:w="501" w:type="pct"/>
                  <w:vAlign w:val="bottom"/>
                </w:tcPr>
                <w:p w:rsidR="00745FEA" w:rsidRPr="005841BB" w:rsidRDefault="00745FEA" w:rsidP="00745FEA">
                  <w:pPr>
                    <w:pStyle w:val="TableBodyText"/>
                    <w:spacing w:after="20"/>
                    <w:ind w:right="57"/>
                  </w:pPr>
                  <w:r w:rsidRPr="00860261">
                    <w:t>899.1</w:t>
                  </w:r>
                </w:p>
              </w:tc>
              <w:tc>
                <w:tcPr>
                  <w:tcW w:w="501" w:type="pct"/>
                  <w:vAlign w:val="bottom"/>
                </w:tcPr>
                <w:p w:rsidR="00745FEA" w:rsidRPr="005841BB" w:rsidRDefault="00745FEA" w:rsidP="00745FEA">
                  <w:pPr>
                    <w:pStyle w:val="TableBodyText"/>
                    <w:spacing w:after="20"/>
                    <w:ind w:right="57"/>
                  </w:pPr>
                  <w:r w:rsidRPr="00860261">
                    <w:t>749.6</w:t>
                  </w:r>
                </w:p>
              </w:tc>
              <w:tc>
                <w:tcPr>
                  <w:tcW w:w="501" w:type="pct"/>
                  <w:vAlign w:val="bottom"/>
                </w:tcPr>
                <w:p w:rsidR="00745FEA" w:rsidRPr="005841BB" w:rsidRDefault="00745FEA" w:rsidP="00745FEA">
                  <w:pPr>
                    <w:pStyle w:val="TableBodyText"/>
                    <w:spacing w:after="20"/>
                    <w:ind w:right="57"/>
                  </w:pPr>
                  <w:r w:rsidRPr="00860261">
                    <w:t>835.4</w:t>
                  </w:r>
                </w:p>
              </w:tc>
              <w:tc>
                <w:tcPr>
                  <w:tcW w:w="499" w:type="pct"/>
                  <w:vAlign w:val="bottom"/>
                </w:tcPr>
                <w:p w:rsidR="00745FEA" w:rsidRPr="005841BB" w:rsidRDefault="00745FEA" w:rsidP="00745FEA">
                  <w:pPr>
                    <w:pStyle w:val="TableBodyText"/>
                    <w:spacing w:after="20"/>
                    <w:ind w:right="57"/>
                  </w:pPr>
                  <w:r w:rsidRPr="00860261">
                    <w:t>833.7</w:t>
                  </w:r>
                </w:p>
              </w:tc>
              <w:tc>
                <w:tcPr>
                  <w:tcW w:w="499" w:type="pct"/>
                  <w:shd w:val="clear" w:color="auto" w:fill="auto"/>
                  <w:vAlign w:val="bottom"/>
                </w:tcPr>
                <w:p w:rsidR="00745FEA" w:rsidRPr="005841BB" w:rsidRDefault="00745FEA" w:rsidP="00745FEA">
                  <w:pPr>
                    <w:pStyle w:val="TableBodyText"/>
                    <w:spacing w:after="20"/>
                    <w:ind w:right="57"/>
                  </w:pPr>
                  <w:r w:rsidRPr="00860261">
                    <w:t>930.8</w:t>
                  </w:r>
                </w:p>
              </w:tc>
              <w:tc>
                <w:tcPr>
                  <w:tcW w:w="500" w:type="pct"/>
                  <w:shd w:val="clear" w:color="auto" w:fill="auto"/>
                  <w:vAlign w:val="bottom"/>
                </w:tcPr>
                <w:p w:rsidR="00745FEA" w:rsidRPr="005841BB" w:rsidRDefault="00745FEA" w:rsidP="00745FEA">
                  <w:pPr>
                    <w:pStyle w:val="TableBodyText"/>
                    <w:spacing w:after="20"/>
                    <w:ind w:right="57"/>
                  </w:pPr>
                  <w:r w:rsidRPr="00860261">
                    <w:t>820.0</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Property, professional &amp; admin.</w:t>
                  </w:r>
                </w:p>
              </w:tc>
              <w:tc>
                <w:tcPr>
                  <w:tcW w:w="501" w:type="pct"/>
                  <w:vAlign w:val="bottom"/>
                </w:tcPr>
                <w:p w:rsidR="00745FEA" w:rsidRPr="005841BB" w:rsidRDefault="00745FEA" w:rsidP="00745FEA">
                  <w:pPr>
                    <w:pStyle w:val="TableBodyText"/>
                    <w:spacing w:after="20"/>
                    <w:ind w:right="57"/>
                  </w:pPr>
                  <w:r w:rsidRPr="00860261">
                    <w:t>530.5</w:t>
                  </w:r>
                </w:p>
              </w:tc>
              <w:tc>
                <w:tcPr>
                  <w:tcW w:w="501" w:type="pct"/>
                  <w:vAlign w:val="bottom"/>
                </w:tcPr>
                <w:p w:rsidR="00745FEA" w:rsidRPr="005841BB" w:rsidRDefault="00745FEA" w:rsidP="00745FEA">
                  <w:pPr>
                    <w:pStyle w:val="TableBodyText"/>
                    <w:spacing w:after="20"/>
                    <w:ind w:right="57"/>
                  </w:pPr>
                  <w:r w:rsidRPr="00860261">
                    <w:t>455.6</w:t>
                  </w:r>
                </w:p>
              </w:tc>
              <w:tc>
                <w:tcPr>
                  <w:tcW w:w="501" w:type="pct"/>
                  <w:vAlign w:val="bottom"/>
                </w:tcPr>
                <w:p w:rsidR="00745FEA" w:rsidRPr="005841BB" w:rsidRDefault="00745FEA" w:rsidP="00745FEA">
                  <w:pPr>
                    <w:pStyle w:val="TableBodyText"/>
                    <w:spacing w:after="20"/>
                    <w:ind w:right="57"/>
                  </w:pPr>
                  <w:r w:rsidRPr="00860261">
                    <w:t>365.3</w:t>
                  </w:r>
                </w:p>
              </w:tc>
              <w:tc>
                <w:tcPr>
                  <w:tcW w:w="499" w:type="pct"/>
                  <w:vAlign w:val="bottom"/>
                </w:tcPr>
                <w:p w:rsidR="00745FEA" w:rsidRPr="005841BB" w:rsidRDefault="00745FEA" w:rsidP="00745FEA">
                  <w:pPr>
                    <w:pStyle w:val="TableBodyText"/>
                    <w:spacing w:after="20"/>
                    <w:ind w:right="57"/>
                  </w:pPr>
                  <w:r w:rsidRPr="00860261">
                    <w:t>358.3</w:t>
                  </w:r>
                </w:p>
              </w:tc>
              <w:tc>
                <w:tcPr>
                  <w:tcW w:w="499" w:type="pct"/>
                  <w:shd w:val="clear" w:color="auto" w:fill="auto"/>
                  <w:vAlign w:val="bottom"/>
                </w:tcPr>
                <w:p w:rsidR="00745FEA" w:rsidRPr="005841BB" w:rsidRDefault="00745FEA" w:rsidP="00745FEA">
                  <w:pPr>
                    <w:pStyle w:val="TableBodyText"/>
                    <w:spacing w:after="20"/>
                    <w:ind w:right="57"/>
                  </w:pPr>
                  <w:r w:rsidRPr="00860261">
                    <w:t>289.4</w:t>
                  </w:r>
                </w:p>
              </w:tc>
              <w:tc>
                <w:tcPr>
                  <w:tcW w:w="500" w:type="pct"/>
                  <w:shd w:val="clear" w:color="auto" w:fill="auto"/>
                  <w:vAlign w:val="bottom"/>
                </w:tcPr>
                <w:p w:rsidR="00745FEA" w:rsidRPr="005841BB" w:rsidRDefault="00745FEA" w:rsidP="00745FEA">
                  <w:pPr>
                    <w:pStyle w:val="TableBodyText"/>
                    <w:spacing w:after="20"/>
                    <w:ind w:right="57"/>
                  </w:pPr>
                  <w:r w:rsidRPr="00860261">
                    <w:t>613.5</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Public administration and safety</w:t>
                  </w:r>
                </w:p>
              </w:tc>
              <w:tc>
                <w:tcPr>
                  <w:tcW w:w="501" w:type="pct"/>
                  <w:vAlign w:val="bottom"/>
                </w:tcPr>
                <w:p w:rsidR="00745FEA" w:rsidRPr="005841BB" w:rsidRDefault="00745FEA" w:rsidP="00745FEA">
                  <w:pPr>
                    <w:pStyle w:val="TableBodyText"/>
                    <w:spacing w:after="20"/>
                    <w:ind w:right="57"/>
                  </w:pPr>
                  <w:r w:rsidRPr="00860261">
                    <w:t>5.2</w:t>
                  </w:r>
                </w:p>
              </w:tc>
              <w:tc>
                <w:tcPr>
                  <w:tcW w:w="501" w:type="pct"/>
                  <w:vAlign w:val="bottom"/>
                </w:tcPr>
                <w:p w:rsidR="00745FEA" w:rsidRPr="005841BB" w:rsidRDefault="00745FEA" w:rsidP="00745FEA">
                  <w:pPr>
                    <w:pStyle w:val="TableBodyText"/>
                    <w:spacing w:after="20"/>
                    <w:ind w:right="57"/>
                  </w:pPr>
                  <w:r w:rsidRPr="00860261">
                    <w:t>6.2</w:t>
                  </w:r>
                </w:p>
              </w:tc>
              <w:tc>
                <w:tcPr>
                  <w:tcW w:w="501" w:type="pct"/>
                  <w:vAlign w:val="bottom"/>
                </w:tcPr>
                <w:p w:rsidR="00745FEA" w:rsidRPr="005841BB" w:rsidRDefault="00745FEA" w:rsidP="00745FEA">
                  <w:pPr>
                    <w:pStyle w:val="TableBodyText"/>
                    <w:spacing w:after="20"/>
                    <w:ind w:right="57"/>
                  </w:pPr>
                  <w:r w:rsidRPr="00860261">
                    <w:t>5.2</w:t>
                  </w:r>
                </w:p>
              </w:tc>
              <w:tc>
                <w:tcPr>
                  <w:tcW w:w="499" w:type="pct"/>
                  <w:vAlign w:val="bottom"/>
                </w:tcPr>
                <w:p w:rsidR="00745FEA" w:rsidRPr="005841BB" w:rsidRDefault="00745FEA" w:rsidP="00745FEA">
                  <w:pPr>
                    <w:pStyle w:val="TableBodyText"/>
                    <w:spacing w:after="20"/>
                    <w:ind w:right="57"/>
                  </w:pPr>
                  <w:r w:rsidRPr="00860261">
                    <w:t>2.3</w:t>
                  </w:r>
                </w:p>
              </w:tc>
              <w:tc>
                <w:tcPr>
                  <w:tcW w:w="499" w:type="pct"/>
                  <w:shd w:val="clear" w:color="auto" w:fill="auto"/>
                  <w:vAlign w:val="bottom"/>
                </w:tcPr>
                <w:p w:rsidR="00745FEA" w:rsidRPr="005841BB" w:rsidRDefault="00745FEA" w:rsidP="00745FEA">
                  <w:pPr>
                    <w:pStyle w:val="TableBodyText"/>
                    <w:spacing w:after="20"/>
                    <w:ind w:right="57"/>
                  </w:pPr>
                  <w:r w:rsidRPr="00860261">
                    <w:t>3.3</w:t>
                  </w:r>
                </w:p>
              </w:tc>
              <w:tc>
                <w:tcPr>
                  <w:tcW w:w="500" w:type="pct"/>
                  <w:shd w:val="clear" w:color="auto" w:fill="auto"/>
                  <w:vAlign w:val="bottom"/>
                </w:tcPr>
                <w:p w:rsidR="00745FEA" w:rsidRPr="005841BB" w:rsidRDefault="00745FEA" w:rsidP="00745FEA">
                  <w:pPr>
                    <w:pStyle w:val="TableBodyText"/>
                    <w:spacing w:after="20"/>
                    <w:ind w:right="57"/>
                  </w:pPr>
                  <w:r w:rsidRPr="00860261">
                    <w:t>7.9</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Education and training</w:t>
                  </w:r>
                </w:p>
              </w:tc>
              <w:tc>
                <w:tcPr>
                  <w:tcW w:w="501" w:type="pct"/>
                  <w:vAlign w:val="bottom"/>
                </w:tcPr>
                <w:p w:rsidR="00745FEA" w:rsidRPr="005841BB" w:rsidRDefault="00745FEA" w:rsidP="00745FEA">
                  <w:pPr>
                    <w:pStyle w:val="TableBodyText"/>
                    <w:spacing w:after="20"/>
                    <w:ind w:right="57"/>
                  </w:pPr>
                  <w:r w:rsidRPr="00860261">
                    <w:t>14.1</w:t>
                  </w:r>
                </w:p>
              </w:tc>
              <w:tc>
                <w:tcPr>
                  <w:tcW w:w="501" w:type="pct"/>
                  <w:vAlign w:val="bottom"/>
                </w:tcPr>
                <w:p w:rsidR="00745FEA" w:rsidRPr="005841BB" w:rsidRDefault="00745FEA" w:rsidP="00745FEA">
                  <w:pPr>
                    <w:pStyle w:val="TableBodyText"/>
                    <w:spacing w:after="20"/>
                    <w:ind w:right="57"/>
                  </w:pPr>
                  <w:r w:rsidRPr="00860261">
                    <w:t>13.5</w:t>
                  </w:r>
                </w:p>
              </w:tc>
              <w:tc>
                <w:tcPr>
                  <w:tcW w:w="501" w:type="pct"/>
                  <w:vAlign w:val="bottom"/>
                </w:tcPr>
                <w:p w:rsidR="00745FEA" w:rsidRPr="005841BB" w:rsidRDefault="00745FEA" w:rsidP="00745FEA">
                  <w:pPr>
                    <w:pStyle w:val="TableBodyText"/>
                    <w:spacing w:after="20"/>
                    <w:ind w:right="57"/>
                  </w:pPr>
                  <w:r w:rsidRPr="00860261">
                    <w:t>8.0</w:t>
                  </w:r>
                </w:p>
              </w:tc>
              <w:tc>
                <w:tcPr>
                  <w:tcW w:w="499" w:type="pct"/>
                  <w:vAlign w:val="bottom"/>
                </w:tcPr>
                <w:p w:rsidR="00745FEA" w:rsidRPr="005841BB" w:rsidRDefault="00745FEA" w:rsidP="00745FEA">
                  <w:pPr>
                    <w:pStyle w:val="TableBodyText"/>
                    <w:spacing w:after="20"/>
                    <w:ind w:right="57"/>
                  </w:pPr>
                  <w:r w:rsidRPr="00860261">
                    <w:t>9.8</w:t>
                  </w:r>
                </w:p>
              </w:tc>
              <w:tc>
                <w:tcPr>
                  <w:tcW w:w="499" w:type="pct"/>
                  <w:shd w:val="clear" w:color="auto" w:fill="auto"/>
                  <w:vAlign w:val="bottom"/>
                </w:tcPr>
                <w:p w:rsidR="00745FEA" w:rsidRPr="005841BB" w:rsidRDefault="00745FEA" w:rsidP="00745FEA">
                  <w:pPr>
                    <w:pStyle w:val="TableBodyText"/>
                    <w:spacing w:after="20"/>
                    <w:ind w:right="57"/>
                  </w:pPr>
                  <w:r w:rsidRPr="00860261">
                    <w:t>5.5</w:t>
                  </w:r>
                </w:p>
              </w:tc>
              <w:tc>
                <w:tcPr>
                  <w:tcW w:w="500" w:type="pct"/>
                  <w:shd w:val="clear" w:color="auto" w:fill="auto"/>
                  <w:vAlign w:val="bottom"/>
                </w:tcPr>
                <w:p w:rsidR="00745FEA" w:rsidRPr="005841BB" w:rsidRDefault="00745FEA" w:rsidP="00745FEA">
                  <w:pPr>
                    <w:pStyle w:val="TableBodyText"/>
                    <w:spacing w:after="20"/>
                    <w:ind w:right="57"/>
                  </w:pPr>
                  <w:r w:rsidRPr="00860261">
                    <w:t>19.9</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Health care and social assistance</w:t>
                  </w:r>
                </w:p>
              </w:tc>
              <w:tc>
                <w:tcPr>
                  <w:tcW w:w="501" w:type="pct"/>
                  <w:vAlign w:val="bottom"/>
                </w:tcPr>
                <w:p w:rsidR="00745FEA" w:rsidRPr="005841BB" w:rsidRDefault="00745FEA" w:rsidP="00745FEA">
                  <w:pPr>
                    <w:pStyle w:val="TableBodyText"/>
                    <w:spacing w:after="20"/>
                    <w:ind w:right="57"/>
                  </w:pPr>
                  <w:r w:rsidRPr="00860261">
                    <w:t>70.9</w:t>
                  </w:r>
                </w:p>
              </w:tc>
              <w:tc>
                <w:tcPr>
                  <w:tcW w:w="501" w:type="pct"/>
                  <w:vAlign w:val="bottom"/>
                </w:tcPr>
                <w:p w:rsidR="00745FEA" w:rsidRPr="005841BB" w:rsidRDefault="00745FEA" w:rsidP="00745FEA">
                  <w:pPr>
                    <w:pStyle w:val="TableBodyText"/>
                    <w:spacing w:after="20"/>
                    <w:ind w:right="57"/>
                  </w:pPr>
                  <w:r w:rsidRPr="00860261">
                    <w:t>60.9</w:t>
                  </w:r>
                </w:p>
              </w:tc>
              <w:tc>
                <w:tcPr>
                  <w:tcW w:w="501" w:type="pct"/>
                  <w:vAlign w:val="bottom"/>
                </w:tcPr>
                <w:p w:rsidR="00745FEA" w:rsidRPr="005841BB" w:rsidRDefault="00745FEA" w:rsidP="00745FEA">
                  <w:pPr>
                    <w:pStyle w:val="TableBodyText"/>
                    <w:spacing w:after="20"/>
                    <w:ind w:right="57"/>
                  </w:pPr>
                  <w:r w:rsidRPr="00860261">
                    <w:t>60.5</w:t>
                  </w:r>
                </w:p>
              </w:tc>
              <w:tc>
                <w:tcPr>
                  <w:tcW w:w="499" w:type="pct"/>
                  <w:vAlign w:val="bottom"/>
                </w:tcPr>
                <w:p w:rsidR="00745FEA" w:rsidRPr="005841BB" w:rsidRDefault="00745FEA" w:rsidP="00745FEA">
                  <w:pPr>
                    <w:pStyle w:val="TableBodyText"/>
                    <w:spacing w:after="20"/>
                    <w:ind w:right="57"/>
                  </w:pPr>
                  <w:r w:rsidRPr="00860261">
                    <w:t>87.1</w:t>
                  </w:r>
                </w:p>
              </w:tc>
              <w:tc>
                <w:tcPr>
                  <w:tcW w:w="499" w:type="pct"/>
                  <w:shd w:val="clear" w:color="auto" w:fill="auto"/>
                  <w:vAlign w:val="bottom"/>
                </w:tcPr>
                <w:p w:rsidR="00745FEA" w:rsidRPr="005841BB" w:rsidRDefault="00745FEA" w:rsidP="00745FEA">
                  <w:pPr>
                    <w:pStyle w:val="TableBodyText"/>
                    <w:spacing w:after="20"/>
                    <w:ind w:right="57"/>
                  </w:pPr>
                  <w:r w:rsidRPr="00860261">
                    <w:t>75.9</w:t>
                  </w:r>
                </w:p>
              </w:tc>
              <w:tc>
                <w:tcPr>
                  <w:tcW w:w="500" w:type="pct"/>
                  <w:shd w:val="clear" w:color="auto" w:fill="auto"/>
                  <w:vAlign w:val="bottom"/>
                </w:tcPr>
                <w:p w:rsidR="00745FEA" w:rsidRPr="005841BB" w:rsidRDefault="00745FEA" w:rsidP="00745FEA">
                  <w:pPr>
                    <w:pStyle w:val="TableBodyText"/>
                    <w:spacing w:after="20"/>
                    <w:ind w:right="57"/>
                  </w:pPr>
                  <w:r w:rsidRPr="00860261">
                    <w:t>135.3</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Arts and recreation services</w:t>
                  </w:r>
                </w:p>
              </w:tc>
              <w:tc>
                <w:tcPr>
                  <w:tcW w:w="501" w:type="pct"/>
                  <w:vAlign w:val="bottom"/>
                </w:tcPr>
                <w:p w:rsidR="00745FEA" w:rsidRPr="005841BB" w:rsidRDefault="00745FEA" w:rsidP="00745FEA">
                  <w:pPr>
                    <w:pStyle w:val="TableBodyText"/>
                    <w:spacing w:after="20"/>
                    <w:ind w:right="57"/>
                  </w:pPr>
                  <w:r w:rsidRPr="00860261">
                    <w:t>233.2</w:t>
                  </w:r>
                </w:p>
              </w:tc>
              <w:tc>
                <w:tcPr>
                  <w:tcW w:w="501" w:type="pct"/>
                  <w:vAlign w:val="bottom"/>
                </w:tcPr>
                <w:p w:rsidR="00745FEA" w:rsidRPr="005841BB" w:rsidRDefault="00745FEA" w:rsidP="00745FEA">
                  <w:pPr>
                    <w:pStyle w:val="TableBodyText"/>
                    <w:spacing w:after="20"/>
                    <w:ind w:right="57"/>
                  </w:pPr>
                  <w:r w:rsidRPr="00860261">
                    <w:t>282.2</w:t>
                  </w:r>
                </w:p>
              </w:tc>
              <w:tc>
                <w:tcPr>
                  <w:tcW w:w="501" w:type="pct"/>
                  <w:vAlign w:val="bottom"/>
                </w:tcPr>
                <w:p w:rsidR="00745FEA" w:rsidRPr="005841BB" w:rsidRDefault="00745FEA" w:rsidP="00745FEA">
                  <w:pPr>
                    <w:pStyle w:val="TableBodyText"/>
                    <w:spacing w:after="20"/>
                    <w:ind w:right="57"/>
                  </w:pPr>
                  <w:r w:rsidRPr="00860261">
                    <w:t>312.6</w:t>
                  </w:r>
                </w:p>
              </w:tc>
              <w:tc>
                <w:tcPr>
                  <w:tcW w:w="499" w:type="pct"/>
                  <w:vAlign w:val="bottom"/>
                </w:tcPr>
                <w:p w:rsidR="00745FEA" w:rsidRPr="005841BB" w:rsidRDefault="00745FEA" w:rsidP="00745FEA">
                  <w:pPr>
                    <w:pStyle w:val="TableBodyText"/>
                    <w:spacing w:after="20"/>
                    <w:ind w:right="57"/>
                  </w:pPr>
                  <w:r w:rsidRPr="00860261">
                    <w:t>216.5</w:t>
                  </w:r>
                </w:p>
              </w:tc>
              <w:tc>
                <w:tcPr>
                  <w:tcW w:w="499" w:type="pct"/>
                  <w:shd w:val="clear" w:color="auto" w:fill="auto"/>
                  <w:vAlign w:val="bottom"/>
                </w:tcPr>
                <w:p w:rsidR="00745FEA" w:rsidRPr="005841BB" w:rsidRDefault="00745FEA" w:rsidP="00745FEA">
                  <w:pPr>
                    <w:pStyle w:val="TableBodyText"/>
                    <w:spacing w:after="20"/>
                    <w:ind w:right="57"/>
                  </w:pPr>
                  <w:r w:rsidRPr="00860261">
                    <w:t>388.6</w:t>
                  </w:r>
                </w:p>
              </w:tc>
              <w:tc>
                <w:tcPr>
                  <w:tcW w:w="500" w:type="pct"/>
                  <w:shd w:val="clear" w:color="auto" w:fill="auto"/>
                  <w:vAlign w:val="bottom"/>
                </w:tcPr>
                <w:p w:rsidR="00745FEA" w:rsidRPr="005841BB" w:rsidRDefault="00745FEA" w:rsidP="00745FEA">
                  <w:pPr>
                    <w:pStyle w:val="TableBodyText"/>
                    <w:spacing w:after="20"/>
                    <w:ind w:right="57"/>
                  </w:pPr>
                  <w:r w:rsidRPr="00860261">
                    <w:t>365.7</w:t>
                  </w:r>
                </w:p>
              </w:tc>
            </w:tr>
            <w:tr w:rsidR="00745FEA" w:rsidTr="00745FEA">
              <w:tc>
                <w:tcPr>
                  <w:tcW w:w="1998" w:type="pct"/>
                  <w:shd w:val="clear" w:color="auto" w:fill="auto"/>
                  <w:vAlign w:val="center"/>
                </w:tcPr>
                <w:p w:rsidR="00745FEA" w:rsidRPr="00037109" w:rsidRDefault="00745FEA" w:rsidP="00745FEA">
                  <w:pPr>
                    <w:spacing w:after="20"/>
                    <w:rPr>
                      <w:rFonts w:ascii="Arial" w:hAnsi="Arial" w:cs="Arial"/>
                      <w:sz w:val="18"/>
                      <w:szCs w:val="18"/>
                    </w:rPr>
                  </w:pPr>
                  <w:r w:rsidRPr="00037109">
                    <w:rPr>
                      <w:rFonts w:ascii="Arial" w:hAnsi="Arial" w:cs="Arial"/>
                      <w:sz w:val="18"/>
                      <w:szCs w:val="18"/>
                    </w:rPr>
                    <w:t>Other services</w:t>
                  </w:r>
                </w:p>
              </w:tc>
              <w:tc>
                <w:tcPr>
                  <w:tcW w:w="501" w:type="pct"/>
                  <w:vAlign w:val="bottom"/>
                </w:tcPr>
                <w:p w:rsidR="00745FEA" w:rsidRPr="005841BB" w:rsidRDefault="00745FEA" w:rsidP="00745FEA">
                  <w:pPr>
                    <w:pStyle w:val="TableBodyText"/>
                    <w:spacing w:after="20"/>
                    <w:ind w:right="57"/>
                  </w:pPr>
                  <w:r w:rsidRPr="00860261">
                    <w:t>48.6</w:t>
                  </w:r>
                </w:p>
              </w:tc>
              <w:tc>
                <w:tcPr>
                  <w:tcW w:w="501" w:type="pct"/>
                  <w:vAlign w:val="bottom"/>
                </w:tcPr>
                <w:p w:rsidR="00745FEA" w:rsidRPr="005841BB" w:rsidRDefault="00745FEA" w:rsidP="00745FEA">
                  <w:pPr>
                    <w:pStyle w:val="TableBodyText"/>
                    <w:spacing w:after="20"/>
                    <w:ind w:right="57"/>
                  </w:pPr>
                  <w:r w:rsidRPr="00860261">
                    <w:t>40.5</w:t>
                  </w:r>
                </w:p>
              </w:tc>
              <w:tc>
                <w:tcPr>
                  <w:tcW w:w="501" w:type="pct"/>
                  <w:vAlign w:val="bottom"/>
                </w:tcPr>
                <w:p w:rsidR="00745FEA" w:rsidRPr="005841BB" w:rsidRDefault="00745FEA" w:rsidP="00745FEA">
                  <w:pPr>
                    <w:pStyle w:val="TableBodyText"/>
                    <w:spacing w:after="20"/>
                    <w:ind w:right="57"/>
                  </w:pPr>
                  <w:r w:rsidRPr="00860261">
                    <w:t>32.1</w:t>
                  </w:r>
                </w:p>
              </w:tc>
              <w:tc>
                <w:tcPr>
                  <w:tcW w:w="499" w:type="pct"/>
                  <w:vAlign w:val="bottom"/>
                </w:tcPr>
                <w:p w:rsidR="00745FEA" w:rsidRPr="005841BB" w:rsidRDefault="00745FEA" w:rsidP="00745FEA">
                  <w:pPr>
                    <w:pStyle w:val="TableBodyText"/>
                    <w:spacing w:after="20"/>
                    <w:ind w:right="57"/>
                  </w:pPr>
                  <w:r w:rsidRPr="00860261">
                    <w:t>23.3</w:t>
                  </w:r>
                </w:p>
              </w:tc>
              <w:tc>
                <w:tcPr>
                  <w:tcW w:w="499" w:type="pct"/>
                  <w:shd w:val="clear" w:color="auto" w:fill="auto"/>
                  <w:vAlign w:val="bottom"/>
                </w:tcPr>
                <w:p w:rsidR="00745FEA" w:rsidRPr="005841BB" w:rsidRDefault="00745FEA" w:rsidP="00745FEA">
                  <w:pPr>
                    <w:pStyle w:val="TableBodyText"/>
                    <w:spacing w:after="20"/>
                    <w:ind w:right="57"/>
                  </w:pPr>
                  <w:r w:rsidRPr="00860261">
                    <w:t>20.6</w:t>
                  </w:r>
                </w:p>
              </w:tc>
              <w:tc>
                <w:tcPr>
                  <w:tcW w:w="500" w:type="pct"/>
                  <w:shd w:val="clear" w:color="auto" w:fill="auto"/>
                  <w:vAlign w:val="bottom"/>
                </w:tcPr>
                <w:p w:rsidR="00745FEA" w:rsidRPr="005841BB" w:rsidRDefault="00745FEA" w:rsidP="00745FEA">
                  <w:pPr>
                    <w:pStyle w:val="TableBodyText"/>
                    <w:spacing w:after="20"/>
                    <w:ind w:right="57"/>
                  </w:pPr>
                  <w:r w:rsidRPr="00860261">
                    <w:t>72.7</w:t>
                  </w:r>
                </w:p>
              </w:tc>
            </w:tr>
            <w:tr w:rsidR="00745FEA" w:rsidTr="00745FEA">
              <w:tc>
                <w:tcPr>
                  <w:tcW w:w="1998" w:type="pct"/>
                  <w:shd w:val="clear" w:color="auto" w:fill="auto"/>
                  <w:vAlign w:val="center"/>
                </w:tcPr>
                <w:p w:rsidR="00745FEA" w:rsidRPr="00037109" w:rsidRDefault="00745FEA" w:rsidP="00745FEA">
                  <w:pPr>
                    <w:rPr>
                      <w:rFonts w:ascii="Arial" w:hAnsi="Arial" w:cs="Arial"/>
                      <w:sz w:val="18"/>
                      <w:szCs w:val="18"/>
                    </w:rPr>
                  </w:pPr>
                  <w:r w:rsidRPr="00037109">
                    <w:rPr>
                      <w:rFonts w:ascii="Arial" w:hAnsi="Arial" w:cs="Arial"/>
                      <w:sz w:val="18"/>
                      <w:szCs w:val="18"/>
                    </w:rPr>
                    <w:t>Unallocated services</w:t>
                  </w:r>
                  <w:r>
                    <w:rPr>
                      <w:rStyle w:val="NoteLabel"/>
                    </w:rPr>
                    <w:t>a</w:t>
                  </w:r>
                </w:p>
              </w:tc>
              <w:tc>
                <w:tcPr>
                  <w:tcW w:w="501" w:type="pct"/>
                  <w:vAlign w:val="bottom"/>
                </w:tcPr>
                <w:p w:rsidR="00745FEA" w:rsidRPr="005841BB" w:rsidRDefault="00745FEA" w:rsidP="00745FEA">
                  <w:pPr>
                    <w:pStyle w:val="TableBodyText"/>
                    <w:ind w:right="57"/>
                  </w:pPr>
                  <w:r w:rsidRPr="00860261">
                    <w:t xml:space="preserve">– </w:t>
                  </w:r>
                </w:p>
              </w:tc>
              <w:tc>
                <w:tcPr>
                  <w:tcW w:w="501" w:type="pct"/>
                  <w:vAlign w:val="bottom"/>
                </w:tcPr>
                <w:p w:rsidR="00745FEA" w:rsidRPr="005841BB" w:rsidRDefault="00745FEA" w:rsidP="00745FEA">
                  <w:pPr>
                    <w:pStyle w:val="TableBodyText"/>
                    <w:ind w:right="57"/>
                  </w:pPr>
                  <w:r w:rsidRPr="00860261">
                    <w:t xml:space="preserve">– </w:t>
                  </w:r>
                </w:p>
              </w:tc>
              <w:tc>
                <w:tcPr>
                  <w:tcW w:w="501" w:type="pct"/>
                  <w:vAlign w:val="bottom"/>
                </w:tcPr>
                <w:p w:rsidR="00745FEA" w:rsidRPr="005841BB" w:rsidRDefault="00745FEA" w:rsidP="00745FEA">
                  <w:pPr>
                    <w:pStyle w:val="TableBodyText"/>
                    <w:ind w:right="57"/>
                  </w:pPr>
                  <w:r w:rsidRPr="00860261">
                    <w:t xml:space="preserve">– </w:t>
                  </w:r>
                </w:p>
              </w:tc>
              <w:tc>
                <w:tcPr>
                  <w:tcW w:w="499" w:type="pct"/>
                  <w:vAlign w:val="bottom"/>
                </w:tcPr>
                <w:p w:rsidR="00745FEA" w:rsidRPr="005841BB" w:rsidRDefault="00745FEA" w:rsidP="00745FEA">
                  <w:pPr>
                    <w:pStyle w:val="TableBodyText"/>
                    <w:ind w:right="57"/>
                  </w:pPr>
                  <w:r w:rsidRPr="00860261">
                    <w:t xml:space="preserve">– </w:t>
                  </w:r>
                </w:p>
              </w:tc>
              <w:tc>
                <w:tcPr>
                  <w:tcW w:w="499" w:type="pct"/>
                  <w:shd w:val="clear" w:color="auto" w:fill="auto"/>
                  <w:vAlign w:val="bottom"/>
                </w:tcPr>
                <w:p w:rsidR="00745FEA" w:rsidRPr="005841BB" w:rsidRDefault="00745FEA" w:rsidP="00745FEA">
                  <w:pPr>
                    <w:pStyle w:val="TableBodyText"/>
                    <w:ind w:right="57"/>
                  </w:pPr>
                  <w:r w:rsidRPr="00860261">
                    <w:t xml:space="preserve">– </w:t>
                  </w:r>
                </w:p>
              </w:tc>
              <w:tc>
                <w:tcPr>
                  <w:tcW w:w="500" w:type="pct"/>
                  <w:shd w:val="clear" w:color="auto" w:fill="auto"/>
                  <w:vAlign w:val="bottom"/>
                </w:tcPr>
                <w:p w:rsidR="00745FEA" w:rsidRPr="005841BB" w:rsidRDefault="00745FEA" w:rsidP="00745FEA">
                  <w:pPr>
                    <w:pStyle w:val="TableBodyText"/>
                    <w:ind w:right="57"/>
                  </w:pPr>
                  <w:r w:rsidRPr="00860261">
                    <w:t xml:space="preserve">– </w:t>
                  </w:r>
                </w:p>
              </w:tc>
            </w:tr>
            <w:tr w:rsidR="00745FEA" w:rsidRPr="00F45219" w:rsidTr="00745FEA">
              <w:tc>
                <w:tcPr>
                  <w:tcW w:w="1998" w:type="pct"/>
                  <w:shd w:val="clear" w:color="auto" w:fill="auto"/>
                  <w:vAlign w:val="center"/>
                </w:tcPr>
                <w:p w:rsidR="00745FEA" w:rsidRPr="00F45219" w:rsidRDefault="00745FEA" w:rsidP="00745FEA">
                  <w:pPr>
                    <w:spacing w:after="30"/>
                    <w:rPr>
                      <w:rFonts w:ascii="Arial" w:hAnsi="Arial" w:cs="Arial"/>
                      <w:b/>
                      <w:bCs/>
                      <w:sz w:val="18"/>
                      <w:szCs w:val="18"/>
                    </w:rPr>
                  </w:pPr>
                  <w:r w:rsidRPr="00F45219">
                    <w:rPr>
                      <w:rFonts w:ascii="Arial" w:hAnsi="Arial" w:cs="Arial"/>
                      <w:b/>
                      <w:bCs/>
                      <w:sz w:val="18"/>
                      <w:szCs w:val="18"/>
                    </w:rPr>
                    <w:t>Unallocated other</w:t>
                  </w:r>
                  <w:r w:rsidRPr="009E76C0">
                    <w:rPr>
                      <w:rStyle w:val="NoteLabel"/>
                    </w:rPr>
                    <w:t>a</w:t>
                  </w:r>
                </w:p>
              </w:tc>
              <w:tc>
                <w:tcPr>
                  <w:tcW w:w="501" w:type="pct"/>
                  <w:vAlign w:val="bottom"/>
                </w:tcPr>
                <w:p w:rsidR="00745FEA" w:rsidRPr="00F45219" w:rsidRDefault="00745FEA" w:rsidP="00745FEA">
                  <w:pPr>
                    <w:pStyle w:val="TableBodyText"/>
                    <w:ind w:right="57"/>
                    <w:rPr>
                      <w:b/>
                    </w:rPr>
                  </w:pPr>
                  <w:r w:rsidRPr="00F45219">
                    <w:rPr>
                      <w:b/>
                    </w:rPr>
                    <w:t>635.4</w:t>
                  </w:r>
                </w:p>
              </w:tc>
              <w:tc>
                <w:tcPr>
                  <w:tcW w:w="501" w:type="pct"/>
                  <w:vAlign w:val="bottom"/>
                </w:tcPr>
                <w:p w:rsidR="00745FEA" w:rsidRPr="00F45219" w:rsidRDefault="00745FEA" w:rsidP="00745FEA">
                  <w:pPr>
                    <w:pStyle w:val="TableBodyText"/>
                    <w:ind w:right="57"/>
                    <w:rPr>
                      <w:b/>
                    </w:rPr>
                  </w:pPr>
                  <w:r w:rsidRPr="00F45219">
                    <w:rPr>
                      <w:b/>
                    </w:rPr>
                    <w:t>674.7</w:t>
                  </w:r>
                </w:p>
              </w:tc>
              <w:tc>
                <w:tcPr>
                  <w:tcW w:w="501" w:type="pct"/>
                  <w:vAlign w:val="bottom"/>
                </w:tcPr>
                <w:p w:rsidR="00745FEA" w:rsidRPr="00F45219" w:rsidRDefault="00745FEA" w:rsidP="00745FEA">
                  <w:pPr>
                    <w:pStyle w:val="TableBodyText"/>
                    <w:ind w:right="57"/>
                    <w:rPr>
                      <w:b/>
                    </w:rPr>
                  </w:pPr>
                  <w:r w:rsidRPr="00F45219">
                    <w:rPr>
                      <w:b/>
                    </w:rPr>
                    <w:t>724.6</w:t>
                  </w:r>
                </w:p>
              </w:tc>
              <w:tc>
                <w:tcPr>
                  <w:tcW w:w="499" w:type="pct"/>
                  <w:vAlign w:val="bottom"/>
                </w:tcPr>
                <w:p w:rsidR="00745FEA" w:rsidRPr="00F45219" w:rsidRDefault="00745FEA" w:rsidP="00745FEA">
                  <w:pPr>
                    <w:pStyle w:val="TableBodyText"/>
                    <w:ind w:right="57"/>
                    <w:rPr>
                      <w:b/>
                    </w:rPr>
                  </w:pPr>
                  <w:r w:rsidRPr="00F45219">
                    <w:rPr>
                      <w:b/>
                    </w:rPr>
                    <w:t>284.3</w:t>
                  </w:r>
                </w:p>
              </w:tc>
              <w:tc>
                <w:tcPr>
                  <w:tcW w:w="499" w:type="pct"/>
                  <w:shd w:val="clear" w:color="auto" w:fill="auto"/>
                  <w:vAlign w:val="bottom"/>
                </w:tcPr>
                <w:p w:rsidR="00745FEA" w:rsidRPr="00F45219" w:rsidRDefault="00745FEA" w:rsidP="00745FEA">
                  <w:pPr>
                    <w:pStyle w:val="TableBodyText"/>
                    <w:ind w:right="57"/>
                    <w:rPr>
                      <w:b/>
                    </w:rPr>
                  </w:pPr>
                  <w:r w:rsidRPr="00F45219">
                    <w:rPr>
                      <w:b/>
                    </w:rPr>
                    <w:t>799.5</w:t>
                  </w:r>
                </w:p>
              </w:tc>
              <w:tc>
                <w:tcPr>
                  <w:tcW w:w="500" w:type="pct"/>
                  <w:shd w:val="clear" w:color="auto" w:fill="auto"/>
                  <w:vAlign w:val="bottom"/>
                </w:tcPr>
                <w:p w:rsidR="00745FEA" w:rsidRPr="00F45219" w:rsidRDefault="00745FEA" w:rsidP="00745FEA">
                  <w:pPr>
                    <w:pStyle w:val="TableBodyText"/>
                    <w:ind w:right="57"/>
                    <w:rPr>
                      <w:b/>
                    </w:rPr>
                  </w:pPr>
                  <w:r w:rsidRPr="00F45219">
                    <w:rPr>
                      <w:b/>
                    </w:rPr>
                    <w:t>2775.0</w:t>
                  </w:r>
                </w:p>
              </w:tc>
            </w:tr>
            <w:tr w:rsidR="00745FEA" w:rsidRPr="00F45219" w:rsidTr="00745FEA">
              <w:tc>
                <w:tcPr>
                  <w:tcW w:w="1998" w:type="pct"/>
                  <w:tcBorders>
                    <w:bottom w:val="single" w:sz="6" w:space="0" w:color="BFBFBF"/>
                  </w:tcBorders>
                  <w:shd w:val="clear" w:color="auto" w:fill="auto"/>
                  <w:vAlign w:val="center"/>
                </w:tcPr>
                <w:p w:rsidR="00745FEA" w:rsidRPr="00F45219" w:rsidRDefault="00745FEA" w:rsidP="00745FEA">
                  <w:pPr>
                    <w:spacing w:after="30"/>
                    <w:rPr>
                      <w:rFonts w:ascii="Arial" w:hAnsi="Arial" w:cs="Arial"/>
                      <w:b/>
                      <w:bCs/>
                      <w:sz w:val="18"/>
                      <w:szCs w:val="18"/>
                    </w:rPr>
                  </w:pPr>
                  <w:r w:rsidRPr="00F45219">
                    <w:rPr>
                      <w:rFonts w:ascii="Arial" w:hAnsi="Arial" w:cs="Arial"/>
                      <w:b/>
                      <w:bCs/>
                      <w:sz w:val="18"/>
                      <w:szCs w:val="18"/>
                    </w:rPr>
                    <w:t>Total</w:t>
                  </w:r>
                </w:p>
              </w:tc>
              <w:tc>
                <w:tcPr>
                  <w:tcW w:w="501" w:type="pct"/>
                  <w:tcBorders>
                    <w:bottom w:val="single" w:sz="6" w:space="0" w:color="BFBFBF"/>
                  </w:tcBorders>
                  <w:vAlign w:val="bottom"/>
                </w:tcPr>
                <w:p w:rsidR="00745FEA" w:rsidRPr="00F45219" w:rsidRDefault="00745FEA" w:rsidP="00745FEA">
                  <w:pPr>
                    <w:pStyle w:val="TableBodyText"/>
                    <w:ind w:right="57"/>
                    <w:rPr>
                      <w:b/>
                    </w:rPr>
                  </w:pPr>
                  <w:r w:rsidRPr="00F45219">
                    <w:rPr>
                      <w:b/>
                    </w:rPr>
                    <w:t>4900.2</w:t>
                  </w:r>
                </w:p>
              </w:tc>
              <w:tc>
                <w:tcPr>
                  <w:tcW w:w="501" w:type="pct"/>
                  <w:tcBorders>
                    <w:bottom w:val="single" w:sz="6" w:space="0" w:color="BFBFBF"/>
                  </w:tcBorders>
                  <w:vAlign w:val="bottom"/>
                </w:tcPr>
                <w:p w:rsidR="00745FEA" w:rsidRPr="00F45219" w:rsidRDefault="00745FEA" w:rsidP="00745FEA">
                  <w:pPr>
                    <w:pStyle w:val="TableBodyText"/>
                    <w:ind w:right="57"/>
                    <w:rPr>
                      <w:b/>
                    </w:rPr>
                  </w:pPr>
                  <w:r w:rsidRPr="00F45219">
                    <w:rPr>
                      <w:b/>
                    </w:rPr>
                    <w:t>4565.8</w:t>
                  </w:r>
                </w:p>
              </w:tc>
              <w:tc>
                <w:tcPr>
                  <w:tcW w:w="501" w:type="pct"/>
                  <w:tcBorders>
                    <w:bottom w:val="single" w:sz="6" w:space="0" w:color="BFBFBF"/>
                  </w:tcBorders>
                  <w:vAlign w:val="bottom"/>
                </w:tcPr>
                <w:p w:rsidR="00745FEA" w:rsidRPr="00F45219" w:rsidRDefault="00745FEA" w:rsidP="00745FEA">
                  <w:pPr>
                    <w:pStyle w:val="TableBodyText"/>
                    <w:ind w:right="57"/>
                    <w:rPr>
                      <w:b/>
                    </w:rPr>
                  </w:pPr>
                  <w:r w:rsidRPr="00F45219">
                    <w:rPr>
                      <w:b/>
                    </w:rPr>
                    <w:t>4224.8</w:t>
                  </w:r>
                </w:p>
              </w:tc>
              <w:tc>
                <w:tcPr>
                  <w:tcW w:w="499" w:type="pct"/>
                  <w:tcBorders>
                    <w:bottom w:val="single" w:sz="6" w:space="0" w:color="BFBFBF"/>
                  </w:tcBorders>
                  <w:vAlign w:val="bottom"/>
                </w:tcPr>
                <w:p w:rsidR="00745FEA" w:rsidRPr="00F45219" w:rsidRDefault="00745FEA" w:rsidP="00745FEA">
                  <w:pPr>
                    <w:pStyle w:val="TableBodyText"/>
                    <w:ind w:right="57"/>
                    <w:rPr>
                      <w:b/>
                    </w:rPr>
                  </w:pPr>
                  <w:r w:rsidRPr="00F45219">
                    <w:rPr>
                      <w:b/>
                    </w:rPr>
                    <w:t>3532.0</w:t>
                  </w:r>
                </w:p>
              </w:tc>
              <w:tc>
                <w:tcPr>
                  <w:tcW w:w="499" w:type="pct"/>
                  <w:tcBorders>
                    <w:bottom w:val="single" w:sz="6" w:space="0" w:color="BFBFBF"/>
                  </w:tcBorders>
                  <w:shd w:val="clear" w:color="auto" w:fill="auto"/>
                  <w:vAlign w:val="bottom"/>
                </w:tcPr>
                <w:p w:rsidR="00745FEA" w:rsidRPr="00F45219" w:rsidRDefault="00745FEA" w:rsidP="00745FEA">
                  <w:pPr>
                    <w:pStyle w:val="TableBodyText"/>
                    <w:ind w:right="57"/>
                    <w:rPr>
                      <w:b/>
                    </w:rPr>
                  </w:pPr>
                  <w:r w:rsidRPr="00F45219">
                    <w:rPr>
                      <w:b/>
                    </w:rPr>
                    <w:t>4269.0</w:t>
                  </w:r>
                </w:p>
              </w:tc>
              <w:tc>
                <w:tcPr>
                  <w:tcW w:w="500" w:type="pct"/>
                  <w:tcBorders>
                    <w:bottom w:val="single" w:sz="6" w:space="0" w:color="BFBFBF"/>
                  </w:tcBorders>
                  <w:shd w:val="clear" w:color="auto" w:fill="auto"/>
                  <w:vAlign w:val="bottom"/>
                </w:tcPr>
                <w:p w:rsidR="00745FEA" w:rsidRPr="00F45219" w:rsidRDefault="00745FEA" w:rsidP="00745FEA">
                  <w:pPr>
                    <w:pStyle w:val="TableBodyText"/>
                    <w:ind w:right="57"/>
                    <w:rPr>
                      <w:b/>
                    </w:rPr>
                  </w:pPr>
                  <w:r w:rsidRPr="00F45219">
                    <w:rPr>
                      <w:b/>
                    </w:rPr>
                    <w:t>7212.2</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w:t>
            </w:r>
            <w:r w:rsidRPr="008405D4">
              <w:t>Unallocated includes budgetary measures where details of beneficiaries are unknown.</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keepNext w:val="0"/>
              <w:spacing w:before="0" w:line="120" w:lineRule="exact"/>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8</w:t>
            </w:r>
            <w:r>
              <w:tab/>
            </w:r>
            <w:r w:rsidRPr="00217AFD">
              <w:t xml:space="preserve">Nominal rate of combined assistance on outputs </w:t>
            </w:r>
            <w:r>
              <w:br/>
            </w:r>
            <w:r w:rsidRPr="00217AFD">
              <w:t>by industry grouping, 20</w:t>
            </w:r>
            <w:r>
              <w:t>11</w:t>
            </w:r>
            <w:r>
              <w:noBreakHyphen/>
              <w:t>12</w:t>
            </w:r>
            <w:r w:rsidRPr="00217AFD">
              <w:t xml:space="preserve"> to 201</w:t>
            </w:r>
            <w:r>
              <w:t>6</w:t>
            </w:r>
            <w:r>
              <w:noBreakHyphen/>
            </w:r>
            <w:r w:rsidRPr="00217AFD">
              <w:t>1</w:t>
            </w:r>
            <w:r>
              <w:t>7</w:t>
            </w:r>
            <w:r w:rsidRPr="009E76C0">
              <w:rPr>
                <w:rStyle w:val="NoteLabel"/>
                <w:b/>
                <w:position w:val="10"/>
              </w:rPr>
              <w:t>a</w:t>
            </w:r>
          </w:p>
          <w:p w:rsidR="00745FEA" w:rsidRPr="00784A05" w:rsidRDefault="0055201A" w:rsidP="00745FEA">
            <w:pPr>
              <w:pStyle w:val="Subtitle"/>
            </w:pPr>
            <w:r>
              <w:t>P</w:t>
            </w:r>
            <w:r w:rsidR="00745FEA">
              <w:t>er cent</w:t>
            </w:r>
          </w:p>
        </w:tc>
      </w:tr>
      <w:tr w:rsidR="00745FEA" w:rsidTr="00745FEA">
        <w:trPr>
          <w:cantSplit/>
        </w:trPr>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404"/>
              <w:gridCol w:w="851"/>
              <w:gridCol w:w="850"/>
              <w:gridCol w:w="850"/>
              <w:gridCol w:w="850"/>
              <w:gridCol w:w="850"/>
              <w:gridCol w:w="849"/>
            </w:tblGrid>
            <w:tr w:rsidR="00745FEA" w:rsidTr="00C719FB">
              <w:trPr>
                <w:tblHeader/>
              </w:trPr>
              <w:tc>
                <w:tcPr>
                  <w:tcW w:w="2001"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spacing w:before="60" w:after="60"/>
                    <w:jc w:val="left"/>
                  </w:pPr>
                  <w:r>
                    <w:t>Industry grouping</w:t>
                  </w:r>
                </w:p>
              </w:tc>
              <w:tc>
                <w:tcPr>
                  <w:tcW w:w="50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50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50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50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500"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9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E83529" w:rsidTr="00745FEA">
              <w:tc>
                <w:tcPr>
                  <w:tcW w:w="2001" w:type="pct"/>
                  <w:tcBorders>
                    <w:top w:val="single" w:sz="6" w:space="0" w:color="BFBFBF"/>
                  </w:tcBorders>
                  <w:vAlign w:val="center"/>
                </w:tcPr>
                <w:p w:rsidR="00745FEA" w:rsidRPr="00E83529" w:rsidRDefault="00745FEA" w:rsidP="00745FEA">
                  <w:pPr>
                    <w:pStyle w:val="TableBodyText"/>
                    <w:jc w:val="left"/>
                    <w:rPr>
                      <w:b/>
                    </w:rPr>
                  </w:pPr>
                  <w:r w:rsidRPr="00E83529">
                    <w:rPr>
                      <w:b/>
                    </w:rPr>
                    <w:t>Primary Production</w:t>
                  </w:r>
                  <w:r w:rsidRPr="009E76C0">
                    <w:rPr>
                      <w:rStyle w:val="NoteLabel"/>
                    </w:rPr>
                    <w:t>b</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0.6</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499"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r>
            <w:tr w:rsidR="00745FEA" w:rsidTr="00745FEA">
              <w:tc>
                <w:tcPr>
                  <w:tcW w:w="2001" w:type="pct"/>
                  <w:vAlign w:val="bottom"/>
                </w:tcPr>
                <w:p w:rsidR="00745FEA" w:rsidRPr="00937824" w:rsidRDefault="00745FEA" w:rsidP="00745FEA">
                  <w:pPr>
                    <w:pStyle w:val="TableBodyText"/>
                    <w:jc w:val="left"/>
                  </w:pPr>
                  <w:r w:rsidRPr="00937824">
                    <w:t>Horticulture and fruit growing</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0.9</w:t>
                  </w:r>
                </w:p>
              </w:tc>
              <w:tc>
                <w:tcPr>
                  <w:tcW w:w="500" w:type="pct"/>
                  <w:vAlign w:val="bottom"/>
                </w:tcPr>
                <w:p w:rsidR="00745FEA" w:rsidRPr="002B3863" w:rsidRDefault="00745FEA" w:rsidP="00745FEA">
                  <w:pPr>
                    <w:pStyle w:val="TableBodyText"/>
                    <w:ind w:right="57"/>
                  </w:pPr>
                  <w:r w:rsidRPr="009746DF">
                    <w:t>0.9</w:t>
                  </w:r>
                </w:p>
              </w:tc>
              <w:tc>
                <w:tcPr>
                  <w:tcW w:w="500" w:type="pct"/>
                  <w:vAlign w:val="bottom"/>
                </w:tcPr>
                <w:p w:rsidR="00745FEA" w:rsidRPr="002B3863" w:rsidRDefault="00745FEA" w:rsidP="00745FEA">
                  <w:pPr>
                    <w:pStyle w:val="TableBodyText"/>
                    <w:ind w:right="57"/>
                  </w:pPr>
                  <w:r w:rsidRPr="009746DF">
                    <w:t>0.9</w:t>
                  </w:r>
                </w:p>
              </w:tc>
              <w:tc>
                <w:tcPr>
                  <w:tcW w:w="500" w:type="pct"/>
                  <w:vAlign w:val="bottom"/>
                </w:tcPr>
                <w:p w:rsidR="00745FEA" w:rsidRPr="002B3863" w:rsidRDefault="00745FEA" w:rsidP="00745FEA">
                  <w:pPr>
                    <w:pStyle w:val="TableBodyText"/>
                    <w:ind w:right="57"/>
                  </w:pPr>
                  <w:r w:rsidRPr="009746DF">
                    <w:t>1.0</w:t>
                  </w:r>
                </w:p>
              </w:tc>
              <w:tc>
                <w:tcPr>
                  <w:tcW w:w="499" w:type="pct"/>
                  <w:vAlign w:val="bottom"/>
                </w:tcPr>
                <w:p w:rsidR="00745FEA" w:rsidRPr="002B3863" w:rsidRDefault="00745FEA" w:rsidP="00745FEA">
                  <w:pPr>
                    <w:pStyle w:val="TableBodyText"/>
                    <w:ind w:right="57"/>
                  </w:pPr>
                  <w:r w:rsidRPr="009746DF">
                    <w:t>1.1</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Sheep, beef cattle and grain farming</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0.7</w:t>
                  </w:r>
                </w:p>
              </w:tc>
              <w:tc>
                <w:tcPr>
                  <w:tcW w:w="500" w:type="pct"/>
                  <w:shd w:val="clear" w:color="auto" w:fill="auto"/>
                  <w:vAlign w:val="bottom"/>
                </w:tcPr>
                <w:p w:rsidR="00745FEA" w:rsidRPr="002B3863" w:rsidRDefault="00745FEA" w:rsidP="00745FEA">
                  <w:pPr>
                    <w:pStyle w:val="TableBodyText"/>
                    <w:ind w:right="57"/>
                  </w:pPr>
                  <w:r w:rsidRPr="009746DF">
                    <w:t>0.7</w:t>
                  </w:r>
                </w:p>
              </w:tc>
              <w:tc>
                <w:tcPr>
                  <w:tcW w:w="499" w:type="pct"/>
                  <w:shd w:val="clear" w:color="auto" w:fill="auto"/>
                  <w:vAlign w:val="bottom"/>
                </w:tcPr>
                <w:p w:rsidR="00745FEA" w:rsidRPr="002B3863" w:rsidRDefault="00745FEA" w:rsidP="00745FEA">
                  <w:pPr>
                    <w:pStyle w:val="TableBodyText"/>
                    <w:ind w:right="57"/>
                  </w:pPr>
                  <w:r w:rsidRPr="009746DF">
                    <w:t>0.7</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Other crop growing</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shd w:val="clear" w:color="auto" w:fill="auto"/>
                  <w:vAlign w:val="bottom"/>
                </w:tcPr>
                <w:p w:rsidR="00745FEA" w:rsidRPr="002B3863" w:rsidRDefault="00745FEA" w:rsidP="00745FEA">
                  <w:pPr>
                    <w:pStyle w:val="TableBodyText"/>
                    <w:ind w:right="57"/>
                  </w:pPr>
                  <w:r w:rsidRPr="009746DF">
                    <w:t>0.0</w:t>
                  </w:r>
                </w:p>
              </w:tc>
              <w:tc>
                <w:tcPr>
                  <w:tcW w:w="499" w:type="pct"/>
                  <w:shd w:val="clear" w:color="auto" w:fill="auto"/>
                  <w:vAlign w:val="bottom"/>
                </w:tcPr>
                <w:p w:rsidR="00745FEA" w:rsidRPr="002B3863" w:rsidRDefault="00745FEA" w:rsidP="00745FEA">
                  <w:pPr>
                    <w:pStyle w:val="TableBodyText"/>
                    <w:ind w:right="57"/>
                  </w:pPr>
                  <w:r w:rsidRPr="009746DF">
                    <w:t>0.0</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Dairy cattle farming</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shd w:val="clear" w:color="auto" w:fill="auto"/>
                  <w:vAlign w:val="bottom"/>
                </w:tcPr>
                <w:p w:rsidR="00745FEA" w:rsidRPr="002B3863" w:rsidRDefault="00745FEA" w:rsidP="00745FEA">
                  <w:pPr>
                    <w:pStyle w:val="TableBodyText"/>
                    <w:ind w:right="57"/>
                  </w:pPr>
                  <w:r w:rsidRPr="009746DF">
                    <w:t>0.0</w:t>
                  </w:r>
                </w:p>
              </w:tc>
              <w:tc>
                <w:tcPr>
                  <w:tcW w:w="499" w:type="pct"/>
                  <w:shd w:val="clear" w:color="auto" w:fill="auto"/>
                  <w:vAlign w:val="bottom"/>
                </w:tcPr>
                <w:p w:rsidR="00745FEA" w:rsidRPr="002B3863" w:rsidRDefault="00745FEA" w:rsidP="00745FEA">
                  <w:pPr>
                    <w:pStyle w:val="TableBodyText"/>
                    <w:ind w:right="57"/>
                  </w:pPr>
                  <w:r w:rsidRPr="009746DF">
                    <w:t>0.0</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Other livestock farming</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vAlign w:val="bottom"/>
                </w:tcPr>
                <w:p w:rsidR="00745FEA" w:rsidRPr="002B3863" w:rsidRDefault="00745FEA" w:rsidP="00745FEA">
                  <w:pPr>
                    <w:pStyle w:val="TableBodyText"/>
                    <w:ind w:right="57"/>
                  </w:pPr>
                  <w:r w:rsidRPr="009746DF">
                    <w:t>0.0</w:t>
                  </w:r>
                </w:p>
              </w:tc>
              <w:tc>
                <w:tcPr>
                  <w:tcW w:w="500" w:type="pct"/>
                  <w:shd w:val="clear" w:color="auto" w:fill="auto"/>
                  <w:vAlign w:val="bottom"/>
                </w:tcPr>
                <w:p w:rsidR="00745FEA" w:rsidRPr="002B3863" w:rsidRDefault="00745FEA" w:rsidP="00745FEA">
                  <w:pPr>
                    <w:pStyle w:val="TableBodyText"/>
                    <w:ind w:right="57"/>
                  </w:pPr>
                  <w:r w:rsidRPr="009746DF">
                    <w:t>0.0</w:t>
                  </w:r>
                </w:p>
              </w:tc>
              <w:tc>
                <w:tcPr>
                  <w:tcW w:w="499" w:type="pct"/>
                  <w:shd w:val="clear" w:color="auto" w:fill="auto"/>
                  <w:vAlign w:val="bottom"/>
                </w:tcPr>
                <w:p w:rsidR="00745FEA" w:rsidRPr="002B3863" w:rsidRDefault="00745FEA" w:rsidP="00745FEA">
                  <w:pPr>
                    <w:pStyle w:val="TableBodyText"/>
                    <w:ind w:right="57"/>
                  </w:pPr>
                  <w:r w:rsidRPr="009746DF">
                    <w:t>0.0</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Aquaculture and fishing</w:t>
                  </w:r>
                </w:p>
              </w:tc>
              <w:tc>
                <w:tcPr>
                  <w:tcW w:w="500" w:type="pct"/>
                  <w:vAlign w:val="bottom"/>
                </w:tcPr>
                <w:p w:rsidR="00745FEA" w:rsidRPr="002B3863" w:rsidRDefault="00745FEA" w:rsidP="00745FEA">
                  <w:pPr>
                    <w:pStyle w:val="TableBodyText"/>
                    <w:ind w:right="57"/>
                  </w:pPr>
                  <w:r w:rsidRPr="009746DF">
                    <w:t>0.2</w:t>
                  </w:r>
                </w:p>
              </w:tc>
              <w:tc>
                <w:tcPr>
                  <w:tcW w:w="500" w:type="pct"/>
                  <w:vAlign w:val="bottom"/>
                </w:tcPr>
                <w:p w:rsidR="00745FEA" w:rsidRPr="002B3863" w:rsidRDefault="00745FEA" w:rsidP="00745FEA">
                  <w:pPr>
                    <w:pStyle w:val="TableBodyText"/>
                    <w:ind w:right="57"/>
                  </w:pPr>
                  <w:r w:rsidRPr="009746DF">
                    <w:t>0.2</w:t>
                  </w:r>
                </w:p>
              </w:tc>
              <w:tc>
                <w:tcPr>
                  <w:tcW w:w="500" w:type="pct"/>
                  <w:vAlign w:val="bottom"/>
                </w:tcPr>
                <w:p w:rsidR="00745FEA" w:rsidRPr="002B3863" w:rsidRDefault="00745FEA" w:rsidP="00745FEA">
                  <w:pPr>
                    <w:pStyle w:val="TableBodyText"/>
                    <w:ind w:right="57"/>
                  </w:pPr>
                  <w:r w:rsidRPr="009746DF">
                    <w:t>0.2</w:t>
                  </w:r>
                </w:p>
              </w:tc>
              <w:tc>
                <w:tcPr>
                  <w:tcW w:w="500" w:type="pct"/>
                  <w:vAlign w:val="bottom"/>
                </w:tcPr>
                <w:p w:rsidR="00745FEA" w:rsidRPr="002B3863" w:rsidRDefault="00745FEA" w:rsidP="00745FEA">
                  <w:pPr>
                    <w:pStyle w:val="TableBodyText"/>
                    <w:ind w:right="57"/>
                  </w:pPr>
                  <w:r w:rsidRPr="009746DF">
                    <w:t>0.2</w:t>
                  </w:r>
                </w:p>
              </w:tc>
              <w:tc>
                <w:tcPr>
                  <w:tcW w:w="500" w:type="pct"/>
                  <w:shd w:val="clear" w:color="auto" w:fill="auto"/>
                  <w:vAlign w:val="bottom"/>
                </w:tcPr>
                <w:p w:rsidR="00745FEA" w:rsidRPr="002B3863" w:rsidRDefault="00745FEA" w:rsidP="00745FEA">
                  <w:pPr>
                    <w:pStyle w:val="TableBodyText"/>
                    <w:ind w:right="57"/>
                  </w:pPr>
                  <w:r w:rsidRPr="009746DF">
                    <w:t>0.2</w:t>
                  </w:r>
                </w:p>
              </w:tc>
              <w:tc>
                <w:tcPr>
                  <w:tcW w:w="499" w:type="pct"/>
                  <w:shd w:val="clear" w:color="auto" w:fill="auto"/>
                  <w:vAlign w:val="bottom"/>
                </w:tcPr>
                <w:p w:rsidR="00745FEA" w:rsidRPr="002B3863" w:rsidRDefault="00745FEA" w:rsidP="00745FEA">
                  <w:pPr>
                    <w:pStyle w:val="TableBodyText"/>
                    <w:ind w:right="57"/>
                  </w:pPr>
                  <w:r w:rsidRPr="009746DF">
                    <w:t>0.2</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Forestry and logging</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0.7</w:t>
                  </w:r>
                </w:p>
              </w:tc>
              <w:tc>
                <w:tcPr>
                  <w:tcW w:w="500" w:type="pct"/>
                  <w:vAlign w:val="bottom"/>
                </w:tcPr>
                <w:p w:rsidR="00745FEA" w:rsidRPr="002B3863" w:rsidRDefault="00745FEA" w:rsidP="00745FEA">
                  <w:pPr>
                    <w:pStyle w:val="TableBodyText"/>
                    <w:ind w:right="57"/>
                  </w:pPr>
                  <w:r w:rsidRPr="009746DF">
                    <w:t>0.7</w:t>
                  </w:r>
                </w:p>
              </w:tc>
              <w:tc>
                <w:tcPr>
                  <w:tcW w:w="500" w:type="pct"/>
                  <w:shd w:val="clear" w:color="auto" w:fill="auto"/>
                  <w:vAlign w:val="bottom"/>
                </w:tcPr>
                <w:p w:rsidR="00745FEA" w:rsidRPr="002B3863" w:rsidRDefault="00745FEA" w:rsidP="00745FEA">
                  <w:pPr>
                    <w:pStyle w:val="TableBodyText"/>
                    <w:ind w:right="57"/>
                  </w:pPr>
                  <w:r w:rsidRPr="009746DF">
                    <w:t>0.7</w:t>
                  </w:r>
                </w:p>
              </w:tc>
              <w:tc>
                <w:tcPr>
                  <w:tcW w:w="499" w:type="pct"/>
                  <w:shd w:val="clear" w:color="auto" w:fill="auto"/>
                  <w:vAlign w:val="bottom"/>
                </w:tcPr>
                <w:p w:rsidR="00745FEA" w:rsidRPr="002B3863" w:rsidRDefault="00745FEA" w:rsidP="00745FEA">
                  <w:pPr>
                    <w:pStyle w:val="TableBodyText"/>
                    <w:ind w:right="57"/>
                  </w:pPr>
                  <w:r w:rsidRPr="009746DF">
                    <w:t>0.7</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Primary production support services</w:t>
                  </w:r>
                </w:p>
              </w:tc>
              <w:tc>
                <w:tcPr>
                  <w:tcW w:w="500" w:type="pct"/>
                  <w:vAlign w:val="bottom"/>
                </w:tcPr>
                <w:p w:rsidR="00745FEA" w:rsidRPr="002B3863" w:rsidRDefault="00745FEA" w:rsidP="00745FEA">
                  <w:pPr>
                    <w:pStyle w:val="TableBodyText"/>
                    <w:ind w:right="57"/>
                  </w:pPr>
                  <w:r w:rsidRPr="009746DF">
                    <w:t>0.2</w:t>
                  </w:r>
                </w:p>
              </w:tc>
              <w:tc>
                <w:tcPr>
                  <w:tcW w:w="500" w:type="pct"/>
                  <w:vAlign w:val="bottom"/>
                </w:tcPr>
                <w:p w:rsidR="00745FEA" w:rsidRPr="002B3863" w:rsidRDefault="00745FEA" w:rsidP="00745FEA">
                  <w:pPr>
                    <w:pStyle w:val="TableBodyText"/>
                    <w:ind w:right="57"/>
                  </w:pPr>
                  <w:r w:rsidRPr="009746DF">
                    <w:t>0.2</w:t>
                  </w:r>
                </w:p>
              </w:tc>
              <w:tc>
                <w:tcPr>
                  <w:tcW w:w="500" w:type="pct"/>
                  <w:vAlign w:val="bottom"/>
                </w:tcPr>
                <w:p w:rsidR="00745FEA" w:rsidRPr="002B3863" w:rsidRDefault="00745FEA" w:rsidP="00745FEA">
                  <w:pPr>
                    <w:pStyle w:val="TableBodyText"/>
                    <w:ind w:right="57"/>
                  </w:pPr>
                  <w:r w:rsidRPr="009746DF">
                    <w:t>0.2</w:t>
                  </w:r>
                </w:p>
              </w:tc>
              <w:tc>
                <w:tcPr>
                  <w:tcW w:w="500" w:type="pct"/>
                  <w:vAlign w:val="bottom"/>
                </w:tcPr>
                <w:p w:rsidR="00745FEA" w:rsidRPr="002B3863" w:rsidRDefault="00745FEA" w:rsidP="00745FEA">
                  <w:pPr>
                    <w:pStyle w:val="TableBodyText"/>
                    <w:ind w:right="57"/>
                  </w:pPr>
                  <w:r w:rsidRPr="009746DF">
                    <w:t>0.2</w:t>
                  </w:r>
                </w:p>
              </w:tc>
              <w:tc>
                <w:tcPr>
                  <w:tcW w:w="500" w:type="pct"/>
                  <w:shd w:val="clear" w:color="auto" w:fill="auto"/>
                  <w:vAlign w:val="bottom"/>
                </w:tcPr>
                <w:p w:rsidR="00745FEA" w:rsidRPr="002B3863" w:rsidRDefault="00745FEA" w:rsidP="00745FEA">
                  <w:pPr>
                    <w:pStyle w:val="TableBodyText"/>
                    <w:ind w:right="57"/>
                  </w:pPr>
                  <w:r w:rsidRPr="009746DF">
                    <w:t>0.2</w:t>
                  </w:r>
                </w:p>
              </w:tc>
              <w:tc>
                <w:tcPr>
                  <w:tcW w:w="499" w:type="pct"/>
                  <w:shd w:val="clear" w:color="auto" w:fill="auto"/>
                  <w:vAlign w:val="bottom"/>
                </w:tcPr>
                <w:p w:rsidR="00745FEA" w:rsidRPr="002B3863" w:rsidRDefault="00745FEA" w:rsidP="00745FEA">
                  <w:pPr>
                    <w:pStyle w:val="TableBodyText"/>
                    <w:ind w:right="57"/>
                  </w:pPr>
                  <w:r w:rsidRPr="009746DF">
                    <w:t>0.2</w:t>
                  </w:r>
                </w:p>
              </w:tc>
            </w:tr>
            <w:tr w:rsidR="00745FEA" w:rsidRPr="00E83529" w:rsidTr="00745FEA">
              <w:tc>
                <w:tcPr>
                  <w:tcW w:w="2001" w:type="pct"/>
                  <w:shd w:val="clear" w:color="auto" w:fill="auto"/>
                  <w:vAlign w:val="bottom"/>
                </w:tcPr>
                <w:p w:rsidR="00745FEA" w:rsidRPr="00E83529" w:rsidRDefault="00745FEA" w:rsidP="00745FEA">
                  <w:pPr>
                    <w:pStyle w:val="TableBodyText"/>
                    <w:jc w:val="left"/>
                    <w:rPr>
                      <w:b/>
                    </w:rPr>
                  </w:pPr>
                  <w:r w:rsidRPr="00E83529">
                    <w:rPr>
                      <w:b/>
                    </w:rPr>
                    <w:t>Mining</w:t>
                  </w:r>
                </w:p>
              </w:tc>
              <w:tc>
                <w:tcPr>
                  <w:tcW w:w="500" w:type="pct"/>
                  <w:vAlign w:val="bottom"/>
                </w:tcPr>
                <w:p w:rsidR="00745FEA" w:rsidRPr="00E83529" w:rsidRDefault="00745FEA" w:rsidP="00745FEA">
                  <w:pPr>
                    <w:pStyle w:val="TableBodyText"/>
                    <w:ind w:right="57"/>
                    <w:rPr>
                      <w:b/>
                    </w:rPr>
                  </w:pPr>
                  <w:r w:rsidRPr="00E83529">
                    <w:rPr>
                      <w:b/>
                    </w:rPr>
                    <w:t>0.0</w:t>
                  </w:r>
                </w:p>
              </w:tc>
              <w:tc>
                <w:tcPr>
                  <w:tcW w:w="500" w:type="pct"/>
                  <w:vAlign w:val="bottom"/>
                </w:tcPr>
                <w:p w:rsidR="00745FEA" w:rsidRPr="00E83529" w:rsidRDefault="00745FEA" w:rsidP="00745FEA">
                  <w:pPr>
                    <w:pStyle w:val="TableBodyText"/>
                    <w:ind w:right="57"/>
                    <w:rPr>
                      <w:b/>
                    </w:rPr>
                  </w:pPr>
                  <w:r w:rsidRPr="00E83529">
                    <w:rPr>
                      <w:b/>
                    </w:rPr>
                    <w:t>0.0</w:t>
                  </w:r>
                </w:p>
              </w:tc>
              <w:tc>
                <w:tcPr>
                  <w:tcW w:w="500" w:type="pct"/>
                  <w:vAlign w:val="bottom"/>
                </w:tcPr>
                <w:p w:rsidR="00745FEA" w:rsidRPr="00E83529" w:rsidRDefault="00745FEA" w:rsidP="00745FEA">
                  <w:pPr>
                    <w:pStyle w:val="TableBodyText"/>
                    <w:ind w:right="57"/>
                    <w:rPr>
                      <w:b/>
                    </w:rPr>
                  </w:pPr>
                  <w:r w:rsidRPr="00E83529">
                    <w:rPr>
                      <w:b/>
                    </w:rPr>
                    <w:t>0.0</w:t>
                  </w:r>
                </w:p>
              </w:tc>
              <w:tc>
                <w:tcPr>
                  <w:tcW w:w="500" w:type="pct"/>
                  <w:vAlign w:val="bottom"/>
                </w:tcPr>
                <w:p w:rsidR="00745FEA" w:rsidRPr="00E83529" w:rsidRDefault="00745FEA" w:rsidP="00745FEA">
                  <w:pPr>
                    <w:pStyle w:val="TableBodyText"/>
                    <w:ind w:right="57"/>
                    <w:rPr>
                      <w:b/>
                    </w:rPr>
                  </w:pPr>
                  <w:r w:rsidRPr="00E83529">
                    <w:rPr>
                      <w:b/>
                    </w:rPr>
                    <w:t>0.0</w:t>
                  </w:r>
                </w:p>
              </w:tc>
              <w:tc>
                <w:tcPr>
                  <w:tcW w:w="500" w:type="pct"/>
                  <w:shd w:val="clear" w:color="auto" w:fill="auto"/>
                  <w:vAlign w:val="bottom"/>
                </w:tcPr>
                <w:p w:rsidR="00745FEA" w:rsidRPr="00E83529" w:rsidRDefault="00745FEA" w:rsidP="00745FEA">
                  <w:pPr>
                    <w:pStyle w:val="TableBodyText"/>
                    <w:ind w:right="57"/>
                    <w:rPr>
                      <w:b/>
                    </w:rPr>
                  </w:pPr>
                  <w:r w:rsidRPr="00E83529">
                    <w:rPr>
                      <w:b/>
                    </w:rPr>
                    <w:t>0.0</w:t>
                  </w:r>
                </w:p>
              </w:tc>
              <w:tc>
                <w:tcPr>
                  <w:tcW w:w="499" w:type="pct"/>
                  <w:shd w:val="clear" w:color="auto" w:fill="auto"/>
                  <w:vAlign w:val="bottom"/>
                </w:tcPr>
                <w:p w:rsidR="00745FEA" w:rsidRPr="00E83529" w:rsidRDefault="00745FEA" w:rsidP="00745FEA">
                  <w:pPr>
                    <w:pStyle w:val="TableBodyText"/>
                    <w:ind w:right="57"/>
                    <w:rPr>
                      <w:b/>
                    </w:rPr>
                  </w:pPr>
                  <w:r w:rsidRPr="00E83529">
                    <w:rPr>
                      <w:b/>
                    </w:rPr>
                    <w:t>0.0</w:t>
                  </w:r>
                </w:p>
              </w:tc>
            </w:tr>
            <w:tr w:rsidR="00745FEA" w:rsidRPr="00E83529" w:rsidTr="00745FEA">
              <w:tc>
                <w:tcPr>
                  <w:tcW w:w="2001" w:type="pct"/>
                  <w:shd w:val="clear" w:color="auto" w:fill="auto"/>
                  <w:vAlign w:val="bottom"/>
                </w:tcPr>
                <w:p w:rsidR="00745FEA" w:rsidRPr="00E83529" w:rsidRDefault="00745FEA" w:rsidP="00745FEA">
                  <w:pPr>
                    <w:pStyle w:val="TableBodyText"/>
                    <w:jc w:val="left"/>
                    <w:rPr>
                      <w:b/>
                    </w:rPr>
                  </w:pPr>
                  <w:r w:rsidRPr="00E83529">
                    <w:rPr>
                      <w:b/>
                    </w:rPr>
                    <w:t>Manufacturing</w:t>
                  </w:r>
                  <w:r w:rsidRPr="009E76C0">
                    <w:rPr>
                      <w:rStyle w:val="NoteLabel"/>
                    </w:rPr>
                    <w:t>b</w:t>
                  </w:r>
                </w:p>
              </w:tc>
              <w:tc>
                <w:tcPr>
                  <w:tcW w:w="500" w:type="pct"/>
                  <w:vAlign w:val="bottom"/>
                </w:tcPr>
                <w:p w:rsidR="00745FEA" w:rsidRPr="00E83529" w:rsidRDefault="00745FEA" w:rsidP="00745FEA">
                  <w:pPr>
                    <w:pStyle w:val="TableBodyText"/>
                    <w:ind w:right="57"/>
                    <w:rPr>
                      <w:b/>
                    </w:rPr>
                  </w:pPr>
                  <w:r w:rsidRPr="00E83529">
                    <w:rPr>
                      <w:b/>
                    </w:rPr>
                    <w:t>2.0</w:t>
                  </w:r>
                </w:p>
              </w:tc>
              <w:tc>
                <w:tcPr>
                  <w:tcW w:w="500" w:type="pct"/>
                  <w:vAlign w:val="bottom"/>
                </w:tcPr>
                <w:p w:rsidR="00745FEA" w:rsidRPr="00E83529" w:rsidRDefault="00745FEA" w:rsidP="00745FEA">
                  <w:pPr>
                    <w:pStyle w:val="TableBodyText"/>
                    <w:ind w:right="57"/>
                    <w:rPr>
                      <w:b/>
                    </w:rPr>
                  </w:pPr>
                  <w:r w:rsidRPr="00E83529">
                    <w:rPr>
                      <w:b/>
                    </w:rPr>
                    <w:t>2.1</w:t>
                  </w:r>
                </w:p>
              </w:tc>
              <w:tc>
                <w:tcPr>
                  <w:tcW w:w="500" w:type="pct"/>
                  <w:vAlign w:val="bottom"/>
                </w:tcPr>
                <w:p w:rsidR="00745FEA" w:rsidRPr="00E83529" w:rsidRDefault="00745FEA" w:rsidP="00745FEA">
                  <w:pPr>
                    <w:pStyle w:val="TableBodyText"/>
                    <w:ind w:right="57"/>
                    <w:rPr>
                      <w:b/>
                    </w:rPr>
                  </w:pPr>
                  <w:r w:rsidRPr="00E83529">
                    <w:rPr>
                      <w:b/>
                    </w:rPr>
                    <w:t>2.0</w:t>
                  </w:r>
                </w:p>
              </w:tc>
              <w:tc>
                <w:tcPr>
                  <w:tcW w:w="500" w:type="pct"/>
                  <w:vAlign w:val="bottom"/>
                </w:tcPr>
                <w:p w:rsidR="00745FEA" w:rsidRPr="00E83529" w:rsidRDefault="00745FEA" w:rsidP="00745FEA">
                  <w:pPr>
                    <w:pStyle w:val="TableBodyText"/>
                    <w:ind w:right="57"/>
                    <w:rPr>
                      <w:b/>
                    </w:rPr>
                  </w:pPr>
                  <w:r w:rsidRPr="00E83529">
                    <w:rPr>
                      <w:b/>
                    </w:rPr>
                    <w:t>2.0</w:t>
                  </w:r>
                </w:p>
              </w:tc>
              <w:tc>
                <w:tcPr>
                  <w:tcW w:w="500" w:type="pct"/>
                  <w:shd w:val="clear" w:color="auto" w:fill="auto"/>
                  <w:vAlign w:val="bottom"/>
                </w:tcPr>
                <w:p w:rsidR="00745FEA" w:rsidRPr="00E83529" w:rsidRDefault="00745FEA" w:rsidP="00745FEA">
                  <w:pPr>
                    <w:pStyle w:val="TableBodyText"/>
                    <w:ind w:right="57"/>
                    <w:rPr>
                      <w:b/>
                    </w:rPr>
                  </w:pPr>
                  <w:r w:rsidRPr="00E83529">
                    <w:rPr>
                      <w:b/>
                    </w:rPr>
                    <w:t>1.9</w:t>
                  </w:r>
                </w:p>
              </w:tc>
              <w:tc>
                <w:tcPr>
                  <w:tcW w:w="499" w:type="pct"/>
                  <w:shd w:val="clear" w:color="auto" w:fill="auto"/>
                  <w:vAlign w:val="bottom"/>
                </w:tcPr>
                <w:p w:rsidR="00745FEA" w:rsidRPr="00E83529" w:rsidRDefault="00745FEA" w:rsidP="00745FEA">
                  <w:pPr>
                    <w:pStyle w:val="TableBodyText"/>
                    <w:ind w:right="57"/>
                    <w:rPr>
                      <w:b/>
                    </w:rPr>
                  </w:pPr>
                  <w:r w:rsidRPr="00E83529">
                    <w:rPr>
                      <w:b/>
                    </w:rPr>
                    <w:t>1.9</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Food, beverages and tobacco</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2.2</w:t>
                  </w:r>
                </w:p>
              </w:tc>
              <w:tc>
                <w:tcPr>
                  <w:tcW w:w="500" w:type="pct"/>
                  <w:shd w:val="clear" w:color="auto" w:fill="auto"/>
                  <w:vAlign w:val="bottom"/>
                </w:tcPr>
                <w:p w:rsidR="00745FEA" w:rsidRPr="002B3863" w:rsidRDefault="00745FEA" w:rsidP="00745FEA">
                  <w:pPr>
                    <w:pStyle w:val="TableBodyText"/>
                    <w:ind w:right="57"/>
                  </w:pPr>
                  <w:r w:rsidRPr="009746DF">
                    <w:t>2.2</w:t>
                  </w:r>
                </w:p>
              </w:tc>
              <w:tc>
                <w:tcPr>
                  <w:tcW w:w="499" w:type="pct"/>
                  <w:shd w:val="clear" w:color="auto" w:fill="auto"/>
                  <w:vAlign w:val="bottom"/>
                </w:tcPr>
                <w:p w:rsidR="00745FEA" w:rsidRPr="002B3863" w:rsidRDefault="00745FEA" w:rsidP="00745FEA">
                  <w:pPr>
                    <w:pStyle w:val="TableBodyText"/>
                    <w:ind w:right="57"/>
                  </w:pPr>
                  <w:r w:rsidRPr="009746DF">
                    <w:t>2.2</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Textile</w:t>
                  </w:r>
                  <w:r>
                    <w:t>s</w:t>
                  </w:r>
                  <w:r w:rsidRPr="00937824">
                    <w:t>, leather, clothing and footwear</w:t>
                  </w:r>
                </w:p>
              </w:tc>
              <w:tc>
                <w:tcPr>
                  <w:tcW w:w="500" w:type="pct"/>
                  <w:vAlign w:val="bottom"/>
                </w:tcPr>
                <w:p w:rsidR="00745FEA" w:rsidRPr="002B3863" w:rsidRDefault="00745FEA" w:rsidP="00745FEA">
                  <w:pPr>
                    <w:pStyle w:val="TableBodyText"/>
                    <w:ind w:right="57"/>
                  </w:pPr>
                  <w:r w:rsidRPr="009746DF">
                    <w:t>2.9</w:t>
                  </w:r>
                </w:p>
              </w:tc>
              <w:tc>
                <w:tcPr>
                  <w:tcW w:w="500" w:type="pct"/>
                  <w:vAlign w:val="bottom"/>
                </w:tcPr>
                <w:p w:rsidR="00745FEA" w:rsidRPr="002B3863" w:rsidRDefault="00745FEA" w:rsidP="00745FEA">
                  <w:pPr>
                    <w:pStyle w:val="TableBodyText"/>
                    <w:ind w:right="57"/>
                  </w:pPr>
                  <w:r w:rsidRPr="009746DF">
                    <w:t>2.9</w:t>
                  </w:r>
                </w:p>
              </w:tc>
              <w:tc>
                <w:tcPr>
                  <w:tcW w:w="500" w:type="pct"/>
                  <w:vAlign w:val="bottom"/>
                </w:tcPr>
                <w:p w:rsidR="00745FEA" w:rsidRPr="002B3863" w:rsidRDefault="00745FEA" w:rsidP="00745FEA">
                  <w:pPr>
                    <w:pStyle w:val="TableBodyText"/>
                    <w:ind w:right="57"/>
                  </w:pPr>
                  <w:r w:rsidRPr="009746DF">
                    <w:t>2.9</w:t>
                  </w:r>
                </w:p>
              </w:tc>
              <w:tc>
                <w:tcPr>
                  <w:tcW w:w="500" w:type="pct"/>
                  <w:vAlign w:val="bottom"/>
                </w:tcPr>
                <w:p w:rsidR="00745FEA" w:rsidRPr="002B3863" w:rsidRDefault="00745FEA" w:rsidP="00745FEA">
                  <w:pPr>
                    <w:pStyle w:val="TableBodyText"/>
                    <w:ind w:right="57"/>
                  </w:pPr>
                  <w:r w:rsidRPr="009746DF">
                    <w:t>2.5</w:t>
                  </w:r>
                </w:p>
              </w:tc>
              <w:tc>
                <w:tcPr>
                  <w:tcW w:w="500" w:type="pct"/>
                  <w:shd w:val="clear" w:color="auto" w:fill="auto"/>
                  <w:vAlign w:val="bottom"/>
                </w:tcPr>
                <w:p w:rsidR="00745FEA" w:rsidRPr="002B3863" w:rsidRDefault="00745FEA" w:rsidP="00745FEA">
                  <w:pPr>
                    <w:pStyle w:val="TableBodyText"/>
                    <w:ind w:right="57"/>
                  </w:pPr>
                  <w:r w:rsidRPr="009746DF">
                    <w:t>2.2</w:t>
                  </w:r>
                </w:p>
              </w:tc>
              <w:tc>
                <w:tcPr>
                  <w:tcW w:w="499" w:type="pct"/>
                  <w:shd w:val="clear" w:color="auto" w:fill="auto"/>
                  <w:vAlign w:val="bottom"/>
                </w:tcPr>
                <w:p w:rsidR="00745FEA" w:rsidRPr="002B3863" w:rsidRDefault="00745FEA" w:rsidP="00745FEA">
                  <w:pPr>
                    <w:pStyle w:val="TableBodyText"/>
                    <w:ind w:right="57"/>
                  </w:pPr>
                  <w:r w:rsidRPr="009746DF">
                    <w:t>2.2</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Wood and paper products</w:t>
                  </w:r>
                </w:p>
              </w:tc>
              <w:tc>
                <w:tcPr>
                  <w:tcW w:w="500" w:type="pct"/>
                  <w:vAlign w:val="bottom"/>
                </w:tcPr>
                <w:p w:rsidR="00745FEA" w:rsidRPr="002B3863" w:rsidRDefault="00745FEA" w:rsidP="00745FEA">
                  <w:pPr>
                    <w:pStyle w:val="TableBodyText"/>
                    <w:ind w:right="57"/>
                  </w:pPr>
                  <w:r w:rsidRPr="009746DF">
                    <w:t>3.7</w:t>
                  </w:r>
                </w:p>
              </w:tc>
              <w:tc>
                <w:tcPr>
                  <w:tcW w:w="500" w:type="pct"/>
                  <w:vAlign w:val="bottom"/>
                </w:tcPr>
                <w:p w:rsidR="00745FEA" w:rsidRPr="002B3863" w:rsidRDefault="00745FEA" w:rsidP="00745FEA">
                  <w:pPr>
                    <w:pStyle w:val="TableBodyText"/>
                    <w:ind w:right="57"/>
                  </w:pPr>
                  <w:r w:rsidRPr="009746DF">
                    <w:t>3.7</w:t>
                  </w:r>
                </w:p>
              </w:tc>
              <w:tc>
                <w:tcPr>
                  <w:tcW w:w="500" w:type="pct"/>
                  <w:vAlign w:val="bottom"/>
                </w:tcPr>
                <w:p w:rsidR="00745FEA" w:rsidRPr="002B3863" w:rsidRDefault="00745FEA" w:rsidP="00745FEA">
                  <w:pPr>
                    <w:pStyle w:val="TableBodyText"/>
                    <w:ind w:right="57"/>
                  </w:pPr>
                  <w:r w:rsidRPr="009746DF">
                    <w:t>3.7</w:t>
                  </w:r>
                </w:p>
              </w:tc>
              <w:tc>
                <w:tcPr>
                  <w:tcW w:w="500" w:type="pct"/>
                  <w:vAlign w:val="bottom"/>
                </w:tcPr>
                <w:p w:rsidR="00745FEA" w:rsidRPr="002B3863" w:rsidRDefault="00745FEA" w:rsidP="00745FEA">
                  <w:pPr>
                    <w:pStyle w:val="TableBodyText"/>
                    <w:ind w:right="57"/>
                  </w:pPr>
                  <w:r w:rsidRPr="009746DF">
                    <w:t>3.7</w:t>
                  </w:r>
                </w:p>
              </w:tc>
              <w:tc>
                <w:tcPr>
                  <w:tcW w:w="500" w:type="pct"/>
                  <w:shd w:val="clear" w:color="auto" w:fill="auto"/>
                  <w:vAlign w:val="bottom"/>
                </w:tcPr>
                <w:p w:rsidR="00745FEA" w:rsidRPr="002B3863" w:rsidRDefault="00745FEA" w:rsidP="00745FEA">
                  <w:pPr>
                    <w:pStyle w:val="TableBodyText"/>
                    <w:ind w:right="57"/>
                  </w:pPr>
                  <w:r w:rsidRPr="009746DF">
                    <w:t>3.7</w:t>
                  </w:r>
                </w:p>
              </w:tc>
              <w:tc>
                <w:tcPr>
                  <w:tcW w:w="499" w:type="pct"/>
                  <w:shd w:val="clear" w:color="auto" w:fill="auto"/>
                  <w:vAlign w:val="bottom"/>
                </w:tcPr>
                <w:p w:rsidR="00745FEA" w:rsidRPr="002B3863" w:rsidRDefault="00745FEA" w:rsidP="00745FEA">
                  <w:pPr>
                    <w:pStyle w:val="TableBodyText"/>
                    <w:ind w:right="57"/>
                  </w:pPr>
                  <w:r w:rsidRPr="009746DF">
                    <w:t>3.7</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Printing and recorded media</w:t>
                  </w:r>
                </w:p>
              </w:tc>
              <w:tc>
                <w:tcPr>
                  <w:tcW w:w="500" w:type="pct"/>
                  <w:vAlign w:val="bottom"/>
                </w:tcPr>
                <w:p w:rsidR="00745FEA" w:rsidRPr="002B3863" w:rsidRDefault="00745FEA" w:rsidP="00745FEA">
                  <w:pPr>
                    <w:pStyle w:val="TableBodyText"/>
                    <w:ind w:right="57"/>
                  </w:pPr>
                  <w:r w:rsidRPr="009746DF">
                    <w:t>1.8</w:t>
                  </w:r>
                </w:p>
              </w:tc>
              <w:tc>
                <w:tcPr>
                  <w:tcW w:w="500" w:type="pct"/>
                  <w:vAlign w:val="bottom"/>
                </w:tcPr>
                <w:p w:rsidR="00745FEA" w:rsidRPr="002B3863" w:rsidRDefault="00745FEA" w:rsidP="00745FEA">
                  <w:pPr>
                    <w:pStyle w:val="TableBodyText"/>
                    <w:ind w:right="57"/>
                  </w:pPr>
                  <w:r w:rsidRPr="009746DF">
                    <w:t>1.8</w:t>
                  </w:r>
                </w:p>
              </w:tc>
              <w:tc>
                <w:tcPr>
                  <w:tcW w:w="500" w:type="pct"/>
                  <w:vAlign w:val="bottom"/>
                </w:tcPr>
                <w:p w:rsidR="00745FEA" w:rsidRPr="002B3863" w:rsidRDefault="00745FEA" w:rsidP="00745FEA">
                  <w:pPr>
                    <w:pStyle w:val="TableBodyText"/>
                    <w:ind w:right="57"/>
                  </w:pPr>
                  <w:r w:rsidRPr="009746DF">
                    <w:t>1.8</w:t>
                  </w:r>
                </w:p>
              </w:tc>
              <w:tc>
                <w:tcPr>
                  <w:tcW w:w="500" w:type="pct"/>
                  <w:vAlign w:val="bottom"/>
                </w:tcPr>
                <w:p w:rsidR="00745FEA" w:rsidRPr="002B3863" w:rsidRDefault="00745FEA" w:rsidP="00745FEA">
                  <w:pPr>
                    <w:pStyle w:val="TableBodyText"/>
                    <w:ind w:right="57"/>
                  </w:pPr>
                  <w:r w:rsidRPr="009746DF">
                    <w:t>1.8</w:t>
                  </w:r>
                </w:p>
              </w:tc>
              <w:tc>
                <w:tcPr>
                  <w:tcW w:w="500" w:type="pct"/>
                  <w:shd w:val="clear" w:color="auto" w:fill="auto"/>
                  <w:vAlign w:val="bottom"/>
                </w:tcPr>
                <w:p w:rsidR="00745FEA" w:rsidRPr="002B3863" w:rsidRDefault="00745FEA" w:rsidP="00745FEA">
                  <w:pPr>
                    <w:pStyle w:val="TableBodyText"/>
                    <w:ind w:right="57"/>
                  </w:pPr>
                  <w:r w:rsidRPr="009746DF">
                    <w:t>1.8</w:t>
                  </w:r>
                </w:p>
              </w:tc>
              <w:tc>
                <w:tcPr>
                  <w:tcW w:w="499" w:type="pct"/>
                  <w:shd w:val="clear" w:color="auto" w:fill="auto"/>
                  <w:vAlign w:val="bottom"/>
                </w:tcPr>
                <w:p w:rsidR="00745FEA" w:rsidRPr="002B3863" w:rsidRDefault="00745FEA" w:rsidP="00745FEA">
                  <w:pPr>
                    <w:pStyle w:val="TableBodyText"/>
                    <w:ind w:right="57"/>
                  </w:pPr>
                  <w:r w:rsidRPr="009746DF">
                    <w:t>1.8</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Petroleum, coal, chemical and rubber</w:t>
                  </w:r>
                </w:p>
              </w:tc>
              <w:tc>
                <w:tcPr>
                  <w:tcW w:w="500" w:type="pct"/>
                  <w:vAlign w:val="bottom"/>
                </w:tcPr>
                <w:p w:rsidR="00745FEA" w:rsidRPr="002B3863" w:rsidRDefault="00745FEA" w:rsidP="00745FEA">
                  <w:pPr>
                    <w:pStyle w:val="TableBodyText"/>
                    <w:ind w:right="57"/>
                  </w:pPr>
                  <w:r w:rsidRPr="009746DF">
                    <w:t>1.4</w:t>
                  </w:r>
                </w:p>
              </w:tc>
              <w:tc>
                <w:tcPr>
                  <w:tcW w:w="500" w:type="pct"/>
                  <w:vAlign w:val="bottom"/>
                </w:tcPr>
                <w:p w:rsidR="00745FEA" w:rsidRPr="002B3863" w:rsidRDefault="00745FEA" w:rsidP="00745FEA">
                  <w:pPr>
                    <w:pStyle w:val="TableBodyText"/>
                    <w:ind w:right="57"/>
                  </w:pPr>
                  <w:r w:rsidRPr="009746DF">
                    <w:t>1.2</w:t>
                  </w:r>
                </w:p>
              </w:tc>
              <w:tc>
                <w:tcPr>
                  <w:tcW w:w="500" w:type="pct"/>
                  <w:vAlign w:val="bottom"/>
                </w:tcPr>
                <w:p w:rsidR="00745FEA" w:rsidRPr="002B3863" w:rsidRDefault="00745FEA" w:rsidP="00745FEA">
                  <w:pPr>
                    <w:pStyle w:val="TableBodyText"/>
                    <w:ind w:right="57"/>
                  </w:pPr>
                  <w:r w:rsidRPr="009746DF">
                    <w:t>1.1</w:t>
                  </w:r>
                </w:p>
              </w:tc>
              <w:tc>
                <w:tcPr>
                  <w:tcW w:w="500" w:type="pct"/>
                  <w:vAlign w:val="bottom"/>
                </w:tcPr>
                <w:p w:rsidR="00745FEA" w:rsidRPr="002B3863" w:rsidRDefault="00745FEA" w:rsidP="00745FEA">
                  <w:pPr>
                    <w:pStyle w:val="TableBodyText"/>
                    <w:ind w:right="57"/>
                  </w:pPr>
                  <w:r w:rsidRPr="009746DF">
                    <w:t>1.0</w:t>
                  </w:r>
                </w:p>
              </w:tc>
              <w:tc>
                <w:tcPr>
                  <w:tcW w:w="500" w:type="pct"/>
                  <w:shd w:val="clear" w:color="auto" w:fill="auto"/>
                  <w:vAlign w:val="bottom"/>
                </w:tcPr>
                <w:p w:rsidR="00745FEA" w:rsidRPr="002B3863" w:rsidRDefault="00745FEA" w:rsidP="00745FEA">
                  <w:pPr>
                    <w:pStyle w:val="TableBodyText"/>
                    <w:ind w:right="57"/>
                  </w:pPr>
                  <w:r w:rsidRPr="009746DF">
                    <w:t>0.9</w:t>
                  </w:r>
                </w:p>
              </w:tc>
              <w:tc>
                <w:tcPr>
                  <w:tcW w:w="499" w:type="pct"/>
                  <w:shd w:val="clear" w:color="auto" w:fill="auto"/>
                  <w:vAlign w:val="bottom"/>
                </w:tcPr>
                <w:p w:rsidR="00745FEA" w:rsidRPr="002B3863" w:rsidRDefault="00745FEA" w:rsidP="00745FEA">
                  <w:pPr>
                    <w:pStyle w:val="TableBodyText"/>
                    <w:ind w:right="57"/>
                  </w:pPr>
                  <w:r w:rsidRPr="009746DF">
                    <w:t>0.9</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Non</w:t>
                  </w:r>
                  <w:r>
                    <w:noBreakHyphen/>
                  </w:r>
                  <w:r w:rsidRPr="00937824">
                    <w:t>Metallic mineral products</w:t>
                  </w:r>
                </w:p>
              </w:tc>
              <w:tc>
                <w:tcPr>
                  <w:tcW w:w="500" w:type="pct"/>
                  <w:vAlign w:val="bottom"/>
                </w:tcPr>
                <w:p w:rsidR="00745FEA" w:rsidRPr="002B3863" w:rsidRDefault="00745FEA" w:rsidP="00745FEA">
                  <w:pPr>
                    <w:pStyle w:val="TableBodyText"/>
                    <w:ind w:right="57"/>
                  </w:pPr>
                  <w:r w:rsidRPr="009746DF">
                    <w:t>2.0</w:t>
                  </w:r>
                </w:p>
              </w:tc>
              <w:tc>
                <w:tcPr>
                  <w:tcW w:w="500" w:type="pct"/>
                  <w:vAlign w:val="bottom"/>
                </w:tcPr>
                <w:p w:rsidR="00745FEA" w:rsidRPr="002B3863" w:rsidRDefault="00745FEA" w:rsidP="00745FEA">
                  <w:pPr>
                    <w:pStyle w:val="TableBodyText"/>
                    <w:ind w:right="57"/>
                  </w:pPr>
                  <w:r w:rsidRPr="009746DF">
                    <w:t>2.0</w:t>
                  </w:r>
                </w:p>
              </w:tc>
              <w:tc>
                <w:tcPr>
                  <w:tcW w:w="500" w:type="pct"/>
                  <w:vAlign w:val="bottom"/>
                </w:tcPr>
                <w:p w:rsidR="00745FEA" w:rsidRPr="002B3863" w:rsidRDefault="00745FEA" w:rsidP="00745FEA">
                  <w:pPr>
                    <w:pStyle w:val="TableBodyText"/>
                    <w:ind w:right="57"/>
                  </w:pPr>
                  <w:r w:rsidRPr="009746DF">
                    <w:t>2.0</w:t>
                  </w:r>
                </w:p>
              </w:tc>
              <w:tc>
                <w:tcPr>
                  <w:tcW w:w="500" w:type="pct"/>
                  <w:vAlign w:val="bottom"/>
                </w:tcPr>
                <w:p w:rsidR="00745FEA" w:rsidRPr="002B3863" w:rsidRDefault="00745FEA" w:rsidP="00745FEA">
                  <w:pPr>
                    <w:pStyle w:val="TableBodyText"/>
                    <w:ind w:right="57"/>
                  </w:pPr>
                  <w:r w:rsidRPr="009746DF">
                    <w:t>2.0</w:t>
                  </w:r>
                </w:p>
              </w:tc>
              <w:tc>
                <w:tcPr>
                  <w:tcW w:w="500" w:type="pct"/>
                  <w:shd w:val="clear" w:color="auto" w:fill="auto"/>
                  <w:vAlign w:val="bottom"/>
                </w:tcPr>
                <w:p w:rsidR="00745FEA" w:rsidRPr="002B3863" w:rsidRDefault="00745FEA" w:rsidP="00745FEA">
                  <w:pPr>
                    <w:pStyle w:val="TableBodyText"/>
                    <w:ind w:right="57"/>
                  </w:pPr>
                  <w:r w:rsidRPr="009746DF">
                    <w:t>2.0</w:t>
                  </w:r>
                </w:p>
              </w:tc>
              <w:tc>
                <w:tcPr>
                  <w:tcW w:w="499" w:type="pct"/>
                  <w:shd w:val="clear" w:color="auto" w:fill="auto"/>
                  <w:vAlign w:val="bottom"/>
                </w:tcPr>
                <w:p w:rsidR="00745FEA" w:rsidRPr="002B3863" w:rsidRDefault="00745FEA" w:rsidP="00745FEA">
                  <w:pPr>
                    <w:pStyle w:val="TableBodyText"/>
                    <w:ind w:right="57"/>
                  </w:pPr>
                  <w:r w:rsidRPr="009746DF">
                    <w:t>2.0</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Metal and fabricated metal products</w:t>
                  </w:r>
                </w:p>
              </w:tc>
              <w:tc>
                <w:tcPr>
                  <w:tcW w:w="500" w:type="pct"/>
                  <w:vAlign w:val="bottom"/>
                </w:tcPr>
                <w:p w:rsidR="00745FEA" w:rsidRPr="002B3863" w:rsidRDefault="00745FEA" w:rsidP="00745FEA">
                  <w:pPr>
                    <w:pStyle w:val="TableBodyText"/>
                    <w:ind w:right="57"/>
                  </w:pPr>
                  <w:r w:rsidRPr="009746DF">
                    <w:t>1.4</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1.5</w:t>
                  </w:r>
                </w:p>
              </w:tc>
              <w:tc>
                <w:tcPr>
                  <w:tcW w:w="500" w:type="pct"/>
                  <w:vAlign w:val="bottom"/>
                </w:tcPr>
                <w:p w:rsidR="00745FEA" w:rsidRPr="002B3863" w:rsidRDefault="00745FEA" w:rsidP="00745FEA">
                  <w:pPr>
                    <w:pStyle w:val="TableBodyText"/>
                    <w:ind w:right="57"/>
                  </w:pPr>
                  <w:r w:rsidRPr="009746DF">
                    <w:t>1.6</w:t>
                  </w:r>
                </w:p>
              </w:tc>
              <w:tc>
                <w:tcPr>
                  <w:tcW w:w="500" w:type="pct"/>
                  <w:shd w:val="clear" w:color="auto" w:fill="auto"/>
                  <w:vAlign w:val="bottom"/>
                </w:tcPr>
                <w:p w:rsidR="00745FEA" w:rsidRPr="002B3863" w:rsidRDefault="00745FEA" w:rsidP="00745FEA">
                  <w:pPr>
                    <w:pStyle w:val="TableBodyText"/>
                    <w:ind w:right="57"/>
                  </w:pPr>
                  <w:r w:rsidRPr="009746DF">
                    <w:t>1.6</w:t>
                  </w:r>
                </w:p>
              </w:tc>
              <w:tc>
                <w:tcPr>
                  <w:tcW w:w="499" w:type="pct"/>
                  <w:shd w:val="clear" w:color="auto" w:fill="auto"/>
                  <w:vAlign w:val="bottom"/>
                </w:tcPr>
                <w:p w:rsidR="00745FEA" w:rsidRPr="002B3863" w:rsidRDefault="00745FEA" w:rsidP="00745FEA">
                  <w:pPr>
                    <w:pStyle w:val="TableBodyText"/>
                    <w:ind w:right="57"/>
                  </w:pPr>
                  <w:r w:rsidRPr="009746DF">
                    <w:t>1.6</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Motor vehicle</w:t>
                  </w:r>
                  <w:r>
                    <w:t>s</w:t>
                  </w:r>
                  <w:r w:rsidRPr="00937824">
                    <w:t xml:space="preserve"> and parts</w:t>
                  </w:r>
                </w:p>
              </w:tc>
              <w:tc>
                <w:tcPr>
                  <w:tcW w:w="500" w:type="pct"/>
                  <w:vAlign w:val="bottom"/>
                </w:tcPr>
                <w:p w:rsidR="00745FEA" w:rsidRPr="002B3863" w:rsidRDefault="00745FEA" w:rsidP="00745FEA">
                  <w:pPr>
                    <w:pStyle w:val="TableBodyText"/>
                    <w:ind w:right="57"/>
                  </w:pPr>
                  <w:r w:rsidRPr="009746DF">
                    <w:t>3.8</w:t>
                  </w:r>
                </w:p>
              </w:tc>
              <w:tc>
                <w:tcPr>
                  <w:tcW w:w="500" w:type="pct"/>
                  <w:vAlign w:val="bottom"/>
                </w:tcPr>
                <w:p w:rsidR="00745FEA" w:rsidRPr="002B3863" w:rsidRDefault="00745FEA" w:rsidP="00745FEA">
                  <w:pPr>
                    <w:pStyle w:val="TableBodyText"/>
                    <w:ind w:right="57"/>
                  </w:pPr>
                  <w:r w:rsidRPr="009746DF">
                    <w:t>3.8</w:t>
                  </w:r>
                </w:p>
              </w:tc>
              <w:tc>
                <w:tcPr>
                  <w:tcW w:w="500" w:type="pct"/>
                  <w:vAlign w:val="bottom"/>
                </w:tcPr>
                <w:p w:rsidR="00745FEA" w:rsidRPr="002B3863" w:rsidRDefault="00745FEA" w:rsidP="00745FEA">
                  <w:pPr>
                    <w:pStyle w:val="TableBodyText"/>
                    <w:ind w:right="57"/>
                  </w:pPr>
                  <w:r w:rsidRPr="009746DF">
                    <w:t>3.8</w:t>
                  </w:r>
                </w:p>
              </w:tc>
              <w:tc>
                <w:tcPr>
                  <w:tcW w:w="500" w:type="pct"/>
                  <w:vAlign w:val="bottom"/>
                </w:tcPr>
                <w:p w:rsidR="00745FEA" w:rsidRPr="002B3863" w:rsidRDefault="00745FEA" w:rsidP="00745FEA">
                  <w:pPr>
                    <w:pStyle w:val="TableBodyText"/>
                    <w:ind w:right="57"/>
                  </w:pPr>
                  <w:r w:rsidRPr="009746DF">
                    <w:t>3.8</w:t>
                  </w:r>
                </w:p>
              </w:tc>
              <w:tc>
                <w:tcPr>
                  <w:tcW w:w="500" w:type="pct"/>
                  <w:shd w:val="clear" w:color="auto" w:fill="auto"/>
                  <w:vAlign w:val="bottom"/>
                </w:tcPr>
                <w:p w:rsidR="00745FEA" w:rsidRPr="002B3863" w:rsidRDefault="00745FEA" w:rsidP="00745FEA">
                  <w:pPr>
                    <w:pStyle w:val="TableBodyText"/>
                    <w:ind w:right="57"/>
                  </w:pPr>
                  <w:r w:rsidRPr="009746DF">
                    <w:t>3.8</w:t>
                  </w:r>
                </w:p>
              </w:tc>
              <w:tc>
                <w:tcPr>
                  <w:tcW w:w="499" w:type="pct"/>
                  <w:shd w:val="clear" w:color="auto" w:fill="auto"/>
                  <w:vAlign w:val="bottom"/>
                </w:tcPr>
                <w:p w:rsidR="00745FEA" w:rsidRPr="002B3863" w:rsidRDefault="00745FEA" w:rsidP="00745FEA">
                  <w:pPr>
                    <w:pStyle w:val="TableBodyText"/>
                    <w:ind w:right="57"/>
                  </w:pPr>
                  <w:r w:rsidRPr="009746DF">
                    <w:t>3.8</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Other transport equipment</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2.2</w:t>
                  </w:r>
                </w:p>
              </w:tc>
              <w:tc>
                <w:tcPr>
                  <w:tcW w:w="500" w:type="pct"/>
                  <w:vAlign w:val="bottom"/>
                </w:tcPr>
                <w:p w:rsidR="00745FEA" w:rsidRPr="002B3863" w:rsidRDefault="00745FEA" w:rsidP="00745FEA">
                  <w:pPr>
                    <w:pStyle w:val="TableBodyText"/>
                    <w:ind w:right="57"/>
                  </w:pPr>
                  <w:r w:rsidRPr="009746DF">
                    <w:t>2.2</w:t>
                  </w:r>
                </w:p>
              </w:tc>
              <w:tc>
                <w:tcPr>
                  <w:tcW w:w="500" w:type="pct"/>
                  <w:shd w:val="clear" w:color="auto" w:fill="auto"/>
                  <w:vAlign w:val="bottom"/>
                </w:tcPr>
                <w:p w:rsidR="00745FEA" w:rsidRPr="002B3863" w:rsidRDefault="00745FEA" w:rsidP="00745FEA">
                  <w:pPr>
                    <w:pStyle w:val="TableBodyText"/>
                    <w:ind w:right="57"/>
                  </w:pPr>
                  <w:r w:rsidRPr="009746DF">
                    <w:t>2.2</w:t>
                  </w:r>
                </w:p>
              </w:tc>
              <w:tc>
                <w:tcPr>
                  <w:tcW w:w="499" w:type="pct"/>
                  <w:shd w:val="clear" w:color="auto" w:fill="auto"/>
                  <w:vAlign w:val="bottom"/>
                </w:tcPr>
                <w:p w:rsidR="00745FEA" w:rsidRPr="002B3863" w:rsidRDefault="00745FEA" w:rsidP="00745FEA">
                  <w:pPr>
                    <w:pStyle w:val="TableBodyText"/>
                    <w:ind w:right="57"/>
                  </w:pPr>
                  <w:r w:rsidRPr="009746DF">
                    <w:t>2.2</w:t>
                  </w:r>
                </w:p>
              </w:tc>
            </w:tr>
            <w:tr w:rsidR="00745FEA" w:rsidTr="00745FEA">
              <w:tc>
                <w:tcPr>
                  <w:tcW w:w="2001" w:type="pct"/>
                  <w:shd w:val="clear" w:color="auto" w:fill="auto"/>
                  <w:vAlign w:val="bottom"/>
                </w:tcPr>
                <w:p w:rsidR="00745FEA" w:rsidRPr="00937824" w:rsidRDefault="00745FEA" w:rsidP="00745FEA">
                  <w:pPr>
                    <w:pStyle w:val="TableBodyText"/>
                    <w:jc w:val="left"/>
                  </w:pPr>
                  <w:r w:rsidRPr="00937824">
                    <w:t>Machinery and equipment manufacturing</w:t>
                  </w:r>
                </w:p>
              </w:tc>
              <w:tc>
                <w:tcPr>
                  <w:tcW w:w="500" w:type="pct"/>
                  <w:vAlign w:val="bottom"/>
                </w:tcPr>
                <w:p w:rsidR="00745FEA" w:rsidRPr="002B3863" w:rsidRDefault="00745FEA" w:rsidP="00745FEA">
                  <w:pPr>
                    <w:pStyle w:val="TableBodyText"/>
                    <w:ind w:right="57"/>
                  </w:pPr>
                  <w:r w:rsidRPr="009746DF">
                    <w:t>1.6</w:t>
                  </w:r>
                </w:p>
              </w:tc>
              <w:tc>
                <w:tcPr>
                  <w:tcW w:w="500" w:type="pct"/>
                  <w:vAlign w:val="bottom"/>
                </w:tcPr>
                <w:p w:rsidR="00745FEA" w:rsidRPr="002B3863" w:rsidRDefault="00745FEA" w:rsidP="00745FEA">
                  <w:pPr>
                    <w:pStyle w:val="TableBodyText"/>
                    <w:ind w:right="57"/>
                  </w:pPr>
                  <w:r w:rsidRPr="009746DF">
                    <w:t>1.6</w:t>
                  </w:r>
                </w:p>
              </w:tc>
              <w:tc>
                <w:tcPr>
                  <w:tcW w:w="500" w:type="pct"/>
                  <w:vAlign w:val="bottom"/>
                </w:tcPr>
                <w:p w:rsidR="00745FEA" w:rsidRPr="002B3863" w:rsidRDefault="00745FEA" w:rsidP="00745FEA">
                  <w:pPr>
                    <w:pStyle w:val="TableBodyText"/>
                    <w:ind w:right="57"/>
                  </w:pPr>
                  <w:r w:rsidRPr="009746DF">
                    <w:t>1.6</w:t>
                  </w:r>
                </w:p>
              </w:tc>
              <w:tc>
                <w:tcPr>
                  <w:tcW w:w="500" w:type="pct"/>
                  <w:vAlign w:val="bottom"/>
                </w:tcPr>
                <w:p w:rsidR="00745FEA" w:rsidRPr="002B3863" w:rsidRDefault="00745FEA" w:rsidP="00745FEA">
                  <w:pPr>
                    <w:pStyle w:val="TableBodyText"/>
                    <w:ind w:right="57"/>
                  </w:pPr>
                  <w:r w:rsidRPr="009746DF">
                    <w:t>1.6</w:t>
                  </w:r>
                </w:p>
              </w:tc>
              <w:tc>
                <w:tcPr>
                  <w:tcW w:w="500" w:type="pct"/>
                  <w:shd w:val="clear" w:color="auto" w:fill="auto"/>
                  <w:vAlign w:val="bottom"/>
                </w:tcPr>
                <w:p w:rsidR="00745FEA" w:rsidRPr="002B3863" w:rsidRDefault="00745FEA" w:rsidP="00745FEA">
                  <w:pPr>
                    <w:pStyle w:val="TableBodyText"/>
                    <w:ind w:right="57"/>
                  </w:pPr>
                  <w:r w:rsidRPr="009746DF">
                    <w:t>1.6</w:t>
                  </w:r>
                </w:p>
              </w:tc>
              <w:tc>
                <w:tcPr>
                  <w:tcW w:w="499" w:type="pct"/>
                  <w:shd w:val="clear" w:color="auto" w:fill="auto"/>
                  <w:vAlign w:val="bottom"/>
                </w:tcPr>
                <w:p w:rsidR="00745FEA" w:rsidRPr="002B3863" w:rsidRDefault="00745FEA" w:rsidP="00745FEA">
                  <w:pPr>
                    <w:pStyle w:val="TableBodyText"/>
                    <w:ind w:right="57"/>
                  </w:pPr>
                  <w:r w:rsidRPr="009746DF">
                    <w:t>1.6</w:t>
                  </w:r>
                </w:p>
              </w:tc>
            </w:tr>
            <w:tr w:rsidR="00745FEA" w:rsidTr="00745FEA">
              <w:tc>
                <w:tcPr>
                  <w:tcW w:w="2001" w:type="pct"/>
                  <w:tcBorders>
                    <w:bottom w:val="single" w:sz="6" w:space="0" w:color="BFBFBF"/>
                  </w:tcBorders>
                  <w:shd w:val="clear" w:color="auto" w:fill="auto"/>
                  <w:vAlign w:val="bottom"/>
                </w:tcPr>
                <w:p w:rsidR="00745FEA" w:rsidRPr="00937824" w:rsidRDefault="00745FEA" w:rsidP="00745FEA">
                  <w:pPr>
                    <w:pStyle w:val="TableBodyText"/>
                    <w:jc w:val="left"/>
                  </w:pPr>
                  <w:r w:rsidRPr="00937824">
                    <w:t>Furniture and other manufacturing</w:t>
                  </w:r>
                </w:p>
              </w:tc>
              <w:tc>
                <w:tcPr>
                  <w:tcW w:w="500" w:type="pct"/>
                  <w:tcBorders>
                    <w:bottom w:val="single" w:sz="6" w:space="0" w:color="BFBFBF"/>
                  </w:tcBorders>
                  <w:vAlign w:val="bottom"/>
                </w:tcPr>
                <w:p w:rsidR="00745FEA" w:rsidRPr="002B3863" w:rsidRDefault="00745FEA" w:rsidP="00745FEA">
                  <w:pPr>
                    <w:pStyle w:val="TableBodyText"/>
                    <w:ind w:right="57"/>
                  </w:pPr>
                  <w:r w:rsidRPr="009746DF">
                    <w:t>3.1</w:t>
                  </w:r>
                </w:p>
              </w:tc>
              <w:tc>
                <w:tcPr>
                  <w:tcW w:w="500" w:type="pct"/>
                  <w:tcBorders>
                    <w:bottom w:val="single" w:sz="6" w:space="0" w:color="BFBFBF"/>
                  </w:tcBorders>
                  <w:vAlign w:val="bottom"/>
                </w:tcPr>
                <w:p w:rsidR="00745FEA" w:rsidRPr="002B3863" w:rsidRDefault="00745FEA" w:rsidP="00745FEA">
                  <w:pPr>
                    <w:pStyle w:val="TableBodyText"/>
                    <w:ind w:right="57"/>
                  </w:pPr>
                  <w:r w:rsidRPr="009746DF">
                    <w:t>3.2</w:t>
                  </w:r>
                </w:p>
              </w:tc>
              <w:tc>
                <w:tcPr>
                  <w:tcW w:w="500" w:type="pct"/>
                  <w:tcBorders>
                    <w:bottom w:val="single" w:sz="6" w:space="0" w:color="BFBFBF"/>
                  </w:tcBorders>
                  <w:vAlign w:val="bottom"/>
                </w:tcPr>
                <w:p w:rsidR="00745FEA" w:rsidRPr="002B3863" w:rsidRDefault="00745FEA" w:rsidP="00745FEA">
                  <w:pPr>
                    <w:pStyle w:val="TableBodyText"/>
                    <w:ind w:right="57"/>
                  </w:pPr>
                  <w:r w:rsidRPr="009746DF">
                    <w:t>3.1</w:t>
                  </w:r>
                </w:p>
              </w:tc>
              <w:tc>
                <w:tcPr>
                  <w:tcW w:w="500" w:type="pct"/>
                  <w:tcBorders>
                    <w:bottom w:val="single" w:sz="6" w:space="0" w:color="BFBFBF"/>
                  </w:tcBorders>
                  <w:vAlign w:val="bottom"/>
                </w:tcPr>
                <w:p w:rsidR="00745FEA" w:rsidRPr="002B3863" w:rsidRDefault="00745FEA" w:rsidP="00745FEA">
                  <w:pPr>
                    <w:pStyle w:val="TableBodyText"/>
                    <w:ind w:right="57"/>
                  </w:pPr>
                  <w:r w:rsidRPr="009746DF">
                    <w:t>3.2</w:t>
                  </w:r>
                </w:p>
              </w:tc>
              <w:tc>
                <w:tcPr>
                  <w:tcW w:w="500" w:type="pct"/>
                  <w:tcBorders>
                    <w:bottom w:val="single" w:sz="6" w:space="0" w:color="BFBFBF"/>
                  </w:tcBorders>
                  <w:shd w:val="clear" w:color="auto" w:fill="auto"/>
                  <w:vAlign w:val="bottom"/>
                </w:tcPr>
                <w:p w:rsidR="00745FEA" w:rsidRPr="002B3863" w:rsidRDefault="00745FEA" w:rsidP="00745FEA">
                  <w:pPr>
                    <w:pStyle w:val="TableBodyText"/>
                    <w:ind w:right="57"/>
                  </w:pPr>
                  <w:r w:rsidRPr="009746DF">
                    <w:t>3.1</w:t>
                  </w:r>
                </w:p>
              </w:tc>
              <w:tc>
                <w:tcPr>
                  <w:tcW w:w="499" w:type="pct"/>
                  <w:tcBorders>
                    <w:bottom w:val="single" w:sz="6" w:space="0" w:color="BFBFBF"/>
                  </w:tcBorders>
                  <w:shd w:val="clear" w:color="auto" w:fill="auto"/>
                  <w:vAlign w:val="bottom"/>
                </w:tcPr>
                <w:p w:rsidR="00745FEA" w:rsidRDefault="00745FEA" w:rsidP="00745FEA">
                  <w:pPr>
                    <w:pStyle w:val="TableBodyText"/>
                    <w:ind w:right="57"/>
                  </w:pPr>
                  <w:r w:rsidRPr="009746DF">
                    <w:t>3.1</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xml:space="preserve"> Combined assistance comprises tariff and budgetary assistance. </w:t>
            </w:r>
            <w:r>
              <w:rPr>
                <w:rStyle w:val="NoteLabel"/>
              </w:rPr>
              <w:t>b</w:t>
            </w:r>
            <w:r>
              <w:t> Sectoral estimates include assistance to the sector that has not been allocated to specific industry groupings.</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9</w:t>
            </w:r>
            <w:r>
              <w:tab/>
            </w:r>
            <w:r w:rsidRPr="00BF5C30">
              <w:t xml:space="preserve">Nominal rate of combined assistance on materials </w:t>
            </w:r>
            <w:r>
              <w:br/>
            </w:r>
            <w:r w:rsidRPr="00BF5C30">
              <w:t>by industry grouping, 20</w:t>
            </w:r>
            <w:r>
              <w:t>11</w:t>
            </w:r>
            <w:r>
              <w:noBreakHyphen/>
              <w:t>12</w:t>
            </w:r>
            <w:r w:rsidRPr="00BF5C30">
              <w:t xml:space="preserve"> to 201</w:t>
            </w:r>
            <w:r>
              <w:t>6</w:t>
            </w:r>
            <w:r>
              <w:noBreakHyphen/>
            </w:r>
            <w:r w:rsidRPr="00BF5C30">
              <w:t>1</w:t>
            </w:r>
            <w:r>
              <w:t>7</w:t>
            </w:r>
            <w:r w:rsidRPr="009E76C0">
              <w:rPr>
                <w:rStyle w:val="NoteLabel"/>
                <w:b/>
              </w:rPr>
              <w:t>a</w:t>
            </w:r>
          </w:p>
          <w:p w:rsidR="00745FEA" w:rsidRPr="00784A05" w:rsidRDefault="0055201A" w:rsidP="00745FEA">
            <w:pPr>
              <w:pStyle w:val="Subtitle"/>
            </w:pPr>
            <w:r>
              <w:t>P</w:t>
            </w:r>
            <w:r w:rsidR="00745FEA" w:rsidRPr="00BF5C30">
              <w:t>er cent</w:t>
            </w:r>
          </w:p>
        </w:tc>
      </w:tr>
      <w:tr w:rsidR="00745FEA" w:rsidTr="00745FEA">
        <w:trPr>
          <w:cantSplit/>
        </w:trPr>
        <w:tc>
          <w:tcPr>
            <w:tcW w:w="5000" w:type="pct"/>
            <w:tcBorders>
              <w:top w:val="nil"/>
              <w:left w:val="nil"/>
              <w:bottom w:val="nil"/>
              <w:right w:val="nil"/>
            </w:tcBorders>
            <w:shd w:val="clear" w:color="auto" w:fill="auto"/>
          </w:tcPr>
          <w:tbl>
            <w:tblPr>
              <w:tblW w:w="8499" w:type="dxa"/>
              <w:tblCellMar>
                <w:top w:w="28" w:type="dxa"/>
                <w:left w:w="0" w:type="dxa"/>
                <w:right w:w="0" w:type="dxa"/>
              </w:tblCellMar>
              <w:tblLook w:val="0000" w:firstRow="0" w:lastRow="0" w:firstColumn="0" w:lastColumn="0" w:noHBand="0" w:noVBand="0"/>
            </w:tblPr>
            <w:tblGrid>
              <w:gridCol w:w="3404"/>
              <w:gridCol w:w="852"/>
              <w:gridCol w:w="850"/>
              <w:gridCol w:w="850"/>
              <w:gridCol w:w="848"/>
              <w:gridCol w:w="848"/>
              <w:gridCol w:w="847"/>
            </w:tblGrid>
            <w:tr w:rsidR="00745FEA" w:rsidTr="00C719FB">
              <w:trPr>
                <w:tblHeader/>
              </w:trPr>
              <w:tc>
                <w:tcPr>
                  <w:tcW w:w="2003"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r>
                    <w:t>Industry grouping</w:t>
                  </w:r>
                </w:p>
              </w:tc>
              <w:tc>
                <w:tcPr>
                  <w:tcW w:w="501"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50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50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9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9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98"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E83529" w:rsidTr="00745FEA">
              <w:tc>
                <w:tcPr>
                  <w:tcW w:w="2003" w:type="pct"/>
                  <w:tcBorders>
                    <w:top w:val="single" w:sz="6" w:space="0" w:color="BFBFBF"/>
                  </w:tcBorders>
                  <w:vAlign w:val="center"/>
                </w:tcPr>
                <w:p w:rsidR="00745FEA" w:rsidRPr="00E83529" w:rsidRDefault="00745FEA" w:rsidP="00745FEA">
                  <w:pPr>
                    <w:spacing w:after="40"/>
                    <w:rPr>
                      <w:rFonts w:ascii="Arial" w:hAnsi="Arial" w:cs="Arial"/>
                      <w:b/>
                      <w:bCs/>
                      <w:sz w:val="18"/>
                      <w:szCs w:val="18"/>
                    </w:rPr>
                  </w:pPr>
                  <w:r w:rsidRPr="00E83529">
                    <w:rPr>
                      <w:rFonts w:ascii="Arial" w:hAnsi="Arial" w:cs="Arial"/>
                      <w:b/>
                      <w:bCs/>
                      <w:sz w:val="18"/>
                      <w:szCs w:val="18"/>
                    </w:rPr>
                    <w:t>Primary Production</w:t>
                  </w:r>
                  <w:r w:rsidRPr="009E76C0">
                    <w:rPr>
                      <w:rStyle w:val="NoteLabel"/>
                    </w:rPr>
                    <w:t>b</w:t>
                  </w:r>
                </w:p>
              </w:tc>
              <w:tc>
                <w:tcPr>
                  <w:tcW w:w="501"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500" w:type="pct"/>
                  <w:tcBorders>
                    <w:top w:val="single" w:sz="6" w:space="0" w:color="BFBFBF"/>
                  </w:tcBorders>
                  <w:vAlign w:val="bottom"/>
                </w:tcPr>
                <w:p w:rsidR="00745FEA" w:rsidRPr="00E83529" w:rsidRDefault="00745FEA" w:rsidP="00745FEA">
                  <w:pPr>
                    <w:pStyle w:val="TableBodyText"/>
                    <w:ind w:right="57"/>
                    <w:rPr>
                      <w:b/>
                    </w:rPr>
                  </w:pPr>
                  <w:r w:rsidRPr="00E83529">
                    <w:rPr>
                      <w:b/>
                    </w:rPr>
                    <w:t>0.6</w:t>
                  </w:r>
                </w:p>
              </w:tc>
              <w:tc>
                <w:tcPr>
                  <w:tcW w:w="499" w:type="pct"/>
                  <w:tcBorders>
                    <w:top w:val="single" w:sz="6" w:space="0" w:color="BFBFBF"/>
                  </w:tcBorders>
                  <w:vAlign w:val="bottom"/>
                </w:tcPr>
                <w:p w:rsidR="00745FEA" w:rsidRPr="00E83529" w:rsidRDefault="00745FEA" w:rsidP="00745FEA">
                  <w:pPr>
                    <w:pStyle w:val="TableBodyText"/>
                    <w:ind w:right="57"/>
                    <w:rPr>
                      <w:b/>
                    </w:rPr>
                  </w:pPr>
                  <w:r w:rsidRPr="00E83529">
                    <w:rPr>
                      <w:b/>
                    </w:rPr>
                    <w:t>0.6</w:t>
                  </w:r>
                </w:p>
              </w:tc>
              <w:tc>
                <w:tcPr>
                  <w:tcW w:w="499"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c>
                <w:tcPr>
                  <w:tcW w:w="498" w:type="pct"/>
                  <w:tcBorders>
                    <w:top w:val="single" w:sz="6" w:space="0" w:color="BFBFBF"/>
                  </w:tcBorders>
                  <w:vAlign w:val="bottom"/>
                </w:tcPr>
                <w:p w:rsidR="00745FEA" w:rsidRPr="00E83529" w:rsidRDefault="00745FEA" w:rsidP="00745FEA">
                  <w:pPr>
                    <w:pStyle w:val="TableBodyText"/>
                    <w:ind w:right="57"/>
                    <w:rPr>
                      <w:b/>
                    </w:rPr>
                  </w:pPr>
                  <w:r w:rsidRPr="00E83529">
                    <w:rPr>
                      <w:b/>
                    </w:rPr>
                    <w:t>0.5</w:t>
                  </w:r>
                </w:p>
              </w:tc>
            </w:tr>
            <w:tr w:rsidR="00745FEA" w:rsidTr="00745FEA">
              <w:tc>
                <w:tcPr>
                  <w:tcW w:w="2003" w:type="pct"/>
                  <w:vAlign w:val="bottom"/>
                </w:tcPr>
                <w:p w:rsidR="00745FEA" w:rsidRPr="00633D27" w:rsidRDefault="00745FEA" w:rsidP="00745FEA">
                  <w:pPr>
                    <w:pStyle w:val="TableBodyText"/>
                    <w:jc w:val="left"/>
                  </w:pPr>
                  <w:r w:rsidRPr="00633D27">
                    <w:t>Horticulture and fruit growing</w:t>
                  </w:r>
                </w:p>
              </w:tc>
              <w:tc>
                <w:tcPr>
                  <w:tcW w:w="501" w:type="pct"/>
                  <w:vAlign w:val="bottom"/>
                </w:tcPr>
                <w:p w:rsidR="00745FEA" w:rsidRPr="00F90CBF" w:rsidRDefault="00745FEA" w:rsidP="00745FEA">
                  <w:pPr>
                    <w:pStyle w:val="TableBodyText"/>
                    <w:ind w:right="57"/>
                  </w:pPr>
                  <w:r w:rsidRPr="00924DDB">
                    <w:t>0.3</w:t>
                  </w:r>
                </w:p>
              </w:tc>
              <w:tc>
                <w:tcPr>
                  <w:tcW w:w="500" w:type="pct"/>
                  <w:vAlign w:val="bottom"/>
                </w:tcPr>
                <w:p w:rsidR="00745FEA" w:rsidRPr="00F90CBF" w:rsidRDefault="00745FEA" w:rsidP="00745FEA">
                  <w:pPr>
                    <w:pStyle w:val="TableBodyText"/>
                    <w:ind w:right="57"/>
                  </w:pPr>
                  <w:r w:rsidRPr="00924DDB">
                    <w:t>0.3</w:t>
                  </w:r>
                </w:p>
              </w:tc>
              <w:tc>
                <w:tcPr>
                  <w:tcW w:w="500" w:type="pct"/>
                  <w:vAlign w:val="bottom"/>
                </w:tcPr>
                <w:p w:rsidR="00745FEA" w:rsidRPr="00F90CBF" w:rsidRDefault="00745FEA" w:rsidP="00745FEA">
                  <w:pPr>
                    <w:pStyle w:val="TableBodyText"/>
                    <w:ind w:right="57"/>
                  </w:pPr>
                  <w:r w:rsidRPr="00924DDB">
                    <w:t>0.3</w:t>
                  </w:r>
                </w:p>
              </w:tc>
              <w:tc>
                <w:tcPr>
                  <w:tcW w:w="499" w:type="pct"/>
                  <w:vAlign w:val="bottom"/>
                </w:tcPr>
                <w:p w:rsidR="00745FEA" w:rsidRPr="00F90CBF" w:rsidRDefault="00745FEA" w:rsidP="00745FEA">
                  <w:pPr>
                    <w:pStyle w:val="TableBodyText"/>
                    <w:ind w:right="57"/>
                  </w:pPr>
                  <w:r w:rsidRPr="00924DDB">
                    <w:t>0.3</w:t>
                  </w:r>
                </w:p>
              </w:tc>
              <w:tc>
                <w:tcPr>
                  <w:tcW w:w="499" w:type="pct"/>
                  <w:vAlign w:val="bottom"/>
                </w:tcPr>
                <w:p w:rsidR="00745FEA" w:rsidRPr="00F90CBF" w:rsidRDefault="00745FEA" w:rsidP="00745FEA">
                  <w:pPr>
                    <w:pStyle w:val="TableBodyText"/>
                    <w:ind w:right="57"/>
                  </w:pPr>
                  <w:r w:rsidRPr="00924DDB">
                    <w:t>0.3</w:t>
                  </w:r>
                </w:p>
              </w:tc>
              <w:tc>
                <w:tcPr>
                  <w:tcW w:w="498" w:type="pct"/>
                  <w:vAlign w:val="bottom"/>
                </w:tcPr>
                <w:p w:rsidR="00745FEA" w:rsidRPr="00F90CBF" w:rsidRDefault="00745FEA" w:rsidP="00745FEA">
                  <w:pPr>
                    <w:pStyle w:val="TableBodyText"/>
                    <w:ind w:right="57"/>
                  </w:pPr>
                  <w:r w:rsidRPr="00924DDB">
                    <w:t>0.3</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Sheep, beef cattle and grain farming</w:t>
                  </w:r>
                </w:p>
              </w:tc>
              <w:tc>
                <w:tcPr>
                  <w:tcW w:w="501" w:type="pct"/>
                  <w:vAlign w:val="bottom"/>
                </w:tcPr>
                <w:p w:rsidR="00745FEA" w:rsidRPr="00F90CBF" w:rsidRDefault="00745FEA" w:rsidP="00745FEA">
                  <w:pPr>
                    <w:pStyle w:val="TableBodyText"/>
                    <w:ind w:right="57"/>
                  </w:pPr>
                  <w:r w:rsidRPr="00924DDB">
                    <w:t>0.6</w:t>
                  </w:r>
                </w:p>
              </w:tc>
              <w:tc>
                <w:tcPr>
                  <w:tcW w:w="500" w:type="pct"/>
                  <w:vAlign w:val="bottom"/>
                </w:tcPr>
                <w:p w:rsidR="00745FEA" w:rsidRPr="00F90CBF" w:rsidRDefault="00745FEA" w:rsidP="00745FEA">
                  <w:pPr>
                    <w:pStyle w:val="TableBodyText"/>
                    <w:ind w:right="57"/>
                  </w:pPr>
                  <w:r w:rsidRPr="00924DDB">
                    <w:t>0.6</w:t>
                  </w:r>
                </w:p>
              </w:tc>
              <w:tc>
                <w:tcPr>
                  <w:tcW w:w="500" w:type="pct"/>
                  <w:vAlign w:val="bottom"/>
                </w:tcPr>
                <w:p w:rsidR="00745FEA" w:rsidRPr="00F90CBF" w:rsidRDefault="00745FEA" w:rsidP="00745FEA">
                  <w:pPr>
                    <w:pStyle w:val="TableBodyText"/>
                    <w:ind w:right="57"/>
                  </w:pPr>
                  <w:r w:rsidRPr="00924DDB">
                    <w:t>0.6</w:t>
                  </w:r>
                </w:p>
              </w:tc>
              <w:tc>
                <w:tcPr>
                  <w:tcW w:w="499" w:type="pct"/>
                  <w:vAlign w:val="bottom"/>
                </w:tcPr>
                <w:p w:rsidR="00745FEA" w:rsidRPr="00F90CBF" w:rsidRDefault="00745FEA" w:rsidP="00745FEA">
                  <w:pPr>
                    <w:pStyle w:val="TableBodyText"/>
                    <w:ind w:right="57"/>
                  </w:pPr>
                  <w:r w:rsidRPr="00924DDB">
                    <w:t>0.6</w:t>
                  </w:r>
                </w:p>
              </w:tc>
              <w:tc>
                <w:tcPr>
                  <w:tcW w:w="499" w:type="pct"/>
                  <w:shd w:val="clear" w:color="auto" w:fill="auto"/>
                  <w:vAlign w:val="bottom"/>
                </w:tcPr>
                <w:p w:rsidR="00745FEA" w:rsidRPr="00F90CBF" w:rsidRDefault="00745FEA" w:rsidP="00745FEA">
                  <w:pPr>
                    <w:pStyle w:val="TableBodyText"/>
                    <w:ind w:right="57"/>
                  </w:pPr>
                  <w:r w:rsidRPr="00924DDB">
                    <w:t>0.6</w:t>
                  </w:r>
                </w:p>
              </w:tc>
              <w:tc>
                <w:tcPr>
                  <w:tcW w:w="498" w:type="pct"/>
                  <w:shd w:val="clear" w:color="auto" w:fill="auto"/>
                  <w:vAlign w:val="bottom"/>
                </w:tcPr>
                <w:p w:rsidR="00745FEA" w:rsidRPr="00F90CBF" w:rsidRDefault="00745FEA" w:rsidP="00745FEA">
                  <w:pPr>
                    <w:pStyle w:val="TableBodyText"/>
                    <w:ind w:right="57"/>
                  </w:pPr>
                  <w:r w:rsidRPr="00924DDB">
                    <w:t>0.6</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Other crop growing</w:t>
                  </w:r>
                </w:p>
              </w:tc>
              <w:tc>
                <w:tcPr>
                  <w:tcW w:w="501" w:type="pct"/>
                  <w:vAlign w:val="bottom"/>
                </w:tcPr>
                <w:p w:rsidR="00745FEA" w:rsidRPr="00F90CBF" w:rsidRDefault="00745FEA" w:rsidP="00745FEA">
                  <w:pPr>
                    <w:pStyle w:val="TableBodyText"/>
                    <w:ind w:right="57"/>
                  </w:pPr>
                  <w:r w:rsidRPr="00924DDB">
                    <w:t>0.3</w:t>
                  </w:r>
                </w:p>
              </w:tc>
              <w:tc>
                <w:tcPr>
                  <w:tcW w:w="500" w:type="pct"/>
                  <w:vAlign w:val="bottom"/>
                </w:tcPr>
                <w:p w:rsidR="00745FEA" w:rsidRPr="00F90CBF" w:rsidRDefault="00745FEA" w:rsidP="00745FEA">
                  <w:pPr>
                    <w:pStyle w:val="TableBodyText"/>
                    <w:ind w:right="57"/>
                  </w:pPr>
                  <w:r w:rsidRPr="00924DDB">
                    <w:t>0.3</w:t>
                  </w:r>
                </w:p>
              </w:tc>
              <w:tc>
                <w:tcPr>
                  <w:tcW w:w="500" w:type="pct"/>
                  <w:vAlign w:val="bottom"/>
                </w:tcPr>
                <w:p w:rsidR="00745FEA" w:rsidRPr="00F90CBF" w:rsidRDefault="00745FEA" w:rsidP="00745FEA">
                  <w:pPr>
                    <w:pStyle w:val="TableBodyText"/>
                    <w:ind w:right="57"/>
                  </w:pPr>
                  <w:r w:rsidRPr="00924DDB">
                    <w:t>0.3</w:t>
                  </w:r>
                </w:p>
              </w:tc>
              <w:tc>
                <w:tcPr>
                  <w:tcW w:w="499" w:type="pct"/>
                  <w:vAlign w:val="bottom"/>
                </w:tcPr>
                <w:p w:rsidR="00745FEA" w:rsidRPr="00F90CBF" w:rsidRDefault="00745FEA" w:rsidP="00745FEA">
                  <w:pPr>
                    <w:pStyle w:val="TableBodyText"/>
                    <w:ind w:right="57"/>
                  </w:pPr>
                  <w:r w:rsidRPr="00924DDB">
                    <w:t>0.3</w:t>
                  </w:r>
                </w:p>
              </w:tc>
              <w:tc>
                <w:tcPr>
                  <w:tcW w:w="499" w:type="pct"/>
                  <w:shd w:val="clear" w:color="auto" w:fill="auto"/>
                  <w:vAlign w:val="bottom"/>
                </w:tcPr>
                <w:p w:rsidR="00745FEA" w:rsidRPr="00F90CBF" w:rsidRDefault="00745FEA" w:rsidP="00745FEA">
                  <w:pPr>
                    <w:pStyle w:val="TableBodyText"/>
                    <w:ind w:right="57"/>
                  </w:pPr>
                  <w:r w:rsidRPr="00924DDB">
                    <w:t>0.2</w:t>
                  </w:r>
                </w:p>
              </w:tc>
              <w:tc>
                <w:tcPr>
                  <w:tcW w:w="498" w:type="pct"/>
                  <w:shd w:val="clear" w:color="auto" w:fill="auto"/>
                  <w:vAlign w:val="bottom"/>
                </w:tcPr>
                <w:p w:rsidR="00745FEA" w:rsidRPr="00F90CBF" w:rsidRDefault="00745FEA" w:rsidP="00745FEA">
                  <w:pPr>
                    <w:pStyle w:val="TableBodyText"/>
                    <w:ind w:right="57"/>
                  </w:pPr>
                  <w:r w:rsidRPr="00924DDB">
                    <w:t>0.3</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Dairy cattle farming</w:t>
                  </w:r>
                </w:p>
              </w:tc>
              <w:tc>
                <w:tcPr>
                  <w:tcW w:w="501" w:type="pct"/>
                  <w:vAlign w:val="bottom"/>
                </w:tcPr>
                <w:p w:rsidR="00745FEA" w:rsidRPr="00F90CBF" w:rsidRDefault="00745FEA" w:rsidP="00745FEA">
                  <w:pPr>
                    <w:pStyle w:val="TableBodyText"/>
                    <w:ind w:right="57"/>
                  </w:pPr>
                  <w:r w:rsidRPr="00924DDB">
                    <w:t>0.5</w:t>
                  </w:r>
                </w:p>
              </w:tc>
              <w:tc>
                <w:tcPr>
                  <w:tcW w:w="500" w:type="pct"/>
                  <w:vAlign w:val="bottom"/>
                </w:tcPr>
                <w:p w:rsidR="00745FEA" w:rsidRPr="00F90CBF" w:rsidRDefault="00745FEA" w:rsidP="00745FEA">
                  <w:pPr>
                    <w:pStyle w:val="TableBodyText"/>
                    <w:ind w:right="57"/>
                  </w:pPr>
                  <w:r w:rsidRPr="00924DDB">
                    <w:t>0.6</w:t>
                  </w:r>
                </w:p>
              </w:tc>
              <w:tc>
                <w:tcPr>
                  <w:tcW w:w="500" w:type="pct"/>
                  <w:vAlign w:val="bottom"/>
                </w:tcPr>
                <w:p w:rsidR="00745FEA" w:rsidRPr="00F90CBF" w:rsidRDefault="00745FEA" w:rsidP="00745FEA">
                  <w:pPr>
                    <w:pStyle w:val="TableBodyText"/>
                    <w:ind w:right="57"/>
                  </w:pPr>
                  <w:r w:rsidRPr="00924DDB">
                    <w:t>0.6</w:t>
                  </w:r>
                </w:p>
              </w:tc>
              <w:tc>
                <w:tcPr>
                  <w:tcW w:w="499" w:type="pct"/>
                  <w:vAlign w:val="bottom"/>
                </w:tcPr>
                <w:p w:rsidR="00745FEA" w:rsidRPr="00F90CBF" w:rsidRDefault="00745FEA" w:rsidP="00745FEA">
                  <w:pPr>
                    <w:pStyle w:val="TableBodyText"/>
                    <w:ind w:right="57"/>
                  </w:pPr>
                  <w:r w:rsidRPr="00924DDB">
                    <w:t>0.6</w:t>
                  </w:r>
                </w:p>
              </w:tc>
              <w:tc>
                <w:tcPr>
                  <w:tcW w:w="499" w:type="pct"/>
                  <w:shd w:val="clear" w:color="auto" w:fill="auto"/>
                  <w:vAlign w:val="bottom"/>
                </w:tcPr>
                <w:p w:rsidR="00745FEA" w:rsidRPr="00F90CBF" w:rsidRDefault="00745FEA" w:rsidP="00745FEA">
                  <w:pPr>
                    <w:pStyle w:val="TableBodyText"/>
                    <w:ind w:right="57"/>
                  </w:pPr>
                  <w:r w:rsidRPr="00924DDB">
                    <w:t>0.5</w:t>
                  </w:r>
                </w:p>
              </w:tc>
              <w:tc>
                <w:tcPr>
                  <w:tcW w:w="498" w:type="pct"/>
                  <w:shd w:val="clear" w:color="auto" w:fill="auto"/>
                  <w:vAlign w:val="bottom"/>
                </w:tcPr>
                <w:p w:rsidR="00745FEA" w:rsidRPr="00F90CBF" w:rsidRDefault="00745FEA" w:rsidP="00745FEA">
                  <w:pPr>
                    <w:pStyle w:val="TableBodyText"/>
                    <w:ind w:right="57"/>
                  </w:pPr>
                  <w:r w:rsidRPr="00924DDB">
                    <w:t>0.5</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Other livestock farming</w:t>
                  </w:r>
                </w:p>
              </w:tc>
              <w:tc>
                <w:tcPr>
                  <w:tcW w:w="501" w:type="pct"/>
                  <w:vAlign w:val="bottom"/>
                </w:tcPr>
                <w:p w:rsidR="00745FEA" w:rsidRPr="00F90CBF" w:rsidRDefault="00745FEA" w:rsidP="00745FEA">
                  <w:pPr>
                    <w:pStyle w:val="TableBodyText"/>
                    <w:ind w:right="57"/>
                  </w:pPr>
                  <w:r w:rsidRPr="00924DDB">
                    <w:t>0.8</w:t>
                  </w:r>
                </w:p>
              </w:tc>
              <w:tc>
                <w:tcPr>
                  <w:tcW w:w="500" w:type="pct"/>
                  <w:vAlign w:val="bottom"/>
                </w:tcPr>
                <w:p w:rsidR="00745FEA" w:rsidRPr="00F90CBF" w:rsidRDefault="00745FEA" w:rsidP="00745FEA">
                  <w:pPr>
                    <w:pStyle w:val="TableBodyText"/>
                    <w:ind w:right="57"/>
                  </w:pPr>
                  <w:r w:rsidRPr="00924DDB">
                    <w:t>0.8</w:t>
                  </w:r>
                </w:p>
              </w:tc>
              <w:tc>
                <w:tcPr>
                  <w:tcW w:w="500" w:type="pct"/>
                  <w:vAlign w:val="bottom"/>
                </w:tcPr>
                <w:p w:rsidR="00745FEA" w:rsidRPr="00F90CBF" w:rsidRDefault="00745FEA" w:rsidP="00745FEA">
                  <w:pPr>
                    <w:pStyle w:val="TableBodyText"/>
                    <w:ind w:right="57"/>
                  </w:pPr>
                  <w:r w:rsidRPr="00924DDB">
                    <w:t>0.8</w:t>
                  </w:r>
                </w:p>
              </w:tc>
              <w:tc>
                <w:tcPr>
                  <w:tcW w:w="499" w:type="pct"/>
                  <w:vAlign w:val="bottom"/>
                </w:tcPr>
                <w:p w:rsidR="00745FEA" w:rsidRPr="00F90CBF" w:rsidRDefault="00745FEA" w:rsidP="00745FEA">
                  <w:pPr>
                    <w:pStyle w:val="TableBodyText"/>
                    <w:ind w:right="57"/>
                  </w:pPr>
                  <w:r w:rsidRPr="00924DDB">
                    <w:t>0.8</w:t>
                  </w:r>
                </w:p>
              </w:tc>
              <w:tc>
                <w:tcPr>
                  <w:tcW w:w="499" w:type="pct"/>
                  <w:shd w:val="clear" w:color="auto" w:fill="auto"/>
                  <w:vAlign w:val="bottom"/>
                </w:tcPr>
                <w:p w:rsidR="00745FEA" w:rsidRPr="00F90CBF" w:rsidRDefault="00745FEA" w:rsidP="00745FEA">
                  <w:pPr>
                    <w:pStyle w:val="TableBodyText"/>
                    <w:ind w:right="57"/>
                  </w:pPr>
                  <w:r w:rsidRPr="00924DDB">
                    <w:t>0.8</w:t>
                  </w:r>
                </w:p>
              </w:tc>
              <w:tc>
                <w:tcPr>
                  <w:tcW w:w="498" w:type="pct"/>
                  <w:shd w:val="clear" w:color="auto" w:fill="auto"/>
                  <w:vAlign w:val="bottom"/>
                </w:tcPr>
                <w:p w:rsidR="00745FEA" w:rsidRPr="00F90CBF" w:rsidRDefault="00745FEA" w:rsidP="00745FEA">
                  <w:pPr>
                    <w:pStyle w:val="TableBodyText"/>
                    <w:ind w:right="57"/>
                  </w:pPr>
                  <w:r w:rsidRPr="00924DDB">
                    <w:t>0.8</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Aquaculture and fishing</w:t>
                  </w:r>
                </w:p>
              </w:tc>
              <w:tc>
                <w:tcPr>
                  <w:tcW w:w="501" w:type="pct"/>
                  <w:vAlign w:val="bottom"/>
                </w:tcPr>
                <w:p w:rsidR="00745FEA" w:rsidRPr="00F90CBF" w:rsidRDefault="00745FEA" w:rsidP="00745FEA">
                  <w:pPr>
                    <w:pStyle w:val="TableBodyText"/>
                    <w:ind w:right="57"/>
                  </w:pPr>
                  <w:r w:rsidRPr="00924DDB">
                    <w:t>0.8</w:t>
                  </w:r>
                </w:p>
              </w:tc>
              <w:tc>
                <w:tcPr>
                  <w:tcW w:w="500" w:type="pct"/>
                  <w:vAlign w:val="bottom"/>
                </w:tcPr>
                <w:p w:rsidR="00745FEA" w:rsidRPr="00F90CBF" w:rsidRDefault="00745FEA" w:rsidP="00745FEA">
                  <w:pPr>
                    <w:pStyle w:val="TableBodyText"/>
                    <w:ind w:right="57"/>
                  </w:pPr>
                  <w:r w:rsidRPr="00924DDB">
                    <w:t>0.8</w:t>
                  </w:r>
                </w:p>
              </w:tc>
              <w:tc>
                <w:tcPr>
                  <w:tcW w:w="500" w:type="pct"/>
                  <w:vAlign w:val="bottom"/>
                </w:tcPr>
                <w:p w:rsidR="00745FEA" w:rsidRPr="00F90CBF" w:rsidRDefault="00745FEA" w:rsidP="00745FEA">
                  <w:pPr>
                    <w:pStyle w:val="TableBodyText"/>
                    <w:ind w:right="57"/>
                  </w:pPr>
                  <w:r w:rsidRPr="00924DDB">
                    <w:t>0.8</w:t>
                  </w:r>
                </w:p>
              </w:tc>
              <w:tc>
                <w:tcPr>
                  <w:tcW w:w="499" w:type="pct"/>
                  <w:vAlign w:val="bottom"/>
                </w:tcPr>
                <w:p w:rsidR="00745FEA" w:rsidRPr="00F90CBF" w:rsidRDefault="00745FEA" w:rsidP="00745FEA">
                  <w:pPr>
                    <w:pStyle w:val="TableBodyText"/>
                    <w:ind w:right="57"/>
                  </w:pPr>
                  <w:r w:rsidRPr="00924DDB">
                    <w:t>0.7</w:t>
                  </w:r>
                </w:p>
              </w:tc>
              <w:tc>
                <w:tcPr>
                  <w:tcW w:w="499" w:type="pct"/>
                  <w:shd w:val="clear" w:color="auto" w:fill="auto"/>
                  <w:vAlign w:val="bottom"/>
                </w:tcPr>
                <w:p w:rsidR="00745FEA" w:rsidRPr="00F90CBF" w:rsidRDefault="00745FEA" w:rsidP="00745FEA">
                  <w:pPr>
                    <w:pStyle w:val="TableBodyText"/>
                    <w:ind w:right="57"/>
                  </w:pPr>
                  <w:r w:rsidRPr="00924DDB">
                    <w:t>0.7</w:t>
                  </w:r>
                </w:p>
              </w:tc>
              <w:tc>
                <w:tcPr>
                  <w:tcW w:w="498" w:type="pct"/>
                  <w:shd w:val="clear" w:color="auto" w:fill="auto"/>
                  <w:vAlign w:val="bottom"/>
                </w:tcPr>
                <w:p w:rsidR="00745FEA" w:rsidRPr="00F90CBF" w:rsidRDefault="00745FEA" w:rsidP="00745FEA">
                  <w:pPr>
                    <w:pStyle w:val="TableBodyText"/>
                    <w:ind w:right="57"/>
                  </w:pPr>
                  <w:r w:rsidRPr="00924DDB">
                    <w:t>0.7</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Forestry and logging</w:t>
                  </w:r>
                </w:p>
              </w:tc>
              <w:tc>
                <w:tcPr>
                  <w:tcW w:w="501" w:type="pct"/>
                  <w:vAlign w:val="bottom"/>
                </w:tcPr>
                <w:p w:rsidR="00745FEA" w:rsidRPr="00F90CBF" w:rsidRDefault="00745FEA" w:rsidP="00745FEA">
                  <w:pPr>
                    <w:pStyle w:val="TableBodyText"/>
                    <w:ind w:right="57"/>
                  </w:pPr>
                  <w:r w:rsidRPr="00924DDB">
                    <w:t>0.2</w:t>
                  </w:r>
                </w:p>
              </w:tc>
              <w:tc>
                <w:tcPr>
                  <w:tcW w:w="500" w:type="pct"/>
                  <w:vAlign w:val="bottom"/>
                </w:tcPr>
                <w:p w:rsidR="00745FEA" w:rsidRPr="00F90CBF" w:rsidRDefault="00745FEA" w:rsidP="00745FEA">
                  <w:pPr>
                    <w:pStyle w:val="TableBodyText"/>
                    <w:ind w:right="57"/>
                  </w:pPr>
                  <w:r w:rsidRPr="00924DDB">
                    <w:t>0.2</w:t>
                  </w:r>
                </w:p>
              </w:tc>
              <w:tc>
                <w:tcPr>
                  <w:tcW w:w="500" w:type="pct"/>
                  <w:vAlign w:val="bottom"/>
                </w:tcPr>
                <w:p w:rsidR="00745FEA" w:rsidRPr="00F90CBF" w:rsidRDefault="00745FEA" w:rsidP="00745FEA">
                  <w:pPr>
                    <w:pStyle w:val="TableBodyText"/>
                    <w:ind w:right="57"/>
                  </w:pPr>
                  <w:r w:rsidRPr="00924DDB">
                    <w:t>0.2</w:t>
                  </w:r>
                </w:p>
              </w:tc>
              <w:tc>
                <w:tcPr>
                  <w:tcW w:w="499" w:type="pct"/>
                  <w:vAlign w:val="bottom"/>
                </w:tcPr>
                <w:p w:rsidR="00745FEA" w:rsidRPr="00F90CBF" w:rsidRDefault="00745FEA" w:rsidP="00745FEA">
                  <w:pPr>
                    <w:pStyle w:val="TableBodyText"/>
                    <w:ind w:right="57"/>
                  </w:pPr>
                  <w:r w:rsidRPr="00924DDB">
                    <w:t>0.2</w:t>
                  </w:r>
                </w:p>
              </w:tc>
              <w:tc>
                <w:tcPr>
                  <w:tcW w:w="499" w:type="pct"/>
                  <w:shd w:val="clear" w:color="auto" w:fill="auto"/>
                  <w:vAlign w:val="bottom"/>
                </w:tcPr>
                <w:p w:rsidR="00745FEA" w:rsidRPr="00F90CBF" w:rsidRDefault="00745FEA" w:rsidP="00745FEA">
                  <w:pPr>
                    <w:pStyle w:val="TableBodyText"/>
                    <w:ind w:right="57"/>
                  </w:pPr>
                  <w:r w:rsidRPr="00924DDB">
                    <w:t>0.2</w:t>
                  </w:r>
                </w:p>
              </w:tc>
              <w:tc>
                <w:tcPr>
                  <w:tcW w:w="498" w:type="pct"/>
                  <w:shd w:val="clear" w:color="auto" w:fill="auto"/>
                  <w:vAlign w:val="bottom"/>
                </w:tcPr>
                <w:p w:rsidR="00745FEA" w:rsidRPr="00F90CBF" w:rsidRDefault="00745FEA" w:rsidP="00745FEA">
                  <w:pPr>
                    <w:pStyle w:val="TableBodyText"/>
                    <w:ind w:right="57"/>
                  </w:pPr>
                  <w:r w:rsidRPr="00924DDB">
                    <w:t>0.2</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Primary production support services</w:t>
                  </w:r>
                </w:p>
              </w:tc>
              <w:tc>
                <w:tcPr>
                  <w:tcW w:w="501" w:type="pct"/>
                  <w:vAlign w:val="bottom"/>
                </w:tcPr>
                <w:p w:rsidR="00745FEA" w:rsidRPr="00F90CBF" w:rsidRDefault="00745FEA" w:rsidP="00745FEA">
                  <w:pPr>
                    <w:pStyle w:val="TableBodyText"/>
                    <w:ind w:right="57"/>
                  </w:pPr>
                  <w:r w:rsidRPr="00924DDB">
                    <w:t>0.8</w:t>
                  </w:r>
                </w:p>
              </w:tc>
              <w:tc>
                <w:tcPr>
                  <w:tcW w:w="500" w:type="pct"/>
                  <w:vAlign w:val="bottom"/>
                </w:tcPr>
                <w:p w:rsidR="00745FEA" w:rsidRPr="00F90CBF" w:rsidRDefault="00745FEA" w:rsidP="00745FEA">
                  <w:pPr>
                    <w:pStyle w:val="TableBodyText"/>
                    <w:ind w:right="57"/>
                  </w:pPr>
                  <w:r w:rsidRPr="00924DDB">
                    <w:t>0.8</w:t>
                  </w:r>
                </w:p>
              </w:tc>
              <w:tc>
                <w:tcPr>
                  <w:tcW w:w="500" w:type="pct"/>
                  <w:vAlign w:val="bottom"/>
                </w:tcPr>
                <w:p w:rsidR="00745FEA" w:rsidRPr="00F90CBF" w:rsidRDefault="00745FEA" w:rsidP="00745FEA">
                  <w:pPr>
                    <w:pStyle w:val="TableBodyText"/>
                    <w:ind w:right="57"/>
                  </w:pPr>
                  <w:r w:rsidRPr="00924DDB">
                    <w:t>0.8</w:t>
                  </w:r>
                </w:p>
              </w:tc>
              <w:tc>
                <w:tcPr>
                  <w:tcW w:w="499" w:type="pct"/>
                  <w:vAlign w:val="bottom"/>
                </w:tcPr>
                <w:p w:rsidR="00745FEA" w:rsidRPr="00F90CBF" w:rsidRDefault="00745FEA" w:rsidP="00745FEA">
                  <w:pPr>
                    <w:pStyle w:val="TableBodyText"/>
                    <w:ind w:right="57"/>
                  </w:pPr>
                  <w:r w:rsidRPr="00924DDB">
                    <w:t>0.8</w:t>
                  </w:r>
                </w:p>
              </w:tc>
              <w:tc>
                <w:tcPr>
                  <w:tcW w:w="499" w:type="pct"/>
                  <w:shd w:val="clear" w:color="auto" w:fill="auto"/>
                  <w:vAlign w:val="bottom"/>
                </w:tcPr>
                <w:p w:rsidR="00745FEA" w:rsidRPr="00F90CBF" w:rsidRDefault="00745FEA" w:rsidP="00745FEA">
                  <w:pPr>
                    <w:pStyle w:val="TableBodyText"/>
                    <w:ind w:right="57"/>
                  </w:pPr>
                  <w:r w:rsidRPr="00924DDB">
                    <w:t>0.8</w:t>
                  </w:r>
                </w:p>
              </w:tc>
              <w:tc>
                <w:tcPr>
                  <w:tcW w:w="498" w:type="pct"/>
                  <w:shd w:val="clear" w:color="auto" w:fill="auto"/>
                  <w:vAlign w:val="bottom"/>
                </w:tcPr>
                <w:p w:rsidR="00745FEA" w:rsidRPr="00F90CBF" w:rsidRDefault="00745FEA" w:rsidP="00745FEA">
                  <w:pPr>
                    <w:pStyle w:val="TableBodyText"/>
                    <w:ind w:right="57"/>
                  </w:pPr>
                  <w:r w:rsidRPr="00924DDB">
                    <w:t>0.8</w:t>
                  </w:r>
                </w:p>
              </w:tc>
            </w:tr>
            <w:tr w:rsidR="00745FEA" w:rsidRPr="00E83529" w:rsidTr="00745FEA">
              <w:tc>
                <w:tcPr>
                  <w:tcW w:w="2003" w:type="pct"/>
                  <w:shd w:val="clear" w:color="auto" w:fill="auto"/>
                  <w:vAlign w:val="bottom"/>
                </w:tcPr>
                <w:p w:rsidR="00745FEA" w:rsidRPr="00E83529" w:rsidRDefault="00745FEA" w:rsidP="00745FEA">
                  <w:pPr>
                    <w:spacing w:after="40"/>
                    <w:rPr>
                      <w:rFonts w:ascii="Arial" w:hAnsi="Arial" w:cs="Arial"/>
                      <w:b/>
                      <w:bCs/>
                      <w:sz w:val="18"/>
                      <w:szCs w:val="18"/>
                    </w:rPr>
                  </w:pPr>
                  <w:r w:rsidRPr="00E83529">
                    <w:rPr>
                      <w:rFonts w:ascii="Arial" w:hAnsi="Arial" w:cs="Arial"/>
                      <w:b/>
                      <w:bCs/>
                      <w:sz w:val="18"/>
                      <w:szCs w:val="18"/>
                    </w:rPr>
                    <w:t>Mining</w:t>
                  </w:r>
                </w:p>
              </w:tc>
              <w:tc>
                <w:tcPr>
                  <w:tcW w:w="501" w:type="pct"/>
                  <w:vAlign w:val="bottom"/>
                </w:tcPr>
                <w:p w:rsidR="00745FEA" w:rsidRPr="00E83529" w:rsidRDefault="00745FEA" w:rsidP="00745FEA">
                  <w:pPr>
                    <w:pStyle w:val="TableBodyText"/>
                    <w:ind w:right="57"/>
                    <w:rPr>
                      <w:b/>
                    </w:rPr>
                  </w:pPr>
                  <w:r w:rsidRPr="00E83529">
                    <w:rPr>
                      <w:b/>
                    </w:rPr>
                    <w:t>0.7</w:t>
                  </w:r>
                </w:p>
              </w:tc>
              <w:tc>
                <w:tcPr>
                  <w:tcW w:w="500" w:type="pct"/>
                  <w:vAlign w:val="bottom"/>
                </w:tcPr>
                <w:p w:rsidR="00745FEA" w:rsidRPr="00E83529" w:rsidRDefault="00745FEA" w:rsidP="00745FEA">
                  <w:pPr>
                    <w:pStyle w:val="TableBodyText"/>
                    <w:ind w:right="57"/>
                    <w:rPr>
                      <w:b/>
                    </w:rPr>
                  </w:pPr>
                  <w:r w:rsidRPr="00E83529">
                    <w:rPr>
                      <w:b/>
                    </w:rPr>
                    <w:t>0.7</w:t>
                  </w:r>
                </w:p>
              </w:tc>
              <w:tc>
                <w:tcPr>
                  <w:tcW w:w="500" w:type="pct"/>
                  <w:vAlign w:val="bottom"/>
                </w:tcPr>
                <w:p w:rsidR="00745FEA" w:rsidRPr="00E83529" w:rsidRDefault="00745FEA" w:rsidP="00745FEA">
                  <w:pPr>
                    <w:pStyle w:val="TableBodyText"/>
                    <w:ind w:right="57"/>
                    <w:rPr>
                      <w:b/>
                    </w:rPr>
                  </w:pPr>
                  <w:r w:rsidRPr="00E83529">
                    <w:rPr>
                      <w:b/>
                    </w:rPr>
                    <w:t>0.7</w:t>
                  </w:r>
                </w:p>
              </w:tc>
              <w:tc>
                <w:tcPr>
                  <w:tcW w:w="499" w:type="pct"/>
                  <w:vAlign w:val="bottom"/>
                </w:tcPr>
                <w:p w:rsidR="00745FEA" w:rsidRPr="00E83529" w:rsidRDefault="00745FEA" w:rsidP="00745FEA">
                  <w:pPr>
                    <w:pStyle w:val="TableBodyText"/>
                    <w:ind w:right="57"/>
                    <w:rPr>
                      <w:b/>
                    </w:rPr>
                  </w:pPr>
                  <w:r w:rsidRPr="00E83529">
                    <w:rPr>
                      <w:b/>
                    </w:rPr>
                    <w:t>0.6</w:t>
                  </w:r>
                </w:p>
              </w:tc>
              <w:tc>
                <w:tcPr>
                  <w:tcW w:w="499" w:type="pct"/>
                  <w:shd w:val="clear" w:color="auto" w:fill="auto"/>
                  <w:vAlign w:val="bottom"/>
                </w:tcPr>
                <w:p w:rsidR="00745FEA" w:rsidRPr="00E83529" w:rsidRDefault="00745FEA" w:rsidP="00745FEA">
                  <w:pPr>
                    <w:pStyle w:val="TableBodyText"/>
                    <w:ind w:right="57"/>
                    <w:rPr>
                      <w:b/>
                    </w:rPr>
                  </w:pPr>
                  <w:r w:rsidRPr="00E83529">
                    <w:rPr>
                      <w:b/>
                    </w:rPr>
                    <w:t>0.6</w:t>
                  </w:r>
                </w:p>
              </w:tc>
              <w:tc>
                <w:tcPr>
                  <w:tcW w:w="498" w:type="pct"/>
                  <w:shd w:val="clear" w:color="auto" w:fill="auto"/>
                  <w:vAlign w:val="bottom"/>
                </w:tcPr>
                <w:p w:rsidR="00745FEA" w:rsidRPr="00E83529" w:rsidRDefault="00745FEA" w:rsidP="00745FEA">
                  <w:pPr>
                    <w:pStyle w:val="TableBodyText"/>
                    <w:ind w:right="57"/>
                    <w:rPr>
                      <w:b/>
                    </w:rPr>
                  </w:pPr>
                  <w:r w:rsidRPr="00E83529">
                    <w:rPr>
                      <w:b/>
                    </w:rPr>
                    <w:t>0.6</w:t>
                  </w:r>
                </w:p>
              </w:tc>
            </w:tr>
            <w:tr w:rsidR="00745FEA" w:rsidRPr="00E83529" w:rsidTr="00745FEA">
              <w:tc>
                <w:tcPr>
                  <w:tcW w:w="2003" w:type="pct"/>
                  <w:shd w:val="clear" w:color="auto" w:fill="auto"/>
                  <w:vAlign w:val="bottom"/>
                </w:tcPr>
                <w:p w:rsidR="00745FEA" w:rsidRPr="00E83529" w:rsidRDefault="00745FEA" w:rsidP="00745FEA">
                  <w:pPr>
                    <w:spacing w:after="40"/>
                    <w:rPr>
                      <w:rFonts w:ascii="Arial" w:hAnsi="Arial" w:cs="Arial"/>
                      <w:b/>
                      <w:bCs/>
                      <w:sz w:val="18"/>
                      <w:szCs w:val="18"/>
                    </w:rPr>
                  </w:pPr>
                  <w:r w:rsidRPr="00E83529">
                    <w:rPr>
                      <w:rFonts w:ascii="Arial" w:hAnsi="Arial" w:cs="Arial"/>
                      <w:b/>
                      <w:bCs/>
                      <w:sz w:val="18"/>
                      <w:szCs w:val="18"/>
                    </w:rPr>
                    <w:t>Manufacturing</w:t>
                  </w:r>
                  <w:r w:rsidRPr="009E76C0">
                    <w:rPr>
                      <w:rStyle w:val="NoteLabel"/>
                    </w:rPr>
                    <w:t>b</w:t>
                  </w:r>
                </w:p>
              </w:tc>
              <w:tc>
                <w:tcPr>
                  <w:tcW w:w="501" w:type="pct"/>
                  <w:vAlign w:val="bottom"/>
                </w:tcPr>
                <w:p w:rsidR="00745FEA" w:rsidRPr="00E83529" w:rsidRDefault="00745FEA" w:rsidP="00745FEA">
                  <w:pPr>
                    <w:pStyle w:val="TableBodyText"/>
                    <w:ind w:right="57"/>
                    <w:rPr>
                      <w:b/>
                    </w:rPr>
                  </w:pPr>
                  <w:r w:rsidRPr="00E83529">
                    <w:rPr>
                      <w:b/>
                    </w:rPr>
                    <w:t>0.9</w:t>
                  </w:r>
                </w:p>
              </w:tc>
              <w:tc>
                <w:tcPr>
                  <w:tcW w:w="500" w:type="pct"/>
                  <w:vAlign w:val="bottom"/>
                </w:tcPr>
                <w:p w:rsidR="00745FEA" w:rsidRPr="00E83529" w:rsidRDefault="00745FEA" w:rsidP="00745FEA">
                  <w:pPr>
                    <w:pStyle w:val="TableBodyText"/>
                    <w:ind w:right="57"/>
                    <w:rPr>
                      <w:b/>
                    </w:rPr>
                  </w:pPr>
                  <w:r w:rsidRPr="00E83529">
                    <w:rPr>
                      <w:b/>
                    </w:rPr>
                    <w:t>0.9</w:t>
                  </w:r>
                </w:p>
              </w:tc>
              <w:tc>
                <w:tcPr>
                  <w:tcW w:w="500" w:type="pct"/>
                  <w:vAlign w:val="bottom"/>
                </w:tcPr>
                <w:p w:rsidR="00745FEA" w:rsidRPr="00E83529" w:rsidRDefault="00745FEA" w:rsidP="00745FEA">
                  <w:pPr>
                    <w:pStyle w:val="TableBodyText"/>
                    <w:ind w:right="57"/>
                    <w:rPr>
                      <w:b/>
                    </w:rPr>
                  </w:pPr>
                  <w:r w:rsidRPr="00E83529">
                    <w:rPr>
                      <w:b/>
                    </w:rPr>
                    <w:t>0.9</w:t>
                  </w:r>
                </w:p>
              </w:tc>
              <w:tc>
                <w:tcPr>
                  <w:tcW w:w="499" w:type="pct"/>
                  <w:vAlign w:val="bottom"/>
                </w:tcPr>
                <w:p w:rsidR="00745FEA" w:rsidRPr="00E83529" w:rsidRDefault="00745FEA" w:rsidP="00745FEA">
                  <w:pPr>
                    <w:pStyle w:val="TableBodyText"/>
                    <w:ind w:right="57"/>
                    <w:rPr>
                      <w:b/>
                    </w:rPr>
                  </w:pPr>
                  <w:r w:rsidRPr="00E83529">
                    <w:rPr>
                      <w:b/>
                    </w:rPr>
                    <w:t>0.9</w:t>
                  </w:r>
                </w:p>
              </w:tc>
              <w:tc>
                <w:tcPr>
                  <w:tcW w:w="499" w:type="pct"/>
                  <w:shd w:val="clear" w:color="auto" w:fill="auto"/>
                  <w:vAlign w:val="bottom"/>
                </w:tcPr>
                <w:p w:rsidR="00745FEA" w:rsidRPr="00E83529" w:rsidRDefault="00745FEA" w:rsidP="00745FEA">
                  <w:pPr>
                    <w:pStyle w:val="TableBodyText"/>
                    <w:ind w:right="57"/>
                    <w:rPr>
                      <w:b/>
                    </w:rPr>
                  </w:pPr>
                  <w:r w:rsidRPr="00E83529">
                    <w:rPr>
                      <w:b/>
                    </w:rPr>
                    <w:t>0.8</w:t>
                  </w:r>
                </w:p>
              </w:tc>
              <w:tc>
                <w:tcPr>
                  <w:tcW w:w="498" w:type="pct"/>
                  <w:shd w:val="clear" w:color="auto" w:fill="auto"/>
                  <w:vAlign w:val="bottom"/>
                </w:tcPr>
                <w:p w:rsidR="00745FEA" w:rsidRPr="00E83529" w:rsidRDefault="00745FEA" w:rsidP="00745FEA">
                  <w:pPr>
                    <w:pStyle w:val="TableBodyText"/>
                    <w:ind w:right="57"/>
                    <w:rPr>
                      <w:b/>
                    </w:rPr>
                  </w:pPr>
                  <w:r w:rsidRPr="00E83529">
                    <w:rPr>
                      <w:b/>
                    </w:rPr>
                    <w:t>0.8</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Food, beverages and tobacco</w:t>
                  </w:r>
                </w:p>
              </w:tc>
              <w:tc>
                <w:tcPr>
                  <w:tcW w:w="501" w:type="pct"/>
                  <w:vAlign w:val="bottom"/>
                </w:tcPr>
                <w:p w:rsidR="00745FEA" w:rsidRPr="00F90CBF" w:rsidRDefault="00745FEA" w:rsidP="00745FEA">
                  <w:pPr>
                    <w:pStyle w:val="TableBodyText"/>
                    <w:ind w:right="57"/>
                  </w:pPr>
                  <w:r w:rsidRPr="00924DDB">
                    <w:t>1.5</w:t>
                  </w:r>
                </w:p>
              </w:tc>
              <w:tc>
                <w:tcPr>
                  <w:tcW w:w="500" w:type="pct"/>
                  <w:vAlign w:val="bottom"/>
                </w:tcPr>
                <w:p w:rsidR="00745FEA" w:rsidRPr="00F90CBF" w:rsidRDefault="00745FEA" w:rsidP="00745FEA">
                  <w:pPr>
                    <w:pStyle w:val="TableBodyText"/>
                    <w:ind w:right="57"/>
                  </w:pPr>
                  <w:r w:rsidRPr="00924DDB">
                    <w:t>1.5</w:t>
                  </w:r>
                </w:p>
              </w:tc>
              <w:tc>
                <w:tcPr>
                  <w:tcW w:w="500" w:type="pct"/>
                  <w:vAlign w:val="bottom"/>
                </w:tcPr>
                <w:p w:rsidR="00745FEA" w:rsidRPr="00F90CBF" w:rsidRDefault="00745FEA" w:rsidP="00745FEA">
                  <w:pPr>
                    <w:pStyle w:val="TableBodyText"/>
                    <w:ind w:right="57"/>
                  </w:pPr>
                  <w:r w:rsidRPr="00924DDB">
                    <w:t>1.5</w:t>
                  </w:r>
                </w:p>
              </w:tc>
              <w:tc>
                <w:tcPr>
                  <w:tcW w:w="499" w:type="pct"/>
                  <w:vAlign w:val="bottom"/>
                </w:tcPr>
                <w:p w:rsidR="00745FEA" w:rsidRPr="00F90CBF" w:rsidRDefault="00745FEA" w:rsidP="00745FEA">
                  <w:pPr>
                    <w:pStyle w:val="TableBodyText"/>
                    <w:ind w:right="57"/>
                  </w:pPr>
                  <w:r w:rsidRPr="00924DDB">
                    <w:t>1.5</w:t>
                  </w:r>
                </w:p>
              </w:tc>
              <w:tc>
                <w:tcPr>
                  <w:tcW w:w="499" w:type="pct"/>
                  <w:shd w:val="clear" w:color="auto" w:fill="auto"/>
                  <w:vAlign w:val="bottom"/>
                </w:tcPr>
                <w:p w:rsidR="00745FEA" w:rsidRPr="00F90CBF" w:rsidRDefault="00745FEA" w:rsidP="00745FEA">
                  <w:pPr>
                    <w:pStyle w:val="TableBodyText"/>
                    <w:ind w:right="57"/>
                  </w:pPr>
                  <w:r w:rsidRPr="00924DDB">
                    <w:t>1.5</w:t>
                  </w:r>
                </w:p>
              </w:tc>
              <w:tc>
                <w:tcPr>
                  <w:tcW w:w="498" w:type="pct"/>
                  <w:shd w:val="clear" w:color="auto" w:fill="auto"/>
                  <w:vAlign w:val="bottom"/>
                </w:tcPr>
                <w:p w:rsidR="00745FEA" w:rsidRPr="00F90CBF" w:rsidRDefault="00745FEA" w:rsidP="00745FEA">
                  <w:pPr>
                    <w:pStyle w:val="TableBodyText"/>
                    <w:ind w:right="57"/>
                  </w:pPr>
                  <w:r w:rsidRPr="00924DDB">
                    <w:t>1.5</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Textile, leather, clothing and footwear</w:t>
                  </w:r>
                </w:p>
              </w:tc>
              <w:tc>
                <w:tcPr>
                  <w:tcW w:w="501" w:type="pct"/>
                  <w:vAlign w:val="bottom"/>
                </w:tcPr>
                <w:p w:rsidR="00745FEA" w:rsidRPr="00F90CBF" w:rsidRDefault="00745FEA" w:rsidP="00745FEA">
                  <w:pPr>
                    <w:pStyle w:val="TableBodyText"/>
                    <w:ind w:right="57"/>
                  </w:pPr>
                  <w:r w:rsidRPr="00924DDB">
                    <w:t>1.5</w:t>
                  </w:r>
                </w:p>
              </w:tc>
              <w:tc>
                <w:tcPr>
                  <w:tcW w:w="500" w:type="pct"/>
                  <w:vAlign w:val="bottom"/>
                </w:tcPr>
                <w:p w:rsidR="00745FEA" w:rsidRPr="00F90CBF" w:rsidRDefault="00745FEA" w:rsidP="00745FEA">
                  <w:pPr>
                    <w:pStyle w:val="TableBodyText"/>
                    <w:ind w:right="57"/>
                  </w:pPr>
                  <w:r w:rsidRPr="00924DDB">
                    <w:t>1.5</w:t>
                  </w:r>
                </w:p>
              </w:tc>
              <w:tc>
                <w:tcPr>
                  <w:tcW w:w="500" w:type="pct"/>
                  <w:vAlign w:val="bottom"/>
                </w:tcPr>
                <w:p w:rsidR="00745FEA" w:rsidRPr="00F90CBF" w:rsidRDefault="00745FEA" w:rsidP="00745FEA">
                  <w:pPr>
                    <w:pStyle w:val="TableBodyText"/>
                    <w:ind w:right="57"/>
                  </w:pPr>
                  <w:r w:rsidRPr="00924DDB">
                    <w:t>1.5</w:t>
                  </w:r>
                </w:p>
              </w:tc>
              <w:tc>
                <w:tcPr>
                  <w:tcW w:w="499" w:type="pct"/>
                  <w:vAlign w:val="bottom"/>
                </w:tcPr>
                <w:p w:rsidR="00745FEA" w:rsidRPr="00F90CBF" w:rsidRDefault="00745FEA" w:rsidP="00745FEA">
                  <w:pPr>
                    <w:pStyle w:val="TableBodyText"/>
                    <w:ind w:right="57"/>
                  </w:pPr>
                  <w:r w:rsidRPr="00924DDB">
                    <w:t>1.3</w:t>
                  </w:r>
                </w:p>
              </w:tc>
              <w:tc>
                <w:tcPr>
                  <w:tcW w:w="499" w:type="pct"/>
                  <w:shd w:val="clear" w:color="auto" w:fill="auto"/>
                  <w:vAlign w:val="bottom"/>
                </w:tcPr>
                <w:p w:rsidR="00745FEA" w:rsidRPr="00F90CBF" w:rsidRDefault="00745FEA" w:rsidP="00745FEA">
                  <w:pPr>
                    <w:pStyle w:val="TableBodyText"/>
                    <w:ind w:right="57"/>
                  </w:pPr>
                  <w:r w:rsidRPr="00924DDB">
                    <w:t>1.2</w:t>
                  </w:r>
                </w:p>
              </w:tc>
              <w:tc>
                <w:tcPr>
                  <w:tcW w:w="498" w:type="pct"/>
                  <w:shd w:val="clear" w:color="auto" w:fill="auto"/>
                  <w:vAlign w:val="bottom"/>
                </w:tcPr>
                <w:p w:rsidR="00745FEA" w:rsidRPr="00F90CBF" w:rsidRDefault="00745FEA" w:rsidP="00745FEA">
                  <w:pPr>
                    <w:pStyle w:val="TableBodyText"/>
                    <w:ind w:right="57"/>
                  </w:pPr>
                  <w:r w:rsidRPr="00924DDB">
                    <w:t>1.2</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Wood and paper products</w:t>
                  </w:r>
                </w:p>
              </w:tc>
              <w:tc>
                <w:tcPr>
                  <w:tcW w:w="501" w:type="pct"/>
                  <w:vAlign w:val="bottom"/>
                </w:tcPr>
                <w:p w:rsidR="00745FEA" w:rsidRPr="00F90CBF" w:rsidRDefault="00745FEA" w:rsidP="00745FEA">
                  <w:pPr>
                    <w:pStyle w:val="TableBodyText"/>
                    <w:ind w:right="57"/>
                  </w:pPr>
                  <w:r w:rsidRPr="00924DDB">
                    <w:t>1.8</w:t>
                  </w:r>
                </w:p>
              </w:tc>
              <w:tc>
                <w:tcPr>
                  <w:tcW w:w="500" w:type="pct"/>
                  <w:vAlign w:val="bottom"/>
                </w:tcPr>
                <w:p w:rsidR="00745FEA" w:rsidRPr="00F90CBF" w:rsidRDefault="00745FEA" w:rsidP="00745FEA">
                  <w:pPr>
                    <w:pStyle w:val="TableBodyText"/>
                    <w:ind w:right="57"/>
                  </w:pPr>
                  <w:r w:rsidRPr="00924DDB">
                    <w:t>1.8</w:t>
                  </w:r>
                </w:p>
              </w:tc>
              <w:tc>
                <w:tcPr>
                  <w:tcW w:w="500" w:type="pct"/>
                  <w:vAlign w:val="bottom"/>
                </w:tcPr>
                <w:p w:rsidR="00745FEA" w:rsidRPr="00F90CBF" w:rsidRDefault="00745FEA" w:rsidP="00745FEA">
                  <w:pPr>
                    <w:pStyle w:val="TableBodyText"/>
                    <w:ind w:right="57"/>
                  </w:pPr>
                  <w:r w:rsidRPr="00924DDB">
                    <w:t>1.8</w:t>
                  </w:r>
                </w:p>
              </w:tc>
              <w:tc>
                <w:tcPr>
                  <w:tcW w:w="499" w:type="pct"/>
                  <w:vAlign w:val="bottom"/>
                </w:tcPr>
                <w:p w:rsidR="00745FEA" w:rsidRPr="00F90CBF" w:rsidRDefault="00745FEA" w:rsidP="00745FEA">
                  <w:pPr>
                    <w:pStyle w:val="TableBodyText"/>
                    <w:ind w:right="57"/>
                  </w:pPr>
                  <w:r w:rsidRPr="00924DDB">
                    <w:t>1.8</w:t>
                  </w:r>
                </w:p>
              </w:tc>
              <w:tc>
                <w:tcPr>
                  <w:tcW w:w="499" w:type="pct"/>
                  <w:shd w:val="clear" w:color="auto" w:fill="auto"/>
                  <w:vAlign w:val="bottom"/>
                </w:tcPr>
                <w:p w:rsidR="00745FEA" w:rsidRPr="00F90CBF" w:rsidRDefault="00745FEA" w:rsidP="00745FEA">
                  <w:pPr>
                    <w:pStyle w:val="TableBodyText"/>
                    <w:ind w:right="57"/>
                  </w:pPr>
                  <w:r w:rsidRPr="00924DDB">
                    <w:t>1.8</w:t>
                  </w:r>
                </w:p>
              </w:tc>
              <w:tc>
                <w:tcPr>
                  <w:tcW w:w="498" w:type="pct"/>
                  <w:shd w:val="clear" w:color="auto" w:fill="auto"/>
                  <w:vAlign w:val="bottom"/>
                </w:tcPr>
                <w:p w:rsidR="00745FEA" w:rsidRPr="00F90CBF" w:rsidRDefault="00745FEA" w:rsidP="00745FEA">
                  <w:pPr>
                    <w:pStyle w:val="TableBodyText"/>
                    <w:ind w:right="57"/>
                  </w:pPr>
                  <w:r w:rsidRPr="00924DDB">
                    <w:t>1.8</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Printing and recorded media</w:t>
                  </w:r>
                </w:p>
              </w:tc>
              <w:tc>
                <w:tcPr>
                  <w:tcW w:w="501" w:type="pct"/>
                  <w:vAlign w:val="bottom"/>
                </w:tcPr>
                <w:p w:rsidR="00745FEA" w:rsidRPr="00F90CBF" w:rsidRDefault="00745FEA" w:rsidP="00745FEA">
                  <w:pPr>
                    <w:pStyle w:val="TableBodyText"/>
                    <w:ind w:right="57"/>
                  </w:pPr>
                  <w:r w:rsidRPr="00924DDB">
                    <w:t>1.8</w:t>
                  </w:r>
                </w:p>
              </w:tc>
              <w:tc>
                <w:tcPr>
                  <w:tcW w:w="500" w:type="pct"/>
                  <w:vAlign w:val="bottom"/>
                </w:tcPr>
                <w:p w:rsidR="00745FEA" w:rsidRPr="00F90CBF" w:rsidRDefault="00745FEA" w:rsidP="00745FEA">
                  <w:pPr>
                    <w:pStyle w:val="TableBodyText"/>
                    <w:ind w:right="57"/>
                  </w:pPr>
                  <w:r w:rsidRPr="00924DDB">
                    <w:t>1.8</w:t>
                  </w:r>
                </w:p>
              </w:tc>
              <w:tc>
                <w:tcPr>
                  <w:tcW w:w="500" w:type="pct"/>
                  <w:vAlign w:val="bottom"/>
                </w:tcPr>
                <w:p w:rsidR="00745FEA" w:rsidRPr="00F90CBF" w:rsidRDefault="00745FEA" w:rsidP="00745FEA">
                  <w:pPr>
                    <w:pStyle w:val="TableBodyText"/>
                    <w:ind w:right="57"/>
                  </w:pPr>
                  <w:r w:rsidRPr="00924DDB">
                    <w:t>1.8</w:t>
                  </w:r>
                </w:p>
              </w:tc>
              <w:tc>
                <w:tcPr>
                  <w:tcW w:w="499" w:type="pct"/>
                  <w:vAlign w:val="bottom"/>
                </w:tcPr>
                <w:p w:rsidR="00745FEA" w:rsidRPr="00F90CBF" w:rsidRDefault="00745FEA" w:rsidP="00745FEA">
                  <w:pPr>
                    <w:pStyle w:val="TableBodyText"/>
                    <w:ind w:right="57"/>
                  </w:pPr>
                  <w:r w:rsidRPr="00924DDB">
                    <w:t>1.8</w:t>
                  </w:r>
                </w:p>
              </w:tc>
              <w:tc>
                <w:tcPr>
                  <w:tcW w:w="499" w:type="pct"/>
                  <w:shd w:val="clear" w:color="auto" w:fill="auto"/>
                  <w:vAlign w:val="bottom"/>
                </w:tcPr>
                <w:p w:rsidR="00745FEA" w:rsidRPr="00F90CBF" w:rsidRDefault="00745FEA" w:rsidP="00745FEA">
                  <w:pPr>
                    <w:pStyle w:val="TableBodyText"/>
                    <w:ind w:right="57"/>
                  </w:pPr>
                  <w:r w:rsidRPr="00924DDB">
                    <w:t>1.7</w:t>
                  </w:r>
                </w:p>
              </w:tc>
              <w:tc>
                <w:tcPr>
                  <w:tcW w:w="498" w:type="pct"/>
                  <w:shd w:val="clear" w:color="auto" w:fill="auto"/>
                  <w:vAlign w:val="bottom"/>
                </w:tcPr>
                <w:p w:rsidR="00745FEA" w:rsidRPr="00F90CBF" w:rsidRDefault="00745FEA" w:rsidP="00745FEA">
                  <w:pPr>
                    <w:pStyle w:val="TableBodyText"/>
                    <w:ind w:right="57"/>
                  </w:pPr>
                  <w:r w:rsidRPr="00924DDB">
                    <w:t>1.7</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Petroleum, coal, chemical and rubber</w:t>
                  </w:r>
                </w:p>
              </w:tc>
              <w:tc>
                <w:tcPr>
                  <w:tcW w:w="501" w:type="pct"/>
                  <w:vAlign w:val="bottom"/>
                </w:tcPr>
                <w:p w:rsidR="00745FEA" w:rsidRPr="00F90CBF" w:rsidRDefault="00745FEA" w:rsidP="00745FEA">
                  <w:pPr>
                    <w:pStyle w:val="TableBodyText"/>
                    <w:ind w:right="57"/>
                  </w:pPr>
                  <w:r w:rsidRPr="00924DDB">
                    <w:t>0.3</w:t>
                  </w:r>
                </w:p>
              </w:tc>
              <w:tc>
                <w:tcPr>
                  <w:tcW w:w="500" w:type="pct"/>
                  <w:vAlign w:val="bottom"/>
                </w:tcPr>
                <w:p w:rsidR="00745FEA" w:rsidRPr="00F90CBF" w:rsidRDefault="00745FEA" w:rsidP="00745FEA">
                  <w:pPr>
                    <w:pStyle w:val="TableBodyText"/>
                    <w:ind w:right="57"/>
                  </w:pPr>
                  <w:r w:rsidRPr="00924DDB">
                    <w:t>0.3</w:t>
                  </w:r>
                </w:p>
              </w:tc>
              <w:tc>
                <w:tcPr>
                  <w:tcW w:w="500" w:type="pct"/>
                  <w:vAlign w:val="bottom"/>
                </w:tcPr>
                <w:p w:rsidR="00745FEA" w:rsidRPr="00F90CBF" w:rsidRDefault="00745FEA" w:rsidP="00745FEA">
                  <w:pPr>
                    <w:pStyle w:val="TableBodyText"/>
                    <w:ind w:right="57"/>
                  </w:pPr>
                  <w:r w:rsidRPr="00924DDB">
                    <w:t>0.3</w:t>
                  </w:r>
                </w:p>
              </w:tc>
              <w:tc>
                <w:tcPr>
                  <w:tcW w:w="499" w:type="pct"/>
                  <w:vAlign w:val="bottom"/>
                </w:tcPr>
                <w:p w:rsidR="00745FEA" w:rsidRPr="00F90CBF" w:rsidRDefault="00745FEA" w:rsidP="00745FEA">
                  <w:pPr>
                    <w:pStyle w:val="TableBodyText"/>
                    <w:ind w:right="57"/>
                  </w:pPr>
                  <w:r w:rsidRPr="00924DDB">
                    <w:t>0.3</w:t>
                  </w:r>
                </w:p>
              </w:tc>
              <w:tc>
                <w:tcPr>
                  <w:tcW w:w="499" w:type="pct"/>
                  <w:shd w:val="clear" w:color="auto" w:fill="auto"/>
                  <w:vAlign w:val="bottom"/>
                </w:tcPr>
                <w:p w:rsidR="00745FEA" w:rsidRPr="00F90CBF" w:rsidRDefault="00745FEA" w:rsidP="00745FEA">
                  <w:pPr>
                    <w:pStyle w:val="TableBodyText"/>
                    <w:ind w:right="57"/>
                  </w:pPr>
                  <w:r w:rsidRPr="00924DDB">
                    <w:t>0.3</w:t>
                  </w:r>
                </w:p>
              </w:tc>
              <w:tc>
                <w:tcPr>
                  <w:tcW w:w="498" w:type="pct"/>
                  <w:shd w:val="clear" w:color="auto" w:fill="auto"/>
                  <w:vAlign w:val="bottom"/>
                </w:tcPr>
                <w:p w:rsidR="00745FEA" w:rsidRPr="00F90CBF" w:rsidRDefault="00745FEA" w:rsidP="00745FEA">
                  <w:pPr>
                    <w:pStyle w:val="TableBodyText"/>
                    <w:ind w:right="57"/>
                  </w:pPr>
                  <w:r w:rsidRPr="00924DDB">
                    <w:t>0.3</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Non</w:t>
                  </w:r>
                  <w:r>
                    <w:noBreakHyphen/>
                  </w:r>
                  <w:r w:rsidRPr="00633D27">
                    <w:t>Metallic mineral products</w:t>
                  </w:r>
                </w:p>
              </w:tc>
              <w:tc>
                <w:tcPr>
                  <w:tcW w:w="501" w:type="pct"/>
                  <w:vAlign w:val="bottom"/>
                </w:tcPr>
                <w:p w:rsidR="00745FEA" w:rsidRPr="00F90CBF" w:rsidRDefault="00745FEA" w:rsidP="00745FEA">
                  <w:pPr>
                    <w:pStyle w:val="TableBodyText"/>
                    <w:ind w:right="57"/>
                  </w:pPr>
                  <w:r w:rsidRPr="00924DDB">
                    <w:t>0.9</w:t>
                  </w:r>
                </w:p>
              </w:tc>
              <w:tc>
                <w:tcPr>
                  <w:tcW w:w="500" w:type="pct"/>
                  <w:vAlign w:val="bottom"/>
                </w:tcPr>
                <w:p w:rsidR="00745FEA" w:rsidRPr="00F90CBF" w:rsidRDefault="00745FEA" w:rsidP="00745FEA">
                  <w:pPr>
                    <w:pStyle w:val="TableBodyText"/>
                    <w:ind w:right="57"/>
                  </w:pPr>
                  <w:r w:rsidRPr="00924DDB">
                    <w:t>0.9</w:t>
                  </w:r>
                </w:p>
              </w:tc>
              <w:tc>
                <w:tcPr>
                  <w:tcW w:w="500" w:type="pct"/>
                  <w:vAlign w:val="bottom"/>
                </w:tcPr>
                <w:p w:rsidR="00745FEA" w:rsidRPr="00F90CBF" w:rsidRDefault="00745FEA" w:rsidP="00745FEA">
                  <w:pPr>
                    <w:pStyle w:val="TableBodyText"/>
                    <w:ind w:right="57"/>
                  </w:pPr>
                  <w:r w:rsidRPr="00924DDB">
                    <w:t>0.9</w:t>
                  </w:r>
                </w:p>
              </w:tc>
              <w:tc>
                <w:tcPr>
                  <w:tcW w:w="499" w:type="pct"/>
                  <w:vAlign w:val="bottom"/>
                </w:tcPr>
                <w:p w:rsidR="00745FEA" w:rsidRPr="00F90CBF" w:rsidRDefault="00745FEA" w:rsidP="00745FEA">
                  <w:pPr>
                    <w:pStyle w:val="TableBodyText"/>
                    <w:ind w:right="57"/>
                  </w:pPr>
                  <w:r w:rsidRPr="00924DDB">
                    <w:t>0.9</w:t>
                  </w:r>
                </w:p>
              </w:tc>
              <w:tc>
                <w:tcPr>
                  <w:tcW w:w="499" w:type="pct"/>
                  <w:shd w:val="clear" w:color="auto" w:fill="auto"/>
                  <w:vAlign w:val="bottom"/>
                </w:tcPr>
                <w:p w:rsidR="00745FEA" w:rsidRPr="00F90CBF" w:rsidRDefault="00745FEA" w:rsidP="00745FEA">
                  <w:pPr>
                    <w:pStyle w:val="TableBodyText"/>
                    <w:ind w:right="57"/>
                  </w:pPr>
                  <w:r w:rsidRPr="00924DDB">
                    <w:t>0.8</w:t>
                  </w:r>
                </w:p>
              </w:tc>
              <w:tc>
                <w:tcPr>
                  <w:tcW w:w="498" w:type="pct"/>
                  <w:shd w:val="clear" w:color="auto" w:fill="auto"/>
                  <w:vAlign w:val="bottom"/>
                </w:tcPr>
                <w:p w:rsidR="00745FEA" w:rsidRPr="00F90CBF" w:rsidRDefault="00745FEA" w:rsidP="00745FEA">
                  <w:pPr>
                    <w:pStyle w:val="TableBodyText"/>
                    <w:ind w:right="57"/>
                  </w:pPr>
                  <w:r w:rsidRPr="00924DDB">
                    <w:t>0.8</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Metal and fabricated metal products</w:t>
                  </w:r>
                </w:p>
              </w:tc>
              <w:tc>
                <w:tcPr>
                  <w:tcW w:w="501" w:type="pct"/>
                  <w:vAlign w:val="bottom"/>
                </w:tcPr>
                <w:p w:rsidR="00745FEA" w:rsidRPr="00F90CBF" w:rsidRDefault="00745FEA" w:rsidP="00745FEA">
                  <w:pPr>
                    <w:pStyle w:val="TableBodyText"/>
                    <w:ind w:right="57"/>
                  </w:pPr>
                  <w:r w:rsidRPr="00924DDB">
                    <w:t>0.4</w:t>
                  </w:r>
                </w:p>
              </w:tc>
              <w:tc>
                <w:tcPr>
                  <w:tcW w:w="500" w:type="pct"/>
                  <w:vAlign w:val="bottom"/>
                </w:tcPr>
                <w:p w:rsidR="00745FEA" w:rsidRPr="00F90CBF" w:rsidRDefault="00745FEA" w:rsidP="00745FEA">
                  <w:pPr>
                    <w:pStyle w:val="TableBodyText"/>
                    <w:ind w:right="57"/>
                  </w:pPr>
                  <w:r w:rsidRPr="00924DDB">
                    <w:t>0.6</w:t>
                  </w:r>
                </w:p>
              </w:tc>
              <w:tc>
                <w:tcPr>
                  <w:tcW w:w="500" w:type="pct"/>
                  <w:vAlign w:val="bottom"/>
                </w:tcPr>
                <w:p w:rsidR="00745FEA" w:rsidRPr="00F90CBF" w:rsidRDefault="00745FEA" w:rsidP="00745FEA">
                  <w:pPr>
                    <w:pStyle w:val="TableBodyText"/>
                    <w:ind w:right="57"/>
                  </w:pPr>
                  <w:r w:rsidRPr="00924DDB">
                    <w:t>0.4</w:t>
                  </w:r>
                </w:p>
              </w:tc>
              <w:tc>
                <w:tcPr>
                  <w:tcW w:w="499" w:type="pct"/>
                  <w:vAlign w:val="bottom"/>
                </w:tcPr>
                <w:p w:rsidR="00745FEA" w:rsidRPr="00F90CBF" w:rsidRDefault="00745FEA" w:rsidP="00745FEA">
                  <w:pPr>
                    <w:pStyle w:val="TableBodyText"/>
                    <w:ind w:right="57"/>
                  </w:pPr>
                  <w:r w:rsidRPr="00924DDB">
                    <w:t>0.4</w:t>
                  </w:r>
                </w:p>
              </w:tc>
              <w:tc>
                <w:tcPr>
                  <w:tcW w:w="499" w:type="pct"/>
                  <w:shd w:val="clear" w:color="auto" w:fill="auto"/>
                  <w:vAlign w:val="bottom"/>
                </w:tcPr>
                <w:p w:rsidR="00745FEA" w:rsidRPr="00F90CBF" w:rsidRDefault="00745FEA" w:rsidP="00745FEA">
                  <w:pPr>
                    <w:pStyle w:val="TableBodyText"/>
                    <w:ind w:right="57"/>
                  </w:pPr>
                  <w:r w:rsidRPr="00924DDB">
                    <w:t>0.4</w:t>
                  </w:r>
                </w:p>
              </w:tc>
              <w:tc>
                <w:tcPr>
                  <w:tcW w:w="498" w:type="pct"/>
                  <w:shd w:val="clear" w:color="auto" w:fill="auto"/>
                  <w:vAlign w:val="bottom"/>
                </w:tcPr>
                <w:p w:rsidR="00745FEA" w:rsidRPr="00F90CBF" w:rsidRDefault="00745FEA" w:rsidP="00745FEA">
                  <w:pPr>
                    <w:pStyle w:val="TableBodyText"/>
                    <w:ind w:right="57"/>
                  </w:pPr>
                  <w:r w:rsidRPr="00924DDB">
                    <w:t>0.4</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Motor vehicle and parts</w:t>
                  </w:r>
                </w:p>
              </w:tc>
              <w:tc>
                <w:tcPr>
                  <w:tcW w:w="501" w:type="pct"/>
                  <w:vAlign w:val="bottom"/>
                </w:tcPr>
                <w:p w:rsidR="00745FEA" w:rsidRPr="00F90CBF" w:rsidRDefault="00745FEA" w:rsidP="00745FEA">
                  <w:pPr>
                    <w:pStyle w:val="TableBodyText"/>
                    <w:ind w:right="57"/>
                  </w:pPr>
                  <w:r w:rsidRPr="00924DDB">
                    <w:t>2.4</w:t>
                  </w:r>
                </w:p>
              </w:tc>
              <w:tc>
                <w:tcPr>
                  <w:tcW w:w="500" w:type="pct"/>
                  <w:vAlign w:val="bottom"/>
                </w:tcPr>
                <w:p w:rsidR="00745FEA" w:rsidRPr="00F90CBF" w:rsidRDefault="00745FEA" w:rsidP="00745FEA">
                  <w:pPr>
                    <w:pStyle w:val="TableBodyText"/>
                    <w:ind w:right="57"/>
                  </w:pPr>
                  <w:r w:rsidRPr="00924DDB">
                    <w:t>2.3</w:t>
                  </w:r>
                </w:p>
              </w:tc>
              <w:tc>
                <w:tcPr>
                  <w:tcW w:w="500" w:type="pct"/>
                  <w:vAlign w:val="bottom"/>
                </w:tcPr>
                <w:p w:rsidR="00745FEA" w:rsidRPr="00F90CBF" w:rsidRDefault="00745FEA" w:rsidP="00745FEA">
                  <w:pPr>
                    <w:pStyle w:val="TableBodyText"/>
                    <w:ind w:right="57"/>
                  </w:pPr>
                  <w:r w:rsidRPr="00924DDB">
                    <w:t>2.3</w:t>
                  </w:r>
                </w:p>
              </w:tc>
              <w:tc>
                <w:tcPr>
                  <w:tcW w:w="499" w:type="pct"/>
                  <w:vAlign w:val="bottom"/>
                </w:tcPr>
                <w:p w:rsidR="00745FEA" w:rsidRPr="00F90CBF" w:rsidRDefault="00745FEA" w:rsidP="00745FEA">
                  <w:pPr>
                    <w:pStyle w:val="TableBodyText"/>
                    <w:ind w:right="57"/>
                  </w:pPr>
                  <w:r w:rsidRPr="00924DDB">
                    <w:t>2.3</w:t>
                  </w:r>
                </w:p>
              </w:tc>
              <w:tc>
                <w:tcPr>
                  <w:tcW w:w="499" w:type="pct"/>
                  <w:shd w:val="clear" w:color="auto" w:fill="auto"/>
                  <w:vAlign w:val="bottom"/>
                </w:tcPr>
                <w:p w:rsidR="00745FEA" w:rsidRPr="00F90CBF" w:rsidRDefault="00745FEA" w:rsidP="00745FEA">
                  <w:pPr>
                    <w:pStyle w:val="TableBodyText"/>
                    <w:ind w:right="57"/>
                  </w:pPr>
                  <w:r w:rsidRPr="00924DDB">
                    <w:t>2.2</w:t>
                  </w:r>
                </w:p>
              </w:tc>
              <w:tc>
                <w:tcPr>
                  <w:tcW w:w="498" w:type="pct"/>
                  <w:shd w:val="clear" w:color="auto" w:fill="auto"/>
                  <w:vAlign w:val="bottom"/>
                </w:tcPr>
                <w:p w:rsidR="00745FEA" w:rsidRPr="00F90CBF" w:rsidRDefault="00745FEA" w:rsidP="00745FEA">
                  <w:pPr>
                    <w:pStyle w:val="TableBodyText"/>
                    <w:ind w:right="57"/>
                  </w:pPr>
                  <w:r w:rsidRPr="00924DDB">
                    <w:t>2.2</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Other transport equipment</w:t>
                  </w:r>
                </w:p>
              </w:tc>
              <w:tc>
                <w:tcPr>
                  <w:tcW w:w="501" w:type="pct"/>
                  <w:vAlign w:val="bottom"/>
                </w:tcPr>
                <w:p w:rsidR="00745FEA" w:rsidRPr="00F90CBF" w:rsidRDefault="00745FEA" w:rsidP="00745FEA">
                  <w:pPr>
                    <w:pStyle w:val="TableBodyText"/>
                    <w:ind w:right="57"/>
                  </w:pPr>
                  <w:r w:rsidRPr="00924DDB">
                    <w:t>1.5</w:t>
                  </w:r>
                </w:p>
              </w:tc>
              <w:tc>
                <w:tcPr>
                  <w:tcW w:w="500" w:type="pct"/>
                  <w:vAlign w:val="bottom"/>
                </w:tcPr>
                <w:p w:rsidR="00745FEA" w:rsidRPr="00F90CBF" w:rsidRDefault="00745FEA" w:rsidP="00745FEA">
                  <w:pPr>
                    <w:pStyle w:val="TableBodyText"/>
                    <w:ind w:right="57"/>
                  </w:pPr>
                  <w:r w:rsidRPr="00924DDB">
                    <w:t>1.5</w:t>
                  </w:r>
                </w:p>
              </w:tc>
              <w:tc>
                <w:tcPr>
                  <w:tcW w:w="500" w:type="pct"/>
                  <w:vAlign w:val="bottom"/>
                </w:tcPr>
                <w:p w:rsidR="00745FEA" w:rsidRPr="00F90CBF" w:rsidRDefault="00745FEA" w:rsidP="00745FEA">
                  <w:pPr>
                    <w:pStyle w:val="TableBodyText"/>
                    <w:ind w:right="57"/>
                  </w:pPr>
                  <w:r w:rsidRPr="00924DDB">
                    <w:t>1.5</w:t>
                  </w:r>
                </w:p>
              </w:tc>
              <w:tc>
                <w:tcPr>
                  <w:tcW w:w="499" w:type="pct"/>
                  <w:vAlign w:val="bottom"/>
                </w:tcPr>
                <w:p w:rsidR="00745FEA" w:rsidRPr="00F90CBF" w:rsidRDefault="00745FEA" w:rsidP="00745FEA">
                  <w:pPr>
                    <w:pStyle w:val="TableBodyText"/>
                    <w:ind w:right="57"/>
                  </w:pPr>
                  <w:r w:rsidRPr="00924DDB">
                    <w:t>1.4</w:t>
                  </w:r>
                </w:p>
              </w:tc>
              <w:tc>
                <w:tcPr>
                  <w:tcW w:w="499" w:type="pct"/>
                  <w:shd w:val="clear" w:color="auto" w:fill="auto"/>
                  <w:vAlign w:val="bottom"/>
                </w:tcPr>
                <w:p w:rsidR="00745FEA" w:rsidRPr="00F90CBF" w:rsidRDefault="00745FEA" w:rsidP="00745FEA">
                  <w:pPr>
                    <w:pStyle w:val="TableBodyText"/>
                    <w:ind w:right="57"/>
                  </w:pPr>
                  <w:r w:rsidRPr="00924DDB">
                    <w:t>1.4</w:t>
                  </w:r>
                </w:p>
              </w:tc>
              <w:tc>
                <w:tcPr>
                  <w:tcW w:w="498" w:type="pct"/>
                  <w:shd w:val="clear" w:color="auto" w:fill="auto"/>
                  <w:vAlign w:val="bottom"/>
                </w:tcPr>
                <w:p w:rsidR="00745FEA" w:rsidRPr="00F90CBF" w:rsidRDefault="00745FEA" w:rsidP="00745FEA">
                  <w:pPr>
                    <w:pStyle w:val="TableBodyText"/>
                    <w:ind w:right="57"/>
                  </w:pPr>
                  <w:r w:rsidRPr="00924DDB">
                    <w:t>1.4</w:t>
                  </w:r>
                </w:p>
              </w:tc>
            </w:tr>
            <w:tr w:rsidR="00745FEA" w:rsidTr="00745FEA">
              <w:tc>
                <w:tcPr>
                  <w:tcW w:w="2003" w:type="pct"/>
                  <w:shd w:val="clear" w:color="auto" w:fill="auto"/>
                  <w:vAlign w:val="bottom"/>
                </w:tcPr>
                <w:p w:rsidR="00745FEA" w:rsidRPr="00633D27" w:rsidRDefault="00745FEA" w:rsidP="00745FEA">
                  <w:pPr>
                    <w:pStyle w:val="TableBodyText"/>
                    <w:jc w:val="left"/>
                  </w:pPr>
                  <w:r w:rsidRPr="00633D27">
                    <w:t>Machinery and equipment manufacturing</w:t>
                  </w:r>
                </w:p>
              </w:tc>
              <w:tc>
                <w:tcPr>
                  <w:tcW w:w="501" w:type="pct"/>
                  <w:vAlign w:val="bottom"/>
                </w:tcPr>
                <w:p w:rsidR="00745FEA" w:rsidRPr="00F90CBF" w:rsidRDefault="00745FEA" w:rsidP="00745FEA">
                  <w:pPr>
                    <w:pStyle w:val="TableBodyText"/>
                    <w:ind w:right="57"/>
                  </w:pPr>
                  <w:r w:rsidRPr="00924DDB">
                    <w:t>1.2</w:t>
                  </w:r>
                </w:p>
              </w:tc>
              <w:tc>
                <w:tcPr>
                  <w:tcW w:w="500" w:type="pct"/>
                  <w:vAlign w:val="bottom"/>
                </w:tcPr>
                <w:p w:rsidR="00745FEA" w:rsidRPr="00F90CBF" w:rsidRDefault="00745FEA" w:rsidP="00745FEA">
                  <w:pPr>
                    <w:pStyle w:val="TableBodyText"/>
                    <w:ind w:right="57"/>
                  </w:pPr>
                  <w:r w:rsidRPr="00924DDB">
                    <w:t>1.2</w:t>
                  </w:r>
                </w:p>
              </w:tc>
              <w:tc>
                <w:tcPr>
                  <w:tcW w:w="500" w:type="pct"/>
                  <w:vAlign w:val="bottom"/>
                </w:tcPr>
                <w:p w:rsidR="00745FEA" w:rsidRPr="00F90CBF" w:rsidRDefault="00745FEA" w:rsidP="00745FEA">
                  <w:pPr>
                    <w:pStyle w:val="TableBodyText"/>
                    <w:ind w:right="57"/>
                  </w:pPr>
                  <w:r w:rsidRPr="00924DDB">
                    <w:t>1.2</w:t>
                  </w:r>
                </w:p>
              </w:tc>
              <w:tc>
                <w:tcPr>
                  <w:tcW w:w="499" w:type="pct"/>
                  <w:vAlign w:val="bottom"/>
                </w:tcPr>
                <w:p w:rsidR="00745FEA" w:rsidRPr="00F90CBF" w:rsidRDefault="00745FEA" w:rsidP="00745FEA">
                  <w:pPr>
                    <w:pStyle w:val="TableBodyText"/>
                    <w:ind w:right="57"/>
                  </w:pPr>
                  <w:r w:rsidRPr="00924DDB">
                    <w:t>1.2</w:t>
                  </w:r>
                </w:p>
              </w:tc>
              <w:tc>
                <w:tcPr>
                  <w:tcW w:w="499" w:type="pct"/>
                  <w:shd w:val="clear" w:color="auto" w:fill="auto"/>
                  <w:vAlign w:val="bottom"/>
                </w:tcPr>
                <w:p w:rsidR="00745FEA" w:rsidRPr="00F90CBF" w:rsidRDefault="00745FEA" w:rsidP="00745FEA">
                  <w:pPr>
                    <w:pStyle w:val="TableBodyText"/>
                    <w:ind w:right="57"/>
                  </w:pPr>
                  <w:r w:rsidRPr="00924DDB">
                    <w:t>1.2</w:t>
                  </w:r>
                </w:p>
              </w:tc>
              <w:tc>
                <w:tcPr>
                  <w:tcW w:w="498" w:type="pct"/>
                  <w:shd w:val="clear" w:color="auto" w:fill="auto"/>
                  <w:vAlign w:val="bottom"/>
                </w:tcPr>
                <w:p w:rsidR="00745FEA" w:rsidRPr="00F90CBF" w:rsidRDefault="00745FEA" w:rsidP="00745FEA">
                  <w:pPr>
                    <w:pStyle w:val="TableBodyText"/>
                    <w:ind w:right="57"/>
                  </w:pPr>
                  <w:r w:rsidRPr="00924DDB">
                    <w:t>1.2</w:t>
                  </w:r>
                </w:p>
              </w:tc>
            </w:tr>
            <w:tr w:rsidR="00745FEA" w:rsidTr="00745FEA">
              <w:tc>
                <w:tcPr>
                  <w:tcW w:w="2003" w:type="pct"/>
                  <w:tcBorders>
                    <w:bottom w:val="single" w:sz="6" w:space="0" w:color="BFBFBF"/>
                  </w:tcBorders>
                  <w:shd w:val="clear" w:color="auto" w:fill="auto"/>
                  <w:vAlign w:val="bottom"/>
                </w:tcPr>
                <w:p w:rsidR="00745FEA" w:rsidRPr="00633D27" w:rsidRDefault="00745FEA" w:rsidP="00745FEA">
                  <w:pPr>
                    <w:pStyle w:val="TableBodyText"/>
                    <w:jc w:val="left"/>
                  </w:pPr>
                  <w:r w:rsidRPr="00633D27">
                    <w:t>Furniture and other manufacturing</w:t>
                  </w:r>
                </w:p>
              </w:tc>
              <w:tc>
                <w:tcPr>
                  <w:tcW w:w="501" w:type="pct"/>
                  <w:tcBorders>
                    <w:bottom w:val="single" w:sz="6" w:space="0" w:color="BFBFBF"/>
                  </w:tcBorders>
                  <w:vAlign w:val="bottom"/>
                </w:tcPr>
                <w:p w:rsidR="00745FEA" w:rsidRPr="00F90CBF" w:rsidRDefault="00745FEA" w:rsidP="00745FEA">
                  <w:pPr>
                    <w:pStyle w:val="TableBodyText"/>
                    <w:ind w:right="57"/>
                  </w:pPr>
                  <w:r w:rsidRPr="00924DDB">
                    <w:t>1.7</w:t>
                  </w:r>
                </w:p>
              </w:tc>
              <w:tc>
                <w:tcPr>
                  <w:tcW w:w="500" w:type="pct"/>
                  <w:tcBorders>
                    <w:bottom w:val="single" w:sz="6" w:space="0" w:color="BFBFBF"/>
                  </w:tcBorders>
                  <w:vAlign w:val="bottom"/>
                </w:tcPr>
                <w:p w:rsidR="00745FEA" w:rsidRPr="00F90CBF" w:rsidRDefault="00745FEA" w:rsidP="00745FEA">
                  <w:pPr>
                    <w:pStyle w:val="TableBodyText"/>
                    <w:ind w:right="57"/>
                  </w:pPr>
                  <w:r w:rsidRPr="00924DDB">
                    <w:t>1.7</w:t>
                  </w:r>
                </w:p>
              </w:tc>
              <w:tc>
                <w:tcPr>
                  <w:tcW w:w="500" w:type="pct"/>
                  <w:tcBorders>
                    <w:bottom w:val="single" w:sz="6" w:space="0" w:color="BFBFBF"/>
                  </w:tcBorders>
                  <w:vAlign w:val="bottom"/>
                </w:tcPr>
                <w:p w:rsidR="00745FEA" w:rsidRPr="00F90CBF" w:rsidRDefault="00745FEA" w:rsidP="00745FEA">
                  <w:pPr>
                    <w:pStyle w:val="TableBodyText"/>
                    <w:ind w:right="57"/>
                  </w:pPr>
                  <w:r w:rsidRPr="00924DDB">
                    <w:t>1.7</w:t>
                  </w:r>
                </w:p>
              </w:tc>
              <w:tc>
                <w:tcPr>
                  <w:tcW w:w="499" w:type="pct"/>
                  <w:tcBorders>
                    <w:bottom w:val="single" w:sz="6" w:space="0" w:color="BFBFBF"/>
                  </w:tcBorders>
                  <w:vAlign w:val="bottom"/>
                </w:tcPr>
                <w:p w:rsidR="00745FEA" w:rsidRPr="00F90CBF" w:rsidRDefault="00745FEA" w:rsidP="00745FEA">
                  <w:pPr>
                    <w:pStyle w:val="TableBodyText"/>
                    <w:ind w:right="57"/>
                  </w:pPr>
                  <w:r w:rsidRPr="00924DDB">
                    <w:t>1.6</w:t>
                  </w:r>
                </w:p>
              </w:tc>
              <w:tc>
                <w:tcPr>
                  <w:tcW w:w="499" w:type="pct"/>
                  <w:tcBorders>
                    <w:bottom w:val="single" w:sz="6" w:space="0" w:color="BFBFBF"/>
                  </w:tcBorders>
                  <w:shd w:val="clear" w:color="auto" w:fill="auto"/>
                  <w:vAlign w:val="bottom"/>
                </w:tcPr>
                <w:p w:rsidR="00745FEA" w:rsidRPr="00F90CBF" w:rsidRDefault="00745FEA" w:rsidP="00745FEA">
                  <w:pPr>
                    <w:pStyle w:val="TableBodyText"/>
                    <w:ind w:right="57"/>
                  </w:pPr>
                  <w:r w:rsidRPr="00924DDB">
                    <w:t>1.6</w:t>
                  </w:r>
                </w:p>
              </w:tc>
              <w:tc>
                <w:tcPr>
                  <w:tcW w:w="498" w:type="pct"/>
                  <w:tcBorders>
                    <w:bottom w:val="single" w:sz="6" w:space="0" w:color="BFBFBF"/>
                  </w:tcBorders>
                  <w:shd w:val="clear" w:color="auto" w:fill="auto"/>
                  <w:vAlign w:val="bottom"/>
                </w:tcPr>
                <w:p w:rsidR="00745FEA" w:rsidRDefault="00745FEA" w:rsidP="00745FEA">
                  <w:pPr>
                    <w:pStyle w:val="TableBodyText"/>
                    <w:ind w:right="57"/>
                  </w:pPr>
                  <w:r w:rsidRPr="00924DDB">
                    <w:t>1.6</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rPr>
                <w:i/>
              </w:rPr>
            </w:pPr>
            <w:r>
              <w:rPr>
                <w:rFonts w:cs="Arial"/>
                <w:szCs w:val="18"/>
              </w:rPr>
              <w:t xml:space="preserve">– Nil. </w:t>
            </w:r>
            <w:r w:rsidRPr="00C74A79">
              <w:rPr>
                <w:rFonts w:cs="Arial"/>
                <w:szCs w:val="18"/>
              </w:rPr>
              <w:t>Figures may not add to totals due to rounding.</w:t>
            </w:r>
            <w:r>
              <w:rPr>
                <w:rFonts w:cs="Arial"/>
                <w:szCs w:val="18"/>
              </w:rPr>
              <w:t xml:space="preserve"> </w:t>
            </w:r>
            <w:r w:rsidRPr="008E77FE">
              <w:rPr>
                <w:rStyle w:val="NoteLabel"/>
              </w:rPr>
              <w:t>a</w:t>
            </w:r>
            <w:r>
              <w:t xml:space="preserve"> Combined assistance comprises tariff and budgetary assistance. </w:t>
            </w:r>
            <w:r>
              <w:rPr>
                <w:rStyle w:val="NoteLabel"/>
              </w:rPr>
              <w:t>b</w:t>
            </w:r>
            <w:r>
              <w:t> Sectoral estimates include assistance to the sector that has not been allocated to specific industry groupings.</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10</w:t>
            </w:r>
            <w:r>
              <w:tab/>
              <w:t xml:space="preserve">Australian Government budgetary assistance </w:t>
            </w:r>
            <w:r>
              <w:br/>
              <w:t>to primary industry, 2011</w:t>
            </w:r>
            <w:r>
              <w:noBreakHyphen/>
              <w:t>12 to 2016</w:t>
            </w:r>
            <w:r>
              <w:noBreakHyphen/>
              <w:t>17</w:t>
            </w:r>
            <w:r w:rsidRPr="009E76C0">
              <w:rPr>
                <w:rStyle w:val="NoteLabel"/>
                <w:b/>
                <w:position w:val="10"/>
              </w:rPr>
              <w:t>a</w:t>
            </w:r>
          </w:p>
          <w:p w:rsidR="00745FEA" w:rsidRPr="00784A05" w:rsidRDefault="00745FEA" w:rsidP="00745FEA">
            <w:pPr>
              <w:pStyle w:val="Subtitle"/>
            </w:pPr>
            <w:r w:rsidRPr="001011D4">
              <w:t>$ million (nominal)</w:t>
            </w:r>
          </w:p>
        </w:tc>
      </w:tr>
      <w:tr w:rsidR="00745FEA" w:rsidTr="00745FEA">
        <w:trPr>
          <w:cantSplit/>
        </w:trPr>
        <w:tc>
          <w:tcPr>
            <w:tcW w:w="5000" w:type="pct"/>
            <w:tcBorders>
              <w:top w:val="nil"/>
              <w:left w:val="nil"/>
              <w:bottom w:val="nil"/>
              <w:right w:val="nil"/>
            </w:tcBorders>
            <w:shd w:val="clear" w:color="auto" w:fill="auto"/>
          </w:tcPr>
          <w:tbl>
            <w:tblPr>
              <w:tblW w:w="11753" w:type="dxa"/>
              <w:tblCellMar>
                <w:top w:w="28" w:type="dxa"/>
                <w:left w:w="0" w:type="dxa"/>
                <w:right w:w="0" w:type="dxa"/>
              </w:tblCellMar>
              <w:tblLook w:val="0000" w:firstRow="0" w:lastRow="0" w:firstColumn="0" w:lastColumn="0" w:noHBand="0" w:noVBand="0"/>
            </w:tblPr>
            <w:tblGrid>
              <w:gridCol w:w="3802"/>
              <w:gridCol w:w="797"/>
              <w:gridCol w:w="797"/>
              <w:gridCol w:w="797"/>
              <w:gridCol w:w="797"/>
              <w:gridCol w:w="797"/>
              <w:gridCol w:w="792"/>
              <w:gridCol w:w="797"/>
              <w:gridCol w:w="797"/>
              <w:gridCol w:w="797"/>
              <w:gridCol w:w="783"/>
            </w:tblGrid>
            <w:tr w:rsidR="00745FEA" w:rsidTr="00C719FB">
              <w:trPr>
                <w:gridAfter w:val="4"/>
                <w:wAfter w:w="1350" w:type="pct"/>
                <w:tblHeader/>
              </w:trPr>
              <w:tc>
                <w:tcPr>
                  <w:tcW w:w="1616"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33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33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33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33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33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33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5C642D" w:rsidTr="00745FEA">
              <w:trPr>
                <w:gridAfter w:val="4"/>
                <w:wAfter w:w="1350" w:type="pct"/>
              </w:trPr>
              <w:tc>
                <w:tcPr>
                  <w:tcW w:w="1616" w:type="pct"/>
                  <w:tcBorders>
                    <w:top w:val="single" w:sz="6" w:space="0" w:color="BFBFBF"/>
                  </w:tcBorders>
                </w:tcPr>
                <w:p w:rsidR="00745FEA" w:rsidRPr="005C642D" w:rsidRDefault="00745FEA" w:rsidP="00745FEA">
                  <w:pPr>
                    <w:pStyle w:val="TableUnitsRow"/>
                    <w:jc w:val="left"/>
                    <w:rPr>
                      <w:rFonts w:asciiTheme="minorHAnsi" w:hAnsiTheme="minorHAnsi" w:cstheme="minorHAnsi"/>
                      <w:szCs w:val="18"/>
                    </w:rPr>
                  </w:pPr>
                  <w:r w:rsidRPr="005C642D">
                    <w:rPr>
                      <w:rFonts w:asciiTheme="minorHAnsi" w:hAnsiTheme="minorHAnsi" w:cstheme="minorHAnsi"/>
                      <w:b/>
                      <w:szCs w:val="18"/>
                    </w:rPr>
                    <w:t>Horticulture and fruit growing</w:t>
                  </w:r>
                </w:p>
              </w:tc>
              <w:tc>
                <w:tcPr>
                  <w:tcW w:w="339" w:type="pct"/>
                  <w:tcBorders>
                    <w:top w:val="single" w:sz="6" w:space="0" w:color="BFBFBF"/>
                  </w:tcBorders>
                  <w:vAlign w:val="bottom"/>
                </w:tcPr>
                <w:p w:rsidR="00745FEA" w:rsidRPr="005C642D" w:rsidRDefault="00745FEA" w:rsidP="00745FEA">
                  <w:pPr>
                    <w:pStyle w:val="TableUnitsRow"/>
                    <w:ind w:right="57"/>
                    <w:rPr>
                      <w:rFonts w:asciiTheme="minorHAnsi" w:hAnsiTheme="minorHAnsi" w:cstheme="minorHAnsi"/>
                      <w:szCs w:val="18"/>
                    </w:rPr>
                  </w:pPr>
                </w:p>
              </w:tc>
              <w:tc>
                <w:tcPr>
                  <w:tcW w:w="339" w:type="pct"/>
                  <w:tcBorders>
                    <w:top w:val="single" w:sz="6" w:space="0" w:color="BFBFBF"/>
                  </w:tcBorders>
                  <w:vAlign w:val="bottom"/>
                </w:tcPr>
                <w:p w:rsidR="00745FEA" w:rsidRPr="005C642D" w:rsidRDefault="00745FEA" w:rsidP="00745FEA">
                  <w:pPr>
                    <w:pStyle w:val="TableUnitsRow"/>
                    <w:ind w:right="57"/>
                    <w:rPr>
                      <w:rFonts w:asciiTheme="minorHAnsi" w:hAnsiTheme="minorHAnsi" w:cstheme="minorHAnsi"/>
                      <w:szCs w:val="18"/>
                    </w:rPr>
                  </w:pPr>
                </w:p>
              </w:tc>
              <w:tc>
                <w:tcPr>
                  <w:tcW w:w="339" w:type="pct"/>
                  <w:tcBorders>
                    <w:top w:val="single" w:sz="6" w:space="0" w:color="BFBFBF"/>
                  </w:tcBorders>
                  <w:vAlign w:val="bottom"/>
                </w:tcPr>
                <w:p w:rsidR="00745FEA" w:rsidRPr="005C642D" w:rsidRDefault="00745FEA" w:rsidP="00745FEA">
                  <w:pPr>
                    <w:pStyle w:val="TableUnitsRow"/>
                    <w:ind w:right="57"/>
                    <w:rPr>
                      <w:rFonts w:asciiTheme="minorHAnsi" w:hAnsiTheme="minorHAnsi" w:cstheme="minorHAnsi"/>
                      <w:szCs w:val="18"/>
                    </w:rPr>
                  </w:pPr>
                </w:p>
              </w:tc>
              <w:tc>
                <w:tcPr>
                  <w:tcW w:w="339" w:type="pct"/>
                  <w:tcBorders>
                    <w:top w:val="single" w:sz="6" w:space="0" w:color="BFBFBF"/>
                  </w:tcBorders>
                  <w:vAlign w:val="bottom"/>
                </w:tcPr>
                <w:p w:rsidR="00745FEA" w:rsidRPr="005C642D" w:rsidRDefault="00745FEA" w:rsidP="00745FEA">
                  <w:pPr>
                    <w:pStyle w:val="TableUnitsRow"/>
                    <w:ind w:right="57"/>
                    <w:rPr>
                      <w:rFonts w:asciiTheme="minorHAnsi" w:hAnsiTheme="minorHAnsi" w:cstheme="minorHAnsi"/>
                      <w:szCs w:val="18"/>
                    </w:rPr>
                  </w:pPr>
                </w:p>
              </w:tc>
              <w:tc>
                <w:tcPr>
                  <w:tcW w:w="339" w:type="pct"/>
                  <w:tcBorders>
                    <w:top w:val="single" w:sz="6" w:space="0" w:color="BFBFBF"/>
                  </w:tcBorders>
                  <w:vAlign w:val="bottom"/>
                </w:tcPr>
                <w:p w:rsidR="00745FEA" w:rsidRPr="005C642D" w:rsidRDefault="00745FEA" w:rsidP="00745FEA">
                  <w:pPr>
                    <w:pStyle w:val="TableUnitsRow"/>
                    <w:ind w:right="57"/>
                    <w:rPr>
                      <w:rFonts w:asciiTheme="minorHAnsi" w:hAnsiTheme="minorHAnsi" w:cstheme="minorHAnsi"/>
                      <w:szCs w:val="18"/>
                    </w:rPr>
                  </w:pPr>
                </w:p>
              </w:tc>
              <w:tc>
                <w:tcPr>
                  <w:tcW w:w="337" w:type="pct"/>
                  <w:tcBorders>
                    <w:top w:val="single" w:sz="6" w:space="0" w:color="BFBFBF"/>
                  </w:tcBorders>
                  <w:vAlign w:val="bottom"/>
                </w:tcPr>
                <w:p w:rsidR="00745FEA" w:rsidRPr="005C642D" w:rsidRDefault="00745FEA" w:rsidP="00745FEA">
                  <w:pPr>
                    <w:pStyle w:val="TableUnitsRow"/>
                    <w:ind w:right="57"/>
                    <w:rPr>
                      <w:rFonts w:asciiTheme="minorHAnsi" w:hAnsiTheme="minorHAnsi" w:cstheme="minorHAnsi"/>
                      <w:szCs w:val="18"/>
                    </w:rPr>
                  </w:pPr>
                </w:p>
              </w:tc>
            </w:tr>
            <w:tr w:rsidR="00745FEA" w:rsidTr="00745FEA">
              <w:trPr>
                <w:gridAfter w:val="4"/>
                <w:wAfter w:w="1350" w:type="pct"/>
              </w:trPr>
              <w:tc>
                <w:tcPr>
                  <w:tcW w:w="1616" w:type="pct"/>
                  <w:vAlign w:val="center"/>
                </w:tcPr>
                <w:p w:rsidR="00745FEA" w:rsidRPr="00123D97" w:rsidRDefault="00745FEA" w:rsidP="00745FEA">
                  <w:pPr>
                    <w:pStyle w:val="TableBodyText"/>
                    <w:spacing w:before="40" w:after="0"/>
                    <w:ind w:left="113"/>
                    <w:jc w:val="left"/>
                    <w:rPr>
                      <w:i/>
                    </w:rPr>
                  </w:pPr>
                  <w:r w:rsidRPr="00123D97">
                    <w:rPr>
                      <w:i/>
                    </w:rPr>
                    <w:t>Industry-specific measures</w:t>
                  </w:r>
                </w:p>
              </w:tc>
              <w:tc>
                <w:tcPr>
                  <w:tcW w:w="339" w:type="pct"/>
                  <w:vAlign w:val="bottom"/>
                </w:tcPr>
                <w:p w:rsidR="00745FEA" w:rsidRPr="005C642D" w:rsidRDefault="00745FEA" w:rsidP="00745FEA">
                  <w:pPr>
                    <w:pStyle w:val="TableBodyText"/>
                    <w:spacing w:before="40" w:after="0"/>
                    <w:ind w:right="57"/>
                    <w:rPr>
                      <w:szCs w:val="18"/>
                    </w:rPr>
                  </w:pPr>
                </w:p>
              </w:tc>
              <w:tc>
                <w:tcPr>
                  <w:tcW w:w="339" w:type="pct"/>
                  <w:vAlign w:val="bottom"/>
                </w:tcPr>
                <w:p w:rsidR="00745FEA" w:rsidRPr="005C642D" w:rsidRDefault="00745FEA" w:rsidP="00745FEA">
                  <w:pPr>
                    <w:pStyle w:val="TableBodyText"/>
                    <w:spacing w:before="40" w:after="0"/>
                    <w:ind w:right="57"/>
                    <w:rPr>
                      <w:szCs w:val="18"/>
                    </w:rPr>
                  </w:pPr>
                </w:p>
              </w:tc>
              <w:tc>
                <w:tcPr>
                  <w:tcW w:w="339" w:type="pct"/>
                  <w:vAlign w:val="bottom"/>
                </w:tcPr>
                <w:p w:rsidR="00745FEA" w:rsidRPr="005C642D" w:rsidRDefault="00745FEA" w:rsidP="00745FEA">
                  <w:pPr>
                    <w:pStyle w:val="TableBodyText"/>
                    <w:spacing w:before="40" w:after="0"/>
                    <w:ind w:right="57"/>
                    <w:rPr>
                      <w:szCs w:val="18"/>
                    </w:rPr>
                  </w:pPr>
                </w:p>
              </w:tc>
              <w:tc>
                <w:tcPr>
                  <w:tcW w:w="339" w:type="pct"/>
                  <w:vAlign w:val="bottom"/>
                </w:tcPr>
                <w:p w:rsidR="00745FEA" w:rsidRPr="005C642D" w:rsidRDefault="00745FEA" w:rsidP="00745FEA">
                  <w:pPr>
                    <w:pStyle w:val="TableBodyText"/>
                    <w:spacing w:before="40" w:after="0"/>
                    <w:ind w:right="57"/>
                    <w:rPr>
                      <w:szCs w:val="18"/>
                    </w:rPr>
                  </w:pPr>
                </w:p>
              </w:tc>
              <w:tc>
                <w:tcPr>
                  <w:tcW w:w="339" w:type="pct"/>
                  <w:vAlign w:val="bottom"/>
                </w:tcPr>
                <w:p w:rsidR="00745FEA" w:rsidRPr="005C642D" w:rsidRDefault="00745FEA" w:rsidP="00745FEA">
                  <w:pPr>
                    <w:pStyle w:val="TableBodyText"/>
                    <w:spacing w:before="40" w:after="0"/>
                    <w:ind w:right="57"/>
                    <w:rPr>
                      <w:szCs w:val="18"/>
                    </w:rPr>
                  </w:pPr>
                </w:p>
              </w:tc>
              <w:tc>
                <w:tcPr>
                  <w:tcW w:w="337" w:type="pct"/>
                  <w:vAlign w:val="bottom"/>
                </w:tcPr>
                <w:p w:rsidR="00745FEA" w:rsidRPr="005C642D" w:rsidRDefault="00745FEA" w:rsidP="00745FEA">
                  <w:pPr>
                    <w:pStyle w:val="TableBodyText"/>
                    <w:spacing w:before="40" w:after="0"/>
                    <w:ind w:right="57"/>
                    <w:rPr>
                      <w:szCs w:val="18"/>
                    </w:rPr>
                  </w:pPr>
                </w:p>
              </w:tc>
            </w:tr>
            <w:tr w:rsidR="00745FEA" w:rsidTr="00745FEA">
              <w:trPr>
                <w:gridAfter w:val="4"/>
                <w:wAfter w:w="1350" w:type="pct"/>
              </w:trPr>
              <w:tc>
                <w:tcPr>
                  <w:tcW w:w="1616" w:type="pct"/>
                  <w:shd w:val="clear" w:color="auto" w:fill="auto"/>
                </w:tcPr>
                <w:p w:rsidR="00745FEA" w:rsidRPr="00B415D3" w:rsidRDefault="00745FEA" w:rsidP="00745FEA">
                  <w:pPr>
                    <w:pStyle w:val="TableBodyText"/>
                    <w:spacing w:after="0"/>
                    <w:ind w:left="227" w:right="0"/>
                    <w:jc w:val="left"/>
                  </w:pPr>
                  <w:r w:rsidRPr="00B415D3">
                    <w:t>Australian Wine Industry Support</w:t>
                  </w:r>
                </w:p>
              </w:tc>
              <w:tc>
                <w:tcPr>
                  <w:tcW w:w="339" w:type="pct"/>
                  <w:vAlign w:val="bottom"/>
                </w:tcPr>
                <w:p w:rsidR="00745FEA" w:rsidRPr="00BA7E54" w:rsidRDefault="00745FEA" w:rsidP="00745FEA">
                  <w:pPr>
                    <w:pStyle w:val="TableBodyText"/>
                    <w:ind w:right="57"/>
                  </w:pPr>
                  <w:r w:rsidRPr="00BA7E54">
                    <w:t>–</w:t>
                  </w:r>
                </w:p>
              </w:tc>
              <w:tc>
                <w:tcPr>
                  <w:tcW w:w="339" w:type="pct"/>
                  <w:vAlign w:val="bottom"/>
                </w:tcPr>
                <w:p w:rsidR="00745FEA" w:rsidRPr="00BA7E54" w:rsidRDefault="00745FEA" w:rsidP="00745FEA">
                  <w:pPr>
                    <w:pStyle w:val="TableBodyText"/>
                    <w:ind w:right="57"/>
                  </w:pPr>
                  <w:r w:rsidRPr="00BA7E54">
                    <w:t>0.5</w:t>
                  </w:r>
                </w:p>
              </w:tc>
              <w:tc>
                <w:tcPr>
                  <w:tcW w:w="339" w:type="pct"/>
                  <w:vAlign w:val="bottom"/>
                </w:tcPr>
                <w:p w:rsidR="00745FEA" w:rsidRPr="00BA7E54" w:rsidRDefault="00745FEA" w:rsidP="00745FEA">
                  <w:pPr>
                    <w:pStyle w:val="TableBodyText"/>
                    <w:ind w:right="57"/>
                  </w:pPr>
                  <w:r w:rsidRPr="00BA7E54">
                    <w:t>0.5</w:t>
                  </w:r>
                </w:p>
              </w:tc>
              <w:tc>
                <w:tcPr>
                  <w:tcW w:w="339" w:type="pct"/>
                  <w:vAlign w:val="bottom"/>
                </w:tcPr>
                <w:p w:rsidR="00745FEA" w:rsidRPr="00BA7E54" w:rsidRDefault="00745FEA" w:rsidP="00745FEA">
                  <w:pPr>
                    <w:pStyle w:val="TableBodyText"/>
                    <w:ind w:right="57"/>
                  </w:pPr>
                  <w:r w:rsidRPr="00BA7E54">
                    <w:t>–</w:t>
                  </w:r>
                </w:p>
              </w:tc>
              <w:tc>
                <w:tcPr>
                  <w:tcW w:w="339" w:type="pct"/>
                  <w:shd w:val="clear" w:color="auto" w:fill="auto"/>
                  <w:vAlign w:val="bottom"/>
                </w:tcPr>
                <w:p w:rsidR="00745FEA" w:rsidRPr="00BA7E54" w:rsidRDefault="00745FEA" w:rsidP="00745FEA">
                  <w:pPr>
                    <w:pStyle w:val="TableBodyText"/>
                    <w:ind w:right="57"/>
                  </w:pPr>
                  <w:r w:rsidRPr="00BA7E54">
                    <w:t>–</w:t>
                  </w:r>
                </w:p>
              </w:tc>
              <w:tc>
                <w:tcPr>
                  <w:tcW w:w="337" w:type="pct"/>
                  <w:shd w:val="clear" w:color="auto" w:fill="auto"/>
                  <w:vAlign w:val="bottom"/>
                </w:tcPr>
                <w:p w:rsidR="00745FEA" w:rsidRPr="00BA7E54" w:rsidRDefault="00745FEA" w:rsidP="00745FEA">
                  <w:pPr>
                    <w:pStyle w:val="TableBodyText"/>
                    <w:ind w:right="57"/>
                  </w:pPr>
                  <w:r w:rsidRPr="00BA7E54">
                    <w:t>–</w:t>
                  </w:r>
                </w:p>
              </w:tc>
            </w:tr>
            <w:tr w:rsidR="00745FEA" w:rsidTr="00745FEA">
              <w:trPr>
                <w:gridAfter w:val="4"/>
                <w:wAfter w:w="1350" w:type="pct"/>
              </w:trPr>
              <w:tc>
                <w:tcPr>
                  <w:tcW w:w="1616" w:type="pct"/>
                  <w:shd w:val="clear" w:color="auto" w:fill="auto"/>
                </w:tcPr>
                <w:p w:rsidR="00745FEA" w:rsidRPr="00B415D3" w:rsidRDefault="00745FEA" w:rsidP="00745FEA">
                  <w:pPr>
                    <w:pStyle w:val="TableBodyText"/>
                    <w:spacing w:after="0"/>
                    <w:ind w:left="227" w:right="0"/>
                    <w:jc w:val="left"/>
                  </w:pPr>
                  <w:r w:rsidRPr="00B415D3">
                    <w:t>Premium Fresh Tasmania - assistance</w:t>
                  </w:r>
                </w:p>
              </w:tc>
              <w:tc>
                <w:tcPr>
                  <w:tcW w:w="339" w:type="pct"/>
                  <w:vAlign w:val="bottom"/>
                </w:tcPr>
                <w:p w:rsidR="00745FEA" w:rsidRPr="00BA7E54" w:rsidRDefault="00745FEA" w:rsidP="00745FEA">
                  <w:pPr>
                    <w:pStyle w:val="TableBodyText"/>
                    <w:ind w:right="57"/>
                  </w:pPr>
                  <w:r w:rsidRPr="00BA7E54">
                    <w:t>–</w:t>
                  </w:r>
                </w:p>
              </w:tc>
              <w:tc>
                <w:tcPr>
                  <w:tcW w:w="339" w:type="pct"/>
                  <w:vAlign w:val="bottom"/>
                </w:tcPr>
                <w:p w:rsidR="00745FEA" w:rsidRPr="00BA7E54" w:rsidRDefault="00745FEA" w:rsidP="00745FEA">
                  <w:pPr>
                    <w:pStyle w:val="TableBodyText"/>
                    <w:ind w:right="57"/>
                  </w:pPr>
                  <w:r w:rsidRPr="00BA7E54">
                    <w:t>0.5</w:t>
                  </w:r>
                </w:p>
              </w:tc>
              <w:tc>
                <w:tcPr>
                  <w:tcW w:w="339" w:type="pct"/>
                  <w:vAlign w:val="bottom"/>
                </w:tcPr>
                <w:p w:rsidR="00745FEA" w:rsidRPr="00BA7E54" w:rsidRDefault="00745FEA" w:rsidP="00745FEA">
                  <w:pPr>
                    <w:pStyle w:val="TableBodyText"/>
                    <w:ind w:right="57"/>
                  </w:pPr>
                  <w:r w:rsidRPr="00BA7E54">
                    <w:t>–</w:t>
                  </w:r>
                </w:p>
              </w:tc>
              <w:tc>
                <w:tcPr>
                  <w:tcW w:w="339" w:type="pct"/>
                  <w:vAlign w:val="bottom"/>
                </w:tcPr>
                <w:p w:rsidR="00745FEA" w:rsidRPr="00BA7E54" w:rsidRDefault="00745FEA" w:rsidP="00745FEA">
                  <w:pPr>
                    <w:pStyle w:val="TableBodyText"/>
                    <w:ind w:right="57"/>
                  </w:pPr>
                  <w:r w:rsidRPr="00BA7E54">
                    <w:t>–</w:t>
                  </w:r>
                </w:p>
              </w:tc>
              <w:tc>
                <w:tcPr>
                  <w:tcW w:w="339" w:type="pct"/>
                  <w:shd w:val="clear" w:color="auto" w:fill="auto"/>
                  <w:vAlign w:val="bottom"/>
                </w:tcPr>
                <w:p w:rsidR="00745FEA" w:rsidRPr="00BA7E54" w:rsidRDefault="00745FEA" w:rsidP="00745FEA">
                  <w:pPr>
                    <w:pStyle w:val="TableBodyText"/>
                    <w:ind w:right="57"/>
                  </w:pPr>
                  <w:r w:rsidRPr="00BA7E54">
                    <w:t>–</w:t>
                  </w:r>
                </w:p>
              </w:tc>
              <w:tc>
                <w:tcPr>
                  <w:tcW w:w="337" w:type="pct"/>
                  <w:shd w:val="clear" w:color="auto" w:fill="auto"/>
                  <w:vAlign w:val="bottom"/>
                </w:tcPr>
                <w:p w:rsidR="00745FEA" w:rsidRPr="00BA7E54" w:rsidRDefault="00745FEA" w:rsidP="00745FEA">
                  <w:pPr>
                    <w:pStyle w:val="TableBodyText"/>
                    <w:ind w:right="57"/>
                  </w:pPr>
                  <w:r w:rsidRPr="00BA7E54">
                    <w:t>–</w:t>
                  </w:r>
                </w:p>
              </w:tc>
            </w:tr>
            <w:tr w:rsidR="00745FEA" w:rsidTr="00745FEA">
              <w:trPr>
                <w:gridAfter w:val="4"/>
                <w:wAfter w:w="1350" w:type="pct"/>
              </w:trPr>
              <w:tc>
                <w:tcPr>
                  <w:tcW w:w="1616" w:type="pct"/>
                  <w:shd w:val="clear" w:color="auto" w:fill="auto"/>
                </w:tcPr>
                <w:p w:rsidR="00745FEA" w:rsidRPr="00B415D3" w:rsidRDefault="00745FEA" w:rsidP="00745FEA">
                  <w:pPr>
                    <w:pStyle w:val="TableBodyText"/>
                    <w:spacing w:after="0"/>
                    <w:ind w:left="227" w:right="0"/>
                    <w:jc w:val="left"/>
                  </w:pPr>
                  <w:r w:rsidRPr="00B415D3">
                    <w:t>Wine Australia Corporation</w:t>
                  </w:r>
                </w:p>
              </w:tc>
              <w:tc>
                <w:tcPr>
                  <w:tcW w:w="339" w:type="pct"/>
                  <w:vAlign w:val="bottom"/>
                </w:tcPr>
                <w:p w:rsidR="00745FEA" w:rsidRPr="00BA7E54" w:rsidRDefault="00745FEA" w:rsidP="00745FEA">
                  <w:pPr>
                    <w:pStyle w:val="TableBodyText"/>
                    <w:ind w:right="57"/>
                  </w:pPr>
                  <w:r w:rsidRPr="00BA7E54">
                    <w:t>2.8</w:t>
                  </w:r>
                </w:p>
              </w:tc>
              <w:tc>
                <w:tcPr>
                  <w:tcW w:w="339" w:type="pct"/>
                  <w:vAlign w:val="bottom"/>
                </w:tcPr>
                <w:p w:rsidR="00745FEA" w:rsidRPr="00BA7E54" w:rsidRDefault="00745FEA" w:rsidP="00745FEA">
                  <w:pPr>
                    <w:pStyle w:val="TableBodyText"/>
                    <w:ind w:right="57"/>
                  </w:pPr>
                  <w:r w:rsidRPr="00BA7E54">
                    <w:t>2.7</w:t>
                  </w:r>
                </w:p>
              </w:tc>
              <w:tc>
                <w:tcPr>
                  <w:tcW w:w="339" w:type="pct"/>
                  <w:vAlign w:val="bottom"/>
                </w:tcPr>
                <w:p w:rsidR="00745FEA" w:rsidRPr="00BA7E54" w:rsidRDefault="00745FEA" w:rsidP="00745FEA">
                  <w:pPr>
                    <w:pStyle w:val="TableBodyText"/>
                    <w:ind w:right="57"/>
                  </w:pPr>
                  <w:r w:rsidRPr="00BA7E54">
                    <w:t>2.9</w:t>
                  </w:r>
                </w:p>
              </w:tc>
              <w:tc>
                <w:tcPr>
                  <w:tcW w:w="339" w:type="pct"/>
                  <w:vAlign w:val="bottom"/>
                </w:tcPr>
                <w:p w:rsidR="00745FEA" w:rsidRPr="00BA7E54" w:rsidRDefault="00745FEA" w:rsidP="00745FEA">
                  <w:pPr>
                    <w:pStyle w:val="TableBodyText"/>
                    <w:ind w:right="57"/>
                  </w:pPr>
                  <w:r w:rsidRPr="00BA7E54">
                    <w:t>–</w:t>
                  </w:r>
                </w:p>
              </w:tc>
              <w:tc>
                <w:tcPr>
                  <w:tcW w:w="339" w:type="pct"/>
                  <w:shd w:val="clear" w:color="auto" w:fill="auto"/>
                  <w:vAlign w:val="bottom"/>
                </w:tcPr>
                <w:p w:rsidR="00745FEA" w:rsidRPr="00BA7E54" w:rsidRDefault="00745FEA" w:rsidP="00745FEA">
                  <w:pPr>
                    <w:pStyle w:val="TableBodyText"/>
                    <w:ind w:right="57"/>
                  </w:pPr>
                  <w:r w:rsidRPr="00BA7E54">
                    <w:t>–</w:t>
                  </w:r>
                </w:p>
              </w:tc>
              <w:tc>
                <w:tcPr>
                  <w:tcW w:w="337" w:type="pct"/>
                  <w:shd w:val="clear" w:color="auto" w:fill="auto"/>
                  <w:vAlign w:val="bottom"/>
                </w:tcPr>
                <w:p w:rsidR="00745FEA" w:rsidRPr="00BA7E54" w:rsidRDefault="00745FEA" w:rsidP="00745FEA">
                  <w:pPr>
                    <w:pStyle w:val="TableBodyText"/>
                    <w:ind w:right="57"/>
                  </w:pPr>
                  <w:r w:rsidRPr="00BA7E54">
                    <w:t>–</w:t>
                  </w:r>
                </w:p>
              </w:tc>
            </w:tr>
            <w:tr w:rsidR="00745FEA" w:rsidTr="00745FEA">
              <w:trPr>
                <w:gridAfter w:val="4"/>
                <w:wAfter w:w="1350" w:type="pct"/>
              </w:trPr>
              <w:tc>
                <w:tcPr>
                  <w:tcW w:w="1616" w:type="pct"/>
                  <w:shd w:val="clear" w:color="auto" w:fill="auto"/>
                </w:tcPr>
                <w:p w:rsidR="00745FEA" w:rsidRPr="00B415D3" w:rsidRDefault="00745FEA" w:rsidP="00745FEA">
                  <w:pPr>
                    <w:pStyle w:val="TableBodyText"/>
                    <w:spacing w:after="0"/>
                    <w:ind w:left="227" w:right="0"/>
                    <w:jc w:val="left"/>
                  </w:pPr>
                  <w:r w:rsidRPr="00B415D3">
                    <w:t>Tax deductions for grape vines</w:t>
                  </w:r>
                </w:p>
              </w:tc>
              <w:tc>
                <w:tcPr>
                  <w:tcW w:w="339" w:type="pct"/>
                  <w:vAlign w:val="bottom"/>
                </w:tcPr>
                <w:p w:rsidR="00745FEA" w:rsidRPr="00BA7E54" w:rsidRDefault="00745FEA" w:rsidP="00745FEA">
                  <w:pPr>
                    <w:pStyle w:val="TableBodyText"/>
                    <w:ind w:right="57"/>
                  </w:pPr>
                  <w:r w:rsidRPr="00BA7E54">
                    <w:t>-7.0</w:t>
                  </w:r>
                </w:p>
              </w:tc>
              <w:tc>
                <w:tcPr>
                  <w:tcW w:w="339" w:type="pct"/>
                  <w:vAlign w:val="bottom"/>
                </w:tcPr>
                <w:p w:rsidR="00745FEA" w:rsidRPr="00BA7E54" w:rsidRDefault="00745FEA" w:rsidP="00745FEA">
                  <w:pPr>
                    <w:pStyle w:val="TableBodyText"/>
                    <w:ind w:right="57"/>
                  </w:pPr>
                  <w:r w:rsidRPr="00BA7E54">
                    <w:t>-6.0</w:t>
                  </w:r>
                </w:p>
              </w:tc>
              <w:tc>
                <w:tcPr>
                  <w:tcW w:w="339" w:type="pct"/>
                  <w:vAlign w:val="bottom"/>
                </w:tcPr>
                <w:p w:rsidR="00745FEA" w:rsidRPr="00BA7E54" w:rsidRDefault="00745FEA" w:rsidP="00745FEA">
                  <w:pPr>
                    <w:pStyle w:val="TableBodyText"/>
                    <w:ind w:right="57"/>
                  </w:pPr>
                  <w:r w:rsidRPr="00BA7E54">
                    <w:t>-6.0</w:t>
                  </w:r>
                </w:p>
              </w:tc>
              <w:tc>
                <w:tcPr>
                  <w:tcW w:w="339" w:type="pct"/>
                  <w:vAlign w:val="bottom"/>
                </w:tcPr>
                <w:p w:rsidR="00745FEA" w:rsidRPr="00BA7E54" w:rsidRDefault="00745FEA" w:rsidP="00745FEA">
                  <w:pPr>
                    <w:pStyle w:val="TableBodyText"/>
                    <w:ind w:right="57"/>
                  </w:pPr>
                  <w:r w:rsidRPr="00BA7E54">
                    <w:t>-6.0</w:t>
                  </w:r>
                </w:p>
              </w:tc>
              <w:tc>
                <w:tcPr>
                  <w:tcW w:w="339" w:type="pct"/>
                  <w:shd w:val="clear" w:color="auto" w:fill="auto"/>
                  <w:vAlign w:val="bottom"/>
                </w:tcPr>
                <w:p w:rsidR="00745FEA" w:rsidRPr="00BA7E54" w:rsidRDefault="00745FEA" w:rsidP="00745FEA">
                  <w:pPr>
                    <w:pStyle w:val="TableBodyText"/>
                    <w:ind w:right="57"/>
                  </w:pPr>
                  <w:r w:rsidRPr="00BA7E54">
                    <w:t>-5.0</w:t>
                  </w:r>
                </w:p>
              </w:tc>
              <w:tc>
                <w:tcPr>
                  <w:tcW w:w="337" w:type="pct"/>
                  <w:shd w:val="clear" w:color="auto" w:fill="auto"/>
                  <w:vAlign w:val="bottom"/>
                </w:tcPr>
                <w:p w:rsidR="00745FEA" w:rsidRPr="00BA7E54" w:rsidRDefault="00745FEA" w:rsidP="00745FEA">
                  <w:pPr>
                    <w:pStyle w:val="TableBodyText"/>
                    <w:ind w:right="57"/>
                  </w:pPr>
                  <w:r w:rsidRPr="00BA7E54">
                    <w:t>-4.0</w:t>
                  </w:r>
                </w:p>
              </w:tc>
            </w:tr>
            <w:tr w:rsidR="00745FEA" w:rsidTr="00745FEA">
              <w:trPr>
                <w:gridAfter w:val="4"/>
                <w:wAfter w:w="1350" w:type="pct"/>
              </w:trPr>
              <w:tc>
                <w:tcPr>
                  <w:tcW w:w="1616" w:type="pct"/>
                  <w:shd w:val="clear" w:color="auto" w:fill="auto"/>
                </w:tcPr>
                <w:p w:rsidR="00745FEA" w:rsidRPr="00B415D3" w:rsidRDefault="00745FEA" w:rsidP="00745FEA">
                  <w:pPr>
                    <w:pStyle w:val="TableBodyText"/>
                    <w:spacing w:after="0"/>
                    <w:ind w:left="227" w:right="0"/>
                    <w:jc w:val="left"/>
                  </w:pPr>
                  <w:r w:rsidRPr="00B415D3">
                    <w:t>Tax Deduction for horticultural plantations</w:t>
                  </w:r>
                </w:p>
              </w:tc>
              <w:tc>
                <w:tcPr>
                  <w:tcW w:w="339" w:type="pct"/>
                  <w:vAlign w:val="bottom"/>
                </w:tcPr>
                <w:p w:rsidR="00745FEA" w:rsidRPr="00BA7E54" w:rsidRDefault="00745FEA" w:rsidP="00745FEA">
                  <w:pPr>
                    <w:pStyle w:val="TableBodyText"/>
                    <w:ind w:right="57"/>
                  </w:pPr>
                  <w:r w:rsidRPr="00BA7E54">
                    <w:t>6.0</w:t>
                  </w:r>
                </w:p>
              </w:tc>
              <w:tc>
                <w:tcPr>
                  <w:tcW w:w="339" w:type="pct"/>
                  <w:vAlign w:val="bottom"/>
                </w:tcPr>
                <w:p w:rsidR="00745FEA" w:rsidRPr="00BA7E54" w:rsidRDefault="00745FEA" w:rsidP="00745FEA">
                  <w:pPr>
                    <w:pStyle w:val="TableBodyText"/>
                    <w:ind w:right="57"/>
                  </w:pPr>
                  <w:r w:rsidRPr="00BA7E54">
                    <w:t>6.0</w:t>
                  </w:r>
                </w:p>
              </w:tc>
              <w:tc>
                <w:tcPr>
                  <w:tcW w:w="339" w:type="pct"/>
                  <w:vAlign w:val="bottom"/>
                </w:tcPr>
                <w:p w:rsidR="00745FEA" w:rsidRPr="00BA7E54" w:rsidRDefault="00745FEA" w:rsidP="00745FEA">
                  <w:pPr>
                    <w:pStyle w:val="TableBodyText"/>
                    <w:ind w:right="57"/>
                  </w:pPr>
                  <w:r w:rsidRPr="00BA7E54">
                    <w:t>–</w:t>
                  </w:r>
                </w:p>
              </w:tc>
              <w:tc>
                <w:tcPr>
                  <w:tcW w:w="339" w:type="pct"/>
                  <w:vAlign w:val="bottom"/>
                </w:tcPr>
                <w:p w:rsidR="00745FEA" w:rsidRPr="00BA7E54" w:rsidRDefault="00745FEA" w:rsidP="00745FEA">
                  <w:pPr>
                    <w:pStyle w:val="TableBodyText"/>
                    <w:ind w:right="57"/>
                  </w:pPr>
                  <w:r w:rsidRPr="00BA7E54">
                    <w:t>–</w:t>
                  </w:r>
                </w:p>
              </w:tc>
              <w:tc>
                <w:tcPr>
                  <w:tcW w:w="339" w:type="pct"/>
                  <w:shd w:val="clear" w:color="auto" w:fill="auto"/>
                  <w:vAlign w:val="bottom"/>
                </w:tcPr>
                <w:p w:rsidR="00745FEA" w:rsidRPr="00BA7E54" w:rsidRDefault="00745FEA" w:rsidP="00745FEA">
                  <w:pPr>
                    <w:pStyle w:val="TableBodyText"/>
                    <w:ind w:right="57"/>
                  </w:pPr>
                  <w:r w:rsidRPr="00BA7E54">
                    <w:t>–</w:t>
                  </w:r>
                </w:p>
              </w:tc>
              <w:tc>
                <w:tcPr>
                  <w:tcW w:w="337" w:type="pct"/>
                  <w:shd w:val="clear" w:color="auto" w:fill="auto"/>
                  <w:vAlign w:val="bottom"/>
                </w:tcPr>
                <w:p w:rsidR="00745FEA" w:rsidRDefault="00745FEA" w:rsidP="00745FEA">
                  <w:pPr>
                    <w:pStyle w:val="TableBodyText"/>
                    <w:ind w:right="57"/>
                  </w:pPr>
                  <w:r w:rsidRPr="00BA7E54">
                    <w:t>–</w:t>
                  </w:r>
                </w:p>
              </w:tc>
            </w:tr>
            <w:tr w:rsidR="00745FEA" w:rsidTr="00745FEA">
              <w:tc>
                <w:tcPr>
                  <w:tcW w:w="1616" w:type="pct"/>
                  <w:shd w:val="clear" w:color="auto" w:fill="auto"/>
                  <w:vAlign w:val="center"/>
                </w:tcPr>
                <w:p w:rsidR="00745FEA" w:rsidRPr="00123D97" w:rsidRDefault="00745FEA" w:rsidP="00745FEA">
                  <w:pPr>
                    <w:pStyle w:val="TableBodyText"/>
                    <w:spacing w:before="40" w:after="0"/>
                    <w:ind w:left="113"/>
                    <w:jc w:val="left"/>
                    <w:rPr>
                      <w:i/>
                    </w:rPr>
                  </w:pPr>
                  <w:r w:rsidRPr="00123D97">
                    <w:rPr>
                      <w:i/>
                    </w:rPr>
                    <w:t>Sector-specific measures</w:t>
                  </w:r>
                </w:p>
              </w:tc>
              <w:tc>
                <w:tcPr>
                  <w:tcW w:w="339" w:type="pct"/>
                  <w:vAlign w:val="bottom"/>
                </w:tcPr>
                <w:p w:rsidR="00745FEA" w:rsidRPr="005C642D" w:rsidRDefault="00745FEA" w:rsidP="00745FEA">
                  <w:pPr>
                    <w:spacing w:before="40"/>
                    <w:ind w:left="113" w:right="57"/>
                    <w:jc w:val="right"/>
                    <w:rPr>
                      <w:rFonts w:ascii="Arial" w:hAnsi="Arial" w:cs="Arial"/>
                      <w:sz w:val="18"/>
                      <w:szCs w:val="18"/>
                    </w:rPr>
                  </w:pPr>
                </w:p>
              </w:tc>
              <w:tc>
                <w:tcPr>
                  <w:tcW w:w="339" w:type="pct"/>
                  <w:vAlign w:val="bottom"/>
                </w:tcPr>
                <w:p w:rsidR="00745FEA" w:rsidRPr="005C642D" w:rsidRDefault="00745FEA" w:rsidP="00745FEA">
                  <w:pPr>
                    <w:spacing w:before="40"/>
                    <w:ind w:left="113" w:right="57"/>
                    <w:jc w:val="right"/>
                    <w:rPr>
                      <w:rFonts w:ascii="Arial" w:hAnsi="Arial" w:cs="Arial"/>
                      <w:sz w:val="18"/>
                      <w:szCs w:val="18"/>
                    </w:rPr>
                  </w:pPr>
                </w:p>
              </w:tc>
              <w:tc>
                <w:tcPr>
                  <w:tcW w:w="339" w:type="pct"/>
                  <w:vAlign w:val="bottom"/>
                </w:tcPr>
                <w:p w:rsidR="00745FEA" w:rsidRPr="005C642D" w:rsidRDefault="00745FEA" w:rsidP="00745FEA">
                  <w:pPr>
                    <w:spacing w:before="40"/>
                    <w:ind w:left="113" w:right="57"/>
                    <w:jc w:val="right"/>
                    <w:rPr>
                      <w:rFonts w:ascii="Arial" w:hAnsi="Arial" w:cs="Arial"/>
                      <w:sz w:val="18"/>
                      <w:szCs w:val="18"/>
                    </w:rPr>
                  </w:pPr>
                </w:p>
              </w:tc>
              <w:tc>
                <w:tcPr>
                  <w:tcW w:w="339" w:type="pct"/>
                  <w:vAlign w:val="bottom"/>
                </w:tcPr>
                <w:p w:rsidR="00745FEA" w:rsidRPr="005C642D" w:rsidRDefault="00745FEA" w:rsidP="00745FEA">
                  <w:pPr>
                    <w:spacing w:before="40"/>
                    <w:ind w:left="113" w:right="57"/>
                    <w:jc w:val="right"/>
                    <w:rPr>
                      <w:rFonts w:ascii="Arial" w:hAnsi="Arial" w:cs="Arial"/>
                      <w:sz w:val="18"/>
                      <w:szCs w:val="18"/>
                    </w:rPr>
                  </w:pPr>
                </w:p>
              </w:tc>
              <w:tc>
                <w:tcPr>
                  <w:tcW w:w="339" w:type="pct"/>
                  <w:shd w:val="clear" w:color="auto" w:fill="auto"/>
                  <w:vAlign w:val="bottom"/>
                </w:tcPr>
                <w:p w:rsidR="00745FEA" w:rsidRPr="005C642D" w:rsidRDefault="00745FEA" w:rsidP="00745FEA">
                  <w:pPr>
                    <w:spacing w:before="40"/>
                    <w:ind w:left="113" w:right="57"/>
                    <w:jc w:val="right"/>
                    <w:rPr>
                      <w:rFonts w:ascii="Arial" w:hAnsi="Arial" w:cs="Arial"/>
                      <w:sz w:val="18"/>
                      <w:szCs w:val="18"/>
                    </w:rPr>
                  </w:pPr>
                </w:p>
              </w:tc>
              <w:tc>
                <w:tcPr>
                  <w:tcW w:w="337" w:type="pct"/>
                  <w:shd w:val="clear" w:color="auto" w:fill="auto"/>
                  <w:vAlign w:val="bottom"/>
                </w:tcPr>
                <w:p w:rsidR="00745FEA" w:rsidRPr="005C642D" w:rsidRDefault="00745FEA" w:rsidP="00745FEA">
                  <w:pPr>
                    <w:spacing w:before="40"/>
                    <w:ind w:left="113" w:right="57"/>
                    <w:jc w:val="right"/>
                    <w:rPr>
                      <w:rFonts w:ascii="Arial" w:hAnsi="Arial" w:cs="Arial"/>
                      <w:sz w:val="18"/>
                      <w:szCs w:val="18"/>
                    </w:rPr>
                  </w:pPr>
                </w:p>
              </w:tc>
              <w:tc>
                <w:tcPr>
                  <w:tcW w:w="339" w:type="pct"/>
                  <w:vAlign w:val="center"/>
                </w:tcPr>
                <w:p w:rsidR="00745FEA" w:rsidRPr="005C642D" w:rsidRDefault="00745FEA" w:rsidP="00745FEA">
                  <w:pPr>
                    <w:spacing w:before="40"/>
                    <w:ind w:left="113"/>
                    <w:rPr>
                      <w:rFonts w:ascii="Arial" w:hAnsi="Arial" w:cs="Arial"/>
                      <w:sz w:val="18"/>
                      <w:szCs w:val="18"/>
                    </w:rPr>
                  </w:pPr>
                </w:p>
              </w:tc>
              <w:tc>
                <w:tcPr>
                  <w:tcW w:w="339" w:type="pct"/>
                  <w:vAlign w:val="center"/>
                </w:tcPr>
                <w:p w:rsidR="00745FEA" w:rsidRPr="005C642D" w:rsidRDefault="00745FEA" w:rsidP="00745FEA">
                  <w:pPr>
                    <w:spacing w:before="40"/>
                    <w:ind w:left="113"/>
                    <w:rPr>
                      <w:rFonts w:ascii="Arial" w:hAnsi="Arial" w:cs="Arial"/>
                      <w:sz w:val="18"/>
                      <w:szCs w:val="18"/>
                    </w:rPr>
                  </w:pPr>
                </w:p>
              </w:tc>
              <w:tc>
                <w:tcPr>
                  <w:tcW w:w="339" w:type="pct"/>
                  <w:vAlign w:val="center"/>
                </w:tcPr>
                <w:p w:rsidR="00745FEA" w:rsidRPr="005C642D" w:rsidRDefault="00745FEA" w:rsidP="00745FEA">
                  <w:pPr>
                    <w:spacing w:before="40"/>
                    <w:ind w:left="113"/>
                    <w:rPr>
                      <w:rFonts w:ascii="Arial" w:hAnsi="Arial" w:cs="Arial"/>
                      <w:sz w:val="18"/>
                      <w:szCs w:val="18"/>
                    </w:rPr>
                  </w:pPr>
                </w:p>
              </w:tc>
              <w:tc>
                <w:tcPr>
                  <w:tcW w:w="331" w:type="pct"/>
                  <w:vAlign w:val="center"/>
                </w:tcPr>
                <w:p w:rsidR="00745FEA" w:rsidRPr="005C642D" w:rsidRDefault="00745FEA" w:rsidP="00745FEA">
                  <w:pPr>
                    <w:spacing w:before="40"/>
                    <w:ind w:left="113"/>
                    <w:rPr>
                      <w:rFonts w:ascii="Arial" w:hAnsi="Arial" w:cs="Arial"/>
                      <w:sz w:val="18"/>
                      <w:szCs w:val="18"/>
                    </w:rPr>
                  </w:pP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Carbon Farming Futures</w:t>
                  </w:r>
                </w:p>
              </w:tc>
              <w:tc>
                <w:tcPr>
                  <w:tcW w:w="339" w:type="pct"/>
                  <w:vAlign w:val="bottom"/>
                </w:tcPr>
                <w:p w:rsidR="00745FEA" w:rsidRPr="001322B6" w:rsidRDefault="00745FEA" w:rsidP="00745FEA">
                  <w:pPr>
                    <w:pStyle w:val="TableBodyText"/>
                    <w:ind w:right="57"/>
                  </w:pPr>
                  <w:r w:rsidRPr="001322B6">
                    <w:t>0.3</w:t>
                  </w:r>
                </w:p>
              </w:tc>
              <w:tc>
                <w:tcPr>
                  <w:tcW w:w="339" w:type="pct"/>
                  <w:vAlign w:val="bottom"/>
                </w:tcPr>
                <w:p w:rsidR="00745FEA" w:rsidRPr="001322B6" w:rsidRDefault="00745FEA" w:rsidP="00745FEA">
                  <w:pPr>
                    <w:pStyle w:val="TableBodyText"/>
                    <w:ind w:right="57"/>
                  </w:pPr>
                  <w:r w:rsidRPr="001322B6">
                    <w:t>0.2</w:t>
                  </w:r>
                </w:p>
              </w:tc>
              <w:tc>
                <w:tcPr>
                  <w:tcW w:w="339" w:type="pct"/>
                  <w:vAlign w:val="bottom"/>
                </w:tcPr>
                <w:p w:rsidR="00745FEA" w:rsidRPr="001322B6" w:rsidRDefault="00745FEA" w:rsidP="00745FEA">
                  <w:pPr>
                    <w:pStyle w:val="TableBodyText"/>
                    <w:ind w:right="57"/>
                  </w:pPr>
                  <w:r w:rsidRPr="001322B6">
                    <w:t>5.2</w:t>
                  </w:r>
                </w:p>
              </w:tc>
              <w:tc>
                <w:tcPr>
                  <w:tcW w:w="339" w:type="pct"/>
                  <w:vAlign w:val="bottom"/>
                </w:tcPr>
                <w:p w:rsidR="00745FEA" w:rsidRPr="001322B6" w:rsidRDefault="00745FEA" w:rsidP="00745FEA">
                  <w:pPr>
                    <w:pStyle w:val="TableBodyText"/>
                    <w:ind w:right="57"/>
                  </w:pPr>
                  <w:r w:rsidRPr="001322B6">
                    <w:t>4.1</w:t>
                  </w:r>
                </w:p>
              </w:tc>
              <w:tc>
                <w:tcPr>
                  <w:tcW w:w="339" w:type="pct"/>
                  <w:shd w:val="clear" w:color="auto" w:fill="auto"/>
                  <w:vAlign w:val="bottom"/>
                </w:tcPr>
                <w:p w:rsidR="00745FEA" w:rsidRPr="001322B6" w:rsidRDefault="00745FEA" w:rsidP="00745FEA">
                  <w:pPr>
                    <w:pStyle w:val="TableBodyText"/>
                    <w:ind w:right="57"/>
                  </w:pPr>
                  <w:r w:rsidRPr="001322B6">
                    <w:t>1.9</w:t>
                  </w:r>
                </w:p>
              </w:tc>
              <w:tc>
                <w:tcPr>
                  <w:tcW w:w="337" w:type="pct"/>
                  <w:shd w:val="clear" w:color="auto" w:fill="auto"/>
                  <w:vAlign w:val="bottom"/>
                </w:tcPr>
                <w:p w:rsidR="00745FEA" w:rsidRPr="001322B6" w:rsidRDefault="00745FEA" w:rsidP="00745FEA">
                  <w:pPr>
                    <w:pStyle w:val="TableBodyText"/>
                    <w:ind w:right="57"/>
                  </w:pPr>
                  <w:r w:rsidRPr="001322B6">
                    <w:t>1.5</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 xml:space="preserve">Drought Assistance Package - </w:t>
                  </w:r>
                  <w:r>
                    <w:t>concessional</w:t>
                  </w:r>
                  <w:r w:rsidRPr="001B4E88">
                    <w:t xml:space="preserve"> loans</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&lt;0.1</w:t>
                  </w:r>
                </w:p>
              </w:tc>
              <w:tc>
                <w:tcPr>
                  <w:tcW w:w="339" w:type="pct"/>
                  <w:shd w:val="clear" w:color="auto" w:fill="auto"/>
                  <w:vAlign w:val="bottom"/>
                </w:tcPr>
                <w:p w:rsidR="00745FEA" w:rsidRPr="001322B6" w:rsidRDefault="00745FEA" w:rsidP="00745FEA">
                  <w:pPr>
                    <w:pStyle w:val="TableBodyText"/>
                    <w:ind w:right="57"/>
                  </w:pPr>
                  <w:r w:rsidRPr="001322B6">
                    <w:t>&lt;0.1</w:t>
                  </w:r>
                </w:p>
              </w:tc>
              <w:tc>
                <w:tcPr>
                  <w:tcW w:w="337" w:type="pct"/>
                  <w:shd w:val="clear" w:color="auto" w:fill="auto"/>
                  <w:vAlign w:val="bottom"/>
                </w:tcPr>
                <w:p w:rsidR="00745FEA" w:rsidRPr="001322B6" w:rsidRDefault="00745FEA" w:rsidP="00745FEA">
                  <w:pPr>
                    <w:pStyle w:val="TableBodyText"/>
                    <w:ind w:right="57"/>
                  </w:pPr>
                  <w:r w:rsidRPr="001322B6">
                    <w:t>&lt;0.1</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 xml:space="preserve">Exceptional Circumstances - interest rate </w:t>
                  </w:r>
                  <w:r>
                    <w:t>subsidies</w:t>
                  </w:r>
                </w:p>
              </w:tc>
              <w:tc>
                <w:tcPr>
                  <w:tcW w:w="339" w:type="pct"/>
                  <w:vAlign w:val="bottom"/>
                </w:tcPr>
                <w:p w:rsidR="00745FEA" w:rsidRPr="001322B6" w:rsidRDefault="00745FEA" w:rsidP="00745FEA">
                  <w:pPr>
                    <w:pStyle w:val="TableBodyText"/>
                    <w:ind w:right="57"/>
                  </w:pPr>
                  <w:r w:rsidRPr="001322B6">
                    <w:t>8.7</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shd w:val="clear" w:color="auto" w:fill="auto"/>
                  <w:vAlign w:val="bottom"/>
                </w:tcPr>
                <w:p w:rsidR="00745FEA" w:rsidRPr="001322B6" w:rsidRDefault="00745FEA" w:rsidP="00745FEA">
                  <w:pPr>
                    <w:pStyle w:val="TableBodyText"/>
                    <w:ind w:right="57"/>
                  </w:pPr>
                  <w:r w:rsidRPr="001322B6">
                    <w:t>–</w:t>
                  </w:r>
                </w:p>
              </w:tc>
              <w:tc>
                <w:tcPr>
                  <w:tcW w:w="337" w:type="pct"/>
                  <w:shd w:val="clear" w:color="auto" w:fill="auto"/>
                  <w:vAlign w:val="bottom"/>
                </w:tcPr>
                <w:p w:rsidR="00745FEA" w:rsidRPr="001322B6" w:rsidRDefault="00745FEA" w:rsidP="00745FEA">
                  <w:pPr>
                    <w:pStyle w:val="TableBodyText"/>
                    <w:ind w:right="57"/>
                  </w:pPr>
                  <w:r w:rsidRPr="001322B6">
                    <w:t>–</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Exceptional Circumstances - relief payments</w:t>
                  </w:r>
                </w:p>
              </w:tc>
              <w:tc>
                <w:tcPr>
                  <w:tcW w:w="339" w:type="pct"/>
                  <w:vAlign w:val="bottom"/>
                </w:tcPr>
                <w:p w:rsidR="00745FEA" w:rsidRPr="001322B6" w:rsidRDefault="00745FEA" w:rsidP="00745FEA">
                  <w:pPr>
                    <w:pStyle w:val="TableBodyText"/>
                    <w:ind w:right="57"/>
                  </w:pPr>
                  <w:r w:rsidRPr="001322B6">
                    <w:t>0.8</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shd w:val="clear" w:color="auto" w:fill="auto"/>
                  <w:vAlign w:val="bottom"/>
                </w:tcPr>
                <w:p w:rsidR="00745FEA" w:rsidRPr="001322B6" w:rsidRDefault="00745FEA" w:rsidP="00745FEA">
                  <w:pPr>
                    <w:pStyle w:val="TableBodyText"/>
                    <w:ind w:right="57"/>
                  </w:pPr>
                  <w:r w:rsidRPr="001322B6">
                    <w:t>–</w:t>
                  </w:r>
                </w:p>
              </w:tc>
              <w:tc>
                <w:tcPr>
                  <w:tcW w:w="337" w:type="pct"/>
                  <w:shd w:val="clear" w:color="auto" w:fill="auto"/>
                  <w:vAlign w:val="bottom"/>
                </w:tcPr>
                <w:p w:rsidR="00745FEA" w:rsidRPr="001322B6" w:rsidRDefault="00745FEA" w:rsidP="00745FEA">
                  <w:pPr>
                    <w:pStyle w:val="TableBodyText"/>
                    <w:ind w:right="57"/>
                  </w:pPr>
                  <w:r w:rsidRPr="001322B6">
                    <w:t>–</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Farm Finance - concessional loans</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0.7</w:t>
                  </w:r>
                </w:p>
              </w:tc>
              <w:tc>
                <w:tcPr>
                  <w:tcW w:w="339" w:type="pct"/>
                  <w:vAlign w:val="bottom"/>
                </w:tcPr>
                <w:p w:rsidR="00745FEA" w:rsidRPr="001322B6" w:rsidRDefault="00745FEA" w:rsidP="00745FEA">
                  <w:pPr>
                    <w:pStyle w:val="TableBodyText"/>
                    <w:ind w:right="57"/>
                  </w:pPr>
                  <w:r w:rsidRPr="001322B6">
                    <w:t>0.1</w:t>
                  </w:r>
                </w:p>
              </w:tc>
              <w:tc>
                <w:tcPr>
                  <w:tcW w:w="339" w:type="pct"/>
                  <w:shd w:val="clear" w:color="auto" w:fill="auto"/>
                  <w:vAlign w:val="bottom"/>
                </w:tcPr>
                <w:p w:rsidR="00745FEA" w:rsidRPr="001322B6" w:rsidRDefault="00745FEA" w:rsidP="00745FEA">
                  <w:pPr>
                    <w:pStyle w:val="TableBodyText"/>
                    <w:ind w:right="57"/>
                  </w:pPr>
                  <w:r w:rsidRPr="001322B6">
                    <w:t>0.1</w:t>
                  </w:r>
                </w:p>
              </w:tc>
              <w:tc>
                <w:tcPr>
                  <w:tcW w:w="337" w:type="pct"/>
                  <w:shd w:val="clear" w:color="auto" w:fill="auto"/>
                  <w:vAlign w:val="bottom"/>
                </w:tcPr>
                <w:p w:rsidR="00745FEA" w:rsidRPr="001322B6" w:rsidRDefault="00745FEA" w:rsidP="00745FEA">
                  <w:pPr>
                    <w:pStyle w:val="TableBodyText"/>
                    <w:ind w:right="57"/>
                  </w:pPr>
                  <w:r w:rsidRPr="001322B6">
                    <w:t>&lt;0.1</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Farm Help</w:t>
                  </w:r>
                </w:p>
              </w:tc>
              <w:tc>
                <w:tcPr>
                  <w:tcW w:w="339" w:type="pct"/>
                  <w:vAlign w:val="bottom"/>
                </w:tcPr>
                <w:p w:rsidR="00745FEA" w:rsidRPr="001322B6" w:rsidRDefault="00745FEA" w:rsidP="00745FEA">
                  <w:pPr>
                    <w:pStyle w:val="TableBodyText"/>
                    <w:ind w:right="57"/>
                  </w:pPr>
                  <w:r w:rsidRPr="001322B6">
                    <w:t>&lt;0.1</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shd w:val="clear" w:color="auto" w:fill="auto"/>
                  <w:vAlign w:val="bottom"/>
                </w:tcPr>
                <w:p w:rsidR="00745FEA" w:rsidRPr="001322B6" w:rsidRDefault="00745FEA" w:rsidP="00745FEA">
                  <w:pPr>
                    <w:pStyle w:val="TableBodyText"/>
                    <w:ind w:right="57"/>
                  </w:pPr>
                  <w:r w:rsidRPr="001322B6">
                    <w:t>–</w:t>
                  </w:r>
                </w:p>
              </w:tc>
              <w:tc>
                <w:tcPr>
                  <w:tcW w:w="337" w:type="pct"/>
                  <w:shd w:val="clear" w:color="auto" w:fill="auto"/>
                  <w:vAlign w:val="bottom"/>
                </w:tcPr>
                <w:p w:rsidR="00745FEA" w:rsidRPr="001322B6" w:rsidRDefault="00745FEA" w:rsidP="00745FEA">
                  <w:pPr>
                    <w:pStyle w:val="TableBodyText"/>
                    <w:ind w:right="57"/>
                  </w:pPr>
                  <w:r w:rsidRPr="001322B6">
                    <w:t>–</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3632EE">
                    <w:t>Improved Access to Agricultural and Veterinary Chemicals</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shd w:val="clear" w:color="auto" w:fill="auto"/>
                  <w:vAlign w:val="bottom"/>
                </w:tcPr>
                <w:p w:rsidR="00745FEA" w:rsidRPr="001322B6" w:rsidRDefault="00745FEA" w:rsidP="00745FEA">
                  <w:pPr>
                    <w:pStyle w:val="TableBodyText"/>
                    <w:ind w:right="57"/>
                  </w:pPr>
                  <w:r w:rsidRPr="001322B6">
                    <w:t>–</w:t>
                  </w:r>
                </w:p>
              </w:tc>
              <w:tc>
                <w:tcPr>
                  <w:tcW w:w="337" w:type="pct"/>
                  <w:shd w:val="clear" w:color="auto" w:fill="auto"/>
                  <w:vAlign w:val="bottom"/>
                </w:tcPr>
                <w:p w:rsidR="00745FEA" w:rsidRPr="001322B6" w:rsidRDefault="00745FEA" w:rsidP="00745FEA">
                  <w:pPr>
                    <w:pStyle w:val="TableBodyText"/>
                    <w:ind w:right="57"/>
                  </w:pPr>
                  <w:r w:rsidRPr="001322B6">
                    <w:t>1.4</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Interim Income Support</w:t>
                  </w:r>
                </w:p>
              </w:tc>
              <w:tc>
                <w:tcPr>
                  <w:tcW w:w="339" w:type="pct"/>
                  <w:vAlign w:val="bottom"/>
                </w:tcPr>
                <w:p w:rsidR="00745FEA" w:rsidRPr="001322B6" w:rsidRDefault="00745FEA" w:rsidP="00745FEA">
                  <w:pPr>
                    <w:pStyle w:val="TableBodyText"/>
                    <w:ind w:right="57"/>
                  </w:pPr>
                  <w:r w:rsidRPr="001322B6">
                    <w:t>&lt;0.1</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vAlign w:val="bottom"/>
                </w:tcPr>
                <w:p w:rsidR="00745FEA" w:rsidRPr="001322B6" w:rsidRDefault="00745FEA" w:rsidP="00745FEA">
                  <w:pPr>
                    <w:pStyle w:val="TableBodyText"/>
                    <w:ind w:right="57"/>
                  </w:pPr>
                  <w:r w:rsidRPr="001322B6">
                    <w:t>–</w:t>
                  </w:r>
                </w:p>
              </w:tc>
              <w:tc>
                <w:tcPr>
                  <w:tcW w:w="339" w:type="pct"/>
                  <w:shd w:val="clear" w:color="auto" w:fill="auto"/>
                  <w:vAlign w:val="bottom"/>
                </w:tcPr>
                <w:p w:rsidR="00745FEA" w:rsidRPr="001322B6" w:rsidRDefault="00745FEA" w:rsidP="00745FEA">
                  <w:pPr>
                    <w:pStyle w:val="TableBodyText"/>
                    <w:ind w:right="57"/>
                  </w:pPr>
                  <w:r w:rsidRPr="001322B6">
                    <w:t>–</w:t>
                  </w:r>
                </w:p>
              </w:tc>
              <w:tc>
                <w:tcPr>
                  <w:tcW w:w="337" w:type="pct"/>
                  <w:shd w:val="clear" w:color="auto" w:fill="auto"/>
                  <w:vAlign w:val="bottom"/>
                </w:tcPr>
                <w:p w:rsidR="00745FEA" w:rsidRPr="001322B6" w:rsidRDefault="00745FEA" w:rsidP="00745FEA">
                  <w:pPr>
                    <w:pStyle w:val="TableBodyText"/>
                    <w:ind w:right="57"/>
                  </w:pPr>
                  <w:r w:rsidRPr="001322B6">
                    <w:t>–</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Rural Financial Counselling Service</w:t>
                  </w:r>
                </w:p>
              </w:tc>
              <w:tc>
                <w:tcPr>
                  <w:tcW w:w="339" w:type="pct"/>
                  <w:vAlign w:val="bottom"/>
                </w:tcPr>
                <w:p w:rsidR="00745FEA" w:rsidRPr="001322B6" w:rsidRDefault="00745FEA" w:rsidP="00745FEA">
                  <w:pPr>
                    <w:pStyle w:val="TableBodyText"/>
                    <w:ind w:right="57"/>
                  </w:pPr>
                  <w:r w:rsidRPr="001322B6">
                    <w:t>2.3</w:t>
                  </w:r>
                </w:p>
              </w:tc>
              <w:tc>
                <w:tcPr>
                  <w:tcW w:w="339" w:type="pct"/>
                  <w:vAlign w:val="bottom"/>
                </w:tcPr>
                <w:p w:rsidR="00745FEA" w:rsidRPr="001322B6" w:rsidRDefault="00745FEA" w:rsidP="00745FEA">
                  <w:pPr>
                    <w:pStyle w:val="TableBodyText"/>
                    <w:ind w:right="57"/>
                  </w:pPr>
                  <w:r w:rsidRPr="001322B6">
                    <w:t>2.1</w:t>
                  </w:r>
                </w:p>
              </w:tc>
              <w:tc>
                <w:tcPr>
                  <w:tcW w:w="339" w:type="pct"/>
                  <w:vAlign w:val="bottom"/>
                </w:tcPr>
                <w:p w:rsidR="00745FEA" w:rsidRPr="001322B6" w:rsidRDefault="00745FEA" w:rsidP="00745FEA">
                  <w:pPr>
                    <w:pStyle w:val="TableBodyText"/>
                    <w:ind w:right="57"/>
                  </w:pPr>
                  <w:r w:rsidRPr="001322B6">
                    <w:t>2.3</w:t>
                  </w:r>
                </w:p>
              </w:tc>
              <w:tc>
                <w:tcPr>
                  <w:tcW w:w="339" w:type="pct"/>
                  <w:vAlign w:val="bottom"/>
                </w:tcPr>
                <w:p w:rsidR="00745FEA" w:rsidRPr="001322B6" w:rsidRDefault="00745FEA" w:rsidP="00745FEA">
                  <w:pPr>
                    <w:pStyle w:val="TableBodyText"/>
                    <w:ind w:right="57"/>
                  </w:pPr>
                  <w:r w:rsidRPr="001322B6">
                    <w:t>2.2</w:t>
                  </w:r>
                </w:p>
              </w:tc>
              <w:tc>
                <w:tcPr>
                  <w:tcW w:w="339" w:type="pct"/>
                  <w:shd w:val="clear" w:color="auto" w:fill="auto"/>
                  <w:vAlign w:val="bottom"/>
                </w:tcPr>
                <w:p w:rsidR="00745FEA" w:rsidRPr="001322B6" w:rsidRDefault="00745FEA" w:rsidP="00745FEA">
                  <w:pPr>
                    <w:pStyle w:val="TableBodyText"/>
                    <w:ind w:right="57"/>
                  </w:pPr>
                  <w:r w:rsidRPr="001322B6">
                    <w:t>1.7</w:t>
                  </w:r>
                </w:p>
              </w:tc>
              <w:tc>
                <w:tcPr>
                  <w:tcW w:w="337" w:type="pct"/>
                  <w:shd w:val="clear" w:color="auto" w:fill="auto"/>
                  <w:vAlign w:val="bottom"/>
                </w:tcPr>
                <w:p w:rsidR="00745FEA" w:rsidRPr="001322B6" w:rsidRDefault="00745FEA" w:rsidP="00745FEA">
                  <w:pPr>
                    <w:pStyle w:val="TableBodyText"/>
                    <w:ind w:right="57"/>
                  </w:pPr>
                  <w:r w:rsidRPr="001322B6">
                    <w:t>1.3</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Farm Management Deposits Scheme</w:t>
                  </w:r>
                </w:p>
              </w:tc>
              <w:tc>
                <w:tcPr>
                  <w:tcW w:w="339" w:type="pct"/>
                  <w:vAlign w:val="bottom"/>
                </w:tcPr>
                <w:p w:rsidR="00745FEA" w:rsidRPr="001322B6" w:rsidRDefault="00745FEA" w:rsidP="00745FEA">
                  <w:pPr>
                    <w:pStyle w:val="TableBodyText"/>
                    <w:ind w:right="57"/>
                  </w:pPr>
                  <w:r w:rsidRPr="001322B6">
                    <w:t>20.4</w:t>
                  </w:r>
                </w:p>
              </w:tc>
              <w:tc>
                <w:tcPr>
                  <w:tcW w:w="339" w:type="pct"/>
                  <w:vAlign w:val="bottom"/>
                </w:tcPr>
                <w:p w:rsidR="00745FEA" w:rsidRPr="001322B6" w:rsidRDefault="00745FEA" w:rsidP="00745FEA">
                  <w:pPr>
                    <w:pStyle w:val="TableBodyText"/>
                    <w:ind w:right="57"/>
                  </w:pPr>
                  <w:r w:rsidRPr="001322B6">
                    <w:t>18.2</w:t>
                  </w:r>
                </w:p>
              </w:tc>
              <w:tc>
                <w:tcPr>
                  <w:tcW w:w="339" w:type="pct"/>
                  <w:vAlign w:val="bottom"/>
                </w:tcPr>
                <w:p w:rsidR="00745FEA" w:rsidRPr="001322B6" w:rsidRDefault="00745FEA" w:rsidP="00745FEA">
                  <w:pPr>
                    <w:pStyle w:val="TableBodyText"/>
                    <w:ind w:right="57"/>
                  </w:pPr>
                  <w:r w:rsidRPr="001322B6">
                    <w:t>17.8</w:t>
                  </w:r>
                </w:p>
              </w:tc>
              <w:tc>
                <w:tcPr>
                  <w:tcW w:w="339" w:type="pct"/>
                  <w:vAlign w:val="bottom"/>
                </w:tcPr>
                <w:p w:rsidR="00745FEA" w:rsidRPr="001322B6" w:rsidRDefault="00745FEA" w:rsidP="00745FEA">
                  <w:pPr>
                    <w:pStyle w:val="TableBodyText"/>
                    <w:ind w:right="57"/>
                  </w:pPr>
                  <w:r w:rsidRPr="001322B6">
                    <w:t>19.9</w:t>
                  </w:r>
                </w:p>
              </w:tc>
              <w:tc>
                <w:tcPr>
                  <w:tcW w:w="339" w:type="pct"/>
                  <w:shd w:val="clear" w:color="auto" w:fill="auto"/>
                  <w:vAlign w:val="bottom"/>
                </w:tcPr>
                <w:p w:rsidR="00745FEA" w:rsidRPr="001322B6" w:rsidRDefault="00745FEA" w:rsidP="00745FEA">
                  <w:pPr>
                    <w:pStyle w:val="TableBodyText"/>
                    <w:ind w:right="57"/>
                  </w:pPr>
                  <w:r w:rsidRPr="001322B6">
                    <w:t>26.8</w:t>
                  </w:r>
                </w:p>
              </w:tc>
              <w:tc>
                <w:tcPr>
                  <w:tcW w:w="337" w:type="pct"/>
                  <w:shd w:val="clear" w:color="auto" w:fill="auto"/>
                  <w:vAlign w:val="bottom"/>
                </w:tcPr>
                <w:p w:rsidR="00745FEA" w:rsidRPr="001322B6" w:rsidRDefault="00745FEA" w:rsidP="00745FEA">
                  <w:pPr>
                    <w:pStyle w:val="TableBodyText"/>
                    <w:ind w:right="57"/>
                  </w:pPr>
                  <w:r w:rsidRPr="001322B6">
                    <w:t>26.1</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Income tax averaging provisions</w:t>
                  </w:r>
                </w:p>
              </w:tc>
              <w:tc>
                <w:tcPr>
                  <w:tcW w:w="339" w:type="pct"/>
                  <w:vAlign w:val="bottom"/>
                </w:tcPr>
                <w:p w:rsidR="00745FEA" w:rsidRPr="001322B6" w:rsidRDefault="00745FEA" w:rsidP="00745FEA">
                  <w:pPr>
                    <w:pStyle w:val="TableBodyText"/>
                    <w:ind w:right="57"/>
                  </w:pPr>
                  <w:r w:rsidRPr="001322B6">
                    <w:t>12.8</w:t>
                  </w:r>
                </w:p>
              </w:tc>
              <w:tc>
                <w:tcPr>
                  <w:tcW w:w="339" w:type="pct"/>
                  <w:vAlign w:val="bottom"/>
                </w:tcPr>
                <w:p w:rsidR="00745FEA" w:rsidRPr="001322B6" w:rsidRDefault="00745FEA" w:rsidP="00745FEA">
                  <w:pPr>
                    <w:pStyle w:val="TableBodyText"/>
                    <w:ind w:right="57"/>
                  </w:pPr>
                  <w:r w:rsidRPr="001322B6">
                    <w:t>15.3</w:t>
                  </w:r>
                </w:p>
              </w:tc>
              <w:tc>
                <w:tcPr>
                  <w:tcW w:w="339" w:type="pct"/>
                  <w:vAlign w:val="bottom"/>
                </w:tcPr>
                <w:p w:rsidR="00745FEA" w:rsidRPr="001322B6" w:rsidRDefault="00745FEA" w:rsidP="00745FEA">
                  <w:pPr>
                    <w:pStyle w:val="TableBodyText"/>
                    <w:ind w:right="57"/>
                  </w:pPr>
                  <w:r w:rsidRPr="001322B6">
                    <w:t>19.1</w:t>
                  </w:r>
                </w:p>
              </w:tc>
              <w:tc>
                <w:tcPr>
                  <w:tcW w:w="339" w:type="pct"/>
                  <w:vAlign w:val="bottom"/>
                </w:tcPr>
                <w:p w:rsidR="00745FEA" w:rsidRPr="001322B6" w:rsidRDefault="00745FEA" w:rsidP="00745FEA">
                  <w:pPr>
                    <w:pStyle w:val="TableBodyText"/>
                    <w:ind w:right="57"/>
                  </w:pPr>
                  <w:r w:rsidRPr="001322B6">
                    <w:t>18.4</w:t>
                  </w:r>
                </w:p>
              </w:tc>
              <w:tc>
                <w:tcPr>
                  <w:tcW w:w="339" w:type="pct"/>
                  <w:shd w:val="clear" w:color="auto" w:fill="auto"/>
                  <w:vAlign w:val="bottom"/>
                </w:tcPr>
                <w:p w:rsidR="00745FEA" w:rsidRPr="001322B6" w:rsidRDefault="00745FEA" w:rsidP="00745FEA">
                  <w:pPr>
                    <w:pStyle w:val="TableBodyText"/>
                    <w:ind w:right="57"/>
                  </w:pPr>
                  <w:r w:rsidRPr="001322B6">
                    <w:t>19.3</w:t>
                  </w:r>
                </w:p>
              </w:tc>
              <w:tc>
                <w:tcPr>
                  <w:tcW w:w="337" w:type="pct"/>
                  <w:shd w:val="clear" w:color="auto" w:fill="auto"/>
                  <w:vAlign w:val="bottom"/>
                </w:tcPr>
                <w:p w:rsidR="00745FEA" w:rsidRPr="001322B6" w:rsidRDefault="00745FEA" w:rsidP="00745FEA">
                  <w:pPr>
                    <w:pStyle w:val="TableBodyText"/>
                    <w:ind w:right="57"/>
                  </w:pPr>
                  <w:r w:rsidRPr="001322B6">
                    <w:t>17.5</w:t>
                  </w:r>
                </w:p>
              </w:tc>
            </w:tr>
            <w:tr w:rsidR="00745FEA" w:rsidTr="00745FEA">
              <w:trPr>
                <w:gridAfter w:val="4"/>
                <w:wAfter w:w="1350" w:type="pct"/>
              </w:trPr>
              <w:tc>
                <w:tcPr>
                  <w:tcW w:w="1616" w:type="pct"/>
                  <w:shd w:val="clear" w:color="auto" w:fill="auto"/>
                </w:tcPr>
                <w:p w:rsidR="00745FEA" w:rsidRPr="001B4E88" w:rsidRDefault="00745FEA" w:rsidP="00745FEA">
                  <w:pPr>
                    <w:pStyle w:val="TableBodyText"/>
                    <w:spacing w:after="0"/>
                    <w:ind w:left="227" w:right="0"/>
                    <w:jc w:val="left"/>
                  </w:pPr>
                  <w:r w:rsidRPr="001B4E88">
                    <w:t>Tax deduction for conserving or conveying water</w:t>
                  </w:r>
                </w:p>
              </w:tc>
              <w:tc>
                <w:tcPr>
                  <w:tcW w:w="339" w:type="pct"/>
                  <w:vAlign w:val="bottom"/>
                </w:tcPr>
                <w:p w:rsidR="00745FEA" w:rsidRPr="001322B6" w:rsidRDefault="00745FEA" w:rsidP="00745FEA">
                  <w:pPr>
                    <w:pStyle w:val="TableBodyText"/>
                    <w:ind w:right="57"/>
                  </w:pPr>
                  <w:r w:rsidRPr="001322B6">
                    <w:t>5.0</w:t>
                  </w:r>
                </w:p>
              </w:tc>
              <w:tc>
                <w:tcPr>
                  <w:tcW w:w="339" w:type="pct"/>
                  <w:vAlign w:val="bottom"/>
                </w:tcPr>
                <w:p w:rsidR="00745FEA" w:rsidRPr="001322B6" w:rsidRDefault="00745FEA" w:rsidP="00745FEA">
                  <w:pPr>
                    <w:pStyle w:val="TableBodyText"/>
                    <w:ind w:right="57"/>
                  </w:pPr>
                  <w:r w:rsidRPr="001322B6">
                    <w:t>5.2</w:t>
                  </w:r>
                </w:p>
              </w:tc>
              <w:tc>
                <w:tcPr>
                  <w:tcW w:w="339" w:type="pct"/>
                  <w:vAlign w:val="bottom"/>
                </w:tcPr>
                <w:p w:rsidR="00745FEA" w:rsidRPr="001322B6" w:rsidRDefault="00745FEA" w:rsidP="00745FEA">
                  <w:pPr>
                    <w:pStyle w:val="TableBodyText"/>
                    <w:ind w:right="57"/>
                  </w:pPr>
                  <w:r w:rsidRPr="001322B6">
                    <w:t>4.6</w:t>
                  </w:r>
                </w:p>
              </w:tc>
              <w:tc>
                <w:tcPr>
                  <w:tcW w:w="339" w:type="pct"/>
                  <w:vAlign w:val="bottom"/>
                </w:tcPr>
                <w:p w:rsidR="00745FEA" w:rsidRPr="001322B6" w:rsidRDefault="00745FEA" w:rsidP="00745FEA">
                  <w:pPr>
                    <w:pStyle w:val="TableBodyText"/>
                    <w:ind w:right="57"/>
                  </w:pPr>
                  <w:r w:rsidRPr="001322B6">
                    <w:t>0.1</w:t>
                  </w:r>
                </w:p>
              </w:tc>
              <w:tc>
                <w:tcPr>
                  <w:tcW w:w="339" w:type="pct"/>
                  <w:shd w:val="clear" w:color="auto" w:fill="auto"/>
                  <w:vAlign w:val="bottom"/>
                </w:tcPr>
                <w:p w:rsidR="00745FEA" w:rsidRPr="001322B6" w:rsidRDefault="00745FEA" w:rsidP="00745FEA">
                  <w:pPr>
                    <w:pStyle w:val="TableBodyText"/>
                    <w:ind w:right="57"/>
                  </w:pPr>
                  <w:r w:rsidRPr="001322B6">
                    <w:t>1.3</w:t>
                  </w:r>
                </w:p>
              </w:tc>
              <w:tc>
                <w:tcPr>
                  <w:tcW w:w="337" w:type="pct"/>
                  <w:shd w:val="clear" w:color="auto" w:fill="auto"/>
                  <w:vAlign w:val="bottom"/>
                </w:tcPr>
                <w:p w:rsidR="00745FEA" w:rsidRDefault="00745FEA" w:rsidP="00745FEA">
                  <w:pPr>
                    <w:pStyle w:val="TableBodyText"/>
                    <w:ind w:right="57"/>
                  </w:pPr>
                  <w:r w:rsidRPr="001322B6">
                    <w:t>5.3</w:t>
                  </w:r>
                </w:p>
              </w:tc>
            </w:tr>
            <w:tr w:rsidR="00745FEA" w:rsidTr="00745FEA">
              <w:trPr>
                <w:gridAfter w:val="4"/>
                <w:wAfter w:w="1350" w:type="pct"/>
              </w:trPr>
              <w:tc>
                <w:tcPr>
                  <w:tcW w:w="1616" w:type="pct"/>
                  <w:shd w:val="clear" w:color="auto" w:fill="auto"/>
                </w:tcPr>
                <w:p w:rsidR="00745FEA" w:rsidRPr="00A53AB0" w:rsidRDefault="00745FEA" w:rsidP="00745FEA">
                  <w:pPr>
                    <w:pStyle w:val="TableBodyText"/>
                    <w:spacing w:before="40" w:after="0"/>
                    <w:ind w:left="113"/>
                    <w:jc w:val="left"/>
                    <w:rPr>
                      <w:i/>
                    </w:rPr>
                  </w:pPr>
                  <w:r w:rsidRPr="00A53AB0">
                    <w:rPr>
                      <w:i/>
                    </w:rPr>
                    <w:t>Rural R&amp;D measures</w:t>
                  </w: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shd w:val="clear" w:color="auto" w:fill="auto"/>
                  <w:vAlign w:val="bottom"/>
                </w:tcPr>
                <w:p w:rsidR="00745FEA" w:rsidRPr="005C642D" w:rsidRDefault="00745FEA" w:rsidP="00745FEA">
                  <w:pPr>
                    <w:pStyle w:val="TableBodyText"/>
                    <w:spacing w:before="40" w:after="0"/>
                    <w:ind w:left="113" w:right="57"/>
                    <w:rPr>
                      <w:szCs w:val="18"/>
                    </w:rPr>
                  </w:pPr>
                </w:p>
              </w:tc>
              <w:tc>
                <w:tcPr>
                  <w:tcW w:w="337" w:type="pct"/>
                  <w:shd w:val="clear" w:color="auto" w:fill="auto"/>
                  <w:vAlign w:val="bottom"/>
                </w:tcPr>
                <w:p w:rsidR="00745FEA" w:rsidRPr="005C642D" w:rsidRDefault="00745FEA" w:rsidP="00745FEA">
                  <w:pPr>
                    <w:pStyle w:val="TableBodyText"/>
                    <w:spacing w:before="40" w:after="0"/>
                    <w:ind w:left="113" w:right="57"/>
                    <w:rPr>
                      <w:szCs w:val="18"/>
                    </w:rPr>
                  </w:pPr>
                </w:p>
              </w:tc>
            </w:tr>
            <w:tr w:rsidR="00745FEA" w:rsidTr="00745FEA">
              <w:trPr>
                <w:gridAfter w:val="4"/>
                <w:wAfter w:w="1350" w:type="pct"/>
              </w:trPr>
              <w:tc>
                <w:tcPr>
                  <w:tcW w:w="1616" w:type="pct"/>
                  <w:shd w:val="clear" w:color="auto" w:fill="auto"/>
                </w:tcPr>
                <w:p w:rsidR="00745FEA" w:rsidRPr="00674633" w:rsidRDefault="00745FEA" w:rsidP="00745FEA">
                  <w:pPr>
                    <w:pStyle w:val="TableBodyText"/>
                    <w:spacing w:after="0"/>
                    <w:ind w:left="227" w:right="0"/>
                    <w:jc w:val="left"/>
                  </w:pPr>
                  <w:r w:rsidRPr="00674633">
                    <w:t xml:space="preserve">Grape and Wine </w:t>
                  </w:r>
                  <w:r>
                    <w:t>R&amp;D</w:t>
                  </w:r>
                </w:p>
              </w:tc>
              <w:tc>
                <w:tcPr>
                  <w:tcW w:w="339" w:type="pct"/>
                  <w:vAlign w:val="bottom"/>
                </w:tcPr>
                <w:p w:rsidR="00745FEA" w:rsidRPr="00B8352E" w:rsidRDefault="00745FEA" w:rsidP="00745FEA">
                  <w:pPr>
                    <w:pStyle w:val="TableBodyText"/>
                    <w:ind w:right="57"/>
                  </w:pPr>
                  <w:r w:rsidRPr="00B8352E">
                    <w:t>10.3</w:t>
                  </w:r>
                </w:p>
              </w:tc>
              <w:tc>
                <w:tcPr>
                  <w:tcW w:w="339" w:type="pct"/>
                  <w:vAlign w:val="bottom"/>
                </w:tcPr>
                <w:p w:rsidR="00745FEA" w:rsidRPr="00B8352E" w:rsidRDefault="00745FEA" w:rsidP="00745FEA">
                  <w:pPr>
                    <w:pStyle w:val="TableBodyText"/>
                    <w:ind w:right="57"/>
                  </w:pPr>
                  <w:r w:rsidRPr="00B8352E">
                    <w:t>9.7</w:t>
                  </w:r>
                </w:p>
              </w:tc>
              <w:tc>
                <w:tcPr>
                  <w:tcW w:w="339" w:type="pct"/>
                  <w:vAlign w:val="bottom"/>
                </w:tcPr>
                <w:p w:rsidR="00745FEA" w:rsidRPr="00B8352E" w:rsidRDefault="00745FEA" w:rsidP="00745FEA">
                  <w:pPr>
                    <w:pStyle w:val="TableBodyText"/>
                    <w:ind w:right="57"/>
                  </w:pPr>
                  <w:r w:rsidRPr="00B8352E">
                    <w:t>11.9</w:t>
                  </w:r>
                </w:p>
              </w:tc>
              <w:tc>
                <w:tcPr>
                  <w:tcW w:w="339" w:type="pct"/>
                  <w:vAlign w:val="bottom"/>
                </w:tcPr>
                <w:p w:rsidR="00745FEA" w:rsidRPr="00B8352E" w:rsidRDefault="00745FEA" w:rsidP="00745FEA">
                  <w:pPr>
                    <w:pStyle w:val="TableBodyText"/>
                    <w:ind w:right="57"/>
                  </w:pPr>
                  <w:r w:rsidRPr="00B8352E">
                    <w:t>12.1</w:t>
                  </w:r>
                </w:p>
              </w:tc>
              <w:tc>
                <w:tcPr>
                  <w:tcW w:w="339" w:type="pct"/>
                  <w:shd w:val="clear" w:color="auto" w:fill="auto"/>
                  <w:vAlign w:val="bottom"/>
                </w:tcPr>
                <w:p w:rsidR="00745FEA" w:rsidRPr="00B8352E" w:rsidRDefault="00745FEA" w:rsidP="00745FEA">
                  <w:pPr>
                    <w:pStyle w:val="TableBodyText"/>
                    <w:ind w:right="57"/>
                  </w:pPr>
                  <w:r w:rsidRPr="00B8352E">
                    <w:t>12.1</w:t>
                  </w:r>
                </w:p>
              </w:tc>
              <w:tc>
                <w:tcPr>
                  <w:tcW w:w="337" w:type="pct"/>
                  <w:shd w:val="clear" w:color="auto" w:fill="auto"/>
                  <w:vAlign w:val="bottom"/>
                </w:tcPr>
                <w:p w:rsidR="00745FEA" w:rsidRPr="00B8352E" w:rsidRDefault="00745FEA" w:rsidP="00745FEA">
                  <w:pPr>
                    <w:pStyle w:val="TableBodyText"/>
                    <w:ind w:right="57"/>
                  </w:pPr>
                  <w:r w:rsidRPr="00B8352E">
                    <w:t>12.0</w:t>
                  </w:r>
                </w:p>
              </w:tc>
            </w:tr>
            <w:tr w:rsidR="00745FEA" w:rsidTr="00745FEA">
              <w:trPr>
                <w:gridAfter w:val="4"/>
                <w:wAfter w:w="1350" w:type="pct"/>
              </w:trPr>
              <w:tc>
                <w:tcPr>
                  <w:tcW w:w="1616" w:type="pct"/>
                  <w:shd w:val="clear" w:color="auto" w:fill="auto"/>
                </w:tcPr>
                <w:p w:rsidR="00745FEA" w:rsidRPr="00674633" w:rsidRDefault="00745FEA" w:rsidP="00745FEA">
                  <w:pPr>
                    <w:pStyle w:val="TableBodyText"/>
                    <w:spacing w:after="0"/>
                    <w:ind w:left="227" w:right="0"/>
                    <w:jc w:val="left"/>
                  </w:pPr>
                  <w:r w:rsidRPr="00674633">
                    <w:t xml:space="preserve">Horticulture </w:t>
                  </w:r>
                  <w:r>
                    <w:t>Australia Limited R&amp;D</w:t>
                  </w:r>
                </w:p>
              </w:tc>
              <w:tc>
                <w:tcPr>
                  <w:tcW w:w="339" w:type="pct"/>
                  <w:vAlign w:val="bottom"/>
                </w:tcPr>
                <w:p w:rsidR="00745FEA" w:rsidRPr="00B8352E" w:rsidRDefault="00745FEA" w:rsidP="00745FEA">
                  <w:pPr>
                    <w:pStyle w:val="TableBodyText"/>
                    <w:ind w:right="57"/>
                  </w:pPr>
                  <w:r w:rsidRPr="00B8352E">
                    <w:t>42.0</w:t>
                  </w:r>
                </w:p>
              </w:tc>
              <w:tc>
                <w:tcPr>
                  <w:tcW w:w="339" w:type="pct"/>
                  <w:vAlign w:val="bottom"/>
                </w:tcPr>
                <w:p w:rsidR="00745FEA" w:rsidRPr="00B8352E" w:rsidRDefault="00745FEA" w:rsidP="00745FEA">
                  <w:pPr>
                    <w:pStyle w:val="TableBodyText"/>
                    <w:ind w:right="57"/>
                  </w:pPr>
                  <w:r w:rsidRPr="00B8352E">
                    <w:t>41.4</w:t>
                  </w:r>
                </w:p>
              </w:tc>
              <w:tc>
                <w:tcPr>
                  <w:tcW w:w="339" w:type="pct"/>
                  <w:vAlign w:val="bottom"/>
                </w:tcPr>
                <w:p w:rsidR="00745FEA" w:rsidRPr="00B8352E" w:rsidRDefault="00745FEA" w:rsidP="00745FEA">
                  <w:pPr>
                    <w:pStyle w:val="TableBodyText"/>
                    <w:ind w:right="57"/>
                  </w:pPr>
                  <w:r w:rsidRPr="00B8352E">
                    <w:t>41.9</w:t>
                  </w:r>
                </w:p>
              </w:tc>
              <w:tc>
                <w:tcPr>
                  <w:tcW w:w="339" w:type="pct"/>
                  <w:vAlign w:val="bottom"/>
                </w:tcPr>
                <w:p w:rsidR="00745FEA" w:rsidRPr="00B8352E" w:rsidRDefault="00745FEA" w:rsidP="00745FEA">
                  <w:pPr>
                    <w:pStyle w:val="TableBodyText"/>
                    <w:ind w:right="57"/>
                  </w:pPr>
                  <w:r w:rsidRPr="00B8352E">
                    <w:t>29.2</w:t>
                  </w:r>
                </w:p>
              </w:tc>
              <w:tc>
                <w:tcPr>
                  <w:tcW w:w="339" w:type="pct"/>
                  <w:shd w:val="clear" w:color="auto" w:fill="auto"/>
                  <w:vAlign w:val="bottom"/>
                </w:tcPr>
                <w:p w:rsidR="00745FEA" w:rsidRPr="00B8352E" w:rsidRDefault="00745FEA" w:rsidP="00745FEA">
                  <w:pPr>
                    <w:pStyle w:val="TableBodyText"/>
                    <w:ind w:right="57"/>
                  </w:pPr>
                  <w:r w:rsidRPr="00B8352E">
                    <w:t>41.7</w:t>
                  </w:r>
                </w:p>
              </w:tc>
              <w:tc>
                <w:tcPr>
                  <w:tcW w:w="337" w:type="pct"/>
                  <w:shd w:val="clear" w:color="auto" w:fill="auto"/>
                  <w:vAlign w:val="bottom"/>
                </w:tcPr>
                <w:p w:rsidR="00745FEA" w:rsidRPr="00B8352E" w:rsidRDefault="00745FEA" w:rsidP="00745FEA">
                  <w:pPr>
                    <w:pStyle w:val="TableBodyText"/>
                    <w:ind w:right="57"/>
                  </w:pPr>
                  <w:r w:rsidRPr="00B8352E">
                    <w:t>45.5</w:t>
                  </w:r>
                </w:p>
              </w:tc>
            </w:tr>
            <w:tr w:rsidR="00745FEA" w:rsidTr="00745FEA">
              <w:trPr>
                <w:gridAfter w:val="4"/>
                <w:wAfter w:w="1350" w:type="pct"/>
              </w:trPr>
              <w:tc>
                <w:tcPr>
                  <w:tcW w:w="1616" w:type="pct"/>
                  <w:shd w:val="clear" w:color="auto" w:fill="auto"/>
                </w:tcPr>
                <w:p w:rsidR="00745FEA" w:rsidRPr="00674633" w:rsidRDefault="00745FEA" w:rsidP="00745FEA">
                  <w:pPr>
                    <w:pStyle w:val="TableBodyText"/>
                    <w:spacing w:after="0"/>
                    <w:ind w:left="227" w:right="0"/>
                    <w:jc w:val="left"/>
                  </w:pPr>
                  <w:r w:rsidRPr="00674633">
                    <w:t xml:space="preserve">Rural Industries </w:t>
                  </w:r>
                  <w:r>
                    <w:t>R&amp;D Corporation</w:t>
                  </w:r>
                </w:p>
              </w:tc>
              <w:tc>
                <w:tcPr>
                  <w:tcW w:w="339" w:type="pct"/>
                  <w:vAlign w:val="bottom"/>
                </w:tcPr>
                <w:p w:rsidR="00745FEA" w:rsidRPr="00B8352E" w:rsidRDefault="00745FEA" w:rsidP="00745FEA">
                  <w:pPr>
                    <w:pStyle w:val="TableBodyText"/>
                    <w:ind w:right="57"/>
                  </w:pPr>
                  <w:r w:rsidRPr="00B8352E">
                    <w:t>3.4</w:t>
                  </w:r>
                </w:p>
              </w:tc>
              <w:tc>
                <w:tcPr>
                  <w:tcW w:w="339" w:type="pct"/>
                  <w:vAlign w:val="bottom"/>
                </w:tcPr>
                <w:p w:rsidR="00745FEA" w:rsidRPr="00B8352E" w:rsidRDefault="00745FEA" w:rsidP="00745FEA">
                  <w:pPr>
                    <w:pStyle w:val="TableBodyText"/>
                    <w:ind w:right="57"/>
                  </w:pPr>
                  <w:r w:rsidRPr="00B8352E">
                    <w:t>2.2</w:t>
                  </w:r>
                </w:p>
              </w:tc>
              <w:tc>
                <w:tcPr>
                  <w:tcW w:w="339" w:type="pct"/>
                  <w:vAlign w:val="bottom"/>
                </w:tcPr>
                <w:p w:rsidR="00745FEA" w:rsidRPr="00B8352E" w:rsidRDefault="00745FEA" w:rsidP="00745FEA">
                  <w:pPr>
                    <w:pStyle w:val="TableBodyText"/>
                    <w:ind w:right="57"/>
                  </w:pPr>
                  <w:r w:rsidRPr="00B8352E">
                    <w:t>2.3</w:t>
                  </w:r>
                </w:p>
              </w:tc>
              <w:tc>
                <w:tcPr>
                  <w:tcW w:w="339" w:type="pct"/>
                  <w:vAlign w:val="bottom"/>
                </w:tcPr>
                <w:p w:rsidR="00745FEA" w:rsidRPr="00B8352E" w:rsidRDefault="00745FEA" w:rsidP="00745FEA">
                  <w:pPr>
                    <w:pStyle w:val="TableBodyText"/>
                    <w:ind w:right="57"/>
                  </w:pPr>
                  <w:r w:rsidRPr="00B8352E">
                    <w:t>1.6</w:t>
                  </w:r>
                </w:p>
              </w:tc>
              <w:tc>
                <w:tcPr>
                  <w:tcW w:w="339" w:type="pct"/>
                  <w:shd w:val="clear" w:color="auto" w:fill="auto"/>
                  <w:vAlign w:val="bottom"/>
                </w:tcPr>
                <w:p w:rsidR="00745FEA" w:rsidRPr="00B8352E" w:rsidRDefault="00745FEA" w:rsidP="00745FEA">
                  <w:pPr>
                    <w:pStyle w:val="TableBodyText"/>
                    <w:ind w:right="57"/>
                  </w:pPr>
                  <w:r w:rsidRPr="00B8352E">
                    <w:t>1.2</w:t>
                  </w:r>
                </w:p>
              </w:tc>
              <w:tc>
                <w:tcPr>
                  <w:tcW w:w="337" w:type="pct"/>
                  <w:shd w:val="clear" w:color="auto" w:fill="auto"/>
                  <w:vAlign w:val="bottom"/>
                </w:tcPr>
                <w:p w:rsidR="00745FEA" w:rsidRDefault="00745FEA" w:rsidP="00745FEA">
                  <w:pPr>
                    <w:pStyle w:val="TableBodyText"/>
                    <w:ind w:right="57"/>
                  </w:pPr>
                  <w:r w:rsidRPr="00B8352E">
                    <w:t>1.5</w:t>
                  </w:r>
                </w:p>
              </w:tc>
            </w:tr>
            <w:tr w:rsidR="00745FEA" w:rsidTr="00745FEA">
              <w:trPr>
                <w:gridAfter w:val="4"/>
                <w:wAfter w:w="1350" w:type="pct"/>
              </w:trPr>
              <w:tc>
                <w:tcPr>
                  <w:tcW w:w="1616" w:type="pct"/>
                  <w:shd w:val="clear" w:color="auto" w:fill="auto"/>
                </w:tcPr>
                <w:p w:rsidR="00745FEA" w:rsidRPr="00A53AB0" w:rsidRDefault="00745FEA" w:rsidP="00745FEA">
                  <w:pPr>
                    <w:pStyle w:val="TableBodyText"/>
                    <w:spacing w:before="40" w:after="0"/>
                    <w:ind w:left="227"/>
                    <w:jc w:val="left"/>
                    <w:rPr>
                      <w:i/>
                    </w:rPr>
                  </w:pPr>
                  <w:r w:rsidRPr="00A53AB0">
                    <w:rPr>
                      <w:i/>
                    </w:rPr>
                    <w:t>General export measures</w:t>
                  </w: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vAlign w:val="bottom"/>
                </w:tcPr>
                <w:p w:rsidR="00745FEA" w:rsidRPr="005C642D" w:rsidRDefault="00745FEA" w:rsidP="00745FEA">
                  <w:pPr>
                    <w:pStyle w:val="TableBodyText"/>
                    <w:spacing w:before="40" w:after="0"/>
                    <w:ind w:left="113" w:right="57"/>
                    <w:rPr>
                      <w:szCs w:val="18"/>
                    </w:rPr>
                  </w:pPr>
                </w:p>
              </w:tc>
              <w:tc>
                <w:tcPr>
                  <w:tcW w:w="339" w:type="pct"/>
                  <w:shd w:val="clear" w:color="auto" w:fill="auto"/>
                  <w:vAlign w:val="bottom"/>
                </w:tcPr>
                <w:p w:rsidR="00745FEA" w:rsidRPr="005C642D" w:rsidRDefault="00745FEA" w:rsidP="00745FEA">
                  <w:pPr>
                    <w:pStyle w:val="TableBodyText"/>
                    <w:spacing w:before="40" w:after="0"/>
                    <w:ind w:left="113" w:right="57"/>
                    <w:rPr>
                      <w:szCs w:val="18"/>
                    </w:rPr>
                  </w:pPr>
                </w:p>
              </w:tc>
              <w:tc>
                <w:tcPr>
                  <w:tcW w:w="337" w:type="pct"/>
                  <w:shd w:val="clear" w:color="auto" w:fill="auto"/>
                  <w:vAlign w:val="bottom"/>
                </w:tcPr>
                <w:p w:rsidR="00745FEA" w:rsidRPr="005C642D" w:rsidRDefault="00745FEA" w:rsidP="00745FEA">
                  <w:pPr>
                    <w:pStyle w:val="TableBodyText"/>
                    <w:spacing w:before="40" w:after="0"/>
                    <w:ind w:left="113" w:right="57"/>
                    <w:rPr>
                      <w:szCs w:val="18"/>
                    </w:rPr>
                  </w:pPr>
                </w:p>
              </w:tc>
            </w:tr>
            <w:tr w:rsidR="00745FEA" w:rsidTr="00745FEA">
              <w:trPr>
                <w:gridAfter w:val="4"/>
                <w:wAfter w:w="1350" w:type="pct"/>
              </w:trPr>
              <w:tc>
                <w:tcPr>
                  <w:tcW w:w="1616" w:type="pct"/>
                  <w:shd w:val="clear" w:color="auto" w:fill="auto"/>
                </w:tcPr>
                <w:p w:rsidR="00745FEA" w:rsidRPr="00517EAD" w:rsidRDefault="00745FEA" w:rsidP="00745FEA">
                  <w:pPr>
                    <w:pStyle w:val="TableBodyText"/>
                    <w:spacing w:after="0"/>
                    <w:ind w:left="227" w:right="0"/>
                    <w:jc w:val="left"/>
                  </w:pPr>
                  <w:r w:rsidRPr="00517EAD">
                    <w:t>Export Market Development Grants Scheme</w:t>
                  </w:r>
                </w:p>
              </w:tc>
              <w:tc>
                <w:tcPr>
                  <w:tcW w:w="339" w:type="pct"/>
                  <w:vAlign w:val="bottom"/>
                </w:tcPr>
                <w:p w:rsidR="00745FEA" w:rsidRPr="00EC51CF" w:rsidRDefault="00745FEA" w:rsidP="00745FEA">
                  <w:pPr>
                    <w:pStyle w:val="TableBodyText"/>
                  </w:pPr>
                  <w:r w:rsidRPr="00EC51CF">
                    <w:t>1.0</w:t>
                  </w:r>
                </w:p>
              </w:tc>
              <w:tc>
                <w:tcPr>
                  <w:tcW w:w="339" w:type="pct"/>
                  <w:vAlign w:val="bottom"/>
                </w:tcPr>
                <w:p w:rsidR="00745FEA" w:rsidRPr="00EC51CF" w:rsidRDefault="00745FEA" w:rsidP="00745FEA">
                  <w:pPr>
                    <w:pStyle w:val="TableBodyText"/>
                  </w:pPr>
                  <w:r w:rsidRPr="00EC51CF">
                    <w:t>1.0</w:t>
                  </w:r>
                </w:p>
              </w:tc>
              <w:tc>
                <w:tcPr>
                  <w:tcW w:w="339" w:type="pct"/>
                  <w:vAlign w:val="bottom"/>
                </w:tcPr>
                <w:p w:rsidR="00745FEA" w:rsidRPr="00EC51CF" w:rsidRDefault="00745FEA" w:rsidP="00745FEA">
                  <w:pPr>
                    <w:pStyle w:val="TableBodyText"/>
                  </w:pPr>
                  <w:r w:rsidRPr="00EC51CF">
                    <w:t>0.8</w:t>
                  </w:r>
                </w:p>
              </w:tc>
              <w:tc>
                <w:tcPr>
                  <w:tcW w:w="339" w:type="pct"/>
                  <w:vAlign w:val="bottom"/>
                </w:tcPr>
                <w:p w:rsidR="00745FEA" w:rsidRPr="00EC51CF" w:rsidRDefault="00745FEA" w:rsidP="00745FEA">
                  <w:pPr>
                    <w:pStyle w:val="TableBodyText"/>
                  </w:pPr>
                  <w:r w:rsidRPr="00EC51CF">
                    <w:t>1.0</w:t>
                  </w:r>
                </w:p>
              </w:tc>
              <w:tc>
                <w:tcPr>
                  <w:tcW w:w="339" w:type="pct"/>
                  <w:shd w:val="clear" w:color="auto" w:fill="auto"/>
                  <w:vAlign w:val="bottom"/>
                </w:tcPr>
                <w:p w:rsidR="00745FEA" w:rsidRPr="00EC51CF" w:rsidRDefault="00745FEA" w:rsidP="00745FEA">
                  <w:pPr>
                    <w:pStyle w:val="TableBodyText"/>
                  </w:pPr>
                  <w:r w:rsidRPr="00EC51CF">
                    <w:t>1.0</w:t>
                  </w:r>
                </w:p>
              </w:tc>
              <w:tc>
                <w:tcPr>
                  <w:tcW w:w="337" w:type="pct"/>
                  <w:shd w:val="clear" w:color="auto" w:fill="auto"/>
                  <w:vAlign w:val="bottom"/>
                </w:tcPr>
                <w:p w:rsidR="00745FEA" w:rsidRDefault="00745FEA" w:rsidP="00745FEA">
                  <w:pPr>
                    <w:pStyle w:val="TableBodyText"/>
                  </w:pPr>
                  <w:r w:rsidRPr="00EC51CF">
                    <w:t>0.9</w:t>
                  </w:r>
                </w:p>
              </w:tc>
            </w:tr>
            <w:tr w:rsidR="00745FEA" w:rsidTr="00745FEA">
              <w:trPr>
                <w:gridAfter w:val="4"/>
                <w:wAfter w:w="1350" w:type="pct"/>
              </w:trPr>
              <w:tc>
                <w:tcPr>
                  <w:tcW w:w="1616" w:type="pct"/>
                  <w:shd w:val="clear" w:color="auto" w:fill="auto"/>
                  <w:vAlign w:val="bottom"/>
                </w:tcPr>
                <w:p w:rsidR="00745FEA" w:rsidRPr="005A73C3" w:rsidRDefault="00745FEA" w:rsidP="00745FEA">
                  <w:pPr>
                    <w:spacing w:before="40"/>
                    <w:ind w:left="113"/>
                    <w:rPr>
                      <w:rFonts w:ascii="Arial" w:hAnsi="Arial" w:cs="Arial"/>
                      <w:i/>
                      <w:color w:val="000000"/>
                      <w:sz w:val="18"/>
                      <w:szCs w:val="18"/>
                    </w:rPr>
                  </w:pPr>
                  <w:r w:rsidRPr="005A73C3">
                    <w:rPr>
                      <w:rFonts w:ascii="Arial" w:hAnsi="Arial" w:cs="Arial"/>
                      <w:i/>
                      <w:color w:val="000000"/>
                      <w:sz w:val="18"/>
                      <w:szCs w:val="18"/>
                    </w:rPr>
                    <w:t>General R&amp;D measures</w:t>
                  </w:r>
                </w:p>
              </w:tc>
              <w:tc>
                <w:tcPr>
                  <w:tcW w:w="339" w:type="pct"/>
                  <w:vAlign w:val="bottom"/>
                </w:tcPr>
                <w:p w:rsidR="00745FEA" w:rsidRPr="005C642D" w:rsidRDefault="00745FEA" w:rsidP="00745FEA">
                  <w:pPr>
                    <w:spacing w:before="40"/>
                    <w:ind w:left="113" w:right="57"/>
                    <w:jc w:val="right"/>
                    <w:rPr>
                      <w:rFonts w:ascii="Arial" w:hAnsi="Arial" w:cs="Arial"/>
                      <w:color w:val="000000"/>
                      <w:sz w:val="18"/>
                      <w:szCs w:val="18"/>
                    </w:rPr>
                  </w:pPr>
                </w:p>
              </w:tc>
              <w:tc>
                <w:tcPr>
                  <w:tcW w:w="339" w:type="pct"/>
                  <w:vAlign w:val="bottom"/>
                </w:tcPr>
                <w:p w:rsidR="00745FEA" w:rsidRPr="005C642D" w:rsidRDefault="00745FEA" w:rsidP="00745FEA">
                  <w:pPr>
                    <w:spacing w:before="40"/>
                    <w:ind w:left="113" w:right="57"/>
                    <w:jc w:val="right"/>
                    <w:rPr>
                      <w:rFonts w:ascii="Arial" w:hAnsi="Arial" w:cs="Arial"/>
                      <w:color w:val="000000"/>
                      <w:sz w:val="18"/>
                      <w:szCs w:val="18"/>
                    </w:rPr>
                  </w:pPr>
                </w:p>
              </w:tc>
              <w:tc>
                <w:tcPr>
                  <w:tcW w:w="339" w:type="pct"/>
                  <w:vAlign w:val="bottom"/>
                </w:tcPr>
                <w:p w:rsidR="00745FEA" w:rsidRPr="005C642D" w:rsidRDefault="00745FEA" w:rsidP="00745FEA">
                  <w:pPr>
                    <w:spacing w:before="40"/>
                    <w:ind w:left="113" w:right="57"/>
                    <w:jc w:val="right"/>
                    <w:rPr>
                      <w:rFonts w:ascii="Arial" w:hAnsi="Arial" w:cs="Arial"/>
                      <w:color w:val="000000"/>
                      <w:sz w:val="18"/>
                      <w:szCs w:val="18"/>
                    </w:rPr>
                  </w:pPr>
                </w:p>
              </w:tc>
              <w:tc>
                <w:tcPr>
                  <w:tcW w:w="339" w:type="pct"/>
                  <w:vAlign w:val="bottom"/>
                </w:tcPr>
                <w:p w:rsidR="00745FEA" w:rsidRPr="005C642D" w:rsidRDefault="00745FEA" w:rsidP="00745FEA">
                  <w:pPr>
                    <w:spacing w:before="40"/>
                    <w:ind w:left="113" w:right="57"/>
                    <w:jc w:val="right"/>
                    <w:rPr>
                      <w:rFonts w:ascii="Arial" w:hAnsi="Arial" w:cs="Arial"/>
                      <w:color w:val="000000"/>
                      <w:sz w:val="18"/>
                      <w:szCs w:val="18"/>
                    </w:rPr>
                  </w:pPr>
                </w:p>
              </w:tc>
              <w:tc>
                <w:tcPr>
                  <w:tcW w:w="339" w:type="pct"/>
                  <w:shd w:val="clear" w:color="auto" w:fill="auto"/>
                  <w:vAlign w:val="bottom"/>
                </w:tcPr>
                <w:p w:rsidR="00745FEA" w:rsidRPr="005C642D" w:rsidRDefault="00745FEA" w:rsidP="00745FEA">
                  <w:pPr>
                    <w:spacing w:before="40"/>
                    <w:ind w:left="113" w:right="57"/>
                    <w:jc w:val="right"/>
                    <w:rPr>
                      <w:rFonts w:ascii="Arial" w:hAnsi="Arial" w:cs="Arial"/>
                      <w:color w:val="000000"/>
                      <w:sz w:val="18"/>
                      <w:szCs w:val="18"/>
                    </w:rPr>
                  </w:pPr>
                </w:p>
              </w:tc>
              <w:tc>
                <w:tcPr>
                  <w:tcW w:w="337" w:type="pct"/>
                  <w:shd w:val="clear" w:color="auto" w:fill="auto"/>
                  <w:vAlign w:val="bottom"/>
                </w:tcPr>
                <w:p w:rsidR="00745FEA" w:rsidRPr="005C642D" w:rsidRDefault="00745FEA" w:rsidP="00745FEA">
                  <w:pPr>
                    <w:spacing w:before="40"/>
                    <w:ind w:left="113" w:right="57"/>
                    <w:jc w:val="right"/>
                    <w:rPr>
                      <w:rFonts w:ascii="Arial" w:hAnsi="Arial" w:cs="Arial"/>
                      <w:color w:val="000000"/>
                      <w:sz w:val="18"/>
                      <w:szCs w:val="18"/>
                    </w:rPr>
                  </w:pPr>
                </w:p>
              </w:tc>
            </w:tr>
            <w:tr w:rsidR="00745FEA" w:rsidTr="00745FEA">
              <w:trPr>
                <w:gridAfter w:val="4"/>
                <w:wAfter w:w="1350" w:type="pct"/>
              </w:trPr>
              <w:tc>
                <w:tcPr>
                  <w:tcW w:w="1616" w:type="pct"/>
                  <w:shd w:val="clear" w:color="auto" w:fill="auto"/>
                </w:tcPr>
                <w:p w:rsidR="00745FEA" w:rsidRPr="000660E7" w:rsidRDefault="00745FEA" w:rsidP="00745FEA">
                  <w:pPr>
                    <w:pStyle w:val="TableBodyText"/>
                    <w:spacing w:after="0"/>
                    <w:ind w:left="227" w:right="0"/>
                    <w:jc w:val="left"/>
                  </w:pPr>
                  <w:r w:rsidRPr="000660E7">
                    <w:t>Commercialisation Australia</w:t>
                  </w:r>
                </w:p>
              </w:tc>
              <w:tc>
                <w:tcPr>
                  <w:tcW w:w="339" w:type="pct"/>
                  <w:vAlign w:val="bottom"/>
                </w:tcPr>
                <w:p w:rsidR="00745FEA" w:rsidRPr="00072949" w:rsidRDefault="00745FEA" w:rsidP="00745FEA">
                  <w:pPr>
                    <w:pStyle w:val="TableBodyText"/>
                    <w:ind w:right="57"/>
                  </w:pPr>
                  <w:r w:rsidRPr="00072949">
                    <w:t>0.3</w:t>
                  </w:r>
                </w:p>
              </w:tc>
              <w:tc>
                <w:tcPr>
                  <w:tcW w:w="339" w:type="pct"/>
                  <w:vAlign w:val="bottom"/>
                </w:tcPr>
                <w:p w:rsidR="00745FEA" w:rsidRPr="00072949" w:rsidRDefault="00745FEA" w:rsidP="00745FEA">
                  <w:pPr>
                    <w:pStyle w:val="TableBodyText"/>
                    <w:ind w:right="57"/>
                  </w:pPr>
                  <w:r w:rsidRPr="00072949">
                    <w:t>&lt;0.1</w:t>
                  </w:r>
                </w:p>
              </w:tc>
              <w:tc>
                <w:tcPr>
                  <w:tcW w:w="339" w:type="pct"/>
                  <w:vAlign w:val="bottom"/>
                </w:tcPr>
                <w:p w:rsidR="00745FEA" w:rsidRPr="00072949" w:rsidRDefault="00745FEA" w:rsidP="00745FEA">
                  <w:pPr>
                    <w:pStyle w:val="TableBodyText"/>
                    <w:ind w:right="57"/>
                  </w:pPr>
                  <w:r w:rsidRPr="00072949">
                    <w:t>–</w:t>
                  </w:r>
                </w:p>
              </w:tc>
              <w:tc>
                <w:tcPr>
                  <w:tcW w:w="339" w:type="pct"/>
                  <w:vAlign w:val="bottom"/>
                </w:tcPr>
                <w:p w:rsidR="00745FEA" w:rsidRPr="00072949" w:rsidRDefault="00745FEA" w:rsidP="00745FEA">
                  <w:pPr>
                    <w:pStyle w:val="TableBodyText"/>
                    <w:ind w:right="57"/>
                  </w:pPr>
                  <w:r w:rsidRPr="00072949">
                    <w:t>0.8</w:t>
                  </w:r>
                </w:p>
              </w:tc>
              <w:tc>
                <w:tcPr>
                  <w:tcW w:w="339" w:type="pct"/>
                  <w:shd w:val="clear" w:color="auto" w:fill="auto"/>
                  <w:vAlign w:val="bottom"/>
                </w:tcPr>
                <w:p w:rsidR="00745FEA" w:rsidRPr="00072949" w:rsidRDefault="00745FEA" w:rsidP="00745FEA">
                  <w:pPr>
                    <w:pStyle w:val="TableBodyText"/>
                    <w:ind w:right="57"/>
                  </w:pPr>
                  <w:r w:rsidRPr="00072949">
                    <w:t>&lt;0.1</w:t>
                  </w:r>
                </w:p>
              </w:tc>
              <w:tc>
                <w:tcPr>
                  <w:tcW w:w="337" w:type="pct"/>
                  <w:shd w:val="clear" w:color="auto" w:fill="auto"/>
                  <w:vAlign w:val="bottom"/>
                </w:tcPr>
                <w:p w:rsidR="00745FEA" w:rsidRPr="00072949" w:rsidRDefault="00745FEA" w:rsidP="00745FEA">
                  <w:pPr>
                    <w:pStyle w:val="TableBodyText"/>
                    <w:ind w:right="57"/>
                  </w:pPr>
                  <w:r w:rsidRPr="00072949">
                    <w:t>–</w:t>
                  </w:r>
                </w:p>
              </w:tc>
            </w:tr>
            <w:tr w:rsidR="00745FEA" w:rsidTr="00745FEA">
              <w:trPr>
                <w:gridAfter w:val="4"/>
                <w:wAfter w:w="1350" w:type="pct"/>
              </w:trPr>
              <w:tc>
                <w:tcPr>
                  <w:tcW w:w="1616" w:type="pct"/>
                  <w:shd w:val="clear" w:color="auto" w:fill="auto"/>
                </w:tcPr>
                <w:p w:rsidR="00745FEA" w:rsidRPr="000660E7" w:rsidRDefault="00745FEA" w:rsidP="00745FEA">
                  <w:pPr>
                    <w:pStyle w:val="TableBodyText"/>
                    <w:spacing w:after="0"/>
                    <w:ind w:left="227" w:right="0"/>
                    <w:jc w:val="left"/>
                  </w:pPr>
                  <w:r w:rsidRPr="000660E7">
                    <w:t>CSIRO</w:t>
                  </w:r>
                </w:p>
              </w:tc>
              <w:tc>
                <w:tcPr>
                  <w:tcW w:w="339" w:type="pct"/>
                  <w:vAlign w:val="bottom"/>
                </w:tcPr>
                <w:p w:rsidR="00745FEA" w:rsidRPr="00072949" w:rsidRDefault="00745FEA" w:rsidP="00745FEA">
                  <w:pPr>
                    <w:pStyle w:val="TableBodyText"/>
                    <w:ind w:right="57"/>
                  </w:pPr>
                  <w:r w:rsidRPr="00072949">
                    <w:t>9.7</w:t>
                  </w:r>
                </w:p>
              </w:tc>
              <w:tc>
                <w:tcPr>
                  <w:tcW w:w="339" w:type="pct"/>
                  <w:vAlign w:val="bottom"/>
                </w:tcPr>
                <w:p w:rsidR="00745FEA" w:rsidRPr="00072949" w:rsidRDefault="00745FEA" w:rsidP="00745FEA">
                  <w:pPr>
                    <w:pStyle w:val="TableBodyText"/>
                    <w:ind w:right="57"/>
                  </w:pPr>
                  <w:r w:rsidRPr="00072949">
                    <w:t>7.3</w:t>
                  </w:r>
                </w:p>
              </w:tc>
              <w:tc>
                <w:tcPr>
                  <w:tcW w:w="339" w:type="pct"/>
                  <w:vAlign w:val="bottom"/>
                </w:tcPr>
                <w:p w:rsidR="00745FEA" w:rsidRPr="00072949" w:rsidRDefault="00745FEA" w:rsidP="00745FEA">
                  <w:pPr>
                    <w:pStyle w:val="TableBodyText"/>
                    <w:ind w:right="57"/>
                  </w:pPr>
                  <w:r w:rsidRPr="00072949">
                    <w:t>2.5</w:t>
                  </w:r>
                </w:p>
              </w:tc>
              <w:tc>
                <w:tcPr>
                  <w:tcW w:w="339" w:type="pct"/>
                  <w:vAlign w:val="bottom"/>
                </w:tcPr>
                <w:p w:rsidR="00745FEA" w:rsidRPr="00072949" w:rsidRDefault="00745FEA" w:rsidP="00745FEA">
                  <w:pPr>
                    <w:pStyle w:val="TableBodyText"/>
                    <w:ind w:right="57"/>
                  </w:pPr>
                  <w:r w:rsidRPr="00072949">
                    <w:t>7.2</w:t>
                  </w:r>
                </w:p>
              </w:tc>
              <w:tc>
                <w:tcPr>
                  <w:tcW w:w="339" w:type="pct"/>
                  <w:shd w:val="clear" w:color="auto" w:fill="auto"/>
                  <w:vAlign w:val="bottom"/>
                </w:tcPr>
                <w:p w:rsidR="00745FEA" w:rsidRPr="00072949" w:rsidRDefault="00745FEA" w:rsidP="00745FEA">
                  <w:pPr>
                    <w:pStyle w:val="TableBodyText"/>
                    <w:ind w:right="57"/>
                  </w:pPr>
                  <w:r w:rsidRPr="00072949">
                    <w:t>7.8</w:t>
                  </w:r>
                </w:p>
              </w:tc>
              <w:tc>
                <w:tcPr>
                  <w:tcW w:w="337" w:type="pct"/>
                  <w:shd w:val="clear" w:color="auto" w:fill="auto"/>
                  <w:vAlign w:val="bottom"/>
                </w:tcPr>
                <w:p w:rsidR="00745FEA" w:rsidRPr="00072949" w:rsidRDefault="00745FEA" w:rsidP="00745FEA">
                  <w:pPr>
                    <w:pStyle w:val="TableBodyText"/>
                    <w:ind w:right="57"/>
                  </w:pPr>
                  <w:r w:rsidRPr="00072949">
                    <w:t>9.1</w:t>
                  </w:r>
                </w:p>
              </w:tc>
            </w:tr>
            <w:tr w:rsidR="00745FEA" w:rsidTr="00745FEA">
              <w:trPr>
                <w:gridAfter w:val="4"/>
                <w:wAfter w:w="1350" w:type="pct"/>
              </w:trPr>
              <w:tc>
                <w:tcPr>
                  <w:tcW w:w="1616" w:type="pct"/>
                  <w:shd w:val="clear" w:color="auto" w:fill="auto"/>
                </w:tcPr>
                <w:p w:rsidR="00745FEA" w:rsidRPr="000660E7" w:rsidRDefault="00745FEA" w:rsidP="00745FEA">
                  <w:pPr>
                    <w:pStyle w:val="TableBodyText"/>
                    <w:spacing w:after="0"/>
                    <w:ind w:left="227" w:right="0"/>
                    <w:jc w:val="left"/>
                  </w:pPr>
                  <w:r w:rsidRPr="000660E7">
                    <w:t>R&amp;D Tax Incentive - refundable tax offset</w:t>
                  </w:r>
                </w:p>
              </w:tc>
              <w:tc>
                <w:tcPr>
                  <w:tcW w:w="339" w:type="pct"/>
                  <w:vAlign w:val="bottom"/>
                </w:tcPr>
                <w:p w:rsidR="00745FEA" w:rsidRPr="00072949" w:rsidRDefault="00745FEA" w:rsidP="00745FEA">
                  <w:pPr>
                    <w:pStyle w:val="TableBodyText"/>
                    <w:ind w:right="57"/>
                  </w:pPr>
                  <w:r w:rsidRPr="00072949">
                    <w:t>–</w:t>
                  </w:r>
                </w:p>
              </w:tc>
              <w:tc>
                <w:tcPr>
                  <w:tcW w:w="339" w:type="pct"/>
                  <w:vAlign w:val="bottom"/>
                </w:tcPr>
                <w:p w:rsidR="00745FEA" w:rsidRPr="00072949" w:rsidRDefault="00745FEA" w:rsidP="00745FEA">
                  <w:pPr>
                    <w:pStyle w:val="TableBodyText"/>
                    <w:ind w:right="57"/>
                  </w:pPr>
                  <w:r w:rsidRPr="00072949">
                    <w:t>11.7</w:t>
                  </w:r>
                </w:p>
              </w:tc>
              <w:tc>
                <w:tcPr>
                  <w:tcW w:w="339" w:type="pct"/>
                  <w:vAlign w:val="bottom"/>
                </w:tcPr>
                <w:p w:rsidR="00745FEA" w:rsidRPr="00072949" w:rsidRDefault="00745FEA" w:rsidP="00745FEA">
                  <w:pPr>
                    <w:pStyle w:val="TableBodyText"/>
                    <w:ind w:right="57"/>
                  </w:pPr>
                  <w:r w:rsidRPr="00072949">
                    <w:t>11.3</w:t>
                  </w:r>
                </w:p>
              </w:tc>
              <w:tc>
                <w:tcPr>
                  <w:tcW w:w="339" w:type="pct"/>
                  <w:vAlign w:val="bottom"/>
                </w:tcPr>
                <w:p w:rsidR="00745FEA" w:rsidRPr="00072949" w:rsidRDefault="00745FEA" w:rsidP="00745FEA">
                  <w:pPr>
                    <w:pStyle w:val="TableBodyText"/>
                    <w:ind w:right="57"/>
                  </w:pPr>
                  <w:r w:rsidRPr="00072949">
                    <w:t>15.2</w:t>
                  </w:r>
                </w:p>
              </w:tc>
              <w:tc>
                <w:tcPr>
                  <w:tcW w:w="339" w:type="pct"/>
                  <w:shd w:val="clear" w:color="auto" w:fill="auto"/>
                  <w:vAlign w:val="bottom"/>
                </w:tcPr>
                <w:p w:rsidR="00745FEA" w:rsidRPr="00072949" w:rsidRDefault="00745FEA" w:rsidP="00745FEA">
                  <w:pPr>
                    <w:pStyle w:val="TableBodyText"/>
                    <w:ind w:right="57"/>
                  </w:pPr>
                  <w:r w:rsidRPr="00072949">
                    <w:t>16.1</w:t>
                  </w:r>
                </w:p>
              </w:tc>
              <w:tc>
                <w:tcPr>
                  <w:tcW w:w="337" w:type="pct"/>
                  <w:shd w:val="clear" w:color="auto" w:fill="auto"/>
                  <w:vAlign w:val="bottom"/>
                </w:tcPr>
                <w:p w:rsidR="00745FEA" w:rsidRPr="00072949" w:rsidRDefault="00745FEA" w:rsidP="00745FEA">
                  <w:pPr>
                    <w:pStyle w:val="TableBodyText"/>
                    <w:ind w:right="57"/>
                  </w:pPr>
                  <w:r w:rsidRPr="00072949">
                    <w:t>19.5</w:t>
                  </w:r>
                </w:p>
              </w:tc>
            </w:tr>
            <w:tr w:rsidR="00745FEA" w:rsidTr="00745FEA">
              <w:trPr>
                <w:gridAfter w:val="4"/>
                <w:wAfter w:w="1350" w:type="pct"/>
              </w:trPr>
              <w:tc>
                <w:tcPr>
                  <w:tcW w:w="1616" w:type="pct"/>
                  <w:shd w:val="clear" w:color="auto" w:fill="auto"/>
                </w:tcPr>
                <w:p w:rsidR="00745FEA" w:rsidRPr="000660E7" w:rsidRDefault="00745FEA" w:rsidP="00745FEA">
                  <w:pPr>
                    <w:pStyle w:val="TableBodyText"/>
                    <w:spacing w:after="0"/>
                    <w:ind w:left="227" w:right="0"/>
                    <w:jc w:val="left"/>
                  </w:pPr>
                  <w:r w:rsidRPr="000660E7">
                    <w:t>R&amp;D tax offsets - Refundable</w:t>
                  </w:r>
                </w:p>
              </w:tc>
              <w:tc>
                <w:tcPr>
                  <w:tcW w:w="339" w:type="pct"/>
                  <w:vAlign w:val="bottom"/>
                </w:tcPr>
                <w:p w:rsidR="00745FEA" w:rsidRPr="00072949" w:rsidRDefault="00745FEA" w:rsidP="00745FEA">
                  <w:pPr>
                    <w:pStyle w:val="TableBodyText"/>
                    <w:ind w:right="57"/>
                  </w:pPr>
                  <w:r w:rsidRPr="00072949">
                    <w:t>3.4</w:t>
                  </w:r>
                </w:p>
              </w:tc>
              <w:tc>
                <w:tcPr>
                  <w:tcW w:w="339" w:type="pct"/>
                  <w:vAlign w:val="bottom"/>
                </w:tcPr>
                <w:p w:rsidR="00745FEA" w:rsidRPr="00072949" w:rsidRDefault="00745FEA" w:rsidP="00745FEA">
                  <w:pPr>
                    <w:pStyle w:val="TableBodyText"/>
                    <w:ind w:right="57"/>
                  </w:pPr>
                  <w:r w:rsidRPr="00072949">
                    <w:t>–</w:t>
                  </w:r>
                </w:p>
              </w:tc>
              <w:tc>
                <w:tcPr>
                  <w:tcW w:w="339" w:type="pct"/>
                  <w:vAlign w:val="bottom"/>
                </w:tcPr>
                <w:p w:rsidR="00745FEA" w:rsidRPr="00072949" w:rsidRDefault="00745FEA" w:rsidP="00745FEA">
                  <w:pPr>
                    <w:pStyle w:val="TableBodyText"/>
                    <w:ind w:right="57"/>
                  </w:pPr>
                  <w:r w:rsidRPr="00072949">
                    <w:t>–</w:t>
                  </w:r>
                </w:p>
              </w:tc>
              <w:tc>
                <w:tcPr>
                  <w:tcW w:w="339" w:type="pct"/>
                  <w:vAlign w:val="bottom"/>
                </w:tcPr>
                <w:p w:rsidR="00745FEA" w:rsidRPr="00072949" w:rsidRDefault="00745FEA" w:rsidP="00745FEA">
                  <w:pPr>
                    <w:pStyle w:val="TableBodyText"/>
                    <w:ind w:right="57"/>
                  </w:pPr>
                  <w:r w:rsidRPr="00072949">
                    <w:t>–</w:t>
                  </w:r>
                </w:p>
              </w:tc>
              <w:tc>
                <w:tcPr>
                  <w:tcW w:w="339" w:type="pct"/>
                  <w:shd w:val="clear" w:color="auto" w:fill="auto"/>
                  <w:vAlign w:val="bottom"/>
                </w:tcPr>
                <w:p w:rsidR="00745FEA" w:rsidRPr="00072949" w:rsidRDefault="00745FEA" w:rsidP="00745FEA">
                  <w:pPr>
                    <w:pStyle w:val="TableBodyText"/>
                    <w:ind w:right="57"/>
                  </w:pPr>
                  <w:r w:rsidRPr="00072949">
                    <w:t>–</w:t>
                  </w:r>
                </w:p>
              </w:tc>
              <w:tc>
                <w:tcPr>
                  <w:tcW w:w="337" w:type="pct"/>
                  <w:shd w:val="clear" w:color="auto" w:fill="auto"/>
                  <w:vAlign w:val="bottom"/>
                </w:tcPr>
                <w:p w:rsidR="00745FEA" w:rsidRPr="00072949" w:rsidRDefault="00745FEA" w:rsidP="00745FEA">
                  <w:pPr>
                    <w:pStyle w:val="TableBodyText"/>
                    <w:ind w:right="57"/>
                  </w:pPr>
                  <w:r w:rsidRPr="00072949">
                    <w:t>–</w:t>
                  </w:r>
                </w:p>
              </w:tc>
            </w:tr>
            <w:tr w:rsidR="00745FEA" w:rsidTr="00745FEA">
              <w:trPr>
                <w:gridAfter w:val="4"/>
                <w:wAfter w:w="1350" w:type="pct"/>
              </w:trPr>
              <w:tc>
                <w:tcPr>
                  <w:tcW w:w="1616" w:type="pct"/>
                  <w:shd w:val="clear" w:color="auto" w:fill="auto"/>
                </w:tcPr>
                <w:p w:rsidR="00745FEA" w:rsidRPr="000660E7" w:rsidRDefault="00745FEA" w:rsidP="00745FEA">
                  <w:pPr>
                    <w:pStyle w:val="TableBodyText"/>
                    <w:spacing w:after="0"/>
                    <w:ind w:left="227" w:right="0"/>
                    <w:jc w:val="left"/>
                  </w:pPr>
                  <w:r w:rsidRPr="000660E7">
                    <w:t>R&amp;D tax concession</w:t>
                  </w:r>
                </w:p>
              </w:tc>
              <w:tc>
                <w:tcPr>
                  <w:tcW w:w="339" w:type="pct"/>
                  <w:vAlign w:val="bottom"/>
                </w:tcPr>
                <w:p w:rsidR="00745FEA" w:rsidRPr="00072949" w:rsidRDefault="00745FEA" w:rsidP="00745FEA">
                  <w:pPr>
                    <w:pStyle w:val="TableBodyText"/>
                    <w:ind w:right="57"/>
                  </w:pPr>
                  <w:r w:rsidRPr="00072949">
                    <w:t>3.3</w:t>
                  </w:r>
                </w:p>
              </w:tc>
              <w:tc>
                <w:tcPr>
                  <w:tcW w:w="339" w:type="pct"/>
                  <w:vAlign w:val="bottom"/>
                </w:tcPr>
                <w:p w:rsidR="00745FEA" w:rsidRPr="00072949" w:rsidRDefault="00745FEA" w:rsidP="00745FEA">
                  <w:pPr>
                    <w:pStyle w:val="TableBodyText"/>
                    <w:ind w:right="57"/>
                  </w:pPr>
                  <w:r w:rsidRPr="00072949">
                    <w:t>1.5</w:t>
                  </w:r>
                </w:p>
              </w:tc>
              <w:tc>
                <w:tcPr>
                  <w:tcW w:w="339" w:type="pct"/>
                  <w:vAlign w:val="bottom"/>
                </w:tcPr>
                <w:p w:rsidR="00745FEA" w:rsidRPr="00072949" w:rsidRDefault="00745FEA" w:rsidP="00745FEA">
                  <w:pPr>
                    <w:pStyle w:val="TableBodyText"/>
                    <w:ind w:right="57"/>
                  </w:pPr>
                  <w:r w:rsidRPr="00072949">
                    <w:t>0.5</w:t>
                  </w:r>
                </w:p>
              </w:tc>
              <w:tc>
                <w:tcPr>
                  <w:tcW w:w="339" w:type="pct"/>
                  <w:vAlign w:val="bottom"/>
                </w:tcPr>
                <w:p w:rsidR="00745FEA" w:rsidRPr="00072949" w:rsidRDefault="00745FEA" w:rsidP="00745FEA">
                  <w:pPr>
                    <w:pStyle w:val="TableBodyText"/>
                    <w:ind w:right="57"/>
                  </w:pPr>
                  <w:r w:rsidRPr="00072949">
                    <w:t>0.1</w:t>
                  </w:r>
                </w:p>
              </w:tc>
              <w:tc>
                <w:tcPr>
                  <w:tcW w:w="339" w:type="pct"/>
                  <w:shd w:val="clear" w:color="auto" w:fill="auto"/>
                  <w:vAlign w:val="bottom"/>
                </w:tcPr>
                <w:p w:rsidR="00745FEA" w:rsidRPr="00072949" w:rsidRDefault="00745FEA" w:rsidP="00745FEA">
                  <w:pPr>
                    <w:pStyle w:val="TableBodyText"/>
                    <w:ind w:right="57"/>
                  </w:pPr>
                  <w:r w:rsidRPr="00072949">
                    <w:t>–</w:t>
                  </w:r>
                </w:p>
              </w:tc>
              <w:tc>
                <w:tcPr>
                  <w:tcW w:w="337" w:type="pct"/>
                  <w:shd w:val="clear" w:color="auto" w:fill="auto"/>
                  <w:vAlign w:val="bottom"/>
                </w:tcPr>
                <w:p w:rsidR="00745FEA" w:rsidRPr="00072949" w:rsidRDefault="00745FEA" w:rsidP="00745FEA">
                  <w:pPr>
                    <w:pStyle w:val="TableBodyText"/>
                    <w:ind w:right="57"/>
                  </w:pPr>
                  <w:r w:rsidRPr="00072949">
                    <w:t>–</w:t>
                  </w:r>
                </w:p>
              </w:tc>
            </w:tr>
            <w:tr w:rsidR="00745FEA" w:rsidTr="00745FEA">
              <w:trPr>
                <w:gridAfter w:val="4"/>
                <w:wAfter w:w="1350" w:type="pct"/>
              </w:trPr>
              <w:tc>
                <w:tcPr>
                  <w:tcW w:w="1616" w:type="pct"/>
                  <w:tcBorders>
                    <w:bottom w:val="single" w:sz="6" w:space="0" w:color="BFBFBF"/>
                  </w:tcBorders>
                  <w:shd w:val="clear" w:color="auto" w:fill="auto"/>
                </w:tcPr>
                <w:p w:rsidR="00745FEA" w:rsidRPr="000660E7" w:rsidRDefault="00745FEA" w:rsidP="00745FEA">
                  <w:pPr>
                    <w:pStyle w:val="TableBodyText"/>
                    <w:ind w:left="227" w:right="0"/>
                    <w:jc w:val="left"/>
                  </w:pPr>
                  <w:r w:rsidRPr="000660E7">
                    <w:t>R&amp;D Tax Incentive - non-refundable tax offset</w:t>
                  </w:r>
                </w:p>
              </w:tc>
              <w:tc>
                <w:tcPr>
                  <w:tcW w:w="339" w:type="pct"/>
                  <w:tcBorders>
                    <w:bottom w:val="single" w:sz="6" w:space="0" w:color="BFBFBF"/>
                  </w:tcBorders>
                  <w:vAlign w:val="bottom"/>
                </w:tcPr>
                <w:p w:rsidR="00745FEA" w:rsidRPr="00072949" w:rsidRDefault="00745FEA" w:rsidP="00745FEA">
                  <w:pPr>
                    <w:pStyle w:val="TableBodyText"/>
                    <w:ind w:right="57"/>
                  </w:pPr>
                  <w:r w:rsidRPr="00072949">
                    <w:t>–</w:t>
                  </w:r>
                </w:p>
              </w:tc>
              <w:tc>
                <w:tcPr>
                  <w:tcW w:w="339" w:type="pct"/>
                  <w:tcBorders>
                    <w:bottom w:val="single" w:sz="6" w:space="0" w:color="BFBFBF"/>
                  </w:tcBorders>
                  <w:vAlign w:val="bottom"/>
                </w:tcPr>
                <w:p w:rsidR="00745FEA" w:rsidRPr="00072949" w:rsidRDefault="00745FEA" w:rsidP="00745FEA">
                  <w:pPr>
                    <w:pStyle w:val="TableBodyText"/>
                    <w:ind w:right="57"/>
                  </w:pPr>
                  <w:r w:rsidRPr="00072949">
                    <w:t>0.9</w:t>
                  </w:r>
                </w:p>
              </w:tc>
              <w:tc>
                <w:tcPr>
                  <w:tcW w:w="339" w:type="pct"/>
                  <w:tcBorders>
                    <w:bottom w:val="single" w:sz="6" w:space="0" w:color="BFBFBF"/>
                  </w:tcBorders>
                  <w:vAlign w:val="bottom"/>
                </w:tcPr>
                <w:p w:rsidR="00745FEA" w:rsidRPr="00072949" w:rsidRDefault="00745FEA" w:rsidP="00745FEA">
                  <w:pPr>
                    <w:pStyle w:val="TableBodyText"/>
                    <w:ind w:right="57"/>
                  </w:pPr>
                  <w:r w:rsidRPr="00072949">
                    <w:t>1.6</w:t>
                  </w:r>
                </w:p>
              </w:tc>
              <w:tc>
                <w:tcPr>
                  <w:tcW w:w="339" w:type="pct"/>
                  <w:tcBorders>
                    <w:bottom w:val="single" w:sz="6" w:space="0" w:color="BFBFBF"/>
                  </w:tcBorders>
                  <w:vAlign w:val="bottom"/>
                </w:tcPr>
                <w:p w:rsidR="00745FEA" w:rsidRPr="00072949" w:rsidRDefault="00745FEA" w:rsidP="00745FEA">
                  <w:pPr>
                    <w:pStyle w:val="TableBodyText"/>
                    <w:ind w:right="57"/>
                  </w:pPr>
                  <w:r w:rsidRPr="00072949">
                    <w:t>4.4</w:t>
                  </w:r>
                </w:p>
              </w:tc>
              <w:tc>
                <w:tcPr>
                  <w:tcW w:w="339" w:type="pct"/>
                  <w:tcBorders>
                    <w:bottom w:val="single" w:sz="6" w:space="0" w:color="BFBFBF"/>
                  </w:tcBorders>
                  <w:shd w:val="clear" w:color="auto" w:fill="auto"/>
                  <w:vAlign w:val="bottom"/>
                </w:tcPr>
                <w:p w:rsidR="00745FEA" w:rsidRPr="00072949" w:rsidRDefault="00745FEA" w:rsidP="00745FEA">
                  <w:pPr>
                    <w:pStyle w:val="TableBodyText"/>
                    <w:ind w:right="57"/>
                  </w:pPr>
                  <w:r w:rsidRPr="00072949">
                    <w:t>4.2</w:t>
                  </w:r>
                </w:p>
              </w:tc>
              <w:tc>
                <w:tcPr>
                  <w:tcW w:w="337" w:type="pct"/>
                  <w:tcBorders>
                    <w:bottom w:val="single" w:sz="6" w:space="0" w:color="BFBFBF"/>
                  </w:tcBorders>
                  <w:shd w:val="clear" w:color="auto" w:fill="auto"/>
                  <w:vAlign w:val="bottom"/>
                </w:tcPr>
                <w:p w:rsidR="00745FEA" w:rsidRDefault="00745FEA" w:rsidP="00745FEA">
                  <w:pPr>
                    <w:pStyle w:val="TableBodyText"/>
                    <w:ind w:right="57"/>
                  </w:pPr>
                  <w:r w:rsidRPr="00072949">
                    <w:t>3.6</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4" w:type="dxa"/>
              <w:tblCellMar>
                <w:top w:w="28" w:type="dxa"/>
                <w:left w:w="0" w:type="dxa"/>
                <w:right w:w="0" w:type="dxa"/>
              </w:tblCellMar>
              <w:tblLook w:val="0000" w:firstRow="0" w:lastRow="0" w:firstColumn="0" w:lastColumn="0" w:noHBand="0" w:noVBand="0"/>
            </w:tblPr>
            <w:tblGrid>
              <w:gridCol w:w="3798"/>
              <w:gridCol w:w="794"/>
              <w:gridCol w:w="794"/>
              <w:gridCol w:w="794"/>
              <w:gridCol w:w="796"/>
              <w:gridCol w:w="796"/>
              <w:gridCol w:w="792"/>
            </w:tblGrid>
            <w:tr w:rsidR="00745FEA" w:rsidTr="00C719FB">
              <w:trPr>
                <w:tblHeader/>
              </w:trPr>
              <w:tc>
                <w:tcPr>
                  <w:tcW w:w="3798" w:type="dxa"/>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794" w:type="dxa"/>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794" w:type="dxa"/>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794" w:type="dxa"/>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796" w:type="dxa"/>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796" w:type="dxa"/>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792" w:type="dxa"/>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3798" w:type="dxa"/>
                  <w:tcBorders>
                    <w:top w:val="single" w:sz="6" w:space="0" w:color="BFBFBF"/>
                  </w:tcBorders>
                  <w:vAlign w:val="center"/>
                </w:tcPr>
                <w:p w:rsidR="00745FEA" w:rsidRPr="007D3A41" w:rsidRDefault="00745FEA" w:rsidP="00745FEA">
                  <w:pPr>
                    <w:pStyle w:val="TableUnitsRow"/>
                    <w:spacing w:after="0"/>
                    <w:ind w:left="113" w:right="0"/>
                    <w:jc w:val="left"/>
                    <w:rPr>
                      <w:i/>
                    </w:rPr>
                  </w:pPr>
                  <w:r w:rsidRPr="007D3A41">
                    <w:rPr>
                      <w:i/>
                    </w:rPr>
                    <w:t>Other measures</w:t>
                  </w:r>
                </w:p>
              </w:tc>
              <w:tc>
                <w:tcPr>
                  <w:tcW w:w="794" w:type="dxa"/>
                  <w:tcBorders>
                    <w:top w:val="single" w:sz="6" w:space="0" w:color="BFBFBF"/>
                  </w:tcBorders>
                  <w:vAlign w:val="bottom"/>
                </w:tcPr>
                <w:p w:rsidR="00745FEA" w:rsidRDefault="00745FEA" w:rsidP="00745FEA">
                  <w:pPr>
                    <w:pStyle w:val="TableUnitsRow"/>
                    <w:spacing w:after="0"/>
                    <w:ind w:left="113" w:right="57"/>
                  </w:pPr>
                </w:p>
              </w:tc>
              <w:tc>
                <w:tcPr>
                  <w:tcW w:w="794" w:type="dxa"/>
                  <w:tcBorders>
                    <w:top w:val="single" w:sz="6" w:space="0" w:color="BFBFBF"/>
                  </w:tcBorders>
                  <w:vAlign w:val="bottom"/>
                </w:tcPr>
                <w:p w:rsidR="00745FEA" w:rsidRDefault="00745FEA" w:rsidP="00745FEA">
                  <w:pPr>
                    <w:pStyle w:val="TableUnitsRow"/>
                    <w:spacing w:after="0"/>
                    <w:ind w:left="113" w:right="57"/>
                  </w:pPr>
                </w:p>
              </w:tc>
              <w:tc>
                <w:tcPr>
                  <w:tcW w:w="794" w:type="dxa"/>
                  <w:tcBorders>
                    <w:top w:val="single" w:sz="6" w:space="0" w:color="BFBFBF"/>
                  </w:tcBorders>
                  <w:vAlign w:val="bottom"/>
                </w:tcPr>
                <w:p w:rsidR="00745FEA" w:rsidRDefault="00745FEA" w:rsidP="00745FEA">
                  <w:pPr>
                    <w:pStyle w:val="TableUnitsRow"/>
                    <w:spacing w:after="0"/>
                    <w:ind w:left="113" w:right="57"/>
                  </w:pPr>
                </w:p>
              </w:tc>
              <w:tc>
                <w:tcPr>
                  <w:tcW w:w="796" w:type="dxa"/>
                  <w:tcBorders>
                    <w:top w:val="single" w:sz="6" w:space="0" w:color="BFBFBF"/>
                  </w:tcBorders>
                  <w:vAlign w:val="bottom"/>
                </w:tcPr>
                <w:p w:rsidR="00745FEA" w:rsidRDefault="00745FEA" w:rsidP="00745FEA">
                  <w:pPr>
                    <w:pStyle w:val="TableUnitsRow"/>
                    <w:spacing w:after="0"/>
                    <w:ind w:left="113" w:right="57"/>
                  </w:pPr>
                </w:p>
              </w:tc>
              <w:tc>
                <w:tcPr>
                  <w:tcW w:w="796" w:type="dxa"/>
                  <w:tcBorders>
                    <w:top w:val="single" w:sz="6" w:space="0" w:color="BFBFBF"/>
                  </w:tcBorders>
                  <w:vAlign w:val="bottom"/>
                </w:tcPr>
                <w:p w:rsidR="00745FEA" w:rsidRDefault="00745FEA" w:rsidP="00745FEA">
                  <w:pPr>
                    <w:pStyle w:val="TableUnitsRow"/>
                    <w:spacing w:after="0"/>
                    <w:ind w:left="113" w:right="57"/>
                  </w:pPr>
                </w:p>
              </w:tc>
              <w:tc>
                <w:tcPr>
                  <w:tcW w:w="792" w:type="dxa"/>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3798" w:type="dxa"/>
                </w:tcPr>
                <w:p w:rsidR="00745FEA" w:rsidRPr="006537BF" w:rsidRDefault="00745FEA" w:rsidP="00745FEA">
                  <w:pPr>
                    <w:pStyle w:val="TableBodyText"/>
                    <w:spacing w:after="0"/>
                    <w:ind w:left="227" w:right="0"/>
                    <w:jc w:val="left"/>
                  </w:pPr>
                  <w:r w:rsidRPr="006537BF">
                    <w:t>Australian Government Innovation and Investment Fund - Tasmania</w:t>
                  </w:r>
                </w:p>
              </w:tc>
              <w:tc>
                <w:tcPr>
                  <w:tcW w:w="794" w:type="dxa"/>
                  <w:vAlign w:val="bottom"/>
                </w:tcPr>
                <w:p w:rsidR="00745FEA" w:rsidRPr="00CA561A" w:rsidRDefault="00745FEA" w:rsidP="00745FEA">
                  <w:pPr>
                    <w:pStyle w:val="TableBodyText"/>
                    <w:ind w:right="57"/>
                  </w:pPr>
                  <w:r w:rsidRPr="00CA561A">
                    <w:t>–</w:t>
                  </w:r>
                </w:p>
              </w:tc>
              <w:tc>
                <w:tcPr>
                  <w:tcW w:w="794" w:type="dxa"/>
                  <w:vAlign w:val="bottom"/>
                </w:tcPr>
                <w:p w:rsidR="00745FEA" w:rsidRPr="00CA561A" w:rsidRDefault="00745FEA" w:rsidP="00745FEA">
                  <w:pPr>
                    <w:pStyle w:val="TableBodyText"/>
                    <w:ind w:right="57"/>
                  </w:pPr>
                  <w:r w:rsidRPr="00CA561A">
                    <w:t>–</w:t>
                  </w:r>
                </w:p>
              </w:tc>
              <w:tc>
                <w:tcPr>
                  <w:tcW w:w="794" w:type="dxa"/>
                  <w:vAlign w:val="bottom"/>
                </w:tcPr>
                <w:p w:rsidR="00745FEA" w:rsidRPr="00CA561A" w:rsidRDefault="00745FEA" w:rsidP="00745FEA">
                  <w:pPr>
                    <w:pStyle w:val="TableBodyText"/>
                    <w:ind w:right="57"/>
                  </w:pPr>
                  <w:r w:rsidRPr="00CA561A">
                    <w:t>–</w:t>
                  </w:r>
                </w:p>
              </w:tc>
              <w:tc>
                <w:tcPr>
                  <w:tcW w:w="796" w:type="dxa"/>
                  <w:vAlign w:val="bottom"/>
                </w:tcPr>
                <w:p w:rsidR="00745FEA" w:rsidRPr="00CA561A" w:rsidRDefault="00745FEA" w:rsidP="00745FEA">
                  <w:pPr>
                    <w:pStyle w:val="TableBodyText"/>
                    <w:ind w:right="57"/>
                  </w:pPr>
                  <w:r w:rsidRPr="00CA561A">
                    <w:t>0.8</w:t>
                  </w:r>
                </w:p>
              </w:tc>
              <w:tc>
                <w:tcPr>
                  <w:tcW w:w="796" w:type="dxa"/>
                  <w:vAlign w:val="bottom"/>
                </w:tcPr>
                <w:p w:rsidR="00745FEA" w:rsidRPr="00CA561A" w:rsidRDefault="00745FEA" w:rsidP="00745FEA">
                  <w:pPr>
                    <w:pStyle w:val="TableBodyText"/>
                    <w:ind w:right="57"/>
                  </w:pPr>
                  <w:r w:rsidRPr="00CA561A">
                    <w:t>0.8</w:t>
                  </w:r>
                </w:p>
              </w:tc>
              <w:tc>
                <w:tcPr>
                  <w:tcW w:w="792" w:type="dxa"/>
                  <w:vAlign w:val="bottom"/>
                </w:tcPr>
                <w:p w:rsidR="00745FEA" w:rsidRPr="00CA561A" w:rsidRDefault="00745FEA" w:rsidP="00745FEA">
                  <w:pPr>
                    <w:pStyle w:val="TableBodyText"/>
                    <w:ind w:right="57"/>
                  </w:pPr>
                  <w:r w:rsidRPr="00CA561A">
                    <w:t>0.5</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Enterprise Connect Innovation Centres</w:t>
                  </w:r>
                </w:p>
              </w:tc>
              <w:tc>
                <w:tcPr>
                  <w:tcW w:w="794" w:type="dxa"/>
                  <w:vAlign w:val="bottom"/>
                </w:tcPr>
                <w:p w:rsidR="00745FEA" w:rsidRPr="00CA561A" w:rsidRDefault="00745FEA" w:rsidP="00745FEA">
                  <w:pPr>
                    <w:pStyle w:val="TableBodyText"/>
                    <w:ind w:right="57"/>
                  </w:pPr>
                  <w:r w:rsidRPr="00CA561A">
                    <w:t>0.1</w:t>
                  </w:r>
                </w:p>
              </w:tc>
              <w:tc>
                <w:tcPr>
                  <w:tcW w:w="794" w:type="dxa"/>
                  <w:vAlign w:val="bottom"/>
                </w:tcPr>
                <w:p w:rsidR="00745FEA" w:rsidRPr="00CA561A" w:rsidRDefault="00745FEA" w:rsidP="00745FEA">
                  <w:pPr>
                    <w:pStyle w:val="TableBodyText"/>
                    <w:ind w:right="57"/>
                  </w:pPr>
                  <w:r w:rsidRPr="00CA561A">
                    <w:t>&lt;0.1</w:t>
                  </w:r>
                </w:p>
              </w:tc>
              <w:tc>
                <w:tcPr>
                  <w:tcW w:w="794" w:type="dxa"/>
                  <w:vAlign w:val="bottom"/>
                </w:tcPr>
                <w:p w:rsidR="00745FEA" w:rsidRPr="00CA561A" w:rsidRDefault="00745FEA" w:rsidP="00745FEA">
                  <w:pPr>
                    <w:pStyle w:val="TableBodyText"/>
                    <w:ind w:right="57"/>
                  </w:pPr>
                  <w:r w:rsidRPr="00CA561A">
                    <w:t>&lt;0.1</w:t>
                  </w:r>
                </w:p>
              </w:tc>
              <w:tc>
                <w:tcPr>
                  <w:tcW w:w="796" w:type="dxa"/>
                  <w:vAlign w:val="bottom"/>
                </w:tcPr>
                <w:p w:rsidR="00745FEA" w:rsidRPr="00CA561A" w:rsidRDefault="00745FEA" w:rsidP="00745FEA">
                  <w:pPr>
                    <w:pStyle w:val="TableBodyText"/>
                    <w:ind w:right="57"/>
                  </w:pPr>
                  <w:r w:rsidRPr="00CA561A">
                    <w:t>&lt;0.1</w:t>
                  </w:r>
                </w:p>
              </w:tc>
              <w:tc>
                <w:tcPr>
                  <w:tcW w:w="796" w:type="dxa"/>
                  <w:shd w:val="clear" w:color="auto" w:fill="auto"/>
                  <w:vAlign w:val="bottom"/>
                </w:tcPr>
                <w:p w:rsidR="00745FEA" w:rsidRPr="00CA561A" w:rsidRDefault="00745FEA" w:rsidP="00745FEA">
                  <w:pPr>
                    <w:pStyle w:val="TableBodyText"/>
                    <w:ind w:right="57"/>
                  </w:pPr>
                  <w:r w:rsidRPr="00CA561A">
                    <w:t>–</w:t>
                  </w:r>
                </w:p>
              </w:tc>
              <w:tc>
                <w:tcPr>
                  <w:tcW w:w="792" w:type="dxa"/>
                  <w:shd w:val="clear" w:color="auto" w:fill="auto"/>
                  <w:vAlign w:val="bottom"/>
                </w:tcPr>
                <w:p w:rsidR="00745FEA" w:rsidRPr="00CA561A" w:rsidRDefault="00745FEA" w:rsidP="00745FEA">
                  <w:pPr>
                    <w:pStyle w:val="TableBodyText"/>
                    <w:ind w:right="57"/>
                  </w:pPr>
                  <w:r w:rsidRPr="00CA561A">
                    <w:t>–</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Entrepreneurs’ Infrastructure Programme - Business Management Skills</w:t>
                  </w:r>
                </w:p>
              </w:tc>
              <w:tc>
                <w:tcPr>
                  <w:tcW w:w="794" w:type="dxa"/>
                  <w:vAlign w:val="bottom"/>
                </w:tcPr>
                <w:p w:rsidR="00745FEA" w:rsidRPr="00CA561A" w:rsidRDefault="00745FEA" w:rsidP="00745FEA">
                  <w:pPr>
                    <w:pStyle w:val="TableBodyText"/>
                    <w:ind w:right="57"/>
                  </w:pPr>
                  <w:r w:rsidRPr="00CA561A">
                    <w:t>–</w:t>
                  </w:r>
                </w:p>
              </w:tc>
              <w:tc>
                <w:tcPr>
                  <w:tcW w:w="794" w:type="dxa"/>
                  <w:vAlign w:val="bottom"/>
                </w:tcPr>
                <w:p w:rsidR="00745FEA" w:rsidRPr="00CA561A" w:rsidRDefault="00745FEA" w:rsidP="00745FEA">
                  <w:pPr>
                    <w:pStyle w:val="TableBodyText"/>
                    <w:ind w:right="57"/>
                  </w:pPr>
                  <w:r w:rsidRPr="00CA561A">
                    <w:t>–</w:t>
                  </w:r>
                </w:p>
              </w:tc>
              <w:tc>
                <w:tcPr>
                  <w:tcW w:w="794" w:type="dxa"/>
                  <w:vAlign w:val="bottom"/>
                </w:tcPr>
                <w:p w:rsidR="00745FEA" w:rsidRPr="00CA561A" w:rsidRDefault="00745FEA" w:rsidP="00745FEA">
                  <w:pPr>
                    <w:pStyle w:val="TableBodyText"/>
                    <w:ind w:right="57"/>
                  </w:pPr>
                  <w:r w:rsidRPr="00CA561A">
                    <w:t>–</w:t>
                  </w:r>
                </w:p>
              </w:tc>
              <w:tc>
                <w:tcPr>
                  <w:tcW w:w="796" w:type="dxa"/>
                  <w:vAlign w:val="bottom"/>
                </w:tcPr>
                <w:p w:rsidR="00745FEA" w:rsidRPr="00CA561A" w:rsidRDefault="00745FEA" w:rsidP="00745FEA">
                  <w:pPr>
                    <w:pStyle w:val="TableBodyText"/>
                    <w:ind w:right="57"/>
                  </w:pPr>
                  <w:r w:rsidRPr="00CA561A">
                    <w:t>&lt;0.1</w:t>
                  </w:r>
                </w:p>
              </w:tc>
              <w:tc>
                <w:tcPr>
                  <w:tcW w:w="796" w:type="dxa"/>
                  <w:shd w:val="clear" w:color="auto" w:fill="auto"/>
                  <w:vAlign w:val="bottom"/>
                </w:tcPr>
                <w:p w:rsidR="00745FEA" w:rsidRPr="00CA561A" w:rsidRDefault="00745FEA" w:rsidP="00745FEA">
                  <w:pPr>
                    <w:pStyle w:val="TableBodyText"/>
                    <w:ind w:right="57"/>
                  </w:pPr>
                  <w:r w:rsidRPr="00CA561A">
                    <w:t>&lt;0.1</w:t>
                  </w:r>
                </w:p>
              </w:tc>
              <w:tc>
                <w:tcPr>
                  <w:tcW w:w="792" w:type="dxa"/>
                  <w:shd w:val="clear" w:color="auto" w:fill="auto"/>
                  <w:vAlign w:val="bottom"/>
                </w:tcPr>
                <w:p w:rsidR="00745FEA" w:rsidRPr="00CA561A" w:rsidRDefault="00745FEA" w:rsidP="00745FEA">
                  <w:pPr>
                    <w:pStyle w:val="TableBodyText"/>
                    <w:ind w:right="57"/>
                  </w:pPr>
                  <w:r w:rsidRPr="00CA561A">
                    <w:t>0.1</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South East South Australia Innovation and Investment Fund</w:t>
                  </w:r>
                </w:p>
              </w:tc>
              <w:tc>
                <w:tcPr>
                  <w:tcW w:w="794" w:type="dxa"/>
                  <w:vAlign w:val="bottom"/>
                </w:tcPr>
                <w:p w:rsidR="00745FEA" w:rsidRPr="00CA561A" w:rsidRDefault="00745FEA" w:rsidP="00745FEA">
                  <w:pPr>
                    <w:pStyle w:val="TableBodyText"/>
                    <w:ind w:right="57"/>
                  </w:pPr>
                  <w:r w:rsidRPr="00CA561A">
                    <w:t>0.5</w:t>
                  </w:r>
                </w:p>
              </w:tc>
              <w:tc>
                <w:tcPr>
                  <w:tcW w:w="794" w:type="dxa"/>
                  <w:vAlign w:val="bottom"/>
                </w:tcPr>
                <w:p w:rsidR="00745FEA" w:rsidRPr="00CA561A" w:rsidRDefault="00745FEA" w:rsidP="00745FEA">
                  <w:pPr>
                    <w:pStyle w:val="TableBodyText"/>
                    <w:ind w:right="57"/>
                  </w:pPr>
                  <w:r w:rsidRPr="00CA561A">
                    <w:t>0.9</w:t>
                  </w:r>
                </w:p>
              </w:tc>
              <w:tc>
                <w:tcPr>
                  <w:tcW w:w="794" w:type="dxa"/>
                  <w:vAlign w:val="bottom"/>
                </w:tcPr>
                <w:p w:rsidR="00745FEA" w:rsidRPr="00CA561A" w:rsidRDefault="00745FEA" w:rsidP="00745FEA">
                  <w:pPr>
                    <w:pStyle w:val="TableBodyText"/>
                    <w:ind w:right="57"/>
                  </w:pPr>
                  <w:r w:rsidRPr="00CA561A">
                    <w:t>–</w:t>
                  </w:r>
                </w:p>
              </w:tc>
              <w:tc>
                <w:tcPr>
                  <w:tcW w:w="796" w:type="dxa"/>
                  <w:vAlign w:val="bottom"/>
                </w:tcPr>
                <w:p w:rsidR="00745FEA" w:rsidRPr="00CA561A" w:rsidRDefault="00745FEA" w:rsidP="00745FEA">
                  <w:pPr>
                    <w:pStyle w:val="TableBodyText"/>
                    <w:ind w:right="57"/>
                  </w:pPr>
                  <w:r w:rsidRPr="00CA561A">
                    <w:t>–</w:t>
                  </w:r>
                </w:p>
              </w:tc>
              <w:tc>
                <w:tcPr>
                  <w:tcW w:w="796" w:type="dxa"/>
                  <w:shd w:val="clear" w:color="auto" w:fill="auto"/>
                  <w:vAlign w:val="bottom"/>
                </w:tcPr>
                <w:p w:rsidR="00745FEA" w:rsidRPr="00CA561A" w:rsidRDefault="00745FEA" w:rsidP="00745FEA">
                  <w:pPr>
                    <w:pStyle w:val="TableBodyText"/>
                    <w:ind w:right="57"/>
                  </w:pPr>
                  <w:r w:rsidRPr="00CA561A">
                    <w:t>–</w:t>
                  </w:r>
                </w:p>
              </w:tc>
              <w:tc>
                <w:tcPr>
                  <w:tcW w:w="792" w:type="dxa"/>
                  <w:shd w:val="clear" w:color="auto" w:fill="auto"/>
                  <w:vAlign w:val="bottom"/>
                </w:tcPr>
                <w:p w:rsidR="00745FEA" w:rsidRPr="00CA561A" w:rsidRDefault="00745FEA" w:rsidP="00745FEA">
                  <w:pPr>
                    <w:pStyle w:val="TableBodyText"/>
                    <w:ind w:right="57"/>
                  </w:pPr>
                  <w:r w:rsidRPr="00CA561A">
                    <w:t>–</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Tasmanian Innovation and Investment Fund</w:t>
                  </w:r>
                </w:p>
              </w:tc>
              <w:tc>
                <w:tcPr>
                  <w:tcW w:w="794" w:type="dxa"/>
                  <w:vAlign w:val="bottom"/>
                </w:tcPr>
                <w:p w:rsidR="00745FEA" w:rsidRPr="00CA561A" w:rsidRDefault="00745FEA" w:rsidP="00745FEA">
                  <w:pPr>
                    <w:pStyle w:val="TableBodyText"/>
                    <w:ind w:right="57"/>
                  </w:pPr>
                  <w:r w:rsidRPr="00CA561A">
                    <w:t>0.4</w:t>
                  </w:r>
                </w:p>
              </w:tc>
              <w:tc>
                <w:tcPr>
                  <w:tcW w:w="794" w:type="dxa"/>
                  <w:vAlign w:val="bottom"/>
                </w:tcPr>
                <w:p w:rsidR="00745FEA" w:rsidRPr="00CA561A" w:rsidRDefault="00745FEA" w:rsidP="00745FEA">
                  <w:pPr>
                    <w:pStyle w:val="TableBodyText"/>
                    <w:ind w:right="57"/>
                  </w:pPr>
                  <w:r w:rsidRPr="00CA561A">
                    <w:t>0.3</w:t>
                  </w:r>
                </w:p>
              </w:tc>
              <w:tc>
                <w:tcPr>
                  <w:tcW w:w="794" w:type="dxa"/>
                  <w:vAlign w:val="bottom"/>
                </w:tcPr>
                <w:p w:rsidR="00745FEA" w:rsidRPr="00CA561A" w:rsidRDefault="00745FEA" w:rsidP="00745FEA">
                  <w:pPr>
                    <w:pStyle w:val="TableBodyText"/>
                    <w:ind w:right="57"/>
                  </w:pPr>
                  <w:r w:rsidRPr="00CA561A">
                    <w:t>0.1</w:t>
                  </w:r>
                </w:p>
              </w:tc>
              <w:tc>
                <w:tcPr>
                  <w:tcW w:w="796" w:type="dxa"/>
                  <w:vAlign w:val="bottom"/>
                </w:tcPr>
                <w:p w:rsidR="00745FEA" w:rsidRPr="00CA561A" w:rsidRDefault="00745FEA" w:rsidP="00745FEA">
                  <w:pPr>
                    <w:pStyle w:val="TableBodyText"/>
                    <w:ind w:right="57"/>
                  </w:pPr>
                  <w:r w:rsidRPr="00CA561A">
                    <w:t>–</w:t>
                  </w:r>
                </w:p>
              </w:tc>
              <w:tc>
                <w:tcPr>
                  <w:tcW w:w="796" w:type="dxa"/>
                  <w:shd w:val="clear" w:color="auto" w:fill="auto"/>
                  <w:vAlign w:val="bottom"/>
                </w:tcPr>
                <w:p w:rsidR="00745FEA" w:rsidRPr="00CA561A" w:rsidRDefault="00745FEA" w:rsidP="00745FEA">
                  <w:pPr>
                    <w:pStyle w:val="TableBodyText"/>
                    <w:ind w:right="57"/>
                  </w:pPr>
                  <w:r w:rsidRPr="00CA561A">
                    <w:t>–</w:t>
                  </w:r>
                </w:p>
              </w:tc>
              <w:tc>
                <w:tcPr>
                  <w:tcW w:w="792" w:type="dxa"/>
                  <w:shd w:val="clear" w:color="auto" w:fill="auto"/>
                  <w:vAlign w:val="bottom"/>
                </w:tcPr>
                <w:p w:rsidR="00745FEA" w:rsidRPr="00CA561A" w:rsidRDefault="00745FEA" w:rsidP="00745FEA">
                  <w:pPr>
                    <w:pStyle w:val="TableBodyText"/>
                    <w:ind w:right="57"/>
                  </w:pPr>
                  <w:r w:rsidRPr="00CA561A">
                    <w:t>–</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Tasmanian Jobs and Investment Fund</w:t>
                  </w:r>
                </w:p>
              </w:tc>
              <w:tc>
                <w:tcPr>
                  <w:tcW w:w="794" w:type="dxa"/>
                  <w:vAlign w:val="bottom"/>
                </w:tcPr>
                <w:p w:rsidR="00745FEA" w:rsidRPr="00CA561A" w:rsidRDefault="00745FEA" w:rsidP="00745FEA">
                  <w:pPr>
                    <w:pStyle w:val="TableBodyText"/>
                    <w:ind w:right="57"/>
                  </w:pPr>
                  <w:r w:rsidRPr="00CA561A">
                    <w:t>–</w:t>
                  </w:r>
                </w:p>
              </w:tc>
              <w:tc>
                <w:tcPr>
                  <w:tcW w:w="794" w:type="dxa"/>
                  <w:vAlign w:val="bottom"/>
                </w:tcPr>
                <w:p w:rsidR="00745FEA" w:rsidRPr="00CA561A" w:rsidRDefault="00745FEA" w:rsidP="00745FEA">
                  <w:pPr>
                    <w:pStyle w:val="TableBodyText"/>
                    <w:ind w:right="57"/>
                  </w:pPr>
                  <w:r w:rsidRPr="00CA561A">
                    <w:t>–</w:t>
                  </w:r>
                </w:p>
              </w:tc>
              <w:tc>
                <w:tcPr>
                  <w:tcW w:w="794" w:type="dxa"/>
                  <w:vAlign w:val="bottom"/>
                </w:tcPr>
                <w:p w:rsidR="00745FEA" w:rsidRPr="00CA561A" w:rsidRDefault="00745FEA" w:rsidP="00745FEA">
                  <w:pPr>
                    <w:pStyle w:val="TableBodyText"/>
                    <w:ind w:right="57"/>
                  </w:pPr>
                  <w:r w:rsidRPr="00CA561A">
                    <w:t>–</w:t>
                  </w:r>
                </w:p>
              </w:tc>
              <w:tc>
                <w:tcPr>
                  <w:tcW w:w="796" w:type="dxa"/>
                  <w:vAlign w:val="bottom"/>
                </w:tcPr>
                <w:p w:rsidR="00745FEA" w:rsidRPr="00CA561A" w:rsidRDefault="00745FEA" w:rsidP="00745FEA">
                  <w:pPr>
                    <w:pStyle w:val="TableBodyText"/>
                    <w:ind w:right="57"/>
                  </w:pPr>
                  <w:r w:rsidRPr="00CA561A">
                    <w:t>–</w:t>
                  </w:r>
                </w:p>
              </w:tc>
              <w:tc>
                <w:tcPr>
                  <w:tcW w:w="796" w:type="dxa"/>
                  <w:shd w:val="clear" w:color="auto" w:fill="auto"/>
                  <w:vAlign w:val="bottom"/>
                </w:tcPr>
                <w:p w:rsidR="00745FEA" w:rsidRPr="00CA561A" w:rsidRDefault="00745FEA" w:rsidP="00745FEA">
                  <w:pPr>
                    <w:pStyle w:val="TableBodyText"/>
                    <w:ind w:right="57"/>
                  </w:pPr>
                  <w:r w:rsidRPr="00CA561A">
                    <w:t>0.7</w:t>
                  </w:r>
                </w:p>
              </w:tc>
              <w:tc>
                <w:tcPr>
                  <w:tcW w:w="792" w:type="dxa"/>
                  <w:shd w:val="clear" w:color="auto" w:fill="auto"/>
                  <w:vAlign w:val="bottom"/>
                </w:tcPr>
                <w:p w:rsidR="00745FEA" w:rsidRPr="00CA561A" w:rsidRDefault="00745FEA" w:rsidP="00745FEA">
                  <w:pPr>
                    <w:pStyle w:val="TableBodyText"/>
                    <w:ind w:right="57"/>
                  </w:pPr>
                  <w:r w:rsidRPr="00CA561A">
                    <w:t>2.2</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 xml:space="preserve">Small business </w:t>
                  </w:r>
                  <w:r>
                    <w:t xml:space="preserve">capital gains tax </w:t>
                  </w:r>
                  <w:r w:rsidRPr="006537BF">
                    <w:t>rollover deferral</w:t>
                  </w:r>
                </w:p>
              </w:tc>
              <w:tc>
                <w:tcPr>
                  <w:tcW w:w="794" w:type="dxa"/>
                  <w:vAlign w:val="bottom"/>
                </w:tcPr>
                <w:p w:rsidR="00745FEA" w:rsidRPr="00CA561A" w:rsidRDefault="00745FEA" w:rsidP="00745FEA">
                  <w:pPr>
                    <w:pStyle w:val="TableBodyText"/>
                    <w:ind w:right="57"/>
                  </w:pPr>
                  <w:r w:rsidRPr="00CA561A">
                    <w:t>0.5</w:t>
                  </w:r>
                </w:p>
              </w:tc>
              <w:tc>
                <w:tcPr>
                  <w:tcW w:w="794" w:type="dxa"/>
                  <w:vAlign w:val="bottom"/>
                </w:tcPr>
                <w:p w:rsidR="00745FEA" w:rsidRPr="00CA561A" w:rsidRDefault="00745FEA" w:rsidP="00745FEA">
                  <w:pPr>
                    <w:pStyle w:val="TableBodyText"/>
                    <w:ind w:right="57"/>
                  </w:pPr>
                  <w:r w:rsidRPr="00CA561A">
                    <w:t>0.6</w:t>
                  </w:r>
                </w:p>
              </w:tc>
              <w:tc>
                <w:tcPr>
                  <w:tcW w:w="794" w:type="dxa"/>
                  <w:vAlign w:val="bottom"/>
                </w:tcPr>
                <w:p w:rsidR="00745FEA" w:rsidRPr="00CA561A" w:rsidRDefault="00745FEA" w:rsidP="00745FEA">
                  <w:pPr>
                    <w:pStyle w:val="TableBodyText"/>
                    <w:ind w:right="57"/>
                  </w:pPr>
                  <w:r w:rsidRPr="00CA561A">
                    <w:t>0.7</w:t>
                  </w:r>
                </w:p>
              </w:tc>
              <w:tc>
                <w:tcPr>
                  <w:tcW w:w="796" w:type="dxa"/>
                  <w:vAlign w:val="bottom"/>
                </w:tcPr>
                <w:p w:rsidR="00745FEA" w:rsidRPr="00CA561A" w:rsidRDefault="00745FEA" w:rsidP="00745FEA">
                  <w:pPr>
                    <w:pStyle w:val="TableBodyText"/>
                    <w:ind w:right="57"/>
                  </w:pPr>
                  <w:r w:rsidRPr="00CA561A">
                    <w:t>1.2</w:t>
                  </w:r>
                </w:p>
              </w:tc>
              <w:tc>
                <w:tcPr>
                  <w:tcW w:w="796" w:type="dxa"/>
                  <w:shd w:val="clear" w:color="auto" w:fill="auto"/>
                  <w:vAlign w:val="bottom"/>
                </w:tcPr>
                <w:p w:rsidR="00745FEA" w:rsidRPr="00CA561A" w:rsidRDefault="00745FEA" w:rsidP="00745FEA">
                  <w:pPr>
                    <w:pStyle w:val="TableBodyText"/>
                    <w:ind w:right="57"/>
                  </w:pPr>
                  <w:r w:rsidRPr="00CA561A">
                    <w:t>1.1</w:t>
                  </w:r>
                </w:p>
              </w:tc>
              <w:tc>
                <w:tcPr>
                  <w:tcW w:w="792" w:type="dxa"/>
                  <w:shd w:val="clear" w:color="auto" w:fill="auto"/>
                  <w:vAlign w:val="bottom"/>
                </w:tcPr>
                <w:p w:rsidR="00745FEA" w:rsidRPr="00CA561A" w:rsidRDefault="00745FEA" w:rsidP="00745FEA">
                  <w:pPr>
                    <w:pStyle w:val="TableBodyText"/>
                    <w:ind w:right="57"/>
                  </w:pPr>
                  <w:r w:rsidRPr="00CA561A">
                    <w:t>1.8</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The Small Business and General Business Tax Break</w:t>
                  </w:r>
                </w:p>
              </w:tc>
              <w:tc>
                <w:tcPr>
                  <w:tcW w:w="794" w:type="dxa"/>
                  <w:vAlign w:val="bottom"/>
                </w:tcPr>
                <w:p w:rsidR="00745FEA" w:rsidRPr="00CA561A" w:rsidRDefault="00745FEA" w:rsidP="00745FEA">
                  <w:pPr>
                    <w:pStyle w:val="TableBodyText"/>
                    <w:ind w:right="57"/>
                  </w:pPr>
                  <w:r w:rsidRPr="00CA561A">
                    <w:t>1.1</w:t>
                  </w:r>
                </w:p>
              </w:tc>
              <w:tc>
                <w:tcPr>
                  <w:tcW w:w="794" w:type="dxa"/>
                  <w:vAlign w:val="bottom"/>
                </w:tcPr>
                <w:p w:rsidR="00745FEA" w:rsidRPr="00CA561A" w:rsidRDefault="00745FEA" w:rsidP="00745FEA">
                  <w:pPr>
                    <w:pStyle w:val="TableBodyText"/>
                    <w:ind w:right="57"/>
                  </w:pPr>
                  <w:r w:rsidRPr="00CA561A">
                    <w:t>0.4</w:t>
                  </w:r>
                </w:p>
              </w:tc>
              <w:tc>
                <w:tcPr>
                  <w:tcW w:w="794" w:type="dxa"/>
                  <w:vAlign w:val="bottom"/>
                </w:tcPr>
                <w:p w:rsidR="00745FEA" w:rsidRPr="00CA561A" w:rsidRDefault="00745FEA" w:rsidP="00745FEA">
                  <w:pPr>
                    <w:pStyle w:val="TableBodyText"/>
                    <w:ind w:right="57"/>
                  </w:pPr>
                  <w:r w:rsidRPr="00CA561A">
                    <w:t>&lt;0.1</w:t>
                  </w:r>
                </w:p>
              </w:tc>
              <w:tc>
                <w:tcPr>
                  <w:tcW w:w="796" w:type="dxa"/>
                  <w:vAlign w:val="bottom"/>
                </w:tcPr>
                <w:p w:rsidR="00745FEA" w:rsidRPr="00CA561A" w:rsidRDefault="00745FEA" w:rsidP="00745FEA">
                  <w:pPr>
                    <w:pStyle w:val="TableBodyText"/>
                    <w:ind w:right="57"/>
                  </w:pPr>
                  <w:r w:rsidRPr="00CA561A">
                    <w:t>–</w:t>
                  </w:r>
                </w:p>
              </w:tc>
              <w:tc>
                <w:tcPr>
                  <w:tcW w:w="796" w:type="dxa"/>
                  <w:shd w:val="clear" w:color="auto" w:fill="auto"/>
                  <w:vAlign w:val="bottom"/>
                </w:tcPr>
                <w:p w:rsidR="00745FEA" w:rsidRPr="00CA561A" w:rsidRDefault="00745FEA" w:rsidP="00745FEA">
                  <w:pPr>
                    <w:pStyle w:val="TableBodyText"/>
                    <w:ind w:right="57"/>
                  </w:pPr>
                  <w:r w:rsidRPr="00CA561A">
                    <w:t>–</w:t>
                  </w:r>
                </w:p>
              </w:tc>
              <w:tc>
                <w:tcPr>
                  <w:tcW w:w="792" w:type="dxa"/>
                  <w:shd w:val="clear" w:color="auto" w:fill="auto"/>
                  <w:vAlign w:val="bottom"/>
                </w:tcPr>
                <w:p w:rsidR="00745FEA" w:rsidRPr="00CA561A" w:rsidRDefault="00745FEA" w:rsidP="00745FEA">
                  <w:pPr>
                    <w:pStyle w:val="TableBodyText"/>
                    <w:ind w:right="57"/>
                  </w:pPr>
                  <w:r w:rsidRPr="00CA561A">
                    <w:t>–</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Small Business - Simplified depreciation rules</w:t>
                  </w:r>
                </w:p>
              </w:tc>
              <w:tc>
                <w:tcPr>
                  <w:tcW w:w="794" w:type="dxa"/>
                  <w:vAlign w:val="bottom"/>
                </w:tcPr>
                <w:p w:rsidR="00745FEA" w:rsidRPr="00CA561A" w:rsidRDefault="00745FEA" w:rsidP="00745FEA">
                  <w:pPr>
                    <w:pStyle w:val="TableBodyText"/>
                    <w:ind w:right="57"/>
                  </w:pPr>
                  <w:r w:rsidRPr="00CA561A">
                    <w:t>0.1</w:t>
                  </w:r>
                </w:p>
              </w:tc>
              <w:tc>
                <w:tcPr>
                  <w:tcW w:w="794" w:type="dxa"/>
                  <w:vAlign w:val="bottom"/>
                </w:tcPr>
                <w:p w:rsidR="00745FEA" w:rsidRPr="00CA561A" w:rsidRDefault="00745FEA" w:rsidP="00745FEA">
                  <w:pPr>
                    <w:pStyle w:val="TableBodyText"/>
                    <w:ind w:right="57"/>
                  </w:pPr>
                  <w:r w:rsidRPr="00CA561A">
                    <w:t>-0.7</w:t>
                  </w:r>
                </w:p>
              </w:tc>
              <w:tc>
                <w:tcPr>
                  <w:tcW w:w="794" w:type="dxa"/>
                  <w:vAlign w:val="bottom"/>
                </w:tcPr>
                <w:p w:rsidR="00745FEA" w:rsidRPr="00CA561A" w:rsidRDefault="00745FEA" w:rsidP="00745FEA">
                  <w:pPr>
                    <w:pStyle w:val="TableBodyText"/>
                    <w:ind w:right="57"/>
                  </w:pPr>
                  <w:r w:rsidRPr="00CA561A">
                    <w:t>2.5</w:t>
                  </w:r>
                </w:p>
              </w:tc>
              <w:tc>
                <w:tcPr>
                  <w:tcW w:w="796" w:type="dxa"/>
                  <w:vAlign w:val="bottom"/>
                </w:tcPr>
                <w:p w:rsidR="00745FEA" w:rsidRPr="00CA561A" w:rsidRDefault="00745FEA" w:rsidP="00745FEA">
                  <w:pPr>
                    <w:pStyle w:val="TableBodyText"/>
                    <w:ind w:right="57"/>
                  </w:pPr>
                  <w:r w:rsidRPr="00CA561A">
                    <w:t>-1.2</w:t>
                  </w:r>
                </w:p>
              </w:tc>
              <w:tc>
                <w:tcPr>
                  <w:tcW w:w="796" w:type="dxa"/>
                  <w:shd w:val="clear" w:color="auto" w:fill="auto"/>
                  <w:vAlign w:val="bottom"/>
                </w:tcPr>
                <w:p w:rsidR="00745FEA" w:rsidRPr="00CA561A" w:rsidRDefault="00745FEA" w:rsidP="00745FEA">
                  <w:pPr>
                    <w:pStyle w:val="TableBodyText"/>
                    <w:ind w:right="57"/>
                  </w:pPr>
                  <w:r w:rsidRPr="00CA561A">
                    <w:t>-2.2</w:t>
                  </w:r>
                </w:p>
              </w:tc>
              <w:tc>
                <w:tcPr>
                  <w:tcW w:w="792" w:type="dxa"/>
                  <w:shd w:val="clear" w:color="auto" w:fill="auto"/>
                  <w:vAlign w:val="bottom"/>
                </w:tcPr>
                <w:p w:rsidR="00745FEA" w:rsidRPr="00CA561A" w:rsidRDefault="00745FEA" w:rsidP="00745FEA">
                  <w:pPr>
                    <w:pStyle w:val="TableBodyText"/>
                    <w:ind w:right="57"/>
                  </w:pPr>
                  <w:r w:rsidRPr="00CA561A">
                    <w:t>11.4</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 xml:space="preserve">Small business </w:t>
                  </w:r>
                  <w:r>
                    <w:t xml:space="preserve">capital gains tax </w:t>
                  </w:r>
                  <w:r w:rsidRPr="006537BF">
                    <w:t>15-year asset exemption</w:t>
                  </w:r>
                </w:p>
              </w:tc>
              <w:tc>
                <w:tcPr>
                  <w:tcW w:w="794" w:type="dxa"/>
                  <w:vAlign w:val="bottom"/>
                </w:tcPr>
                <w:p w:rsidR="00745FEA" w:rsidRPr="00CA561A" w:rsidRDefault="00745FEA" w:rsidP="00745FEA">
                  <w:pPr>
                    <w:pStyle w:val="TableBodyText"/>
                    <w:ind w:right="57"/>
                  </w:pPr>
                  <w:r w:rsidRPr="00CA561A">
                    <w:t>2.2</w:t>
                  </w:r>
                </w:p>
              </w:tc>
              <w:tc>
                <w:tcPr>
                  <w:tcW w:w="794" w:type="dxa"/>
                  <w:vAlign w:val="bottom"/>
                </w:tcPr>
                <w:p w:rsidR="00745FEA" w:rsidRPr="00CA561A" w:rsidRDefault="00745FEA" w:rsidP="00745FEA">
                  <w:pPr>
                    <w:pStyle w:val="TableBodyText"/>
                    <w:ind w:right="57"/>
                  </w:pPr>
                  <w:r w:rsidRPr="00CA561A">
                    <w:t>2.2</w:t>
                  </w:r>
                </w:p>
              </w:tc>
              <w:tc>
                <w:tcPr>
                  <w:tcW w:w="794" w:type="dxa"/>
                  <w:vAlign w:val="bottom"/>
                </w:tcPr>
                <w:p w:rsidR="00745FEA" w:rsidRPr="00CA561A" w:rsidRDefault="00745FEA" w:rsidP="00745FEA">
                  <w:pPr>
                    <w:pStyle w:val="TableBodyText"/>
                    <w:ind w:right="57"/>
                  </w:pPr>
                  <w:r w:rsidRPr="00CA561A">
                    <w:t>2.6</w:t>
                  </w:r>
                </w:p>
              </w:tc>
              <w:tc>
                <w:tcPr>
                  <w:tcW w:w="796" w:type="dxa"/>
                  <w:vAlign w:val="bottom"/>
                </w:tcPr>
                <w:p w:rsidR="00745FEA" w:rsidRPr="00CA561A" w:rsidRDefault="00745FEA" w:rsidP="00745FEA">
                  <w:pPr>
                    <w:pStyle w:val="TableBodyText"/>
                    <w:ind w:right="57"/>
                  </w:pPr>
                  <w:r w:rsidRPr="00CA561A">
                    <w:t>5.0</w:t>
                  </w:r>
                </w:p>
              </w:tc>
              <w:tc>
                <w:tcPr>
                  <w:tcW w:w="796" w:type="dxa"/>
                  <w:shd w:val="clear" w:color="auto" w:fill="auto"/>
                  <w:vAlign w:val="bottom"/>
                </w:tcPr>
                <w:p w:rsidR="00745FEA" w:rsidRPr="00CA561A" w:rsidRDefault="00745FEA" w:rsidP="00745FEA">
                  <w:pPr>
                    <w:pStyle w:val="TableBodyText"/>
                    <w:ind w:right="57"/>
                  </w:pPr>
                  <w:r w:rsidRPr="00CA561A">
                    <w:t>5.3</w:t>
                  </w:r>
                </w:p>
              </w:tc>
              <w:tc>
                <w:tcPr>
                  <w:tcW w:w="792" w:type="dxa"/>
                  <w:shd w:val="clear" w:color="auto" w:fill="auto"/>
                  <w:vAlign w:val="bottom"/>
                </w:tcPr>
                <w:p w:rsidR="00745FEA" w:rsidRPr="00CA561A" w:rsidRDefault="00745FEA" w:rsidP="00745FEA">
                  <w:pPr>
                    <w:pStyle w:val="TableBodyText"/>
                    <w:ind w:right="57"/>
                  </w:pPr>
                  <w:r w:rsidRPr="00CA561A">
                    <w:t>6.8</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 xml:space="preserve">Small business </w:t>
                  </w:r>
                  <w:r>
                    <w:t>capital gains tax</w:t>
                  </w:r>
                  <w:r w:rsidRPr="006537BF">
                    <w:t xml:space="preserve"> retirement exemption</w:t>
                  </w:r>
                </w:p>
              </w:tc>
              <w:tc>
                <w:tcPr>
                  <w:tcW w:w="794" w:type="dxa"/>
                  <w:vAlign w:val="bottom"/>
                </w:tcPr>
                <w:p w:rsidR="00745FEA" w:rsidRPr="00CA561A" w:rsidRDefault="00745FEA" w:rsidP="00745FEA">
                  <w:pPr>
                    <w:pStyle w:val="TableBodyText"/>
                    <w:ind w:right="57"/>
                  </w:pPr>
                  <w:r w:rsidRPr="00CA561A">
                    <w:t>2.2</w:t>
                  </w:r>
                </w:p>
              </w:tc>
              <w:tc>
                <w:tcPr>
                  <w:tcW w:w="794" w:type="dxa"/>
                  <w:vAlign w:val="bottom"/>
                </w:tcPr>
                <w:p w:rsidR="00745FEA" w:rsidRPr="00CA561A" w:rsidRDefault="00745FEA" w:rsidP="00745FEA">
                  <w:pPr>
                    <w:pStyle w:val="TableBodyText"/>
                    <w:ind w:right="57"/>
                  </w:pPr>
                  <w:r w:rsidRPr="00CA561A">
                    <w:t>2.2</w:t>
                  </w:r>
                </w:p>
              </w:tc>
              <w:tc>
                <w:tcPr>
                  <w:tcW w:w="794" w:type="dxa"/>
                  <w:vAlign w:val="bottom"/>
                </w:tcPr>
                <w:p w:rsidR="00745FEA" w:rsidRPr="00CA561A" w:rsidRDefault="00745FEA" w:rsidP="00745FEA">
                  <w:pPr>
                    <w:pStyle w:val="TableBodyText"/>
                    <w:ind w:right="57"/>
                  </w:pPr>
                  <w:r w:rsidRPr="00CA561A">
                    <w:t>2.3</w:t>
                  </w:r>
                </w:p>
              </w:tc>
              <w:tc>
                <w:tcPr>
                  <w:tcW w:w="796" w:type="dxa"/>
                  <w:vAlign w:val="bottom"/>
                </w:tcPr>
                <w:p w:rsidR="00745FEA" w:rsidRPr="00CA561A" w:rsidRDefault="00745FEA" w:rsidP="00745FEA">
                  <w:pPr>
                    <w:pStyle w:val="TableBodyText"/>
                    <w:ind w:right="57"/>
                  </w:pPr>
                  <w:r w:rsidRPr="00CA561A">
                    <w:t>4.0</w:t>
                  </w:r>
                </w:p>
              </w:tc>
              <w:tc>
                <w:tcPr>
                  <w:tcW w:w="796" w:type="dxa"/>
                  <w:shd w:val="clear" w:color="auto" w:fill="auto"/>
                  <w:vAlign w:val="bottom"/>
                </w:tcPr>
                <w:p w:rsidR="00745FEA" w:rsidRPr="00CA561A" w:rsidRDefault="00745FEA" w:rsidP="00745FEA">
                  <w:pPr>
                    <w:pStyle w:val="TableBodyText"/>
                    <w:ind w:right="57"/>
                  </w:pPr>
                  <w:r w:rsidRPr="00CA561A">
                    <w:t>4.4</w:t>
                  </w:r>
                </w:p>
              </w:tc>
              <w:tc>
                <w:tcPr>
                  <w:tcW w:w="792" w:type="dxa"/>
                  <w:shd w:val="clear" w:color="auto" w:fill="auto"/>
                  <w:vAlign w:val="bottom"/>
                </w:tcPr>
                <w:p w:rsidR="00745FEA" w:rsidRPr="00CA561A" w:rsidRDefault="00745FEA" w:rsidP="00745FEA">
                  <w:pPr>
                    <w:pStyle w:val="TableBodyText"/>
                    <w:ind w:right="57"/>
                  </w:pPr>
                  <w:r w:rsidRPr="00CA561A">
                    <w:t>4.0</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 xml:space="preserve">Small business </w:t>
                  </w:r>
                  <w:r>
                    <w:t>capital gains tax</w:t>
                  </w:r>
                  <w:r w:rsidRPr="006537BF">
                    <w:t xml:space="preserve"> 50 per cent reduction</w:t>
                  </w:r>
                </w:p>
              </w:tc>
              <w:tc>
                <w:tcPr>
                  <w:tcW w:w="794" w:type="dxa"/>
                  <w:vAlign w:val="bottom"/>
                </w:tcPr>
                <w:p w:rsidR="00745FEA" w:rsidRPr="00CA561A" w:rsidRDefault="00745FEA" w:rsidP="00745FEA">
                  <w:pPr>
                    <w:pStyle w:val="TableBodyText"/>
                    <w:ind w:right="57"/>
                  </w:pPr>
                  <w:r w:rsidRPr="00CA561A">
                    <w:t>3.2</w:t>
                  </w:r>
                </w:p>
              </w:tc>
              <w:tc>
                <w:tcPr>
                  <w:tcW w:w="794" w:type="dxa"/>
                  <w:vAlign w:val="bottom"/>
                </w:tcPr>
                <w:p w:rsidR="00745FEA" w:rsidRPr="00CA561A" w:rsidRDefault="00745FEA" w:rsidP="00745FEA">
                  <w:pPr>
                    <w:pStyle w:val="TableBodyText"/>
                    <w:ind w:right="57"/>
                  </w:pPr>
                  <w:r w:rsidRPr="00CA561A">
                    <w:t>3.4</w:t>
                  </w:r>
                </w:p>
              </w:tc>
              <w:tc>
                <w:tcPr>
                  <w:tcW w:w="794" w:type="dxa"/>
                  <w:vAlign w:val="bottom"/>
                </w:tcPr>
                <w:p w:rsidR="00745FEA" w:rsidRPr="00CA561A" w:rsidRDefault="00745FEA" w:rsidP="00745FEA">
                  <w:pPr>
                    <w:pStyle w:val="TableBodyText"/>
                    <w:ind w:right="57"/>
                  </w:pPr>
                  <w:r w:rsidRPr="00CA561A">
                    <w:t>3.4</w:t>
                  </w:r>
                </w:p>
              </w:tc>
              <w:tc>
                <w:tcPr>
                  <w:tcW w:w="796" w:type="dxa"/>
                  <w:vAlign w:val="bottom"/>
                </w:tcPr>
                <w:p w:rsidR="00745FEA" w:rsidRPr="00CA561A" w:rsidRDefault="00745FEA" w:rsidP="00745FEA">
                  <w:pPr>
                    <w:pStyle w:val="TableBodyText"/>
                    <w:ind w:right="57"/>
                  </w:pPr>
                  <w:r w:rsidRPr="00CA561A">
                    <w:t>5.9</w:t>
                  </w:r>
                </w:p>
              </w:tc>
              <w:tc>
                <w:tcPr>
                  <w:tcW w:w="796" w:type="dxa"/>
                  <w:shd w:val="clear" w:color="auto" w:fill="auto"/>
                  <w:vAlign w:val="bottom"/>
                </w:tcPr>
                <w:p w:rsidR="00745FEA" w:rsidRPr="00CA561A" w:rsidRDefault="00745FEA" w:rsidP="00745FEA">
                  <w:pPr>
                    <w:pStyle w:val="TableBodyText"/>
                    <w:ind w:right="57"/>
                  </w:pPr>
                  <w:r w:rsidRPr="00CA561A">
                    <w:t>5.5</w:t>
                  </w:r>
                </w:p>
              </w:tc>
              <w:tc>
                <w:tcPr>
                  <w:tcW w:w="792" w:type="dxa"/>
                  <w:shd w:val="clear" w:color="auto" w:fill="auto"/>
                  <w:vAlign w:val="bottom"/>
                </w:tcPr>
                <w:p w:rsidR="00745FEA" w:rsidRPr="00CA561A" w:rsidRDefault="00745FEA" w:rsidP="00745FEA">
                  <w:pPr>
                    <w:pStyle w:val="TableBodyText"/>
                    <w:ind w:right="57"/>
                  </w:pPr>
                  <w:r w:rsidRPr="00CA561A">
                    <w:t>7.0</w:t>
                  </w:r>
                </w:p>
              </w:tc>
            </w:tr>
            <w:tr w:rsidR="00745FEA" w:rsidTr="00745FEA">
              <w:tc>
                <w:tcPr>
                  <w:tcW w:w="3798" w:type="dxa"/>
                  <w:shd w:val="clear" w:color="auto" w:fill="auto"/>
                </w:tcPr>
                <w:p w:rsidR="00745FEA" w:rsidRPr="006537BF" w:rsidRDefault="00745FEA" w:rsidP="00745FEA">
                  <w:pPr>
                    <w:pStyle w:val="TableBodyText"/>
                    <w:spacing w:after="0"/>
                    <w:ind w:left="227" w:right="0"/>
                    <w:jc w:val="left"/>
                  </w:pPr>
                  <w:r w:rsidRPr="006537BF">
                    <w:t>25 per cent entrepreneurs' tax offset</w:t>
                  </w:r>
                </w:p>
              </w:tc>
              <w:tc>
                <w:tcPr>
                  <w:tcW w:w="794" w:type="dxa"/>
                  <w:vAlign w:val="bottom"/>
                </w:tcPr>
                <w:p w:rsidR="00745FEA" w:rsidRPr="00CA561A" w:rsidRDefault="00745FEA" w:rsidP="00745FEA">
                  <w:pPr>
                    <w:pStyle w:val="TableBodyText"/>
                    <w:ind w:right="57"/>
                  </w:pPr>
                  <w:r w:rsidRPr="00CA561A">
                    <w:t>0.5</w:t>
                  </w:r>
                </w:p>
              </w:tc>
              <w:tc>
                <w:tcPr>
                  <w:tcW w:w="794" w:type="dxa"/>
                  <w:vAlign w:val="bottom"/>
                </w:tcPr>
                <w:p w:rsidR="00745FEA" w:rsidRPr="00CA561A" w:rsidRDefault="00745FEA" w:rsidP="00745FEA">
                  <w:pPr>
                    <w:pStyle w:val="TableBodyText"/>
                    <w:ind w:right="57"/>
                  </w:pPr>
                  <w:r w:rsidRPr="00CA561A">
                    <w:t>0.5</w:t>
                  </w:r>
                </w:p>
              </w:tc>
              <w:tc>
                <w:tcPr>
                  <w:tcW w:w="794" w:type="dxa"/>
                  <w:vAlign w:val="bottom"/>
                </w:tcPr>
                <w:p w:rsidR="00745FEA" w:rsidRPr="00CA561A" w:rsidRDefault="00745FEA" w:rsidP="00745FEA">
                  <w:pPr>
                    <w:pStyle w:val="TableBodyText"/>
                    <w:ind w:right="57"/>
                  </w:pPr>
                  <w:r w:rsidRPr="00CA561A">
                    <w:t>–</w:t>
                  </w:r>
                </w:p>
              </w:tc>
              <w:tc>
                <w:tcPr>
                  <w:tcW w:w="796" w:type="dxa"/>
                  <w:vAlign w:val="bottom"/>
                </w:tcPr>
                <w:p w:rsidR="00745FEA" w:rsidRPr="00CA561A" w:rsidRDefault="00745FEA" w:rsidP="00745FEA">
                  <w:pPr>
                    <w:pStyle w:val="TableBodyText"/>
                    <w:ind w:right="57"/>
                  </w:pPr>
                  <w:r w:rsidRPr="00CA561A">
                    <w:t>–</w:t>
                  </w:r>
                </w:p>
              </w:tc>
              <w:tc>
                <w:tcPr>
                  <w:tcW w:w="796" w:type="dxa"/>
                  <w:shd w:val="clear" w:color="auto" w:fill="auto"/>
                  <w:vAlign w:val="bottom"/>
                </w:tcPr>
                <w:p w:rsidR="00745FEA" w:rsidRPr="00CA561A" w:rsidRDefault="00745FEA" w:rsidP="00745FEA">
                  <w:pPr>
                    <w:pStyle w:val="TableBodyText"/>
                    <w:ind w:right="57"/>
                  </w:pPr>
                  <w:r w:rsidRPr="00CA561A">
                    <w:t>–</w:t>
                  </w:r>
                </w:p>
              </w:tc>
              <w:tc>
                <w:tcPr>
                  <w:tcW w:w="792" w:type="dxa"/>
                  <w:shd w:val="clear" w:color="auto" w:fill="auto"/>
                  <w:vAlign w:val="bottom"/>
                </w:tcPr>
                <w:p w:rsidR="00745FEA" w:rsidRDefault="00745FEA" w:rsidP="00745FEA">
                  <w:pPr>
                    <w:pStyle w:val="TableBodyText"/>
                    <w:ind w:right="57"/>
                  </w:pPr>
                  <w:r w:rsidRPr="00CA561A">
                    <w:t>–</w:t>
                  </w:r>
                </w:p>
              </w:tc>
            </w:tr>
            <w:tr w:rsidR="00745FEA" w:rsidTr="00745FEA">
              <w:tc>
                <w:tcPr>
                  <w:tcW w:w="3798" w:type="dxa"/>
                  <w:shd w:val="clear" w:color="auto" w:fill="auto"/>
                </w:tcPr>
                <w:p w:rsidR="00745FEA" w:rsidRPr="007D3A41" w:rsidRDefault="00745FEA" w:rsidP="00745FEA">
                  <w:pPr>
                    <w:pStyle w:val="TableBodyText"/>
                    <w:spacing w:before="20" w:after="20"/>
                    <w:jc w:val="left"/>
                    <w:rPr>
                      <w:i/>
                    </w:rPr>
                  </w:pPr>
                  <w:r w:rsidRPr="007D3A41">
                    <w:rPr>
                      <w:i/>
                    </w:rPr>
                    <w:t>Total</w:t>
                  </w:r>
                </w:p>
              </w:tc>
              <w:tc>
                <w:tcPr>
                  <w:tcW w:w="794" w:type="dxa"/>
                  <w:vAlign w:val="bottom"/>
                </w:tcPr>
                <w:p w:rsidR="00745FEA" w:rsidRPr="00021F43" w:rsidRDefault="00745FEA" w:rsidP="00745FEA">
                  <w:pPr>
                    <w:pStyle w:val="TableBodyText"/>
                    <w:spacing w:before="20" w:after="20"/>
                    <w:ind w:right="57"/>
                    <w:rPr>
                      <w:i/>
                    </w:rPr>
                  </w:pPr>
                  <w:r>
                    <w:rPr>
                      <w:i/>
                    </w:rPr>
                    <w:t>136.3</w:t>
                  </w:r>
                </w:p>
              </w:tc>
              <w:tc>
                <w:tcPr>
                  <w:tcW w:w="794" w:type="dxa"/>
                  <w:vAlign w:val="bottom"/>
                </w:tcPr>
                <w:p w:rsidR="00745FEA" w:rsidRPr="00021F43" w:rsidRDefault="00745FEA" w:rsidP="00745FEA">
                  <w:pPr>
                    <w:pStyle w:val="TableBodyText"/>
                    <w:spacing w:before="20" w:after="20"/>
                    <w:ind w:right="57"/>
                    <w:rPr>
                      <w:i/>
                    </w:rPr>
                  </w:pPr>
                  <w:r>
                    <w:rPr>
                      <w:i/>
                    </w:rPr>
                    <w:t>130.3</w:t>
                  </w:r>
                </w:p>
              </w:tc>
              <w:tc>
                <w:tcPr>
                  <w:tcW w:w="794" w:type="dxa"/>
                </w:tcPr>
                <w:p w:rsidR="00745FEA" w:rsidRPr="00150E2C" w:rsidRDefault="00745FEA" w:rsidP="00745FEA">
                  <w:pPr>
                    <w:pStyle w:val="TableBodyText"/>
                    <w:spacing w:before="20" w:after="20"/>
                    <w:ind w:right="57"/>
                    <w:rPr>
                      <w:i/>
                    </w:rPr>
                  </w:pPr>
                  <w:r>
                    <w:rPr>
                      <w:i/>
                    </w:rPr>
                    <w:t>131.5</w:t>
                  </w:r>
                </w:p>
              </w:tc>
              <w:tc>
                <w:tcPr>
                  <w:tcW w:w="796" w:type="dxa"/>
                </w:tcPr>
                <w:p w:rsidR="00745FEA" w:rsidRPr="00150E2C" w:rsidRDefault="00745FEA" w:rsidP="00745FEA">
                  <w:pPr>
                    <w:pStyle w:val="TableBodyText"/>
                    <w:spacing w:before="20" w:after="20"/>
                    <w:ind w:right="57"/>
                    <w:rPr>
                      <w:i/>
                    </w:rPr>
                  </w:pPr>
                  <w:r>
                    <w:rPr>
                      <w:i/>
                    </w:rPr>
                    <w:t>126.0</w:t>
                  </w:r>
                </w:p>
              </w:tc>
              <w:tc>
                <w:tcPr>
                  <w:tcW w:w="796" w:type="dxa"/>
                  <w:shd w:val="clear" w:color="auto" w:fill="auto"/>
                </w:tcPr>
                <w:p w:rsidR="00745FEA" w:rsidRPr="00150E2C" w:rsidRDefault="00745FEA" w:rsidP="00745FEA">
                  <w:pPr>
                    <w:pStyle w:val="TableBodyText"/>
                    <w:spacing w:before="20" w:after="20"/>
                    <w:ind w:right="57"/>
                    <w:rPr>
                      <w:i/>
                    </w:rPr>
                  </w:pPr>
                  <w:r>
                    <w:rPr>
                      <w:i/>
                    </w:rPr>
                    <w:t>146.1</w:t>
                  </w:r>
                </w:p>
              </w:tc>
              <w:tc>
                <w:tcPr>
                  <w:tcW w:w="792" w:type="dxa"/>
                  <w:shd w:val="clear" w:color="auto" w:fill="auto"/>
                </w:tcPr>
                <w:p w:rsidR="00745FEA" w:rsidRPr="00150E2C" w:rsidRDefault="00745FEA" w:rsidP="00745FEA">
                  <w:pPr>
                    <w:pStyle w:val="TableBodyText"/>
                    <w:spacing w:before="20" w:after="20"/>
                    <w:ind w:right="57"/>
                    <w:rPr>
                      <w:i/>
                    </w:rPr>
                  </w:pPr>
                  <w:r>
                    <w:rPr>
                      <w:i/>
                    </w:rPr>
                    <w:t>175.1</w:t>
                  </w:r>
                </w:p>
              </w:tc>
            </w:tr>
            <w:tr w:rsidR="00745FEA" w:rsidTr="00745FEA">
              <w:tc>
                <w:tcPr>
                  <w:tcW w:w="3798" w:type="dxa"/>
                  <w:shd w:val="clear" w:color="auto" w:fill="auto"/>
                </w:tcPr>
                <w:p w:rsidR="00745FEA" w:rsidRPr="00C56209" w:rsidRDefault="00745FEA" w:rsidP="00745FEA">
                  <w:pPr>
                    <w:pStyle w:val="TableBodyText"/>
                    <w:spacing w:before="40"/>
                    <w:ind w:hanging="28"/>
                    <w:jc w:val="left"/>
                    <w:rPr>
                      <w:b/>
                    </w:rPr>
                  </w:pPr>
                  <w:r w:rsidRPr="00C56209">
                    <w:rPr>
                      <w:b/>
                    </w:rPr>
                    <w:t>Sheep, beef cattle and grain farming</w:t>
                  </w:r>
                </w:p>
              </w:tc>
              <w:tc>
                <w:tcPr>
                  <w:tcW w:w="794" w:type="dxa"/>
                  <w:vAlign w:val="bottom"/>
                </w:tcPr>
                <w:p w:rsidR="00745FEA" w:rsidRDefault="00745FEA" w:rsidP="00745FEA">
                  <w:pPr>
                    <w:pStyle w:val="TableBodyText"/>
                    <w:spacing w:before="40"/>
                    <w:ind w:right="57"/>
                  </w:pPr>
                </w:p>
              </w:tc>
              <w:tc>
                <w:tcPr>
                  <w:tcW w:w="794" w:type="dxa"/>
                  <w:vAlign w:val="bottom"/>
                </w:tcPr>
                <w:p w:rsidR="00745FEA" w:rsidRDefault="00745FEA" w:rsidP="00745FEA">
                  <w:pPr>
                    <w:pStyle w:val="TableBodyText"/>
                    <w:spacing w:before="40"/>
                    <w:ind w:right="57"/>
                  </w:pPr>
                </w:p>
              </w:tc>
              <w:tc>
                <w:tcPr>
                  <w:tcW w:w="794" w:type="dxa"/>
                  <w:vAlign w:val="bottom"/>
                </w:tcPr>
                <w:p w:rsidR="00745FEA" w:rsidRDefault="00745FEA" w:rsidP="00745FEA">
                  <w:pPr>
                    <w:pStyle w:val="TableBodyText"/>
                    <w:spacing w:before="40"/>
                    <w:ind w:right="57"/>
                  </w:pPr>
                </w:p>
              </w:tc>
              <w:tc>
                <w:tcPr>
                  <w:tcW w:w="796" w:type="dxa"/>
                  <w:vAlign w:val="bottom"/>
                </w:tcPr>
                <w:p w:rsidR="00745FEA" w:rsidRDefault="00745FEA" w:rsidP="00745FEA">
                  <w:pPr>
                    <w:pStyle w:val="TableBodyText"/>
                    <w:spacing w:before="40"/>
                    <w:ind w:right="57"/>
                  </w:pPr>
                </w:p>
              </w:tc>
              <w:tc>
                <w:tcPr>
                  <w:tcW w:w="796" w:type="dxa"/>
                  <w:shd w:val="clear" w:color="auto" w:fill="auto"/>
                  <w:vAlign w:val="bottom"/>
                </w:tcPr>
                <w:p w:rsidR="00745FEA" w:rsidRDefault="00745FEA" w:rsidP="00745FEA">
                  <w:pPr>
                    <w:pStyle w:val="TableBodyText"/>
                    <w:spacing w:before="40"/>
                    <w:ind w:right="57"/>
                  </w:pPr>
                </w:p>
              </w:tc>
              <w:tc>
                <w:tcPr>
                  <w:tcW w:w="792" w:type="dxa"/>
                  <w:shd w:val="clear" w:color="auto" w:fill="auto"/>
                  <w:vAlign w:val="bottom"/>
                </w:tcPr>
                <w:p w:rsidR="00745FEA" w:rsidRDefault="00745FEA" w:rsidP="00745FEA">
                  <w:pPr>
                    <w:pStyle w:val="TableBodyText"/>
                    <w:spacing w:before="40"/>
                    <w:ind w:right="57"/>
                  </w:pPr>
                </w:p>
              </w:tc>
            </w:tr>
            <w:tr w:rsidR="00745FEA" w:rsidTr="00745FEA">
              <w:tc>
                <w:tcPr>
                  <w:tcW w:w="3798" w:type="dxa"/>
                  <w:shd w:val="clear" w:color="auto" w:fill="auto"/>
                </w:tcPr>
                <w:p w:rsidR="00745FEA" w:rsidRPr="00C56209" w:rsidRDefault="00745FEA" w:rsidP="00745FEA">
                  <w:pPr>
                    <w:pStyle w:val="TableBodyText"/>
                    <w:spacing w:before="40" w:after="0"/>
                    <w:ind w:left="113"/>
                    <w:jc w:val="left"/>
                    <w:rPr>
                      <w:i/>
                    </w:rPr>
                  </w:pPr>
                  <w:r w:rsidRPr="00C56209">
                    <w:rPr>
                      <w:i/>
                    </w:rPr>
                    <w:t>Industry-specific measures</w:t>
                  </w:r>
                </w:p>
              </w:tc>
              <w:tc>
                <w:tcPr>
                  <w:tcW w:w="794" w:type="dxa"/>
                  <w:vAlign w:val="bottom"/>
                </w:tcPr>
                <w:p w:rsidR="00745FEA" w:rsidRDefault="00745FEA" w:rsidP="00745FEA">
                  <w:pPr>
                    <w:pStyle w:val="TableBodyText"/>
                    <w:spacing w:before="40" w:after="0"/>
                    <w:ind w:left="113" w:right="57"/>
                  </w:pPr>
                </w:p>
              </w:tc>
              <w:tc>
                <w:tcPr>
                  <w:tcW w:w="794" w:type="dxa"/>
                  <w:vAlign w:val="bottom"/>
                </w:tcPr>
                <w:p w:rsidR="00745FEA" w:rsidRDefault="00745FEA" w:rsidP="00745FEA">
                  <w:pPr>
                    <w:pStyle w:val="TableBodyText"/>
                    <w:spacing w:before="40" w:after="0"/>
                    <w:ind w:left="113" w:right="57"/>
                  </w:pPr>
                </w:p>
              </w:tc>
              <w:tc>
                <w:tcPr>
                  <w:tcW w:w="794" w:type="dxa"/>
                  <w:vAlign w:val="bottom"/>
                </w:tcPr>
                <w:p w:rsidR="00745FEA" w:rsidRDefault="00745FEA" w:rsidP="00745FEA">
                  <w:pPr>
                    <w:pStyle w:val="TableBodyText"/>
                    <w:spacing w:before="40" w:after="0"/>
                    <w:ind w:left="113" w:right="57"/>
                  </w:pPr>
                </w:p>
              </w:tc>
              <w:tc>
                <w:tcPr>
                  <w:tcW w:w="796" w:type="dxa"/>
                  <w:vAlign w:val="bottom"/>
                </w:tcPr>
                <w:p w:rsidR="00745FEA" w:rsidRDefault="00745FEA" w:rsidP="00745FEA">
                  <w:pPr>
                    <w:pStyle w:val="TableBodyText"/>
                    <w:spacing w:before="40" w:after="0"/>
                    <w:ind w:left="113" w:right="57"/>
                  </w:pPr>
                </w:p>
              </w:tc>
              <w:tc>
                <w:tcPr>
                  <w:tcW w:w="796" w:type="dxa"/>
                  <w:shd w:val="clear" w:color="auto" w:fill="auto"/>
                  <w:vAlign w:val="bottom"/>
                </w:tcPr>
                <w:p w:rsidR="00745FEA" w:rsidRDefault="00745FEA" w:rsidP="00745FEA">
                  <w:pPr>
                    <w:pStyle w:val="TableBodyText"/>
                    <w:spacing w:before="40" w:after="0"/>
                    <w:ind w:left="113" w:right="57"/>
                  </w:pPr>
                </w:p>
              </w:tc>
              <w:tc>
                <w:tcPr>
                  <w:tcW w:w="792" w:type="dxa"/>
                  <w:shd w:val="clear" w:color="auto" w:fill="auto"/>
                  <w:vAlign w:val="bottom"/>
                </w:tcPr>
                <w:p w:rsidR="00745FEA" w:rsidRDefault="00745FEA" w:rsidP="00745FEA">
                  <w:pPr>
                    <w:pStyle w:val="TableBodyText"/>
                    <w:spacing w:before="40" w:after="0"/>
                    <w:ind w:left="113" w:right="57"/>
                  </w:pPr>
                </w:p>
              </w:tc>
            </w:tr>
            <w:tr w:rsidR="00745FEA" w:rsidTr="00745FEA">
              <w:tc>
                <w:tcPr>
                  <w:tcW w:w="3798" w:type="dxa"/>
                  <w:shd w:val="clear" w:color="auto" w:fill="auto"/>
                </w:tcPr>
                <w:p w:rsidR="00745FEA" w:rsidRPr="00612BEE" w:rsidRDefault="00745FEA" w:rsidP="00745FEA">
                  <w:pPr>
                    <w:pStyle w:val="TableBodyText"/>
                    <w:spacing w:after="0"/>
                    <w:ind w:left="227" w:right="0"/>
                    <w:jc w:val="left"/>
                  </w:pPr>
                  <w:r w:rsidRPr="00612BEE">
                    <w:t>Beef Australia 2015</w:t>
                  </w:r>
                </w:p>
              </w:tc>
              <w:tc>
                <w:tcPr>
                  <w:tcW w:w="794" w:type="dxa"/>
                  <w:vAlign w:val="bottom"/>
                </w:tcPr>
                <w:p w:rsidR="00745FEA" w:rsidRPr="0077494A" w:rsidRDefault="00745FEA" w:rsidP="00745FEA">
                  <w:pPr>
                    <w:pStyle w:val="TableBodyText"/>
                    <w:ind w:right="57"/>
                  </w:pPr>
                  <w:r w:rsidRPr="0077494A">
                    <w:t>–</w:t>
                  </w:r>
                </w:p>
              </w:tc>
              <w:tc>
                <w:tcPr>
                  <w:tcW w:w="794" w:type="dxa"/>
                  <w:vAlign w:val="bottom"/>
                </w:tcPr>
                <w:p w:rsidR="00745FEA" w:rsidRPr="0077494A" w:rsidRDefault="00745FEA" w:rsidP="00745FEA">
                  <w:pPr>
                    <w:pStyle w:val="TableBodyText"/>
                    <w:ind w:right="57"/>
                  </w:pPr>
                  <w:r w:rsidRPr="0077494A">
                    <w:t>–</w:t>
                  </w:r>
                </w:p>
              </w:tc>
              <w:tc>
                <w:tcPr>
                  <w:tcW w:w="794" w:type="dxa"/>
                  <w:vAlign w:val="bottom"/>
                </w:tcPr>
                <w:p w:rsidR="00745FEA" w:rsidRPr="0077494A" w:rsidRDefault="00745FEA" w:rsidP="00745FEA">
                  <w:pPr>
                    <w:pStyle w:val="TableBodyText"/>
                    <w:ind w:right="57"/>
                  </w:pPr>
                  <w:r w:rsidRPr="0077494A">
                    <w:t>2.5</w:t>
                  </w:r>
                </w:p>
              </w:tc>
              <w:tc>
                <w:tcPr>
                  <w:tcW w:w="796" w:type="dxa"/>
                  <w:vAlign w:val="bottom"/>
                </w:tcPr>
                <w:p w:rsidR="00745FEA" w:rsidRPr="0077494A" w:rsidRDefault="00745FEA" w:rsidP="00745FEA">
                  <w:pPr>
                    <w:pStyle w:val="TableBodyText"/>
                    <w:ind w:right="57"/>
                  </w:pPr>
                  <w:r w:rsidRPr="0077494A">
                    <w:t>–</w:t>
                  </w:r>
                </w:p>
              </w:tc>
              <w:tc>
                <w:tcPr>
                  <w:tcW w:w="796" w:type="dxa"/>
                  <w:shd w:val="clear" w:color="auto" w:fill="auto"/>
                  <w:vAlign w:val="bottom"/>
                </w:tcPr>
                <w:p w:rsidR="00745FEA" w:rsidRPr="0077494A" w:rsidRDefault="00745FEA" w:rsidP="00745FEA">
                  <w:pPr>
                    <w:pStyle w:val="TableBodyText"/>
                    <w:ind w:right="57"/>
                  </w:pPr>
                  <w:r w:rsidRPr="0077494A">
                    <w:t>–</w:t>
                  </w:r>
                </w:p>
              </w:tc>
              <w:tc>
                <w:tcPr>
                  <w:tcW w:w="792" w:type="dxa"/>
                  <w:shd w:val="clear" w:color="auto" w:fill="auto"/>
                  <w:vAlign w:val="bottom"/>
                </w:tcPr>
                <w:p w:rsidR="00745FEA" w:rsidRPr="0077494A" w:rsidRDefault="00745FEA" w:rsidP="00745FEA">
                  <w:pPr>
                    <w:pStyle w:val="TableBodyText"/>
                    <w:ind w:right="57"/>
                  </w:pPr>
                  <w:r w:rsidRPr="0077494A">
                    <w:t>–</w:t>
                  </w:r>
                </w:p>
              </w:tc>
            </w:tr>
            <w:tr w:rsidR="00745FEA" w:rsidTr="00745FEA">
              <w:tc>
                <w:tcPr>
                  <w:tcW w:w="3798" w:type="dxa"/>
                  <w:shd w:val="clear" w:color="auto" w:fill="auto"/>
                </w:tcPr>
                <w:p w:rsidR="00745FEA" w:rsidRPr="00612BEE" w:rsidRDefault="00745FEA" w:rsidP="00745FEA">
                  <w:pPr>
                    <w:pStyle w:val="TableBodyText"/>
                    <w:spacing w:after="0"/>
                    <w:ind w:left="227" w:right="0"/>
                    <w:jc w:val="left"/>
                  </w:pPr>
                  <w:r w:rsidRPr="00612BEE">
                    <w:t>Northern Australia Beef Industry Strategy Indigenous Pastoral Project</w:t>
                  </w:r>
                </w:p>
              </w:tc>
              <w:tc>
                <w:tcPr>
                  <w:tcW w:w="794" w:type="dxa"/>
                  <w:vAlign w:val="bottom"/>
                </w:tcPr>
                <w:p w:rsidR="00745FEA" w:rsidRPr="0077494A" w:rsidRDefault="00745FEA" w:rsidP="00745FEA">
                  <w:pPr>
                    <w:pStyle w:val="TableBodyText"/>
                    <w:ind w:right="57"/>
                  </w:pPr>
                  <w:r w:rsidRPr="0077494A">
                    <w:t>0.5</w:t>
                  </w:r>
                </w:p>
              </w:tc>
              <w:tc>
                <w:tcPr>
                  <w:tcW w:w="794" w:type="dxa"/>
                  <w:vAlign w:val="bottom"/>
                </w:tcPr>
                <w:p w:rsidR="00745FEA" w:rsidRPr="0077494A" w:rsidRDefault="00745FEA" w:rsidP="00745FEA">
                  <w:pPr>
                    <w:pStyle w:val="TableBodyText"/>
                    <w:ind w:right="57"/>
                  </w:pPr>
                  <w:r w:rsidRPr="0077494A">
                    <w:t>–</w:t>
                  </w:r>
                </w:p>
              </w:tc>
              <w:tc>
                <w:tcPr>
                  <w:tcW w:w="794" w:type="dxa"/>
                  <w:vAlign w:val="bottom"/>
                </w:tcPr>
                <w:p w:rsidR="00745FEA" w:rsidRPr="0077494A" w:rsidRDefault="00745FEA" w:rsidP="00745FEA">
                  <w:pPr>
                    <w:pStyle w:val="TableBodyText"/>
                    <w:ind w:right="57"/>
                  </w:pPr>
                  <w:r w:rsidRPr="0077494A">
                    <w:t>–</w:t>
                  </w:r>
                </w:p>
              </w:tc>
              <w:tc>
                <w:tcPr>
                  <w:tcW w:w="796" w:type="dxa"/>
                  <w:vAlign w:val="bottom"/>
                </w:tcPr>
                <w:p w:rsidR="00745FEA" w:rsidRPr="0077494A" w:rsidRDefault="00745FEA" w:rsidP="00745FEA">
                  <w:pPr>
                    <w:pStyle w:val="TableBodyText"/>
                    <w:ind w:right="57"/>
                  </w:pPr>
                  <w:r w:rsidRPr="0077494A">
                    <w:t>–</w:t>
                  </w:r>
                </w:p>
              </w:tc>
              <w:tc>
                <w:tcPr>
                  <w:tcW w:w="796" w:type="dxa"/>
                  <w:shd w:val="clear" w:color="auto" w:fill="auto"/>
                  <w:vAlign w:val="bottom"/>
                </w:tcPr>
                <w:p w:rsidR="00745FEA" w:rsidRPr="0077494A" w:rsidRDefault="00745FEA" w:rsidP="00745FEA">
                  <w:pPr>
                    <w:pStyle w:val="TableBodyText"/>
                    <w:ind w:right="57"/>
                  </w:pPr>
                  <w:r w:rsidRPr="0077494A">
                    <w:t>–</w:t>
                  </w:r>
                </w:p>
              </w:tc>
              <w:tc>
                <w:tcPr>
                  <w:tcW w:w="792" w:type="dxa"/>
                  <w:shd w:val="clear" w:color="auto" w:fill="auto"/>
                  <w:vAlign w:val="bottom"/>
                </w:tcPr>
                <w:p w:rsidR="00745FEA" w:rsidRDefault="00745FEA" w:rsidP="00745FEA">
                  <w:pPr>
                    <w:pStyle w:val="TableBodyText"/>
                    <w:ind w:right="57"/>
                  </w:pPr>
                  <w:r w:rsidRPr="0077494A">
                    <w:t>–</w:t>
                  </w:r>
                </w:p>
              </w:tc>
            </w:tr>
            <w:tr w:rsidR="00745FEA" w:rsidTr="00745FEA">
              <w:tc>
                <w:tcPr>
                  <w:tcW w:w="3798" w:type="dxa"/>
                  <w:shd w:val="clear" w:color="auto" w:fill="auto"/>
                </w:tcPr>
                <w:p w:rsidR="00745FEA" w:rsidRPr="00C56209" w:rsidRDefault="00745FEA" w:rsidP="00745FEA">
                  <w:pPr>
                    <w:pStyle w:val="TableBodyText"/>
                    <w:spacing w:before="40" w:after="0"/>
                    <w:ind w:left="113"/>
                    <w:jc w:val="left"/>
                    <w:rPr>
                      <w:i/>
                    </w:rPr>
                  </w:pPr>
                  <w:r w:rsidRPr="00C56209">
                    <w:rPr>
                      <w:i/>
                    </w:rPr>
                    <w:t>Sector-specific measures</w:t>
                  </w:r>
                </w:p>
              </w:tc>
              <w:tc>
                <w:tcPr>
                  <w:tcW w:w="794" w:type="dxa"/>
                  <w:vAlign w:val="bottom"/>
                </w:tcPr>
                <w:p w:rsidR="00745FEA" w:rsidRDefault="00745FEA" w:rsidP="00745FEA">
                  <w:pPr>
                    <w:pStyle w:val="TableBodyText"/>
                    <w:ind w:right="57"/>
                    <w:rPr>
                      <w:rFonts w:cs="Arial"/>
                      <w:szCs w:val="18"/>
                    </w:rPr>
                  </w:pPr>
                </w:p>
              </w:tc>
              <w:tc>
                <w:tcPr>
                  <w:tcW w:w="794" w:type="dxa"/>
                  <w:vAlign w:val="bottom"/>
                </w:tcPr>
                <w:p w:rsidR="00745FEA" w:rsidRDefault="00745FEA" w:rsidP="00745FEA">
                  <w:pPr>
                    <w:pStyle w:val="TableBodyText"/>
                    <w:ind w:right="57"/>
                    <w:rPr>
                      <w:rFonts w:cs="Arial"/>
                      <w:szCs w:val="18"/>
                    </w:rPr>
                  </w:pPr>
                </w:p>
              </w:tc>
              <w:tc>
                <w:tcPr>
                  <w:tcW w:w="794" w:type="dxa"/>
                  <w:vAlign w:val="bottom"/>
                </w:tcPr>
                <w:p w:rsidR="00745FEA" w:rsidRDefault="00745FEA" w:rsidP="00745FEA">
                  <w:pPr>
                    <w:pStyle w:val="TableBodyText"/>
                    <w:ind w:right="57"/>
                    <w:rPr>
                      <w:rFonts w:cs="Arial"/>
                      <w:szCs w:val="18"/>
                    </w:rPr>
                  </w:pPr>
                </w:p>
              </w:tc>
              <w:tc>
                <w:tcPr>
                  <w:tcW w:w="796" w:type="dxa"/>
                  <w:vAlign w:val="bottom"/>
                </w:tcPr>
                <w:p w:rsidR="00745FEA" w:rsidRDefault="00745FEA" w:rsidP="00745FEA">
                  <w:pPr>
                    <w:pStyle w:val="TableBodyText"/>
                    <w:ind w:right="57"/>
                    <w:rPr>
                      <w:rFonts w:cs="Arial"/>
                      <w:szCs w:val="18"/>
                    </w:rPr>
                  </w:pPr>
                </w:p>
              </w:tc>
              <w:tc>
                <w:tcPr>
                  <w:tcW w:w="796" w:type="dxa"/>
                  <w:shd w:val="clear" w:color="auto" w:fill="auto"/>
                  <w:vAlign w:val="bottom"/>
                </w:tcPr>
                <w:p w:rsidR="00745FEA" w:rsidRDefault="00745FEA" w:rsidP="00745FEA">
                  <w:pPr>
                    <w:pStyle w:val="TableBodyText"/>
                    <w:ind w:right="57"/>
                    <w:rPr>
                      <w:rFonts w:cs="Arial"/>
                      <w:szCs w:val="18"/>
                    </w:rPr>
                  </w:pPr>
                </w:p>
              </w:tc>
              <w:tc>
                <w:tcPr>
                  <w:tcW w:w="792" w:type="dxa"/>
                  <w:shd w:val="clear" w:color="auto" w:fill="auto"/>
                  <w:vAlign w:val="bottom"/>
                </w:tcPr>
                <w:p w:rsidR="00745FEA" w:rsidRDefault="00745FEA" w:rsidP="00745FEA">
                  <w:pPr>
                    <w:pStyle w:val="TableBodyText"/>
                    <w:ind w:right="57"/>
                    <w:rPr>
                      <w:rFonts w:cs="Arial"/>
                      <w:szCs w:val="18"/>
                    </w:rPr>
                  </w:pP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Carbon Farming Futures</w:t>
                  </w:r>
                </w:p>
              </w:tc>
              <w:tc>
                <w:tcPr>
                  <w:tcW w:w="794" w:type="dxa"/>
                  <w:vAlign w:val="bottom"/>
                </w:tcPr>
                <w:p w:rsidR="00745FEA" w:rsidRPr="006F1001" w:rsidRDefault="00745FEA" w:rsidP="00745FEA">
                  <w:pPr>
                    <w:pStyle w:val="TableBodyText"/>
                    <w:ind w:right="57"/>
                  </w:pPr>
                  <w:r w:rsidRPr="006F1001">
                    <w:t>13.4</w:t>
                  </w:r>
                </w:p>
              </w:tc>
              <w:tc>
                <w:tcPr>
                  <w:tcW w:w="794" w:type="dxa"/>
                  <w:vAlign w:val="bottom"/>
                </w:tcPr>
                <w:p w:rsidR="00745FEA" w:rsidRPr="006F1001" w:rsidRDefault="00745FEA" w:rsidP="00745FEA">
                  <w:pPr>
                    <w:pStyle w:val="TableBodyText"/>
                    <w:ind w:right="57"/>
                  </w:pPr>
                  <w:r w:rsidRPr="006F1001">
                    <w:t>10.3</w:t>
                  </w:r>
                </w:p>
              </w:tc>
              <w:tc>
                <w:tcPr>
                  <w:tcW w:w="794" w:type="dxa"/>
                  <w:vAlign w:val="bottom"/>
                </w:tcPr>
                <w:p w:rsidR="00745FEA" w:rsidRPr="006F1001" w:rsidRDefault="00745FEA" w:rsidP="00745FEA">
                  <w:pPr>
                    <w:pStyle w:val="TableBodyText"/>
                    <w:ind w:right="57"/>
                  </w:pPr>
                  <w:r w:rsidRPr="006F1001">
                    <w:t>40.5</w:t>
                  </w:r>
                </w:p>
              </w:tc>
              <w:tc>
                <w:tcPr>
                  <w:tcW w:w="796" w:type="dxa"/>
                  <w:vAlign w:val="bottom"/>
                </w:tcPr>
                <w:p w:rsidR="00745FEA" w:rsidRPr="006F1001" w:rsidRDefault="00745FEA" w:rsidP="00745FEA">
                  <w:pPr>
                    <w:pStyle w:val="TableBodyText"/>
                    <w:ind w:right="57"/>
                  </w:pPr>
                  <w:r w:rsidRPr="006F1001">
                    <w:t>30.2</w:t>
                  </w:r>
                </w:p>
              </w:tc>
              <w:tc>
                <w:tcPr>
                  <w:tcW w:w="796" w:type="dxa"/>
                  <w:shd w:val="clear" w:color="auto" w:fill="auto"/>
                  <w:vAlign w:val="bottom"/>
                </w:tcPr>
                <w:p w:rsidR="00745FEA" w:rsidRPr="006F1001" w:rsidRDefault="00745FEA" w:rsidP="00745FEA">
                  <w:pPr>
                    <w:pStyle w:val="TableBodyText"/>
                    <w:ind w:right="57"/>
                  </w:pPr>
                  <w:r w:rsidRPr="006F1001">
                    <w:t>4.4</w:t>
                  </w:r>
                </w:p>
              </w:tc>
              <w:tc>
                <w:tcPr>
                  <w:tcW w:w="792" w:type="dxa"/>
                  <w:shd w:val="clear" w:color="auto" w:fill="auto"/>
                  <w:vAlign w:val="bottom"/>
                </w:tcPr>
                <w:p w:rsidR="00745FEA" w:rsidRPr="006F1001" w:rsidRDefault="00745FEA" w:rsidP="00745FEA">
                  <w:pPr>
                    <w:pStyle w:val="TableBodyText"/>
                    <w:ind w:right="57"/>
                  </w:pPr>
                  <w:r w:rsidRPr="006F1001">
                    <w:t>3.6</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Carbon Farming Initiative</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0.2</w:t>
                  </w:r>
                </w:p>
              </w:tc>
              <w:tc>
                <w:tcPr>
                  <w:tcW w:w="796" w:type="dxa"/>
                  <w:vAlign w:val="bottom"/>
                </w:tcPr>
                <w:p w:rsidR="00745FEA" w:rsidRPr="006F1001" w:rsidRDefault="00745FEA" w:rsidP="00745FEA">
                  <w:pPr>
                    <w:pStyle w:val="TableBodyText"/>
                    <w:ind w:right="57"/>
                  </w:pPr>
                  <w:r w:rsidRPr="006F1001">
                    <w:t>–</w:t>
                  </w:r>
                </w:p>
              </w:tc>
              <w:tc>
                <w:tcPr>
                  <w:tcW w:w="796" w:type="dxa"/>
                  <w:shd w:val="clear" w:color="auto" w:fill="auto"/>
                  <w:vAlign w:val="bottom"/>
                </w:tcPr>
                <w:p w:rsidR="00745FEA" w:rsidRPr="006F1001" w:rsidRDefault="00745FEA" w:rsidP="00745FEA">
                  <w:pPr>
                    <w:pStyle w:val="TableBodyText"/>
                    <w:ind w:right="57"/>
                  </w:pPr>
                  <w:r w:rsidRPr="006F1001">
                    <w:t>0.8</w:t>
                  </w:r>
                </w:p>
              </w:tc>
              <w:tc>
                <w:tcPr>
                  <w:tcW w:w="792" w:type="dxa"/>
                  <w:shd w:val="clear" w:color="auto" w:fill="auto"/>
                  <w:vAlign w:val="bottom"/>
                </w:tcPr>
                <w:p w:rsidR="00745FEA" w:rsidRPr="006F1001" w:rsidRDefault="00745FEA" w:rsidP="00745FEA">
                  <w:pPr>
                    <w:pStyle w:val="TableBodyText"/>
                    <w:ind w:right="57"/>
                  </w:pPr>
                  <w:r w:rsidRPr="006F1001">
                    <w:t>–</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Drought Assistance Package - concession</w:t>
                  </w:r>
                  <w:r>
                    <w:t>a</w:t>
                  </w:r>
                  <w:r w:rsidRPr="00EE4DF3">
                    <w:t>l loans</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2.0</w:t>
                  </w:r>
                </w:p>
              </w:tc>
              <w:tc>
                <w:tcPr>
                  <w:tcW w:w="796" w:type="dxa"/>
                  <w:vAlign w:val="bottom"/>
                </w:tcPr>
                <w:p w:rsidR="00745FEA" w:rsidRPr="006F1001" w:rsidRDefault="00745FEA" w:rsidP="00745FEA">
                  <w:pPr>
                    <w:pStyle w:val="TableBodyText"/>
                    <w:ind w:right="57"/>
                  </w:pPr>
                  <w:r w:rsidRPr="006F1001">
                    <w:t>1.3</w:t>
                  </w:r>
                </w:p>
              </w:tc>
              <w:tc>
                <w:tcPr>
                  <w:tcW w:w="796" w:type="dxa"/>
                  <w:shd w:val="clear" w:color="auto" w:fill="auto"/>
                  <w:vAlign w:val="bottom"/>
                </w:tcPr>
                <w:p w:rsidR="00745FEA" w:rsidRPr="006F1001" w:rsidRDefault="00745FEA" w:rsidP="00745FEA">
                  <w:pPr>
                    <w:pStyle w:val="TableBodyText"/>
                    <w:ind w:right="57"/>
                  </w:pPr>
                  <w:r w:rsidRPr="006F1001">
                    <w:t>1.7</w:t>
                  </w:r>
                </w:p>
              </w:tc>
              <w:tc>
                <w:tcPr>
                  <w:tcW w:w="792" w:type="dxa"/>
                  <w:shd w:val="clear" w:color="auto" w:fill="auto"/>
                  <w:vAlign w:val="bottom"/>
                </w:tcPr>
                <w:p w:rsidR="00745FEA" w:rsidRPr="006F1001" w:rsidRDefault="00745FEA" w:rsidP="00745FEA">
                  <w:pPr>
                    <w:pStyle w:val="TableBodyText"/>
                    <w:ind w:right="57"/>
                  </w:pPr>
                  <w:r w:rsidRPr="006F1001">
                    <w:t>1.5</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 xml:space="preserve">Exceptional Circumstances - interest rate </w:t>
                  </w:r>
                  <w:r>
                    <w:t>subsidies</w:t>
                  </w:r>
                </w:p>
              </w:tc>
              <w:tc>
                <w:tcPr>
                  <w:tcW w:w="794" w:type="dxa"/>
                  <w:vAlign w:val="bottom"/>
                </w:tcPr>
                <w:p w:rsidR="00745FEA" w:rsidRPr="006F1001" w:rsidRDefault="00745FEA" w:rsidP="00745FEA">
                  <w:pPr>
                    <w:pStyle w:val="TableBodyText"/>
                    <w:ind w:right="57"/>
                  </w:pPr>
                  <w:r w:rsidRPr="006F1001">
                    <w:t>15.8</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6" w:type="dxa"/>
                  <w:vAlign w:val="bottom"/>
                </w:tcPr>
                <w:p w:rsidR="00745FEA" w:rsidRPr="006F1001" w:rsidRDefault="00745FEA" w:rsidP="00745FEA">
                  <w:pPr>
                    <w:pStyle w:val="TableBodyText"/>
                    <w:ind w:right="57"/>
                  </w:pPr>
                  <w:r w:rsidRPr="006F1001">
                    <w:t>–</w:t>
                  </w:r>
                </w:p>
              </w:tc>
              <w:tc>
                <w:tcPr>
                  <w:tcW w:w="796" w:type="dxa"/>
                  <w:shd w:val="clear" w:color="auto" w:fill="auto"/>
                  <w:vAlign w:val="bottom"/>
                </w:tcPr>
                <w:p w:rsidR="00745FEA" w:rsidRPr="006F1001" w:rsidRDefault="00745FEA" w:rsidP="00745FEA">
                  <w:pPr>
                    <w:pStyle w:val="TableBodyText"/>
                    <w:ind w:right="57"/>
                  </w:pPr>
                  <w:r w:rsidRPr="006F1001">
                    <w:t>–</w:t>
                  </w:r>
                </w:p>
              </w:tc>
              <w:tc>
                <w:tcPr>
                  <w:tcW w:w="792" w:type="dxa"/>
                  <w:shd w:val="clear" w:color="auto" w:fill="auto"/>
                  <w:vAlign w:val="bottom"/>
                </w:tcPr>
                <w:p w:rsidR="00745FEA" w:rsidRPr="006F1001" w:rsidRDefault="00745FEA" w:rsidP="00745FEA">
                  <w:pPr>
                    <w:pStyle w:val="TableBodyText"/>
                    <w:ind w:right="57"/>
                  </w:pPr>
                  <w:r w:rsidRPr="006F1001">
                    <w:t>–</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Exceptional Circumstances - relief payments</w:t>
                  </w:r>
                </w:p>
              </w:tc>
              <w:tc>
                <w:tcPr>
                  <w:tcW w:w="794" w:type="dxa"/>
                  <w:vAlign w:val="bottom"/>
                </w:tcPr>
                <w:p w:rsidR="00745FEA" w:rsidRPr="006F1001" w:rsidRDefault="00745FEA" w:rsidP="00745FEA">
                  <w:pPr>
                    <w:pStyle w:val="TableBodyText"/>
                    <w:ind w:right="57"/>
                  </w:pPr>
                  <w:r w:rsidRPr="006F1001">
                    <w:t>4.1</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6" w:type="dxa"/>
                  <w:vAlign w:val="bottom"/>
                </w:tcPr>
                <w:p w:rsidR="00745FEA" w:rsidRPr="006F1001" w:rsidRDefault="00745FEA" w:rsidP="00745FEA">
                  <w:pPr>
                    <w:pStyle w:val="TableBodyText"/>
                    <w:ind w:right="57"/>
                  </w:pPr>
                  <w:r w:rsidRPr="006F1001">
                    <w:t>–</w:t>
                  </w:r>
                </w:p>
              </w:tc>
              <w:tc>
                <w:tcPr>
                  <w:tcW w:w="796" w:type="dxa"/>
                  <w:shd w:val="clear" w:color="auto" w:fill="auto"/>
                  <w:vAlign w:val="bottom"/>
                </w:tcPr>
                <w:p w:rsidR="00745FEA" w:rsidRPr="006F1001" w:rsidRDefault="00745FEA" w:rsidP="00745FEA">
                  <w:pPr>
                    <w:pStyle w:val="TableBodyText"/>
                    <w:ind w:right="57"/>
                  </w:pPr>
                  <w:r w:rsidRPr="006F1001">
                    <w:t>–</w:t>
                  </w:r>
                </w:p>
              </w:tc>
              <w:tc>
                <w:tcPr>
                  <w:tcW w:w="792" w:type="dxa"/>
                  <w:shd w:val="clear" w:color="auto" w:fill="auto"/>
                  <w:vAlign w:val="bottom"/>
                </w:tcPr>
                <w:p w:rsidR="00745FEA" w:rsidRPr="006F1001" w:rsidRDefault="00745FEA" w:rsidP="00745FEA">
                  <w:pPr>
                    <w:pStyle w:val="TableBodyText"/>
                    <w:ind w:right="57"/>
                  </w:pPr>
                  <w:r w:rsidRPr="006F1001">
                    <w:t>–</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Farm Finance - concessional loans</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7.2</w:t>
                  </w:r>
                </w:p>
              </w:tc>
              <w:tc>
                <w:tcPr>
                  <w:tcW w:w="796" w:type="dxa"/>
                  <w:vAlign w:val="bottom"/>
                </w:tcPr>
                <w:p w:rsidR="00745FEA" w:rsidRPr="006F1001" w:rsidRDefault="00745FEA" w:rsidP="00745FEA">
                  <w:pPr>
                    <w:pStyle w:val="TableBodyText"/>
                    <w:ind w:right="57"/>
                  </w:pPr>
                  <w:r w:rsidRPr="006F1001">
                    <w:t>1.0</w:t>
                  </w:r>
                </w:p>
              </w:tc>
              <w:tc>
                <w:tcPr>
                  <w:tcW w:w="796" w:type="dxa"/>
                  <w:shd w:val="clear" w:color="auto" w:fill="auto"/>
                  <w:vAlign w:val="bottom"/>
                </w:tcPr>
                <w:p w:rsidR="00745FEA" w:rsidRPr="006F1001" w:rsidRDefault="00745FEA" w:rsidP="00745FEA">
                  <w:pPr>
                    <w:pStyle w:val="TableBodyText"/>
                    <w:ind w:right="57"/>
                  </w:pPr>
                  <w:r w:rsidRPr="006F1001">
                    <w:t>1.0</w:t>
                  </w:r>
                </w:p>
              </w:tc>
              <w:tc>
                <w:tcPr>
                  <w:tcW w:w="792" w:type="dxa"/>
                  <w:shd w:val="clear" w:color="auto" w:fill="auto"/>
                  <w:vAlign w:val="bottom"/>
                </w:tcPr>
                <w:p w:rsidR="00745FEA" w:rsidRPr="006F1001" w:rsidRDefault="00745FEA" w:rsidP="00745FEA">
                  <w:pPr>
                    <w:pStyle w:val="TableBodyText"/>
                    <w:ind w:right="57"/>
                  </w:pPr>
                  <w:r w:rsidRPr="006F1001">
                    <w:t>0.6</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C027F1">
                    <w:t>Improved Access to Agricultural and Veterinary Chemicals</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6" w:type="dxa"/>
                  <w:vAlign w:val="bottom"/>
                </w:tcPr>
                <w:p w:rsidR="00745FEA" w:rsidRPr="006F1001" w:rsidRDefault="00745FEA" w:rsidP="00745FEA">
                  <w:pPr>
                    <w:pStyle w:val="TableBodyText"/>
                    <w:ind w:right="57"/>
                  </w:pPr>
                  <w:r w:rsidRPr="006F1001">
                    <w:t>–</w:t>
                  </w:r>
                </w:p>
              </w:tc>
              <w:tc>
                <w:tcPr>
                  <w:tcW w:w="796" w:type="dxa"/>
                  <w:shd w:val="clear" w:color="auto" w:fill="auto"/>
                  <w:vAlign w:val="bottom"/>
                </w:tcPr>
                <w:p w:rsidR="00745FEA" w:rsidRPr="006F1001" w:rsidRDefault="00745FEA" w:rsidP="00745FEA">
                  <w:pPr>
                    <w:pStyle w:val="TableBodyText"/>
                    <w:ind w:right="57"/>
                  </w:pPr>
                  <w:r w:rsidRPr="006F1001">
                    <w:t>–</w:t>
                  </w:r>
                </w:p>
              </w:tc>
              <w:tc>
                <w:tcPr>
                  <w:tcW w:w="792" w:type="dxa"/>
                  <w:shd w:val="clear" w:color="auto" w:fill="auto"/>
                  <w:vAlign w:val="bottom"/>
                </w:tcPr>
                <w:p w:rsidR="00745FEA" w:rsidRPr="006F1001" w:rsidRDefault="00745FEA" w:rsidP="00745FEA">
                  <w:pPr>
                    <w:pStyle w:val="TableBodyText"/>
                    <w:ind w:right="57"/>
                  </w:pPr>
                  <w:r w:rsidRPr="006F1001">
                    <w:t>0.2</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Interim Income Support</w:t>
                  </w:r>
                </w:p>
              </w:tc>
              <w:tc>
                <w:tcPr>
                  <w:tcW w:w="794" w:type="dxa"/>
                  <w:vAlign w:val="bottom"/>
                </w:tcPr>
                <w:p w:rsidR="00745FEA" w:rsidRPr="006F1001" w:rsidRDefault="00745FEA" w:rsidP="00745FEA">
                  <w:pPr>
                    <w:pStyle w:val="TableBodyText"/>
                    <w:ind w:right="57"/>
                  </w:pPr>
                  <w:r w:rsidRPr="006F1001">
                    <w:t>&lt;0.1</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6" w:type="dxa"/>
                  <w:vAlign w:val="bottom"/>
                </w:tcPr>
                <w:p w:rsidR="00745FEA" w:rsidRPr="006F1001" w:rsidRDefault="00745FEA" w:rsidP="00745FEA">
                  <w:pPr>
                    <w:pStyle w:val="TableBodyText"/>
                    <w:ind w:right="57"/>
                  </w:pPr>
                  <w:r w:rsidRPr="006F1001">
                    <w:t>–</w:t>
                  </w:r>
                </w:p>
              </w:tc>
              <w:tc>
                <w:tcPr>
                  <w:tcW w:w="796" w:type="dxa"/>
                  <w:shd w:val="clear" w:color="auto" w:fill="auto"/>
                  <w:vAlign w:val="bottom"/>
                </w:tcPr>
                <w:p w:rsidR="00745FEA" w:rsidRPr="006F1001" w:rsidRDefault="00745FEA" w:rsidP="00745FEA">
                  <w:pPr>
                    <w:pStyle w:val="TableBodyText"/>
                    <w:ind w:right="57"/>
                  </w:pPr>
                  <w:r w:rsidRPr="006F1001">
                    <w:t>–</w:t>
                  </w:r>
                </w:p>
              </w:tc>
              <w:tc>
                <w:tcPr>
                  <w:tcW w:w="792" w:type="dxa"/>
                  <w:shd w:val="clear" w:color="auto" w:fill="auto"/>
                  <w:vAlign w:val="bottom"/>
                </w:tcPr>
                <w:p w:rsidR="00745FEA" w:rsidRPr="006F1001" w:rsidRDefault="00745FEA" w:rsidP="00745FEA">
                  <w:pPr>
                    <w:pStyle w:val="TableBodyText"/>
                    <w:ind w:right="57"/>
                  </w:pPr>
                  <w:r w:rsidRPr="006F1001">
                    <w:t>–</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C027F1">
                    <w:t>Managing Farm Risk Program</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4" w:type="dxa"/>
                  <w:vAlign w:val="bottom"/>
                </w:tcPr>
                <w:p w:rsidR="00745FEA" w:rsidRPr="006F1001" w:rsidRDefault="00745FEA" w:rsidP="00745FEA">
                  <w:pPr>
                    <w:pStyle w:val="TableBodyText"/>
                    <w:ind w:right="57"/>
                  </w:pPr>
                  <w:r w:rsidRPr="006F1001">
                    <w:t>–</w:t>
                  </w:r>
                </w:p>
              </w:tc>
              <w:tc>
                <w:tcPr>
                  <w:tcW w:w="796" w:type="dxa"/>
                  <w:vAlign w:val="bottom"/>
                </w:tcPr>
                <w:p w:rsidR="00745FEA" w:rsidRPr="006F1001" w:rsidRDefault="00745FEA" w:rsidP="00745FEA">
                  <w:pPr>
                    <w:pStyle w:val="TableBodyText"/>
                    <w:ind w:right="57"/>
                  </w:pPr>
                  <w:r w:rsidRPr="006F1001">
                    <w:t>–</w:t>
                  </w:r>
                </w:p>
              </w:tc>
              <w:tc>
                <w:tcPr>
                  <w:tcW w:w="796" w:type="dxa"/>
                  <w:shd w:val="clear" w:color="auto" w:fill="auto"/>
                  <w:vAlign w:val="bottom"/>
                </w:tcPr>
                <w:p w:rsidR="00745FEA" w:rsidRPr="006F1001" w:rsidRDefault="00745FEA" w:rsidP="00745FEA">
                  <w:pPr>
                    <w:pStyle w:val="TableBodyText"/>
                    <w:ind w:right="57"/>
                  </w:pPr>
                  <w:r w:rsidRPr="006F1001">
                    <w:t>&lt;0.1</w:t>
                  </w:r>
                </w:p>
              </w:tc>
              <w:tc>
                <w:tcPr>
                  <w:tcW w:w="792" w:type="dxa"/>
                  <w:shd w:val="clear" w:color="auto" w:fill="auto"/>
                  <w:vAlign w:val="bottom"/>
                </w:tcPr>
                <w:p w:rsidR="00745FEA" w:rsidRPr="006F1001" w:rsidRDefault="00745FEA" w:rsidP="00745FEA">
                  <w:pPr>
                    <w:pStyle w:val="TableBodyText"/>
                    <w:ind w:right="57"/>
                  </w:pPr>
                  <w:r w:rsidRPr="006F1001">
                    <w:t>0.1</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Rural Financial Counselling Service</w:t>
                  </w:r>
                </w:p>
              </w:tc>
              <w:tc>
                <w:tcPr>
                  <w:tcW w:w="794" w:type="dxa"/>
                  <w:vAlign w:val="bottom"/>
                </w:tcPr>
                <w:p w:rsidR="00745FEA" w:rsidRPr="006F1001" w:rsidRDefault="00745FEA" w:rsidP="00745FEA">
                  <w:pPr>
                    <w:pStyle w:val="TableBodyText"/>
                    <w:ind w:right="57"/>
                  </w:pPr>
                  <w:r w:rsidRPr="006F1001">
                    <w:t>6.7</w:t>
                  </w:r>
                </w:p>
              </w:tc>
              <w:tc>
                <w:tcPr>
                  <w:tcW w:w="794" w:type="dxa"/>
                  <w:vAlign w:val="bottom"/>
                </w:tcPr>
                <w:p w:rsidR="00745FEA" w:rsidRPr="006F1001" w:rsidRDefault="00745FEA" w:rsidP="00745FEA">
                  <w:pPr>
                    <w:pStyle w:val="TableBodyText"/>
                    <w:ind w:right="57"/>
                  </w:pPr>
                  <w:r w:rsidRPr="006F1001">
                    <w:t>7.8</w:t>
                  </w:r>
                </w:p>
              </w:tc>
              <w:tc>
                <w:tcPr>
                  <w:tcW w:w="794" w:type="dxa"/>
                  <w:vAlign w:val="bottom"/>
                </w:tcPr>
                <w:p w:rsidR="00745FEA" w:rsidRPr="006F1001" w:rsidRDefault="00745FEA" w:rsidP="00745FEA">
                  <w:pPr>
                    <w:pStyle w:val="TableBodyText"/>
                    <w:ind w:right="57"/>
                  </w:pPr>
                  <w:r w:rsidRPr="006F1001">
                    <w:t>11.3</w:t>
                  </w:r>
                </w:p>
              </w:tc>
              <w:tc>
                <w:tcPr>
                  <w:tcW w:w="796" w:type="dxa"/>
                  <w:vAlign w:val="bottom"/>
                </w:tcPr>
                <w:p w:rsidR="00745FEA" w:rsidRPr="006F1001" w:rsidRDefault="00745FEA" w:rsidP="00745FEA">
                  <w:pPr>
                    <w:pStyle w:val="TableBodyText"/>
                    <w:ind w:right="57"/>
                  </w:pPr>
                  <w:r w:rsidRPr="006F1001">
                    <w:t>11.0</w:t>
                  </w:r>
                </w:p>
              </w:tc>
              <w:tc>
                <w:tcPr>
                  <w:tcW w:w="796" w:type="dxa"/>
                  <w:shd w:val="clear" w:color="auto" w:fill="auto"/>
                  <w:vAlign w:val="bottom"/>
                </w:tcPr>
                <w:p w:rsidR="00745FEA" w:rsidRPr="006F1001" w:rsidRDefault="00745FEA" w:rsidP="00745FEA">
                  <w:pPr>
                    <w:pStyle w:val="TableBodyText"/>
                    <w:ind w:right="57"/>
                  </w:pPr>
                  <w:r w:rsidRPr="006F1001">
                    <w:t>10.0</w:t>
                  </w:r>
                </w:p>
              </w:tc>
              <w:tc>
                <w:tcPr>
                  <w:tcW w:w="792" w:type="dxa"/>
                  <w:shd w:val="clear" w:color="auto" w:fill="auto"/>
                  <w:vAlign w:val="bottom"/>
                </w:tcPr>
                <w:p w:rsidR="00745FEA" w:rsidRPr="006F1001" w:rsidRDefault="00745FEA" w:rsidP="00745FEA">
                  <w:pPr>
                    <w:pStyle w:val="TableBodyText"/>
                    <w:ind w:right="57"/>
                  </w:pPr>
                  <w:r w:rsidRPr="006F1001">
                    <w:t>10.0</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Farm Management Deposits Scheme</w:t>
                  </w:r>
                </w:p>
              </w:tc>
              <w:tc>
                <w:tcPr>
                  <w:tcW w:w="794" w:type="dxa"/>
                  <w:vAlign w:val="bottom"/>
                </w:tcPr>
                <w:p w:rsidR="00745FEA" w:rsidRPr="006F1001" w:rsidRDefault="00745FEA" w:rsidP="00745FEA">
                  <w:pPr>
                    <w:pStyle w:val="TableBodyText"/>
                    <w:ind w:right="57"/>
                  </w:pPr>
                  <w:r w:rsidRPr="006F1001">
                    <w:t>168.3</w:t>
                  </w:r>
                </w:p>
              </w:tc>
              <w:tc>
                <w:tcPr>
                  <w:tcW w:w="794" w:type="dxa"/>
                  <w:vAlign w:val="bottom"/>
                </w:tcPr>
                <w:p w:rsidR="00745FEA" w:rsidRPr="006F1001" w:rsidRDefault="00745FEA" w:rsidP="00745FEA">
                  <w:pPr>
                    <w:pStyle w:val="TableBodyText"/>
                    <w:ind w:right="57"/>
                  </w:pPr>
                  <w:r w:rsidRPr="006F1001">
                    <w:t>103.7</w:t>
                  </w:r>
                </w:p>
              </w:tc>
              <w:tc>
                <w:tcPr>
                  <w:tcW w:w="794" w:type="dxa"/>
                  <w:vAlign w:val="bottom"/>
                </w:tcPr>
                <w:p w:rsidR="00745FEA" w:rsidRPr="006F1001" w:rsidRDefault="00745FEA" w:rsidP="00745FEA">
                  <w:pPr>
                    <w:pStyle w:val="TableBodyText"/>
                    <w:ind w:right="57"/>
                  </w:pPr>
                  <w:r w:rsidRPr="006F1001">
                    <w:t>100.4</w:t>
                  </w:r>
                </w:p>
              </w:tc>
              <w:tc>
                <w:tcPr>
                  <w:tcW w:w="796" w:type="dxa"/>
                  <w:vAlign w:val="bottom"/>
                </w:tcPr>
                <w:p w:rsidR="00745FEA" w:rsidRPr="006F1001" w:rsidRDefault="00745FEA" w:rsidP="00745FEA">
                  <w:pPr>
                    <w:pStyle w:val="TableBodyText"/>
                    <w:ind w:right="57"/>
                  </w:pPr>
                  <w:r w:rsidRPr="006F1001">
                    <w:t>120.2</w:t>
                  </w:r>
                </w:p>
              </w:tc>
              <w:tc>
                <w:tcPr>
                  <w:tcW w:w="796" w:type="dxa"/>
                  <w:shd w:val="clear" w:color="auto" w:fill="auto"/>
                  <w:vAlign w:val="bottom"/>
                </w:tcPr>
                <w:p w:rsidR="00745FEA" w:rsidRPr="006F1001" w:rsidRDefault="00745FEA" w:rsidP="00745FEA">
                  <w:pPr>
                    <w:pStyle w:val="TableBodyText"/>
                    <w:ind w:right="57"/>
                  </w:pPr>
                  <w:r w:rsidRPr="006F1001">
                    <w:t>175.8</w:t>
                  </w:r>
                </w:p>
              </w:tc>
              <w:tc>
                <w:tcPr>
                  <w:tcW w:w="792" w:type="dxa"/>
                  <w:shd w:val="clear" w:color="auto" w:fill="auto"/>
                  <w:vAlign w:val="bottom"/>
                </w:tcPr>
                <w:p w:rsidR="00745FEA" w:rsidRPr="006F1001" w:rsidRDefault="00745FEA" w:rsidP="00745FEA">
                  <w:pPr>
                    <w:pStyle w:val="TableBodyText"/>
                    <w:ind w:right="57"/>
                  </w:pPr>
                  <w:r w:rsidRPr="006F1001">
                    <w:t>179.5</w:t>
                  </w:r>
                </w:p>
              </w:tc>
            </w:tr>
            <w:tr w:rsidR="00745FEA" w:rsidTr="00745FEA">
              <w:tc>
                <w:tcPr>
                  <w:tcW w:w="3798" w:type="dxa"/>
                  <w:shd w:val="clear" w:color="auto" w:fill="auto"/>
                </w:tcPr>
                <w:p w:rsidR="00745FEA" w:rsidRPr="00EE4DF3" w:rsidRDefault="00745FEA" w:rsidP="00745FEA">
                  <w:pPr>
                    <w:pStyle w:val="TableBodyText"/>
                    <w:spacing w:after="0"/>
                    <w:ind w:left="227" w:right="0"/>
                    <w:jc w:val="left"/>
                  </w:pPr>
                  <w:r w:rsidRPr="00EE4DF3">
                    <w:t>Income tax averaging provisions</w:t>
                  </w:r>
                </w:p>
              </w:tc>
              <w:tc>
                <w:tcPr>
                  <w:tcW w:w="794" w:type="dxa"/>
                  <w:vAlign w:val="bottom"/>
                </w:tcPr>
                <w:p w:rsidR="00745FEA" w:rsidRPr="006F1001" w:rsidRDefault="00745FEA" w:rsidP="00745FEA">
                  <w:pPr>
                    <w:pStyle w:val="TableBodyText"/>
                    <w:ind w:right="57"/>
                  </w:pPr>
                  <w:r w:rsidRPr="006F1001">
                    <w:t>93.4</w:t>
                  </w:r>
                </w:p>
              </w:tc>
              <w:tc>
                <w:tcPr>
                  <w:tcW w:w="794" w:type="dxa"/>
                  <w:vAlign w:val="bottom"/>
                </w:tcPr>
                <w:p w:rsidR="00745FEA" w:rsidRPr="006F1001" w:rsidRDefault="00745FEA" w:rsidP="00745FEA">
                  <w:pPr>
                    <w:pStyle w:val="TableBodyText"/>
                    <w:ind w:right="57"/>
                  </w:pPr>
                  <w:r w:rsidRPr="006F1001">
                    <w:t>86.7</w:t>
                  </w:r>
                </w:p>
              </w:tc>
              <w:tc>
                <w:tcPr>
                  <w:tcW w:w="794" w:type="dxa"/>
                  <w:vAlign w:val="bottom"/>
                </w:tcPr>
                <w:p w:rsidR="00745FEA" w:rsidRPr="006F1001" w:rsidRDefault="00745FEA" w:rsidP="00745FEA">
                  <w:pPr>
                    <w:pStyle w:val="TableBodyText"/>
                    <w:ind w:right="57"/>
                  </w:pPr>
                  <w:r w:rsidRPr="006F1001">
                    <w:t>108.3</w:t>
                  </w:r>
                </w:p>
              </w:tc>
              <w:tc>
                <w:tcPr>
                  <w:tcW w:w="796" w:type="dxa"/>
                  <w:vAlign w:val="bottom"/>
                </w:tcPr>
                <w:p w:rsidR="00745FEA" w:rsidRPr="006F1001" w:rsidRDefault="00745FEA" w:rsidP="00745FEA">
                  <w:pPr>
                    <w:pStyle w:val="TableBodyText"/>
                    <w:ind w:right="57"/>
                  </w:pPr>
                  <w:r w:rsidRPr="006F1001">
                    <w:t>104.4</w:t>
                  </w:r>
                </w:p>
              </w:tc>
              <w:tc>
                <w:tcPr>
                  <w:tcW w:w="796" w:type="dxa"/>
                  <w:shd w:val="clear" w:color="auto" w:fill="auto"/>
                  <w:vAlign w:val="bottom"/>
                </w:tcPr>
                <w:p w:rsidR="00745FEA" w:rsidRPr="006F1001" w:rsidRDefault="00745FEA" w:rsidP="00745FEA">
                  <w:pPr>
                    <w:pStyle w:val="TableBodyText"/>
                    <w:ind w:right="57"/>
                  </w:pPr>
                  <w:r w:rsidRPr="006F1001">
                    <w:t>109.9</w:t>
                  </w:r>
                </w:p>
              </w:tc>
              <w:tc>
                <w:tcPr>
                  <w:tcW w:w="792" w:type="dxa"/>
                  <w:shd w:val="clear" w:color="auto" w:fill="auto"/>
                  <w:vAlign w:val="bottom"/>
                </w:tcPr>
                <w:p w:rsidR="00745FEA" w:rsidRPr="006F1001" w:rsidRDefault="00745FEA" w:rsidP="00745FEA">
                  <w:pPr>
                    <w:pStyle w:val="TableBodyText"/>
                    <w:ind w:right="57"/>
                  </w:pPr>
                  <w:r w:rsidRPr="006F1001">
                    <w:t>135.7</w:t>
                  </w:r>
                </w:p>
              </w:tc>
            </w:tr>
            <w:tr w:rsidR="00745FEA" w:rsidTr="00745FEA">
              <w:tc>
                <w:tcPr>
                  <w:tcW w:w="3798" w:type="dxa"/>
                  <w:tcBorders>
                    <w:bottom w:val="single" w:sz="6" w:space="0" w:color="BFBFBF"/>
                  </w:tcBorders>
                  <w:shd w:val="clear" w:color="auto" w:fill="auto"/>
                </w:tcPr>
                <w:p w:rsidR="00745FEA" w:rsidRPr="00EE4DF3" w:rsidRDefault="00745FEA" w:rsidP="00745FEA">
                  <w:pPr>
                    <w:pStyle w:val="TableBodyText"/>
                    <w:ind w:left="227" w:right="0"/>
                    <w:jc w:val="left"/>
                  </w:pPr>
                  <w:r w:rsidRPr="00EE4DF3">
                    <w:t>Tax deduction for conserving or conveying water</w:t>
                  </w:r>
                </w:p>
              </w:tc>
              <w:tc>
                <w:tcPr>
                  <w:tcW w:w="794" w:type="dxa"/>
                  <w:tcBorders>
                    <w:bottom w:val="single" w:sz="6" w:space="0" w:color="BFBFBF"/>
                  </w:tcBorders>
                  <w:vAlign w:val="bottom"/>
                </w:tcPr>
                <w:p w:rsidR="00745FEA" w:rsidRPr="006F1001" w:rsidRDefault="00745FEA" w:rsidP="00745FEA">
                  <w:pPr>
                    <w:pStyle w:val="TableBodyText"/>
                    <w:ind w:right="57"/>
                  </w:pPr>
                  <w:r w:rsidRPr="006F1001">
                    <w:t>33.7</w:t>
                  </w:r>
                </w:p>
              </w:tc>
              <w:tc>
                <w:tcPr>
                  <w:tcW w:w="794" w:type="dxa"/>
                  <w:tcBorders>
                    <w:bottom w:val="single" w:sz="6" w:space="0" w:color="BFBFBF"/>
                  </w:tcBorders>
                  <w:vAlign w:val="bottom"/>
                </w:tcPr>
                <w:p w:rsidR="00745FEA" w:rsidRPr="006F1001" w:rsidRDefault="00745FEA" w:rsidP="00745FEA">
                  <w:pPr>
                    <w:pStyle w:val="TableBodyText"/>
                    <w:ind w:right="57"/>
                  </w:pPr>
                  <w:r w:rsidRPr="006F1001">
                    <w:t>40.0</w:t>
                  </w:r>
                </w:p>
              </w:tc>
              <w:tc>
                <w:tcPr>
                  <w:tcW w:w="794" w:type="dxa"/>
                  <w:tcBorders>
                    <w:bottom w:val="single" w:sz="6" w:space="0" w:color="BFBFBF"/>
                  </w:tcBorders>
                  <w:vAlign w:val="bottom"/>
                </w:tcPr>
                <w:p w:rsidR="00745FEA" w:rsidRPr="006F1001" w:rsidRDefault="00745FEA" w:rsidP="00745FEA">
                  <w:pPr>
                    <w:pStyle w:val="TableBodyText"/>
                    <w:ind w:right="57"/>
                  </w:pPr>
                  <w:r w:rsidRPr="006F1001">
                    <w:t>35.0</w:t>
                  </w:r>
                </w:p>
              </w:tc>
              <w:tc>
                <w:tcPr>
                  <w:tcW w:w="796" w:type="dxa"/>
                  <w:tcBorders>
                    <w:bottom w:val="single" w:sz="6" w:space="0" w:color="BFBFBF"/>
                  </w:tcBorders>
                  <w:vAlign w:val="bottom"/>
                </w:tcPr>
                <w:p w:rsidR="00745FEA" w:rsidRPr="006F1001" w:rsidRDefault="00745FEA" w:rsidP="00745FEA">
                  <w:pPr>
                    <w:pStyle w:val="TableBodyText"/>
                    <w:ind w:right="57"/>
                  </w:pPr>
                  <w:r w:rsidRPr="006F1001">
                    <w:t>2.4</w:t>
                  </w:r>
                </w:p>
              </w:tc>
              <w:tc>
                <w:tcPr>
                  <w:tcW w:w="796" w:type="dxa"/>
                  <w:tcBorders>
                    <w:bottom w:val="single" w:sz="6" w:space="0" w:color="BFBFBF"/>
                  </w:tcBorders>
                  <w:shd w:val="clear" w:color="auto" w:fill="auto"/>
                  <w:vAlign w:val="bottom"/>
                </w:tcPr>
                <w:p w:rsidR="00745FEA" w:rsidRPr="006F1001" w:rsidRDefault="00745FEA" w:rsidP="00745FEA">
                  <w:pPr>
                    <w:pStyle w:val="TableBodyText"/>
                    <w:ind w:right="57"/>
                  </w:pPr>
                  <w:r w:rsidRPr="006F1001">
                    <w:t>5.0</w:t>
                  </w:r>
                </w:p>
              </w:tc>
              <w:tc>
                <w:tcPr>
                  <w:tcW w:w="792" w:type="dxa"/>
                  <w:tcBorders>
                    <w:bottom w:val="single" w:sz="6" w:space="0" w:color="BFBFBF"/>
                  </w:tcBorders>
                  <w:shd w:val="clear" w:color="auto" w:fill="auto"/>
                  <w:vAlign w:val="bottom"/>
                </w:tcPr>
                <w:p w:rsidR="00745FEA" w:rsidRDefault="00745FEA" w:rsidP="00745FEA">
                  <w:pPr>
                    <w:pStyle w:val="TableBodyText"/>
                    <w:ind w:right="57"/>
                  </w:pPr>
                  <w:r w:rsidRPr="006F1001">
                    <w:t>10.4</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4" w:type="dxa"/>
              <w:tblCellMar>
                <w:top w:w="28" w:type="dxa"/>
                <w:left w:w="0" w:type="dxa"/>
                <w:right w:w="0" w:type="dxa"/>
              </w:tblCellMar>
              <w:tblLook w:val="0000" w:firstRow="0" w:lastRow="0" w:firstColumn="0" w:lastColumn="0" w:noHBand="0" w:noVBand="0"/>
            </w:tblPr>
            <w:tblGrid>
              <w:gridCol w:w="3798"/>
              <w:gridCol w:w="795"/>
              <w:gridCol w:w="795"/>
              <w:gridCol w:w="795"/>
              <w:gridCol w:w="795"/>
              <w:gridCol w:w="795"/>
              <w:gridCol w:w="791"/>
            </w:tblGrid>
            <w:tr w:rsidR="00745FEA" w:rsidTr="00C719FB">
              <w:trPr>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7" w:type="pct"/>
                  <w:tcBorders>
                    <w:top w:val="single" w:sz="6" w:space="0" w:color="BFBFBF"/>
                  </w:tcBorders>
                </w:tcPr>
                <w:p w:rsidR="00745FEA" w:rsidRPr="00906AFF" w:rsidRDefault="00745FEA" w:rsidP="00745FEA">
                  <w:pPr>
                    <w:pStyle w:val="TableUnitsRow"/>
                    <w:spacing w:after="0"/>
                    <w:ind w:left="113"/>
                    <w:jc w:val="left"/>
                    <w:rPr>
                      <w:i/>
                    </w:rPr>
                  </w:pPr>
                  <w:r w:rsidRPr="00C56209">
                    <w:rPr>
                      <w:i/>
                    </w:rPr>
                    <w:t>Rural R&amp;D measures</w:t>
                  </w: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7" w:type="pct"/>
                  <w:shd w:val="clear" w:color="auto" w:fill="auto"/>
                </w:tcPr>
                <w:p w:rsidR="00745FEA" w:rsidRPr="00723D6D" w:rsidRDefault="00745FEA" w:rsidP="00745FEA">
                  <w:pPr>
                    <w:pStyle w:val="TableBodyText"/>
                    <w:spacing w:after="0"/>
                    <w:ind w:left="227" w:right="0"/>
                    <w:jc w:val="left"/>
                  </w:pPr>
                  <w:r w:rsidRPr="00723D6D">
                    <w:t xml:space="preserve">Wool </w:t>
                  </w:r>
                  <w:r>
                    <w:t>R&amp;D</w:t>
                  </w:r>
                </w:p>
              </w:tc>
              <w:tc>
                <w:tcPr>
                  <w:tcW w:w="464" w:type="pct"/>
                  <w:vAlign w:val="bottom"/>
                </w:tcPr>
                <w:p w:rsidR="00745FEA" w:rsidRPr="006705E8" w:rsidRDefault="00745FEA" w:rsidP="00745FEA">
                  <w:pPr>
                    <w:pStyle w:val="TableBodyText"/>
                    <w:ind w:right="57"/>
                  </w:pPr>
                  <w:r w:rsidRPr="006705E8">
                    <w:t>12.5</w:t>
                  </w:r>
                </w:p>
              </w:tc>
              <w:tc>
                <w:tcPr>
                  <w:tcW w:w="464" w:type="pct"/>
                  <w:vAlign w:val="bottom"/>
                </w:tcPr>
                <w:p w:rsidR="00745FEA" w:rsidRPr="006705E8" w:rsidRDefault="00745FEA" w:rsidP="00745FEA">
                  <w:pPr>
                    <w:pStyle w:val="TableBodyText"/>
                    <w:ind w:right="57"/>
                  </w:pPr>
                  <w:r w:rsidRPr="006705E8">
                    <w:t>13.3</w:t>
                  </w:r>
                </w:p>
              </w:tc>
              <w:tc>
                <w:tcPr>
                  <w:tcW w:w="464" w:type="pct"/>
                  <w:vAlign w:val="bottom"/>
                </w:tcPr>
                <w:p w:rsidR="00745FEA" w:rsidRPr="006705E8" w:rsidRDefault="00745FEA" w:rsidP="00745FEA">
                  <w:pPr>
                    <w:pStyle w:val="TableBodyText"/>
                    <w:ind w:right="57"/>
                  </w:pPr>
                  <w:r w:rsidRPr="006705E8">
                    <w:t>13.0</w:t>
                  </w:r>
                </w:p>
              </w:tc>
              <w:tc>
                <w:tcPr>
                  <w:tcW w:w="464" w:type="pct"/>
                  <w:vAlign w:val="bottom"/>
                </w:tcPr>
                <w:p w:rsidR="00745FEA" w:rsidRPr="006705E8" w:rsidRDefault="00745FEA" w:rsidP="00745FEA">
                  <w:pPr>
                    <w:pStyle w:val="TableBodyText"/>
                    <w:ind w:right="57"/>
                  </w:pPr>
                  <w:r w:rsidRPr="006705E8">
                    <w:t>12.5</w:t>
                  </w:r>
                </w:p>
              </w:tc>
              <w:tc>
                <w:tcPr>
                  <w:tcW w:w="464" w:type="pct"/>
                  <w:shd w:val="clear" w:color="auto" w:fill="auto"/>
                  <w:vAlign w:val="bottom"/>
                </w:tcPr>
                <w:p w:rsidR="00745FEA" w:rsidRPr="006705E8" w:rsidRDefault="00745FEA" w:rsidP="00745FEA">
                  <w:pPr>
                    <w:pStyle w:val="TableBodyText"/>
                    <w:ind w:right="57"/>
                  </w:pPr>
                  <w:r w:rsidRPr="006705E8">
                    <w:t>13.4</w:t>
                  </w:r>
                </w:p>
              </w:tc>
              <w:tc>
                <w:tcPr>
                  <w:tcW w:w="462" w:type="pct"/>
                  <w:shd w:val="clear" w:color="auto" w:fill="auto"/>
                  <w:vAlign w:val="bottom"/>
                </w:tcPr>
                <w:p w:rsidR="00745FEA" w:rsidRPr="006705E8" w:rsidRDefault="00745FEA" w:rsidP="00745FEA">
                  <w:pPr>
                    <w:pStyle w:val="TableBodyText"/>
                    <w:ind w:right="57"/>
                  </w:pPr>
                  <w:r w:rsidRPr="006705E8">
                    <w:t>14.7</w:t>
                  </w:r>
                </w:p>
              </w:tc>
            </w:tr>
            <w:tr w:rsidR="00745FEA" w:rsidTr="00745FEA">
              <w:tc>
                <w:tcPr>
                  <w:tcW w:w="2217" w:type="pct"/>
                  <w:shd w:val="clear" w:color="auto" w:fill="auto"/>
                </w:tcPr>
                <w:p w:rsidR="00745FEA" w:rsidRPr="00723D6D" w:rsidRDefault="00745FEA" w:rsidP="00745FEA">
                  <w:pPr>
                    <w:pStyle w:val="TableBodyText"/>
                    <w:spacing w:after="0"/>
                    <w:ind w:left="227" w:right="0"/>
                    <w:jc w:val="left"/>
                  </w:pPr>
                  <w:r w:rsidRPr="00723D6D">
                    <w:t xml:space="preserve">Grains </w:t>
                  </w:r>
                  <w:r>
                    <w:t>R&amp;D Corporation</w:t>
                  </w:r>
                </w:p>
              </w:tc>
              <w:tc>
                <w:tcPr>
                  <w:tcW w:w="464" w:type="pct"/>
                  <w:vAlign w:val="bottom"/>
                </w:tcPr>
                <w:p w:rsidR="00745FEA" w:rsidRPr="006705E8" w:rsidRDefault="00745FEA" w:rsidP="00745FEA">
                  <w:pPr>
                    <w:pStyle w:val="TableBodyText"/>
                    <w:ind w:right="57"/>
                  </w:pPr>
                  <w:r w:rsidRPr="006705E8">
                    <w:t>55.9</w:t>
                  </w:r>
                </w:p>
              </w:tc>
              <w:tc>
                <w:tcPr>
                  <w:tcW w:w="464" w:type="pct"/>
                  <w:vAlign w:val="bottom"/>
                </w:tcPr>
                <w:p w:rsidR="00745FEA" w:rsidRPr="006705E8" w:rsidRDefault="00745FEA" w:rsidP="00745FEA">
                  <w:pPr>
                    <w:pStyle w:val="TableBodyText"/>
                    <w:ind w:right="57"/>
                  </w:pPr>
                  <w:r w:rsidRPr="006705E8">
                    <w:t>62.8</w:t>
                  </w:r>
                </w:p>
              </w:tc>
              <w:tc>
                <w:tcPr>
                  <w:tcW w:w="464" w:type="pct"/>
                  <w:vAlign w:val="bottom"/>
                </w:tcPr>
                <w:p w:rsidR="00745FEA" w:rsidRPr="006705E8" w:rsidRDefault="00745FEA" w:rsidP="00745FEA">
                  <w:pPr>
                    <w:pStyle w:val="TableBodyText"/>
                    <w:ind w:right="57"/>
                  </w:pPr>
                  <w:r w:rsidRPr="006705E8">
                    <w:t>68.6</w:t>
                  </w:r>
                </w:p>
              </w:tc>
              <w:tc>
                <w:tcPr>
                  <w:tcW w:w="464" w:type="pct"/>
                  <w:vAlign w:val="bottom"/>
                </w:tcPr>
                <w:p w:rsidR="00745FEA" w:rsidRPr="006705E8" w:rsidRDefault="00745FEA" w:rsidP="00745FEA">
                  <w:pPr>
                    <w:pStyle w:val="TableBodyText"/>
                    <w:ind w:right="57"/>
                  </w:pPr>
                  <w:r w:rsidRPr="006705E8">
                    <w:t>68.0</w:t>
                  </w:r>
                </w:p>
              </w:tc>
              <w:tc>
                <w:tcPr>
                  <w:tcW w:w="464" w:type="pct"/>
                  <w:shd w:val="clear" w:color="auto" w:fill="auto"/>
                  <w:vAlign w:val="bottom"/>
                </w:tcPr>
                <w:p w:rsidR="00745FEA" w:rsidRPr="006705E8" w:rsidRDefault="00745FEA" w:rsidP="00745FEA">
                  <w:pPr>
                    <w:pStyle w:val="TableBodyText"/>
                    <w:ind w:right="57"/>
                  </w:pPr>
                  <w:r w:rsidRPr="006705E8">
                    <w:t>70.2</w:t>
                  </w:r>
                </w:p>
              </w:tc>
              <w:tc>
                <w:tcPr>
                  <w:tcW w:w="462" w:type="pct"/>
                  <w:shd w:val="clear" w:color="auto" w:fill="auto"/>
                  <w:vAlign w:val="bottom"/>
                </w:tcPr>
                <w:p w:rsidR="00745FEA" w:rsidRPr="006705E8" w:rsidRDefault="00745FEA" w:rsidP="00745FEA">
                  <w:pPr>
                    <w:pStyle w:val="TableBodyText"/>
                    <w:ind w:right="57"/>
                  </w:pPr>
                  <w:r w:rsidRPr="006705E8">
                    <w:t>73.3</w:t>
                  </w:r>
                </w:p>
              </w:tc>
            </w:tr>
            <w:tr w:rsidR="00745FEA" w:rsidTr="00745FEA">
              <w:tc>
                <w:tcPr>
                  <w:tcW w:w="2217" w:type="pct"/>
                  <w:shd w:val="clear" w:color="auto" w:fill="auto"/>
                </w:tcPr>
                <w:p w:rsidR="00745FEA" w:rsidRPr="00723D6D" w:rsidRDefault="00745FEA" w:rsidP="00745FEA">
                  <w:pPr>
                    <w:pStyle w:val="TableBodyText"/>
                    <w:spacing w:after="0"/>
                    <w:ind w:left="227" w:right="0"/>
                    <w:jc w:val="left"/>
                  </w:pPr>
                  <w:r w:rsidRPr="00723D6D">
                    <w:t xml:space="preserve">Meat and Livestock </w:t>
                  </w:r>
                  <w:r>
                    <w:t>Australia R&amp;D</w:t>
                  </w:r>
                </w:p>
              </w:tc>
              <w:tc>
                <w:tcPr>
                  <w:tcW w:w="464" w:type="pct"/>
                  <w:vAlign w:val="bottom"/>
                </w:tcPr>
                <w:p w:rsidR="00745FEA" w:rsidRPr="006705E8" w:rsidRDefault="00745FEA" w:rsidP="00745FEA">
                  <w:pPr>
                    <w:pStyle w:val="TableBodyText"/>
                    <w:ind w:right="57"/>
                  </w:pPr>
                  <w:r w:rsidRPr="006705E8">
                    <w:t>37.1</w:t>
                  </w:r>
                </w:p>
              </w:tc>
              <w:tc>
                <w:tcPr>
                  <w:tcW w:w="464" w:type="pct"/>
                  <w:vAlign w:val="bottom"/>
                </w:tcPr>
                <w:p w:rsidR="00745FEA" w:rsidRPr="006705E8" w:rsidRDefault="00745FEA" w:rsidP="00745FEA">
                  <w:pPr>
                    <w:pStyle w:val="TableBodyText"/>
                    <w:ind w:right="57"/>
                  </w:pPr>
                  <w:r w:rsidRPr="006705E8">
                    <w:t>38.3</w:t>
                  </w:r>
                </w:p>
              </w:tc>
              <w:tc>
                <w:tcPr>
                  <w:tcW w:w="464" w:type="pct"/>
                  <w:vAlign w:val="bottom"/>
                </w:tcPr>
                <w:p w:rsidR="00745FEA" w:rsidRPr="006705E8" w:rsidRDefault="00745FEA" w:rsidP="00745FEA">
                  <w:pPr>
                    <w:pStyle w:val="TableBodyText"/>
                    <w:ind w:right="57"/>
                  </w:pPr>
                  <w:r w:rsidRPr="006705E8">
                    <w:t>46.7</w:t>
                  </w:r>
                </w:p>
              </w:tc>
              <w:tc>
                <w:tcPr>
                  <w:tcW w:w="464" w:type="pct"/>
                  <w:vAlign w:val="bottom"/>
                </w:tcPr>
                <w:p w:rsidR="00745FEA" w:rsidRPr="006705E8" w:rsidRDefault="00745FEA" w:rsidP="00745FEA">
                  <w:pPr>
                    <w:pStyle w:val="TableBodyText"/>
                    <w:ind w:right="57"/>
                  </w:pPr>
                  <w:r w:rsidRPr="006705E8">
                    <w:t>46.5</w:t>
                  </w:r>
                </w:p>
              </w:tc>
              <w:tc>
                <w:tcPr>
                  <w:tcW w:w="464" w:type="pct"/>
                  <w:shd w:val="clear" w:color="auto" w:fill="auto"/>
                  <w:vAlign w:val="bottom"/>
                </w:tcPr>
                <w:p w:rsidR="00745FEA" w:rsidRPr="006705E8" w:rsidRDefault="00745FEA" w:rsidP="00745FEA">
                  <w:pPr>
                    <w:pStyle w:val="TableBodyText"/>
                    <w:ind w:right="57"/>
                  </w:pPr>
                  <w:r w:rsidRPr="006705E8">
                    <w:t>44.0</w:t>
                  </w:r>
                </w:p>
              </w:tc>
              <w:tc>
                <w:tcPr>
                  <w:tcW w:w="462" w:type="pct"/>
                  <w:shd w:val="clear" w:color="auto" w:fill="auto"/>
                  <w:vAlign w:val="bottom"/>
                </w:tcPr>
                <w:p w:rsidR="00745FEA" w:rsidRPr="006705E8" w:rsidRDefault="00745FEA" w:rsidP="00745FEA">
                  <w:pPr>
                    <w:pStyle w:val="TableBodyText"/>
                    <w:ind w:right="57"/>
                  </w:pPr>
                  <w:r w:rsidRPr="006705E8">
                    <w:t>52.1</w:t>
                  </w:r>
                </w:p>
              </w:tc>
            </w:tr>
            <w:tr w:rsidR="00745FEA" w:rsidTr="00745FEA">
              <w:tc>
                <w:tcPr>
                  <w:tcW w:w="2217" w:type="pct"/>
                  <w:shd w:val="clear" w:color="auto" w:fill="auto"/>
                </w:tcPr>
                <w:p w:rsidR="00745FEA" w:rsidRPr="00723D6D" w:rsidRDefault="00745FEA" w:rsidP="00745FEA">
                  <w:pPr>
                    <w:pStyle w:val="TableBodyText"/>
                    <w:spacing w:after="0"/>
                    <w:ind w:left="227" w:right="0"/>
                    <w:jc w:val="left"/>
                  </w:pPr>
                  <w:r w:rsidRPr="00723D6D">
                    <w:t xml:space="preserve">Rural Industries </w:t>
                  </w:r>
                  <w:r>
                    <w:t>R&amp;D Corporation</w:t>
                  </w:r>
                </w:p>
              </w:tc>
              <w:tc>
                <w:tcPr>
                  <w:tcW w:w="464" w:type="pct"/>
                  <w:vAlign w:val="bottom"/>
                </w:tcPr>
                <w:p w:rsidR="00745FEA" w:rsidRPr="006705E8" w:rsidRDefault="00745FEA" w:rsidP="00745FEA">
                  <w:pPr>
                    <w:pStyle w:val="TableBodyText"/>
                    <w:ind w:right="57"/>
                  </w:pPr>
                  <w:r w:rsidRPr="006705E8">
                    <w:t>1.0</w:t>
                  </w:r>
                </w:p>
              </w:tc>
              <w:tc>
                <w:tcPr>
                  <w:tcW w:w="464" w:type="pct"/>
                  <w:vAlign w:val="bottom"/>
                </w:tcPr>
                <w:p w:rsidR="00745FEA" w:rsidRPr="006705E8" w:rsidRDefault="00745FEA" w:rsidP="00745FEA">
                  <w:pPr>
                    <w:pStyle w:val="TableBodyText"/>
                    <w:ind w:right="57"/>
                  </w:pPr>
                  <w:r w:rsidRPr="006705E8">
                    <w:t>2.6</w:t>
                  </w:r>
                </w:p>
              </w:tc>
              <w:tc>
                <w:tcPr>
                  <w:tcW w:w="464" w:type="pct"/>
                  <w:vAlign w:val="bottom"/>
                </w:tcPr>
                <w:p w:rsidR="00745FEA" w:rsidRPr="006705E8" w:rsidRDefault="00745FEA" w:rsidP="00745FEA">
                  <w:pPr>
                    <w:pStyle w:val="TableBodyText"/>
                    <w:ind w:right="57"/>
                  </w:pPr>
                  <w:r w:rsidRPr="006705E8">
                    <w:t>3.8</w:t>
                  </w:r>
                </w:p>
              </w:tc>
              <w:tc>
                <w:tcPr>
                  <w:tcW w:w="464" w:type="pct"/>
                  <w:vAlign w:val="bottom"/>
                </w:tcPr>
                <w:p w:rsidR="00745FEA" w:rsidRPr="006705E8" w:rsidRDefault="00745FEA" w:rsidP="00745FEA">
                  <w:pPr>
                    <w:pStyle w:val="TableBodyText"/>
                    <w:ind w:right="57"/>
                  </w:pPr>
                  <w:r w:rsidRPr="006705E8">
                    <w:t>4.0</w:t>
                  </w:r>
                </w:p>
              </w:tc>
              <w:tc>
                <w:tcPr>
                  <w:tcW w:w="464" w:type="pct"/>
                  <w:shd w:val="clear" w:color="auto" w:fill="auto"/>
                  <w:vAlign w:val="bottom"/>
                </w:tcPr>
                <w:p w:rsidR="00745FEA" w:rsidRPr="006705E8" w:rsidRDefault="00745FEA" w:rsidP="00745FEA">
                  <w:pPr>
                    <w:pStyle w:val="TableBodyText"/>
                    <w:ind w:right="57"/>
                  </w:pPr>
                  <w:r w:rsidRPr="006705E8">
                    <w:t>3.2</w:t>
                  </w:r>
                </w:p>
              </w:tc>
              <w:tc>
                <w:tcPr>
                  <w:tcW w:w="462" w:type="pct"/>
                  <w:shd w:val="clear" w:color="auto" w:fill="auto"/>
                  <w:vAlign w:val="bottom"/>
                </w:tcPr>
                <w:p w:rsidR="00745FEA" w:rsidRDefault="00745FEA" w:rsidP="00745FEA">
                  <w:pPr>
                    <w:pStyle w:val="TableBodyText"/>
                    <w:ind w:right="57"/>
                  </w:pPr>
                  <w:r w:rsidRPr="006705E8">
                    <w:t>3.8</w:t>
                  </w:r>
                </w:p>
              </w:tc>
            </w:tr>
            <w:tr w:rsidR="00745FEA" w:rsidTr="00745FEA">
              <w:tc>
                <w:tcPr>
                  <w:tcW w:w="2217" w:type="pct"/>
                </w:tcPr>
                <w:p w:rsidR="00745FEA" w:rsidRPr="00906AFF" w:rsidRDefault="00745FEA" w:rsidP="00745FEA">
                  <w:pPr>
                    <w:pStyle w:val="TableUnitsRow"/>
                    <w:spacing w:after="0"/>
                    <w:ind w:left="113"/>
                    <w:jc w:val="left"/>
                    <w:rPr>
                      <w:i/>
                    </w:rPr>
                  </w:pPr>
                  <w:r w:rsidRPr="00906AFF">
                    <w:rPr>
                      <w:i/>
                    </w:rPr>
                    <w:t>General export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vAlign w:val="bottom"/>
                </w:tcPr>
                <w:p w:rsidR="00745FEA" w:rsidRDefault="00745FEA" w:rsidP="00745FEA">
                  <w:pPr>
                    <w:pStyle w:val="TableBodyText"/>
                    <w:ind w:right="57"/>
                  </w:pPr>
                </w:p>
              </w:tc>
            </w:tr>
            <w:tr w:rsidR="00745FEA" w:rsidTr="00745FEA">
              <w:tc>
                <w:tcPr>
                  <w:tcW w:w="2217" w:type="pct"/>
                  <w:shd w:val="clear" w:color="auto" w:fill="auto"/>
                </w:tcPr>
                <w:p w:rsidR="00745FEA" w:rsidRPr="00FF07DD" w:rsidRDefault="00745FEA" w:rsidP="00745FEA">
                  <w:pPr>
                    <w:pStyle w:val="TableBodyText"/>
                    <w:spacing w:after="0"/>
                    <w:ind w:left="227" w:right="0"/>
                    <w:jc w:val="left"/>
                  </w:pPr>
                  <w:r w:rsidRPr="00FF07DD">
                    <w:t>Export Market Development Grants Scheme</w:t>
                  </w:r>
                </w:p>
              </w:tc>
              <w:tc>
                <w:tcPr>
                  <w:tcW w:w="464" w:type="pct"/>
                  <w:vAlign w:val="bottom"/>
                </w:tcPr>
                <w:p w:rsidR="00745FEA" w:rsidRPr="0078183A" w:rsidRDefault="00745FEA" w:rsidP="00745FEA">
                  <w:pPr>
                    <w:pStyle w:val="TableBodyText"/>
                    <w:ind w:right="57"/>
                  </w:pPr>
                  <w:r w:rsidRPr="0078183A">
                    <w:t>0.4</w:t>
                  </w:r>
                </w:p>
              </w:tc>
              <w:tc>
                <w:tcPr>
                  <w:tcW w:w="464" w:type="pct"/>
                  <w:vAlign w:val="bottom"/>
                </w:tcPr>
                <w:p w:rsidR="00745FEA" w:rsidRPr="0078183A" w:rsidRDefault="00745FEA" w:rsidP="00745FEA">
                  <w:pPr>
                    <w:pStyle w:val="TableBodyText"/>
                    <w:ind w:right="57"/>
                  </w:pPr>
                  <w:r w:rsidRPr="0078183A">
                    <w:t>0.4</w:t>
                  </w:r>
                </w:p>
              </w:tc>
              <w:tc>
                <w:tcPr>
                  <w:tcW w:w="464" w:type="pct"/>
                  <w:vAlign w:val="bottom"/>
                </w:tcPr>
                <w:p w:rsidR="00745FEA" w:rsidRPr="0078183A" w:rsidRDefault="00745FEA" w:rsidP="00745FEA">
                  <w:pPr>
                    <w:pStyle w:val="TableBodyText"/>
                    <w:ind w:right="57"/>
                  </w:pPr>
                  <w:r w:rsidRPr="0078183A">
                    <w:t>0.5</w:t>
                  </w:r>
                </w:p>
              </w:tc>
              <w:tc>
                <w:tcPr>
                  <w:tcW w:w="464" w:type="pct"/>
                  <w:vAlign w:val="bottom"/>
                </w:tcPr>
                <w:p w:rsidR="00745FEA" w:rsidRPr="0078183A" w:rsidRDefault="00745FEA" w:rsidP="00745FEA">
                  <w:pPr>
                    <w:pStyle w:val="TableBodyText"/>
                    <w:ind w:right="57"/>
                  </w:pPr>
                  <w:r w:rsidRPr="0078183A">
                    <w:t>0.8</w:t>
                  </w:r>
                </w:p>
              </w:tc>
              <w:tc>
                <w:tcPr>
                  <w:tcW w:w="464" w:type="pct"/>
                  <w:shd w:val="clear" w:color="auto" w:fill="auto"/>
                  <w:vAlign w:val="bottom"/>
                </w:tcPr>
                <w:p w:rsidR="00745FEA" w:rsidRPr="0078183A" w:rsidRDefault="00745FEA" w:rsidP="00745FEA">
                  <w:pPr>
                    <w:pStyle w:val="TableBodyText"/>
                    <w:ind w:right="57"/>
                  </w:pPr>
                  <w:r w:rsidRPr="0078183A">
                    <w:t>0.5</w:t>
                  </w:r>
                </w:p>
              </w:tc>
              <w:tc>
                <w:tcPr>
                  <w:tcW w:w="462" w:type="pct"/>
                  <w:shd w:val="clear" w:color="auto" w:fill="auto"/>
                  <w:vAlign w:val="bottom"/>
                </w:tcPr>
                <w:p w:rsidR="00745FEA" w:rsidRDefault="00745FEA" w:rsidP="00745FEA">
                  <w:pPr>
                    <w:pStyle w:val="TableBodyText"/>
                    <w:ind w:right="57"/>
                  </w:pPr>
                  <w:r w:rsidRPr="0078183A">
                    <w:t>0.7</w:t>
                  </w:r>
                </w:p>
              </w:tc>
            </w:tr>
            <w:tr w:rsidR="00745FEA" w:rsidTr="00745FEA">
              <w:tc>
                <w:tcPr>
                  <w:tcW w:w="2217" w:type="pct"/>
                  <w:shd w:val="clear" w:color="auto" w:fill="auto"/>
                </w:tcPr>
                <w:p w:rsidR="00745FEA" w:rsidRPr="00906AFF" w:rsidRDefault="00745FEA" w:rsidP="00745FEA">
                  <w:pPr>
                    <w:pStyle w:val="TableBodyText"/>
                    <w:spacing w:before="40" w:after="0"/>
                    <w:ind w:left="113"/>
                    <w:jc w:val="left"/>
                    <w:rPr>
                      <w:i/>
                    </w:rPr>
                  </w:pPr>
                  <w:r w:rsidRPr="00906AFF">
                    <w:rPr>
                      <w:i/>
                    </w:rPr>
                    <w:t>General R&amp;D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54637F" w:rsidRDefault="00745FEA" w:rsidP="00745FEA">
                  <w:pPr>
                    <w:pStyle w:val="TableBodyText"/>
                    <w:spacing w:after="0"/>
                    <w:ind w:left="227" w:right="0"/>
                    <w:jc w:val="left"/>
                  </w:pPr>
                  <w:r w:rsidRPr="0054637F">
                    <w:t>Cooperative Research Centres</w:t>
                  </w:r>
                </w:p>
              </w:tc>
              <w:tc>
                <w:tcPr>
                  <w:tcW w:w="464" w:type="pct"/>
                  <w:vAlign w:val="bottom"/>
                </w:tcPr>
                <w:p w:rsidR="00745FEA" w:rsidRPr="00C56032" w:rsidRDefault="00745FEA" w:rsidP="00745FEA">
                  <w:pPr>
                    <w:pStyle w:val="TableBodyText"/>
                    <w:ind w:right="57"/>
                  </w:pPr>
                  <w:r w:rsidRPr="00C56032">
                    <w:t>6.1</w:t>
                  </w:r>
                </w:p>
              </w:tc>
              <w:tc>
                <w:tcPr>
                  <w:tcW w:w="464" w:type="pct"/>
                  <w:vAlign w:val="bottom"/>
                </w:tcPr>
                <w:p w:rsidR="00745FEA" w:rsidRPr="00C56032" w:rsidRDefault="00745FEA" w:rsidP="00745FEA">
                  <w:pPr>
                    <w:pStyle w:val="TableBodyText"/>
                    <w:ind w:right="57"/>
                  </w:pPr>
                  <w:r w:rsidRPr="00C56032">
                    <w:t>3.7</w:t>
                  </w:r>
                </w:p>
              </w:tc>
              <w:tc>
                <w:tcPr>
                  <w:tcW w:w="464" w:type="pct"/>
                  <w:vAlign w:val="bottom"/>
                </w:tcPr>
                <w:p w:rsidR="00745FEA" w:rsidRPr="00C56032" w:rsidRDefault="00745FEA" w:rsidP="00745FEA">
                  <w:pPr>
                    <w:pStyle w:val="TableBodyText"/>
                    <w:ind w:right="57"/>
                  </w:pPr>
                  <w:r w:rsidRPr="00C56032">
                    <w:t>0.2</w:t>
                  </w:r>
                </w:p>
              </w:tc>
              <w:tc>
                <w:tcPr>
                  <w:tcW w:w="464" w:type="pct"/>
                  <w:vAlign w:val="bottom"/>
                </w:tcPr>
                <w:p w:rsidR="00745FEA" w:rsidRPr="00C56032" w:rsidRDefault="00745FEA" w:rsidP="00745FEA">
                  <w:pPr>
                    <w:pStyle w:val="TableBodyText"/>
                    <w:ind w:right="57"/>
                  </w:pPr>
                  <w:r w:rsidRPr="00C56032">
                    <w:t>3.3</w:t>
                  </w:r>
                </w:p>
              </w:tc>
              <w:tc>
                <w:tcPr>
                  <w:tcW w:w="464" w:type="pct"/>
                  <w:shd w:val="clear" w:color="auto" w:fill="auto"/>
                  <w:vAlign w:val="bottom"/>
                </w:tcPr>
                <w:p w:rsidR="00745FEA" w:rsidRPr="00C56032" w:rsidRDefault="00745FEA" w:rsidP="00745FEA">
                  <w:pPr>
                    <w:pStyle w:val="TableBodyText"/>
                    <w:ind w:right="57"/>
                  </w:pPr>
                  <w:r w:rsidRPr="00C56032">
                    <w:t>4.8</w:t>
                  </w:r>
                </w:p>
              </w:tc>
              <w:tc>
                <w:tcPr>
                  <w:tcW w:w="462" w:type="pct"/>
                  <w:shd w:val="clear" w:color="auto" w:fill="auto"/>
                  <w:vAlign w:val="bottom"/>
                </w:tcPr>
                <w:p w:rsidR="00745FEA" w:rsidRPr="00C56032" w:rsidRDefault="00745FEA" w:rsidP="00745FEA">
                  <w:pPr>
                    <w:pStyle w:val="TableBodyText"/>
                    <w:ind w:right="57"/>
                  </w:pPr>
                  <w:r w:rsidRPr="00C56032">
                    <w:t>4.9</w:t>
                  </w:r>
                </w:p>
              </w:tc>
            </w:tr>
            <w:tr w:rsidR="00745FEA" w:rsidTr="00745FEA">
              <w:tc>
                <w:tcPr>
                  <w:tcW w:w="2217" w:type="pct"/>
                  <w:shd w:val="clear" w:color="auto" w:fill="auto"/>
                </w:tcPr>
                <w:p w:rsidR="00745FEA" w:rsidRPr="0054637F" w:rsidRDefault="00745FEA" w:rsidP="00745FEA">
                  <w:pPr>
                    <w:pStyle w:val="TableBodyText"/>
                    <w:spacing w:after="0"/>
                    <w:ind w:left="227" w:right="0"/>
                    <w:jc w:val="left"/>
                  </w:pPr>
                  <w:r w:rsidRPr="0054637F">
                    <w:t>CSIRO</w:t>
                  </w:r>
                </w:p>
              </w:tc>
              <w:tc>
                <w:tcPr>
                  <w:tcW w:w="464" w:type="pct"/>
                  <w:vAlign w:val="bottom"/>
                </w:tcPr>
                <w:p w:rsidR="00745FEA" w:rsidRPr="00C56032" w:rsidRDefault="00745FEA" w:rsidP="00745FEA">
                  <w:pPr>
                    <w:pStyle w:val="TableBodyText"/>
                    <w:ind w:right="57"/>
                  </w:pPr>
                  <w:r w:rsidRPr="00C56032">
                    <w:t>81.9</w:t>
                  </w:r>
                </w:p>
              </w:tc>
              <w:tc>
                <w:tcPr>
                  <w:tcW w:w="464" w:type="pct"/>
                  <w:vAlign w:val="bottom"/>
                </w:tcPr>
                <w:p w:rsidR="00745FEA" w:rsidRPr="00C56032" w:rsidRDefault="00745FEA" w:rsidP="00745FEA">
                  <w:pPr>
                    <w:pStyle w:val="TableBodyText"/>
                    <w:ind w:right="57"/>
                  </w:pPr>
                  <w:r w:rsidRPr="00C56032">
                    <w:t>70.7</w:t>
                  </w:r>
                </w:p>
              </w:tc>
              <w:tc>
                <w:tcPr>
                  <w:tcW w:w="464" w:type="pct"/>
                  <w:vAlign w:val="bottom"/>
                </w:tcPr>
                <w:p w:rsidR="00745FEA" w:rsidRPr="00C56032" w:rsidRDefault="00745FEA" w:rsidP="00745FEA">
                  <w:pPr>
                    <w:pStyle w:val="TableBodyText"/>
                    <w:ind w:right="57"/>
                  </w:pPr>
                  <w:r w:rsidRPr="00C56032">
                    <w:t>81.4</w:t>
                  </w:r>
                </w:p>
              </w:tc>
              <w:tc>
                <w:tcPr>
                  <w:tcW w:w="464" w:type="pct"/>
                  <w:vAlign w:val="bottom"/>
                </w:tcPr>
                <w:p w:rsidR="00745FEA" w:rsidRPr="00C56032" w:rsidRDefault="00745FEA" w:rsidP="00745FEA">
                  <w:pPr>
                    <w:pStyle w:val="TableBodyText"/>
                    <w:ind w:right="57"/>
                  </w:pPr>
                  <w:r w:rsidRPr="00C56032">
                    <w:t>90.7</w:t>
                  </w:r>
                </w:p>
              </w:tc>
              <w:tc>
                <w:tcPr>
                  <w:tcW w:w="464" w:type="pct"/>
                  <w:shd w:val="clear" w:color="auto" w:fill="auto"/>
                  <w:vAlign w:val="bottom"/>
                </w:tcPr>
                <w:p w:rsidR="00745FEA" w:rsidRPr="00C56032" w:rsidRDefault="00745FEA" w:rsidP="00745FEA">
                  <w:pPr>
                    <w:pStyle w:val="TableBodyText"/>
                    <w:ind w:right="57"/>
                  </w:pPr>
                  <w:r w:rsidRPr="00C56032">
                    <w:t>85.0</w:t>
                  </w:r>
                </w:p>
              </w:tc>
              <w:tc>
                <w:tcPr>
                  <w:tcW w:w="462" w:type="pct"/>
                  <w:shd w:val="clear" w:color="auto" w:fill="auto"/>
                  <w:vAlign w:val="bottom"/>
                </w:tcPr>
                <w:p w:rsidR="00745FEA" w:rsidRPr="00C56032" w:rsidRDefault="00745FEA" w:rsidP="00745FEA">
                  <w:pPr>
                    <w:pStyle w:val="TableBodyText"/>
                    <w:ind w:right="57"/>
                  </w:pPr>
                  <w:r w:rsidRPr="00C56032">
                    <w:t>76.0</w:t>
                  </w:r>
                </w:p>
              </w:tc>
            </w:tr>
            <w:tr w:rsidR="00745FEA" w:rsidTr="00745FEA">
              <w:tc>
                <w:tcPr>
                  <w:tcW w:w="2217" w:type="pct"/>
                  <w:shd w:val="clear" w:color="auto" w:fill="auto"/>
                </w:tcPr>
                <w:p w:rsidR="00745FEA" w:rsidRPr="0054637F" w:rsidRDefault="00745FEA" w:rsidP="00745FEA">
                  <w:pPr>
                    <w:pStyle w:val="TableBodyText"/>
                    <w:spacing w:after="0"/>
                    <w:ind w:left="227" w:right="0"/>
                    <w:jc w:val="left"/>
                  </w:pPr>
                  <w:r w:rsidRPr="0054637F">
                    <w:t>R&amp;D Tax Incentive - refundable tax offset</w:t>
                  </w:r>
                </w:p>
              </w:tc>
              <w:tc>
                <w:tcPr>
                  <w:tcW w:w="464" w:type="pct"/>
                  <w:vAlign w:val="bottom"/>
                </w:tcPr>
                <w:p w:rsidR="00745FEA" w:rsidRPr="00C56032" w:rsidRDefault="00745FEA" w:rsidP="00745FEA">
                  <w:pPr>
                    <w:pStyle w:val="TableBodyText"/>
                    <w:ind w:right="57"/>
                  </w:pPr>
                  <w:r w:rsidRPr="00C56032">
                    <w:t>–</w:t>
                  </w:r>
                </w:p>
              </w:tc>
              <w:tc>
                <w:tcPr>
                  <w:tcW w:w="464" w:type="pct"/>
                  <w:vAlign w:val="bottom"/>
                </w:tcPr>
                <w:p w:rsidR="00745FEA" w:rsidRPr="00C56032" w:rsidRDefault="00745FEA" w:rsidP="00745FEA">
                  <w:pPr>
                    <w:pStyle w:val="TableBodyText"/>
                    <w:ind w:right="57"/>
                  </w:pPr>
                  <w:r w:rsidRPr="00C56032">
                    <w:t>3.5</w:t>
                  </w:r>
                </w:p>
              </w:tc>
              <w:tc>
                <w:tcPr>
                  <w:tcW w:w="464" w:type="pct"/>
                  <w:vAlign w:val="bottom"/>
                </w:tcPr>
                <w:p w:rsidR="00745FEA" w:rsidRPr="00C56032" w:rsidRDefault="00745FEA" w:rsidP="00745FEA">
                  <w:pPr>
                    <w:pStyle w:val="TableBodyText"/>
                    <w:ind w:right="57"/>
                  </w:pPr>
                  <w:r w:rsidRPr="00C56032">
                    <w:t>3.4</w:t>
                  </w:r>
                </w:p>
              </w:tc>
              <w:tc>
                <w:tcPr>
                  <w:tcW w:w="464" w:type="pct"/>
                  <w:vAlign w:val="bottom"/>
                </w:tcPr>
                <w:p w:rsidR="00745FEA" w:rsidRPr="00C56032" w:rsidRDefault="00745FEA" w:rsidP="00745FEA">
                  <w:pPr>
                    <w:pStyle w:val="TableBodyText"/>
                    <w:ind w:right="57"/>
                  </w:pPr>
                  <w:r w:rsidRPr="00C56032">
                    <w:t>4.6</w:t>
                  </w:r>
                </w:p>
              </w:tc>
              <w:tc>
                <w:tcPr>
                  <w:tcW w:w="464" w:type="pct"/>
                  <w:shd w:val="clear" w:color="auto" w:fill="auto"/>
                  <w:vAlign w:val="bottom"/>
                </w:tcPr>
                <w:p w:rsidR="00745FEA" w:rsidRPr="00C56032" w:rsidRDefault="00745FEA" w:rsidP="00745FEA">
                  <w:pPr>
                    <w:pStyle w:val="TableBodyText"/>
                    <w:ind w:right="57"/>
                  </w:pPr>
                  <w:r w:rsidRPr="00C56032">
                    <w:t>4.9</w:t>
                  </w:r>
                </w:p>
              </w:tc>
              <w:tc>
                <w:tcPr>
                  <w:tcW w:w="462" w:type="pct"/>
                  <w:shd w:val="clear" w:color="auto" w:fill="auto"/>
                  <w:vAlign w:val="bottom"/>
                </w:tcPr>
                <w:p w:rsidR="00745FEA" w:rsidRPr="00C56032" w:rsidRDefault="00745FEA" w:rsidP="00745FEA">
                  <w:pPr>
                    <w:pStyle w:val="TableBodyText"/>
                    <w:ind w:right="57"/>
                  </w:pPr>
                  <w:r w:rsidRPr="00C56032">
                    <w:t>5.9</w:t>
                  </w:r>
                </w:p>
              </w:tc>
            </w:tr>
            <w:tr w:rsidR="00745FEA" w:rsidTr="00745FEA">
              <w:tc>
                <w:tcPr>
                  <w:tcW w:w="2217" w:type="pct"/>
                  <w:shd w:val="clear" w:color="auto" w:fill="auto"/>
                </w:tcPr>
                <w:p w:rsidR="00745FEA" w:rsidRPr="0054637F" w:rsidRDefault="00745FEA" w:rsidP="00745FEA">
                  <w:pPr>
                    <w:pStyle w:val="TableBodyText"/>
                    <w:spacing w:after="0"/>
                    <w:ind w:left="227" w:right="0"/>
                    <w:jc w:val="left"/>
                  </w:pPr>
                  <w:r w:rsidRPr="0054637F">
                    <w:t>R&amp;D tax offsets - Refundable</w:t>
                  </w:r>
                </w:p>
              </w:tc>
              <w:tc>
                <w:tcPr>
                  <w:tcW w:w="464" w:type="pct"/>
                  <w:vAlign w:val="bottom"/>
                </w:tcPr>
                <w:p w:rsidR="00745FEA" w:rsidRPr="00C56032" w:rsidRDefault="00745FEA" w:rsidP="00745FEA">
                  <w:pPr>
                    <w:pStyle w:val="TableBodyText"/>
                    <w:ind w:right="57"/>
                  </w:pPr>
                  <w:r w:rsidRPr="00C56032">
                    <w:t>3.4</w:t>
                  </w:r>
                </w:p>
              </w:tc>
              <w:tc>
                <w:tcPr>
                  <w:tcW w:w="464" w:type="pct"/>
                  <w:vAlign w:val="bottom"/>
                </w:tcPr>
                <w:p w:rsidR="00745FEA" w:rsidRPr="00C56032" w:rsidRDefault="00745FEA" w:rsidP="00745FEA">
                  <w:pPr>
                    <w:pStyle w:val="TableBodyText"/>
                    <w:ind w:right="57"/>
                  </w:pPr>
                  <w:r w:rsidRPr="00C56032">
                    <w:t>–</w:t>
                  </w:r>
                </w:p>
              </w:tc>
              <w:tc>
                <w:tcPr>
                  <w:tcW w:w="464" w:type="pct"/>
                  <w:vAlign w:val="bottom"/>
                </w:tcPr>
                <w:p w:rsidR="00745FEA" w:rsidRPr="00C56032" w:rsidRDefault="00745FEA" w:rsidP="00745FEA">
                  <w:pPr>
                    <w:pStyle w:val="TableBodyText"/>
                    <w:ind w:right="57"/>
                  </w:pPr>
                  <w:r w:rsidRPr="00C56032">
                    <w:t>–</w:t>
                  </w:r>
                </w:p>
              </w:tc>
              <w:tc>
                <w:tcPr>
                  <w:tcW w:w="464" w:type="pct"/>
                  <w:vAlign w:val="bottom"/>
                </w:tcPr>
                <w:p w:rsidR="00745FEA" w:rsidRPr="00C56032" w:rsidRDefault="00745FEA" w:rsidP="00745FEA">
                  <w:pPr>
                    <w:pStyle w:val="TableBodyText"/>
                    <w:ind w:right="57"/>
                  </w:pPr>
                  <w:r w:rsidRPr="00C56032">
                    <w:t>–</w:t>
                  </w:r>
                </w:p>
              </w:tc>
              <w:tc>
                <w:tcPr>
                  <w:tcW w:w="464" w:type="pct"/>
                  <w:shd w:val="clear" w:color="auto" w:fill="auto"/>
                  <w:vAlign w:val="bottom"/>
                </w:tcPr>
                <w:p w:rsidR="00745FEA" w:rsidRPr="00C56032" w:rsidRDefault="00745FEA" w:rsidP="00745FEA">
                  <w:pPr>
                    <w:pStyle w:val="TableBodyText"/>
                    <w:ind w:right="57"/>
                  </w:pPr>
                  <w:r w:rsidRPr="00C56032">
                    <w:t>–</w:t>
                  </w:r>
                </w:p>
              </w:tc>
              <w:tc>
                <w:tcPr>
                  <w:tcW w:w="462" w:type="pct"/>
                  <w:shd w:val="clear" w:color="auto" w:fill="auto"/>
                  <w:vAlign w:val="bottom"/>
                </w:tcPr>
                <w:p w:rsidR="00745FEA" w:rsidRPr="00C56032" w:rsidRDefault="00745FEA" w:rsidP="00745FEA">
                  <w:pPr>
                    <w:pStyle w:val="TableBodyText"/>
                    <w:ind w:right="57"/>
                  </w:pPr>
                  <w:r w:rsidRPr="00C56032">
                    <w:t>–</w:t>
                  </w:r>
                </w:p>
              </w:tc>
            </w:tr>
            <w:tr w:rsidR="00745FEA" w:rsidTr="00745FEA">
              <w:tc>
                <w:tcPr>
                  <w:tcW w:w="2217" w:type="pct"/>
                  <w:shd w:val="clear" w:color="auto" w:fill="auto"/>
                </w:tcPr>
                <w:p w:rsidR="00745FEA" w:rsidRPr="0054637F" w:rsidRDefault="00745FEA" w:rsidP="00745FEA">
                  <w:pPr>
                    <w:pStyle w:val="TableBodyText"/>
                    <w:spacing w:after="0"/>
                    <w:ind w:left="227" w:right="0"/>
                    <w:jc w:val="left"/>
                  </w:pPr>
                  <w:r w:rsidRPr="0054637F">
                    <w:t>R&amp;D tax concession</w:t>
                  </w:r>
                </w:p>
              </w:tc>
              <w:tc>
                <w:tcPr>
                  <w:tcW w:w="464" w:type="pct"/>
                  <w:vAlign w:val="bottom"/>
                </w:tcPr>
                <w:p w:rsidR="00745FEA" w:rsidRPr="00C56032" w:rsidRDefault="00745FEA" w:rsidP="00745FEA">
                  <w:pPr>
                    <w:pStyle w:val="TableBodyText"/>
                    <w:ind w:right="57"/>
                  </w:pPr>
                  <w:r w:rsidRPr="00C56032">
                    <w:t>2.4</w:t>
                  </w:r>
                </w:p>
              </w:tc>
              <w:tc>
                <w:tcPr>
                  <w:tcW w:w="464" w:type="pct"/>
                  <w:vAlign w:val="bottom"/>
                </w:tcPr>
                <w:p w:rsidR="00745FEA" w:rsidRPr="00C56032" w:rsidRDefault="00745FEA" w:rsidP="00745FEA">
                  <w:pPr>
                    <w:pStyle w:val="TableBodyText"/>
                    <w:ind w:right="57"/>
                  </w:pPr>
                  <w:r w:rsidRPr="00C56032">
                    <w:t>1.1</w:t>
                  </w:r>
                </w:p>
              </w:tc>
              <w:tc>
                <w:tcPr>
                  <w:tcW w:w="464" w:type="pct"/>
                  <w:vAlign w:val="bottom"/>
                </w:tcPr>
                <w:p w:rsidR="00745FEA" w:rsidRPr="00C56032" w:rsidRDefault="00745FEA" w:rsidP="00745FEA">
                  <w:pPr>
                    <w:pStyle w:val="TableBodyText"/>
                    <w:ind w:right="57"/>
                  </w:pPr>
                  <w:r w:rsidRPr="00C56032">
                    <w:t>0.4</w:t>
                  </w:r>
                </w:p>
              </w:tc>
              <w:tc>
                <w:tcPr>
                  <w:tcW w:w="464" w:type="pct"/>
                  <w:vAlign w:val="bottom"/>
                </w:tcPr>
                <w:p w:rsidR="00745FEA" w:rsidRPr="00C56032" w:rsidRDefault="00745FEA" w:rsidP="00745FEA">
                  <w:pPr>
                    <w:pStyle w:val="TableBodyText"/>
                    <w:ind w:right="57"/>
                  </w:pPr>
                  <w:r w:rsidRPr="00C56032">
                    <w:t>0.1</w:t>
                  </w:r>
                </w:p>
              </w:tc>
              <w:tc>
                <w:tcPr>
                  <w:tcW w:w="464" w:type="pct"/>
                  <w:shd w:val="clear" w:color="auto" w:fill="auto"/>
                  <w:vAlign w:val="bottom"/>
                </w:tcPr>
                <w:p w:rsidR="00745FEA" w:rsidRPr="00C56032" w:rsidRDefault="00745FEA" w:rsidP="00745FEA">
                  <w:pPr>
                    <w:pStyle w:val="TableBodyText"/>
                    <w:ind w:right="57"/>
                  </w:pPr>
                  <w:r w:rsidRPr="00C56032">
                    <w:t>–</w:t>
                  </w:r>
                </w:p>
              </w:tc>
              <w:tc>
                <w:tcPr>
                  <w:tcW w:w="462" w:type="pct"/>
                  <w:shd w:val="clear" w:color="auto" w:fill="auto"/>
                  <w:vAlign w:val="bottom"/>
                </w:tcPr>
                <w:p w:rsidR="00745FEA" w:rsidRPr="00C56032" w:rsidRDefault="00745FEA" w:rsidP="00745FEA">
                  <w:pPr>
                    <w:pStyle w:val="TableBodyText"/>
                    <w:ind w:right="57"/>
                  </w:pPr>
                  <w:r w:rsidRPr="00C56032">
                    <w:t>–</w:t>
                  </w:r>
                </w:p>
              </w:tc>
            </w:tr>
            <w:tr w:rsidR="00745FEA" w:rsidTr="00745FEA">
              <w:tc>
                <w:tcPr>
                  <w:tcW w:w="2217" w:type="pct"/>
                  <w:shd w:val="clear" w:color="auto" w:fill="auto"/>
                </w:tcPr>
                <w:p w:rsidR="00745FEA" w:rsidRPr="0054637F" w:rsidRDefault="00745FEA" w:rsidP="00745FEA">
                  <w:pPr>
                    <w:pStyle w:val="TableBodyText"/>
                    <w:spacing w:after="0"/>
                    <w:ind w:left="227" w:right="0"/>
                    <w:jc w:val="left"/>
                  </w:pPr>
                  <w:r w:rsidRPr="0054637F">
                    <w:t>R&amp;D Tax Incentive - non-refundable tax offset</w:t>
                  </w:r>
                </w:p>
              </w:tc>
              <w:tc>
                <w:tcPr>
                  <w:tcW w:w="464" w:type="pct"/>
                  <w:vAlign w:val="bottom"/>
                </w:tcPr>
                <w:p w:rsidR="00745FEA" w:rsidRPr="00C56032" w:rsidRDefault="00745FEA" w:rsidP="00745FEA">
                  <w:pPr>
                    <w:pStyle w:val="TableBodyText"/>
                    <w:ind w:right="57"/>
                  </w:pPr>
                  <w:r w:rsidRPr="00C56032">
                    <w:t>–</w:t>
                  </w:r>
                </w:p>
              </w:tc>
              <w:tc>
                <w:tcPr>
                  <w:tcW w:w="464" w:type="pct"/>
                  <w:vAlign w:val="bottom"/>
                </w:tcPr>
                <w:p w:rsidR="00745FEA" w:rsidRPr="00C56032" w:rsidRDefault="00745FEA" w:rsidP="00745FEA">
                  <w:pPr>
                    <w:pStyle w:val="TableBodyText"/>
                    <w:ind w:right="57"/>
                  </w:pPr>
                  <w:r w:rsidRPr="00C56032">
                    <w:t>4.4</w:t>
                  </w:r>
                </w:p>
              </w:tc>
              <w:tc>
                <w:tcPr>
                  <w:tcW w:w="464" w:type="pct"/>
                  <w:vAlign w:val="bottom"/>
                </w:tcPr>
                <w:p w:rsidR="00745FEA" w:rsidRPr="00C56032" w:rsidRDefault="00745FEA" w:rsidP="00745FEA">
                  <w:pPr>
                    <w:pStyle w:val="TableBodyText"/>
                    <w:ind w:right="57"/>
                  </w:pPr>
                  <w:r w:rsidRPr="00C56032">
                    <w:t>6.4</w:t>
                  </w:r>
                </w:p>
              </w:tc>
              <w:tc>
                <w:tcPr>
                  <w:tcW w:w="464" w:type="pct"/>
                  <w:vAlign w:val="bottom"/>
                </w:tcPr>
                <w:p w:rsidR="00745FEA" w:rsidRPr="00C56032" w:rsidRDefault="00745FEA" w:rsidP="00745FEA">
                  <w:pPr>
                    <w:pStyle w:val="TableBodyText"/>
                    <w:ind w:right="57"/>
                  </w:pPr>
                  <w:r w:rsidRPr="00C56032">
                    <w:t>2.2</w:t>
                  </w:r>
                </w:p>
              </w:tc>
              <w:tc>
                <w:tcPr>
                  <w:tcW w:w="464" w:type="pct"/>
                  <w:shd w:val="clear" w:color="auto" w:fill="auto"/>
                  <w:vAlign w:val="bottom"/>
                </w:tcPr>
                <w:p w:rsidR="00745FEA" w:rsidRPr="00C56032" w:rsidRDefault="00745FEA" w:rsidP="00745FEA">
                  <w:pPr>
                    <w:pStyle w:val="TableBodyText"/>
                    <w:ind w:right="57"/>
                  </w:pPr>
                  <w:r w:rsidRPr="00C56032">
                    <w:t>0.5</w:t>
                  </w:r>
                </w:p>
              </w:tc>
              <w:tc>
                <w:tcPr>
                  <w:tcW w:w="462" w:type="pct"/>
                  <w:shd w:val="clear" w:color="auto" w:fill="auto"/>
                  <w:vAlign w:val="bottom"/>
                </w:tcPr>
                <w:p w:rsidR="00745FEA" w:rsidRDefault="00745FEA" w:rsidP="00745FEA">
                  <w:pPr>
                    <w:pStyle w:val="TableBodyText"/>
                    <w:ind w:right="57"/>
                  </w:pPr>
                  <w:r w:rsidRPr="00C56032">
                    <w:t>1.4</w:t>
                  </w:r>
                </w:p>
              </w:tc>
            </w:tr>
            <w:tr w:rsidR="00745FEA" w:rsidTr="00745FEA">
              <w:tc>
                <w:tcPr>
                  <w:tcW w:w="2217" w:type="pct"/>
                  <w:shd w:val="clear" w:color="auto" w:fill="auto"/>
                </w:tcPr>
                <w:p w:rsidR="00745FEA" w:rsidRPr="005A46FC" w:rsidRDefault="00745FEA" w:rsidP="00745FEA">
                  <w:pPr>
                    <w:pStyle w:val="TableBodyText"/>
                    <w:spacing w:before="40" w:after="0"/>
                    <w:ind w:left="113"/>
                    <w:jc w:val="left"/>
                    <w:rPr>
                      <w:i/>
                    </w:rPr>
                  </w:pPr>
                  <w:r w:rsidRPr="005A46FC">
                    <w:rPr>
                      <w:i/>
                    </w:rPr>
                    <w:t>Other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Enterprise Connect Innovation Centres</w:t>
                  </w:r>
                </w:p>
              </w:tc>
              <w:tc>
                <w:tcPr>
                  <w:tcW w:w="464" w:type="pct"/>
                  <w:vAlign w:val="bottom"/>
                </w:tcPr>
                <w:p w:rsidR="00745FEA" w:rsidRPr="004809F1" w:rsidRDefault="00745FEA" w:rsidP="00745FEA">
                  <w:pPr>
                    <w:pStyle w:val="TableBodyText"/>
                    <w:ind w:right="57"/>
                  </w:pPr>
                  <w:r w:rsidRPr="004809F1">
                    <w:t>&lt;0.1</w:t>
                  </w:r>
                </w:p>
              </w:tc>
              <w:tc>
                <w:tcPr>
                  <w:tcW w:w="464" w:type="pct"/>
                  <w:vAlign w:val="bottom"/>
                </w:tcPr>
                <w:p w:rsidR="00745FEA" w:rsidRPr="004809F1" w:rsidRDefault="00745FEA" w:rsidP="00745FEA">
                  <w:pPr>
                    <w:pStyle w:val="TableBodyText"/>
                    <w:ind w:right="57"/>
                  </w:pPr>
                  <w:r w:rsidRPr="004809F1">
                    <w:t>&lt;0.1</w:t>
                  </w:r>
                </w:p>
              </w:tc>
              <w:tc>
                <w:tcPr>
                  <w:tcW w:w="464" w:type="pct"/>
                  <w:vAlign w:val="bottom"/>
                </w:tcPr>
                <w:p w:rsidR="00745FEA" w:rsidRPr="004809F1" w:rsidRDefault="00745FEA" w:rsidP="00745FEA">
                  <w:pPr>
                    <w:pStyle w:val="TableBodyText"/>
                    <w:ind w:right="57"/>
                  </w:pPr>
                  <w:r w:rsidRPr="004809F1">
                    <w:t>0.1</w:t>
                  </w:r>
                </w:p>
              </w:tc>
              <w:tc>
                <w:tcPr>
                  <w:tcW w:w="464" w:type="pct"/>
                  <w:vAlign w:val="bottom"/>
                </w:tcPr>
                <w:p w:rsidR="00745FEA" w:rsidRPr="004809F1" w:rsidRDefault="00745FEA" w:rsidP="00745FEA">
                  <w:pPr>
                    <w:pStyle w:val="TableBodyText"/>
                    <w:ind w:right="57"/>
                  </w:pPr>
                  <w:r w:rsidRPr="004809F1">
                    <w:t>&lt;0.1</w:t>
                  </w:r>
                </w:p>
              </w:tc>
              <w:tc>
                <w:tcPr>
                  <w:tcW w:w="464" w:type="pct"/>
                  <w:shd w:val="clear" w:color="auto" w:fill="auto"/>
                  <w:vAlign w:val="bottom"/>
                </w:tcPr>
                <w:p w:rsidR="00745FEA" w:rsidRPr="004809F1" w:rsidRDefault="00745FEA" w:rsidP="00745FEA">
                  <w:pPr>
                    <w:pStyle w:val="TableBodyText"/>
                    <w:ind w:right="57"/>
                  </w:pPr>
                  <w:r w:rsidRPr="004809F1">
                    <w:t>–</w:t>
                  </w:r>
                </w:p>
              </w:tc>
              <w:tc>
                <w:tcPr>
                  <w:tcW w:w="462" w:type="pct"/>
                  <w:shd w:val="clear" w:color="auto" w:fill="auto"/>
                  <w:vAlign w:val="bottom"/>
                </w:tcPr>
                <w:p w:rsidR="00745FEA" w:rsidRPr="004809F1" w:rsidRDefault="00745FEA" w:rsidP="00745FEA">
                  <w:pPr>
                    <w:pStyle w:val="TableBodyText"/>
                    <w:ind w:right="57"/>
                  </w:pPr>
                  <w:r w:rsidRPr="004809F1">
                    <w:t>–</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Entrepreneurs’ Infrastructure Programme - Accelerating Commercialisation</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&lt;0.1</w:t>
                  </w:r>
                </w:p>
              </w:tc>
              <w:tc>
                <w:tcPr>
                  <w:tcW w:w="464" w:type="pct"/>
                  <w:shd w:val="clear" w:color="auto" w:fill="auto"/>
                  <w:vAlign w:val="bottom"/>
                </w:tcPr>
                <w:p w:rsidR="00745FEA" w:rsidRPr="004809F1" w:rsidRDefault="00745FEA" w:rsidP="00745FEA">
                  <w:pPr>
                    <w:pStyle w:val="TableBodyText"/>
                    <w:ind w:right="57"/>
                  </w:pPr>
                  <w:r w:rsidRPr="004809F1">
                    <w:t>0.3</w:t>
                  </w:r>
                </w:p>
              </w:tc>
              <w:tc>
                <w:tcPr>
                  <w:tcW w:w="462" w:type="pct"/>
                  <w:shd w:val="clear" w:color="auto" w:fill="auto"/>
                  <w:vAlign w:val="bottom"/>
                </w:tcPr>
                <w:p w:rsidR="00745FEA" w:rsidRPr="004809F1" w:rsidRDefault="00745FEA" w:rsidP="00745FEA">
                  <w:pPr>
                    <w:pStyle w:val="TableBodyText"/>
                    <w:ind w:right="57"/>
                  </w:pPr>
                  <w:r w:rsidRPr="004809F1">
                    <w:t>0.5</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C027F1">
                    <w:t>Entrepreneurs’ Infrastructure Programme - Business Management Skills</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shd w:val="clear" w:color="auto" w:fill="auto"/>
                  <w:vAlign w:val="bottom"/>
                </w:tcPr>
                <w:p w:rsidR="00745FEA" w:rsidRPr="004809F1" w:rsidRDefault="00745FEA" w:rsidP="00745FEA">
                  <w:pPr>
                    <w:pStyle w:val="TableBodyText"/>
                    <w:ind w:right="57"/>
                  </w:pPr>
                  <w:r w:rsidRPr="004809F1">
                    <w:t>–</w:t>
                  </w:r>
                </w:p>
              </w:tc>
              <w:tc>
                <w:tcPr>
                  <w:tcW w:w="462" w:type="pct"/>
                  <w:shd w:val="clear" w:color="auto" w:fill="auto"/>
                  <w:vAlign w:val="bottom"/>
                </w:tcPr>
                <w:p w:rsidR="00745FEA" w:rsidRPr="004809F1" w:rsidRDefault="00745FEA" w:rsidP="00745FEA">
                  <w:pPr>
                    <w:pStyle w:val="TableBodyText"/>
                    <w:ind w:right="57"/>
                  </w:pPr>
                  <w:r w:rsidRPr="004809F1">
                    <w:t>&lt;0.1</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Live Animal Exports Business Assistance</w:t>
                  </w:r>
                </w:p>
              </w:tc>
              <w:tc>
                <w:tcPr>
                  <w:tcW w:w="464" w:type="pct"/>
                  <w:vAlign w:val="bottom"/>
                </w:tcPr>
                <w:p w:rsidR="00745FEA" w:rsidRPr="004809F1" w:rsidRDefault="00745FEA" w:rsidP="00745FEA">
                  <w:pPr>
                    <w:pStyle w:val="TableBodyText"/>
                    <w:ind w:right="57"/>
                  </w:pPr>
                  <w:r w:rsidRPr="004809F1">
                    <w:t>13.3</w:t>
                  </w:r>
                </w:p>
              </w:tc>
              <w:tc>
                <w:tcPr>
                  <w:tcW w:w="464" w:type="pct"/>
                  <w:vAlign w:val="bottom"/>
                </w:tcPr>
                <w:p w:rsidR="00745FEA" w:rsidRPr="004809F1" w:rsidRDefault="00745FEA" w:rsidP="00745FEA">
                  <w:pPr>
                    <w:pStyle w:val="TableBodyText"/>
                    <w:ind w:right="57"/>
                  </w:pPr>
                  <w:r w:rsidRPr="004809F1">
                    <w:t>2.3</w:t>
                  </w:r>
                </w:p>
              </w:tc>
              <w:tc>
                <w:tcPr>
                  <w:tcW w:w="464" w:type="pct"/>
                  <w:vAlign w:val="bottom"/>
                </w:tcPr>
                <w:p w:rsidR="00745FEA" w:rsidRPr="004809F1" w:rsidRDefault="00745FEA" w:rsidP="00745FEA">
                  <w:pPr>
                    <w:pStyle w:val="TableBodyText"/>
                    <w:ind w:right="57"/>
                  </w:pPr>
                  <w:r w:rsidRPr="004809F1">
                    <w:t>3.1</w:t>
                  </w:r>
                </w:p>
              </w:tc>
              <w:tc>
                <w:tcPr>
                  <w:tcW w:w="464" w:type="pct"/>
                  <w:vAlign w:val="bottom"/>
                </w:tcPr>
                <w:p w:rsidR="00745FEA" w:rsidRPr="004809F1" w:rsidRDefault="00745FEA" w:rsidP="00745FEA">
                  <w:pPr>
                    <w:pStyle w:val="TableBodyText"/>
                    <w:ind w:right="57"/>
                  </w:pPr>
                  <w:r w:rsidRPr="004809F1">
                    <w:t>0.3</w:t>
                  </w:r>
                </w:p>
              </w:tc>
              <w:tc>
                <w:tcPr>
                  <w:tcW w:w="464" w:type="pct"/>
                  <w:shd w:val="clear" w:color="auto" w:fill="auto"/>
                  <w:vAlign w:val="bottom"/>
                </w:tcPr>
                <w:p w:rsidR="00745FEA" w:rsidRPr="004809F1" w:rsidRDefault="00745FEA" w:rsidP="00745FEA">
                  <w:pPr>
                    <w:pStyle w:val="TableBodyText"/>
                    <w:ind w:right="57"/>
                  </w:pPr>
                  <w:r w:rsidRPr="004809F1">
                    <w:t>–</w:t>
                  </w:r>
                </w:p>
              </w:tc>
              <w:tc>
                <w:tcPr>
                  <w:tcW w:w="462" w:type="pct"/>
                  <w:shd w:val="clear" w:color="auto" w:fill="auto"/>
                  <w:vAlign w:val="bottom"/>
                </w:tcPr>
                <w:p w:rsidR="00745FEA" w:rsidRPr="004809F1" w:rsidRDefault="00745FEA" w:rsidP="00745FEA">
                  <w:pPr>
                    <w:pStyle w:val="TableBodyText"/>
                    <w:ind w:right="57"/>
                  </w:pPr>
                  <w:r w:rsidRPr="004809F1">
                    <w:t>–</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Temporary Assistance for Tasmanian Exporters</w:t>
                  </w:r>
                </w:p>
              </w:tc>
              <w:tc>
                <w:tcPr>
                  <w:tcW w:w="464" w:type="pct"/>
                  <w:vAlign w:val="bottom"/>
                </w:tcPr>
                <w:p w:rsidR="00745FEA" w:rsidRPr="004809F1" w:rsidRDefault="00745FEA" w:rsidP="00745FEA">
                  <w:pPr>
                    <w:pStyle w:val="TableBodyText"/>
                    <w:ind w:right="57"/>
                  </w:pPr>
                  <w:r w:rsidRPr="004809F1">
                    <w:t>0.1</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shd w:val="clear" w:color="auto" w:fill="auto"/>
                  <w:vAlign w:val="bottom"/>
                </w:tcPr>
                <w:p w:rsidR="00745FEA" w:rsidRPr="004809F1" w:rsidRDefault="00745FEA" w:rsidP="00745FEA">
                  <w:pPr>
                    <w:pStyle w:val="TableBodyText"/>
                    <w:ind w:right="57"/>
                  </w:pPr>
                  <w:r w:rsidRPr="004809F1">
                    <w:t>–</w:t>
                  </w:r>
                </w:p>
              </w:tc>
              <w:tc>
                <w:tcPr>
                  <w:tcW w:w="462" w:type="pct"/>
                  <w:shd w:val="clear" w:color="auto" w:fill="auto"/>
                  <w:vAlign w:val="bottom"/>
                </w:tcPr>
                <w:p w:rsidR="00745FEA" w:rsidRPr="004809F1" w:rsidRDefault="00745FEA" w:rsidP="00745FEA">
                  <w:pPr>
                    <w:pStyle w:val="TableBodyText"/>
                    <w:ind w:right="57"/>
                  </w:pPr>
                  <w:r w:rsidRPr="004809F1">
                    <w:t>–</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Tasmanian Freight Equalisation Scheme</w:t>
                  </w:r>
                </w:p>
              </w:tc>
              <w:tc>
                <w:tcPr>
                  <w:tcW w:w="464" w:type="pct"/>
                  <w:vAlign w:val="bottom"/>
                </w:tcPr>
                <w:p w:rsidR="00745FEA" w:rsidRPr="004809F1" w:rsidRDefault="00745FEA" w:rsidP="00745FEA">
                  <w:pPr>
                    <w:pStyle w:val="TableBodyText"/>
                    <w:ind w:right="57"/>
                  </w:pPr>
                  <w:r w:rsidRPr="004809F1">
                    <w:t>0.8</w:t>
                  </w:r>
                </w:p>
              </w:tc>
              <w:tc>
                <w:tcPr>
                  <w:tcW w:w="464" w:type="pct"/>
                  <w:vAlign w:val="bottom"/>
                </w:tcPr>
                <w:p w:rsidR="00745FEA" w:rsidRPr="004809F1" w:rsidRDefault="00745FEA" w:rsidP="00745FEA">
                  <w:pPr>
                    <w:pStyle w:val="TableBodyText"/>
                    <w:ind w:right="57"/>
                  </w:pPr>
                  <w:r w:rsidRPr="004809F1">
                    <w:t>0.9</w:t>
                  </w:r>
                </w:p>
              </w:tc>
              <w:tc>
                <w:tcPr>
                  <w:tcW w:w="464" w:type="pct"/>
                  <w:vAlign w:val="bottom"/>
                </w:tcPr>
                <w:p w:rsidR="00745FEA" w:rsidRPr="004809F1" w:rsidRDefault="00745FEA" w:rsidP="00745FEA">
                  <w:pPr>
                    <w:pStyle w:val="TableBodyText"/>
                    <w:ind w:right="57"/>
                  </w:pPr>
                  <w:r w:rsidRPr="004809F1">
                    <w:t>0.9</w:t>
                  </w:r>
                </w:p>
              </w:tc>
              <w:tc>
                <w:tcPr>
                  <w:tcW w:w="464" w:type="pct"/>
                  <w:vAlign w:val="bottom"/>
                </w:tcPr>
                <w:p w:rsidR="00745FEA" w:rsidRPr="004809F1" w:rsidRDefault="00745FEA" w:rsidP="00745FEA">
                  <w:pPr>
                    <w:pStyle w:val="TableBodyText"/>
                    <w:ind w:right="57"/>
                  </w:pPr>
                  <w:r w:rsidRPr="004809F1">
                    <w:t>0.9</w:t>
                  </w:r>
                </w:p>
              </w:tc>
              <w:tc>
                <w:tcPr>
                  <w:tcW w:w="464" w:type="pct"/>
                  <w:shd w:val="clear" w:color="auto" w:fill="auto"/>
                  <w:vAlign w:val="bottom"/>
                </w:tcPr>
                <w:p w:rsidR="00745FEA" w:rsidRPr="004809F1" w:rsidRDefault="00745FEA" w:rsidP="00745FEA">
                  <w:pPr>
                    <w:pStyle w:val="TableBodyText"/>
                    <w:ind w:right="57"/>
                  </w:pPr>
                  <w:r w:rsidRPr="004809F1">
                    <w:t>1.1</w:t>
                  </w:r>
                </w:p>
              </w:tc>
              <w:tc>
                <w:tcPr>
                  <w:tcW w:w="462" w:type="pct"/>
                  <w:shd w:val="clear" w:color="auto" w:fill="auto"/>
                  <w:vAlign w:val="bottom"/>
                </w:tcPr>
                <w:p w:rsidR="00745FEA" w:rsidRPr="004809F1" w:rsidRDefault="00745FEA" w:rsidP="00745FEA">
                  <w:pPr>
                    <w:pStyle w:val="TableBodyText"/>
                    <w:ind w:right="57"/>
                  </w:pPr>
                  <w:r w:rsidRPr="004809F1">
                    <w:t>1.2</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 xml:space="preserve">Small business </w:t>
                  </w:r>
                  <w:r>
                    <w:t>capital gains tax</w:t>
                  </w:r>
                  <w:r w:rsidRPr="00494E8E">
                    <w:t xml:space="preserve"> rollover deferral</w:t>
                  </w:r>
                </w:p>
              </w:tc>
              <w:tc>
                <w:tcPr>
                  <w:tcW w:w="464" w:type="pct"/>
                  <w:vAlign w:val="bottom"/>
                </w:tcPr>
                <w:p w:rsidR="00745FEA" w:rsidRPr="004809F1" w:rsidRDefault="00745FEA" w:rsidP="00745FEA">
                  <w:pPr>
                    <w:pStyle w:val="TableBodyText"/>
                    <w:ind w:right="57"/>
                  </w:pPr>
                  <w:r w:rsidRPr="004809F1">
                    <w:t>7.8</w:t>
                  </w:r>
                </w:p>
              </w:tc>
              <w:tc>
                <w:tcPr>
                  <w:tcW w:w="464" w:type="pct"/>
                  <w:vAlign w:val="bottom"/>
                </w:tcPr>
                <w:p w:rsidR="00745FEA" w:rsidRPr="004809F1" w:rsidRDefault="00745FEA" w:rsidP="00745FEA">
                  <w:pPr>
                    <w:pStyle w:val="TableBodyText"/>
                    <w:ind w:right="57"/>
                  </w:pPr>
                  <w:r w:rsidRPr="004809F1">
                    <w:t>9.2</w:t>
                  </w:r>
                </w:p>
              </w:tc>
              <w:tc>
                <w:tcPr>
                  <w:tcW w:w="464" w:type="pct"/>
                  <w:vAlign w:val="bottom"/>
                </w:tcPr>
                <w:p w:rsidR="00745FEA" w:rsidRPr="004809F1" w:rsidRDefault="00745FEA" w:rsidP="00745FEA">
                  <w:pPr>
                    <w:pStyle w:val="TableBodyText"/>
                    <w:ind w:right="57"/>
                  </w:pPr>
                  <w:r w:rsidRPr="004809F1">
                    <w:t>9.7</w:t>
                  </w:r>
                </w:p>
              </w:tc>
              <w:tc>
                <w:tcPr>
                  <w:tcW w:w="464" w:type="pct"/>
                  <w:vAlign w:val="bottom"/>
                </w:tcPr>
                <w:p w:rsidR="00745FEA" w:rsidRPr="004809F1" w:rsidRDefault="00745FEA" w:rsidP="00745FEA">
                  <w:pPr>
                    <w:pStyle w:val="TableBodyText"/>
                    <w:ind w:right="57"/>
                  </w:pPr>
                  <w:r w:rsidRPr="004809F1">
                    <w:t>16.9</w:t>
                  </w:r>
                </w:p>
              </w:tc>
              <w:tc>
                <w:tcPr>
                  <w:tcW w:w="464" w:type="pct"/>
                  <w:shd w:val="clear" w:color="auto" w:fill="auto"/>
                  <w:vAlign w:val="bottom"/>
                </w:tcPr>
                <w:p w:rsidR="00745FEA" w:rsidRPr="004809F1" w:rsidRDefault="00745FEA" w:rsidP="00745FEA">
                  <w:pPr>
                    <w:pStyle w:val="TableBodyText"/>
                    <w:ind w:right="57"/>
                  </w:pPr>
                  <w:r w:rsidRPr="004809F1">
                    <w:t>16.3</w:t>
                  </w:r>
                </w:p>
              </w:tc>
              <w:tc>
                <w:tcPr>
                  <w:tcW w:w="462" w:type="pct"/>
                  <w:shd w:val="clear" w:color="auto" w:fill="auto"/>
                  <w:vAlign w:val="bottom"/>
                </w:tcPr>
                <w:p w:rsidR="00745FEA" w:rsidRPr="004809F1" w:rsidRDefault="00745FEA" w:rsidP="00745FEA">
                  <w:pPr>
                    <w:pStyle w:val="TableBodyText"/>
                    <w:ind w:right="57"/>
                  </w:pPr>
                  <w:r w:rsidRPr="004809F1">
                    <w:t>25.4</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The Small Business and General Business Tax Break</w:t>
                  </w:r>
                </w:p>
              </w:tc>
              <w:tc>
                <w:tcPr>
                  <w:tcW w:w="464" w:type="pct"/>
                  <w:vAlign w:val="bottom"/>
                </w:tcPr>
                <w:p w:rsidR="00745FEA" w:rsidRPr="004809F1" w:rsidRDefault="00745FEA" w:rsidP="00745FEA">
                  <w:pPr>
                    <w:pStyle w:val="TableBodyText"/>
                    <w:ind w:right="57"/>
                  </w:pPr>
                  <w:r w:rsidRPr="004809F1">
                    <w:t>57.7</w:t>
                  </w:r>
                </w:p>
              </w:tc>
              <w:tc>
                <w:tcPr>
                  <w:tcW w:w="464" w:type="pct"/>
                  <w:vAlign w:val="bottom"/>
                </w:tcPr>
                <w:p w:rsidR="00745FEA" w:rsidRPr="004809F1" w:rsidRDefault="00745FEA" w:rsidP="00745FEA">
                  <w:pPr>
                    <w:pStyle w:val="TableBodyText"/>
                    <w:ind w:right="57"/>
                  </w:pPr>
                  <w:r w:rsidRPr="004809F1">
                    <w:t>20.0</w:t>
                  </w:r>
                </w:p>
              </w:tc>
              <w:tc>
                <w:tcPr>
                  <w:tcW w:w="464" w:type="pct"/>
                  <w:vAlign w:val="bottom"/>
                </w:tcPr>
                <w:p w:rsidR="00745FEA" w:rsidRPr="004809F1" w:rsidRDefault="00745FEA" w:rsidP="00745FEA">
                  <w:pPr>
                    <w:pStyle w:val="TableBodyText"/>
                    <w:ind w:right="57"/>
                  </w:pPr>
                  <w:r w:rsidRPr="004809F1">
                    <w:t>2.4</w:t>
                  </w:r>
                </w:p>
              </w:tc>
              <w:tc>
                <w:tcPr>
                  <w:tcW w:w="464" w:type="pct"/>
                  <w:vAlign w:val="bottom"/>
                </w:tcPr>
                <w:p w:rsidR="00745FEA" w:rsidRPr="004809F1" w:rsidRDefault="00745FEA" w:rsidP="00745FEA">
                  <w:pPr>
                    <w:pStyle w:val="TableBodyText"/>
                    <w:ind w:right="57"/>
                  </w:pPr>
                  <w:r w:rsidRPr="004809F1">
                    <w:t>–</w:t>
                  </w:r>
                </w:p>
              </w:tc>
              <w:tc>
                <w:tcPr>
                  <w:tcW w:w="464" w:type="pct"/>
                  <w:shd w:val="clear" w:color="auto" w:fill="auto"/>
                  <w:vAlign w:val="bottom"/>
                </w:tcPr>
                <w:p w:rsidR="00745FEA" w:rsidRPr="004809F1" w:rsidRDefault="00745FEA" w:rsidP="00745FEA">
                  <w:pPr>
                    <w:pStyle w:val="TableBodyText"/>
                    <w:ind w:right="57"/>
                  </w:pPr>
                  <w:r w:rsidRPr="004809F1">
                    <w:t>–</w:t>
                  </w:r>
                </w:p>
              </w:tc>
              <w:tc>
                <w:tcPr>
                  <w:tcW w:w="462" w:type="pct"/>
                  <w:shd w:val="clear" w:color="auto" w:fill="auto"/>
                  <w:vAlign w:val="bottom"/>
                </w:tcPr>
                <w:p w:rsidR="00745FEA" w:rsidRPr="004809F1" w:rsidRDefault="00745FEA" w:rsidP="00745FEA">
                  <w:pPr>
                    <w:pStyle w:val="TableBodyText"/>
                    <w:ind w:right="57"/>
                  </w:pPr>
                  <w:r w:rsidRPr="004809F1">
                    <w:t>–</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Small Business - Simplified depreciation rules</w:t>
                  </w:r>
                </w:p>
              </w:tc>
              <w:tc>
                <w:tcPr>
                  <w:tcW w:w="464" w:type="pct"/>
                  <w:vAlign w:val="bottom"/>
                </w:tcPr>
                <w:p w:rsidR="00745FEA" w:rsidRPr="004809F1" w:rsidRDefault="00745FEA" w:rsidP="00745FEA">
                  <w:pPr>
                    <w:pStyle w:val="TableBodyText"/>
                    <w:ind w:right="57"/>
                  </w:pPr>
                  <w:r w:rsidRPr="004809F1">
                    <w:t>0.5</w:t>
                  </w:r>
                </w:p>
              </w:tc>
              <w:tc>
                <w:tcPr>
                  <w:tcW w:w="464" w:type="pct"/>
                  <w:vAlign w:val="bottom"/>
                </w:tcPr>
                <w:p w:rsidR="00745FEA" w:rsidRPr="004809F1" w:rsidRDefault="00745FEA" w:rsidP="00745FEA">
                  <w:pPr>
                    <w:pStyle w:val="TableBodyText"/>
                    <w:ind w:right="57"/>
                  </w:pPr>
                  <w:r w:rsidRPr="004809F1">
                    <w:t>-2.8</w:t>
                  </w:r>
                </w:p>
              </w:tc>
              <w:tc>
                <w:tcPr>
                  <w:tcW w:w="464" w:type="pct"/>
                  <w:vAlign w:val="bottom"/>
                </w:tcPr>
                <w:p w:rsidR="00745FEA" w:rsidRPr="004809F1" w:rsidRDefault="00745FEA" w:rsidP="00745FEA">
                  <w:pPr>
                    <w:pStyle w:val="TableBodyText"/>
                    <w:ind w:right="57"/>
                  </w:pPr>
                  <w:r w:rsidRPr="004809F1">
                    <w:t>10.3</w:t>
                  </w:r>
                </w:p>
              </w:tc>
              <w:tc>
                <w:tcPr>
                  <w:tcW w:w="464" w:type="pct"/>
                  <w:vAlign w:val="bottom"/>
                </w:tcPr>
                <w:p w:rsidR="00745FEA" w:rsidRPr="004809F1" w:rsidRDefault="00745FEA" w:rsidP="00745FEA">
                  <w:pPr>
                    <w:pStyle w:val="TableBodyText"/>
                    <w:ind w:right="57"/>
                  </w:pPr>
                  <w:r w:rsidRPr="004809F1">
                    <w:t>-5.1</w:t>
                  </w:r>
                </w:p>
              </w:tc>
              <w:tc>
                <w:tcPr>
                  <w:tcW w:w="464" w:type="pct"/>
                  <w:shd w:val="clear" w:color="auto" w:fill="auto"/>
                  <w:vAlign w:val="bottom"/>
                </w:tcPr>
                <w:p w:rsidR="00745FEA" w:rsidRPr="004809F1" w:rsidRDefault="00745FEA" w:rsidP="00745FEA">
                  <w:pPr>
                    <w:pStyle w:val="TableBodyText"/>
                    <w:ind w:right="57"/>
                  </w:pPr>
                  <w:r w:rsidRPr="004809F1">
                    <w:t>-9.8</w:t>
                  </w:r>
                </w:p>
              </w:tc>
              <w:tc>
                <w:tcPr>
                  <w:tcW w:w="462" w:type="pct"/>
                  <w:shd w:val="clear" w:color="auto" w:fill="auto"/>
                  <w:vAlign w:val="bottom"/>
                </w:tcPr>
                <w:p w:rsidR="00745FEA" w:rsidRPr="004809F1" w:rsidRDefault="00745FEA" w:rsidP="00745FEA">
                  <w:pPr>
                    <w:pStyle w:val="TableBodyText"/>
                    <w:ind w:right="57"/>
                  </w:pPr>
                  <w:r w:rsidRPr="004809F1">
                    <w:t>51.7</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 xml:space="preserve">Small business </w:t>
                  </w:r>
                  <w:r>
                    <w:t>capital gains tax</w:t>
                  </w:r>
                  <w:r w:rsidRPr="00494E8E">
                    <w:t xml:space="preserve"> 15-year asset exemption</w:t>
                  </w:r>
                </w:p>
              </w:tc>
              <w:tc>
                <w:tcPr>
                  <w:tcW w:w="464" w:type="pct"/>
                  <w:vAlign w:val="bottom"/>
                </w:tcPr>
                <w:p w:rsidR="00745FEA" w:rsidRPr="004809F1" w:rsidRDefault="00745FEA" w:rsidP="00745FEA">
                  <w:pPr>
                    <w:pStyle w:val="TableBodyText"/>
                    <w:ind w:right="57"/>
                  </w:pPr>
                  <w:r w:rsidRPr="004809F1">
                    <w:t>13.3</w:t>
                  </w:r>
                </w:p>
              </w:tc>
              <w:tc>
                <w:tcPr>
                  <w:tcW w:w="464" w:type="pct"/>
                  <w:vAlign w:val="bottom"/>
                </w:tcPr>
                <w:p w:rsidR="00745FEA" w:rsidRPr="004809F1" w:rsidRDefault="00745FEA" w:rsidP="00745FEA">
                  <w:pPr>
                    <w:pStyle w:val="TableBodyText"/>
                    <w:ind w:right="57"/>
                  </w:pPr>
                  <w:r w:rsidRPr="004809F1">
                    <w:t>13.8</w:t>
                  </w:r>
                </w:p>
              </w:tc>
              <w:tc>
                <w:tcPr>
                  <w:tcW w:w="464" w:type="pct"/>
                  <w:vAlign w:val="bottom"/>
                </w:tcPr>
                <w:p w:rsidR="00745FEA" w:rsidRPr="004809F1" w:rsidRDefault="00745FEA" w:rsidP="00745FEA">
                  <w:pPr>
                    <w:pStyle w:val="TableBodyText"/>
                    <w:ind w:right="57"/>
                  </w:pPr>
                  <w:r w:rsidRPr="004809F1">
                    <w:t>15.8</w:t>
                  </w:r>
                </w:p>
              </w:tc>
              <w:tc>
                <w:tcPr>
                  <w:tcW w:w="464" w:type="pct"/>
                  <w:vAlign w:val="bottom"/>
                </w:tcPr>
                <w:p w:rsidR="00745FEA" w:rsidRPr="004809F1" w:rsidRDefault="00745FEA" w:rsidP="00745FEA">
                  <w:pPr>
                    <w:pStyle w:val="TableBodyText"/>
                    <w:ind w:right="57"/>
                  </w:pPr>
                  <w:r w:rsidRPr="004809F1">
                    <w:t>30.5</w:t>
                  </w:r>
                </w:p>
              </w:tc>
              <w:tc>
                <w:tcPr>
                  <w:tcW w:w="464" w:type="pct"/>
                  <w:shd w:val="clear" w:color="auto" w:fill="auto"/>
                  <w:vAlign w:val="bottom"/>
                </w:tcPr>
                <w:p w:rsidR="00745FEA" w:rsidRPr="004809F1" w:rsidRDefault="00745FEA" w:rsidP="00745FEA">
                  <w:pPr>
                    <w:pStyle w:val="TableBodyText"/>
                    <w:ind w:right="57"/>
                  </w:pPr>
                  <w:r w:rsidRPr="004809F1">
                    <w:t>32.4</w:t>
                  </w:r>
                </w:p>
              </w:tc>
              <w:tc>
                <w:tcPr>
                  <w:tcW w:w="462" w:type="pct"/>
                  <w:shd w:val="clear" w:color="auto" w:fill="auto"/>
                  <w:vAlign w:val="bottom"/>
                </w:tcPr>
                <w:p w:rsidR="00745FEA" w:rsidRPr="004809F1" w:rsidRDefault="00745FEA" w:rsidP="00745FEA">
                  <w:pPr>
                    <w:pStyle w:val="TableBodyText"/>
                    <w:ind w:right="57"/>
                  </w:pPr>
                  <w:r w:rsidRPr="004809F1">
                    <w:t>42.1</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 xml:space="preserve">Small business </w:t>
                  </w:r>
                  <w:r>
                    <w:t>capital gains tax</w:t>
                  </w:r>
                  <w:r w:rsidRPr="00494E8E">
                    <w:t xml:space="preserve"> retirement exemption</w:t>
                  </w:r>
                </w:p>
              </w:tc>
              <w:tc>
                <w:tcPr>
                  <w:tcW w:w="464" w:type="pct"/>
                  <w:vAlign w:val="bottom"/>
                </w:tcPr>
                <w:p w:rsidR="00745FEA" w:rsidRPr="004809F1" w:rsidRDefault="00745FEA" w:rsidP="00745FEA">
                  <w:pPr>
                    <w:pStyle w:val="TableBodyText"/>
                    <w:ind w:right="57"/>
                  </w:pPr>
                  <w:r w:rsidRPr="004809F1">
                    <w:t>12.2</w:t>
                  </w:r>
                </w:p>
              </w:tc>
              <w:tc>
                <w:tcPr>
                  <w:tcW w:w="464" w:type="pct"/>
                  <w:vAlign w:val="bottom"/>
                </w:tcPr>
                <w:p w:rsidR="00745FEA" w:rsidRPr="004809F1" w:rsidRDefault="00745FEA" w:rsidP="00745FEA">
                  <w:pPr>
                    <w:pStyle w:val="TableBodyText"/>
                    <w:ind w:right="57"/>
                  </w:pPr>
                  <w:r w:rsidRPr="004809F1">
                    <w:t>12.5</w:t>
                  </w:r>
                </w:p>
              </w:tc>
              <w:tc>
                <w:tcPr>
                  <w:tcW w:w="464" w:type="pct"/>
                  <w:vAlign w:val="bottom"/>
                </w:tcPr>
                <w:p w:rsidR="00745FEA" w:rsidRPr="004809F1" w:rsidRDefault="00745FEA" w:rsidP="00745FEA">
                  <w:pPr>
                    <w:pStyle w:val="TableBodyText"/>
                    <w:ind w:right="57"/>
                  </w:pPr>
                  <w:r w:rsidRPr="004809F1">
                    <w:t>12.8</w:t>
                  </w:r>
                </w:p>
              </w:tc>
              <w:tc>
                <w:tcPr>
                  <w:tcW w:w="464" w:type="pct"/>
                  <w:vAlign w:val="bottom"/>
                </w:tcPr>
                <w:p w:rsidR="00745FEA" w:rsidRPr="004809F1" w:rsidRDefault="00745FEA" w:rsidP="00745FEA">
                  <w:pPr>
                    <w:pStyle w:val="TableBodyText"/>
                    <w:ind w:right="57"/>
                  </w:pPr>
                  <w:r w:rsidRPr="004809F1">
                    <w:t>22.5</w:t>
                  </w:r>
                </w:p>
              </w:tc>
              <w:tc>
                <w:tcPr>
                  <w:tcW w:w="464" w:type="pct"/>
                  <w:shd w:val="clear" w:color="auto" w:fill="auto"/>
                  <w:vAlign w:val="bottom"/>
                </w:tcPr>
                <w:p w:rsidR="00745FEA" w:rsidRPr="004809F1" w:rsidRDefault="00745FEA" w:rsidP="00745FEA">
                  <w:pPr>
                    <w:pStyle w:val="TableBodyText"/>
                    <w:ind w:right="57"/>
                  </w:pPr>
                  <w:r w:rsidRPr="004809F1">
                    <w:t>24.6</w:t>
                  </w:r>
                </w:p>
              </w:tc>
              <w:tc>
                <w:tcPr>
                  <w:tcW w:w="462" w:type="pct"/>
                  <w:shd w:val="clear" w:color="auto" w:fill="auto"/>
                  <w:vAlign w:val="bottom"/>
                </w:tcPr>
                <w:p w:rsidR="00745FEA" w:rsidRPr="004809F1" w:rsidRDefault="00745FEA" w:rsidP="00745FEA">
                  <w:pPr>
                    <w:pStyle w:val="TableBodyText"/>
                    <w:ind w:right="57"/>
                  </w:pPr>
                  <w:r w:rsidRPr="004809F1">
                    <w:t>22.4</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 xml:space="preserve">Small business </w:t>
                  </w:r>
                  <w:r>
                    <w:t>capital gains tax</w:t>
                  </w:r>
                  <w:r w:rsidRPr="00494E8E">
                    <w:t xml:space="preserve"> 50 per cent reduction</w:t>
                  </w:r>
                </w:p>
              </w:tc>
              <w:tc>
                <w:tcPr>
                  <w:tcW w:w="464" w:type="pct"/>
                  <w:vAlign w:val="bottom"/>
                </w:tcPr>
                <w:p w:rsidR="00745FEA" w:rsidRPr="004809F1" w:rsidRDefault="00745FEA" w:rsidP="00745FEA">
                  <w:pPr>
                    <w:pStyle w:val="TableBodyText"/>
                    <w:ind w:right="57"/>
                  </w:pPr>
                  <w:r w:rsidRPr="004809F1">
                    <w:t>18.8</w:t>
                  </w:r>
                </w:p>
              </w:tc>
              <w:tc>
                <w:tcPr>
                  <w:tcW w:w="464" w:type="pct"/>
                  <w:vAlign w:val="bottom"/>
                </w:tcPr>
                <w:p w:rsidR="00745FEA" w:rsidRPr="004809F1" w:rsidRDefault="00745FEA" w:rsidP="00745FEA">
                  <w:pPr>
                    <w:pStyle w:val="TableBodyText"/>
                    <w:ind w:right="57"/>
                  </w:pPr>
                  <w:r w:rsidRPr="004809F1">
                    <w:t>19.8</w:t>
                  </w:r>
                </w:p>
              </w:tc>
              <w:tc>
                <w:tcPr>
                  <w:tcW w:w="464" w:type="pct"/>
                  <w:vAlign w:val="bottom"/>
                </w:tcPr>
                <w:p w:rsidR="00745FEA" w:rsidRPr="004809F1" w:rsidRDefault="00745FEA" w:rsidP="00745FEA">
                  <w:pPr>
                    <w:pStyle w:val="TableBodyText"/>
                    <w:ind w:right="57"/>
                  </w:pPr>
                  <w:r w:rsidRPr="004809F1">
                    <w:t>19.8</w:t>
                  </w:r>
                </w:p>
              </w:tc>
              <w:tc>
                <w:tcPr>
                  <w:tcW w:w="464" w:type="pct"/>
                  <w:vAlign w:val="bottom"/>
                </w:tcPr>
                <w:p w:rsidR="00745FEA" w:rsidRPr="004809F1" w:rsidRDefault="00745FEA" w:rsidP="00745FEA">
                  <w:pPr>
                    <w:pStyle w:val="TableBodyText"/>
                    <w:ind w:right="57"/>
                  </w:pPr>
                  <w:r w:rsidRPr="004809F1">
                    <w:t>34.6</w:t>
                  </w:r>
                </w:p>
              </w:tc>
              <w:tc>
                <w:tcPr>
                  <w:tcW w:w="464" w:type="pct"/>
                  <w:shd w:val="clear" w:color="auto" w:fill="auto"/>
                  <w:vAlign w:val="bottom"/>
                </w:tcPr>
                <w:p w:rsidR="00745FEA" w:rsidRPr="004809F1" w:rsidRDefault="00745FEA" w:rsidP="00745FEA">
                  <w:pPr>
                    <w:pStyle w:val="TableBodyText"/>
                    <w:ind w:right="57"/>
                  </w:pPr>
                  <w:r w:rsidRPr="004809F1">
                    <w:t>32.0</w:t>
                  </w:r>
                </w:p>
              </w:tc>
              <w:tc>
                <w:tcPr>
                  <w:tcW w:w="462" w:type="pct"/>
                  <w:shd w:val="clear" w:color="auto" w:fill="auto"/>
                  <w:vAlign w:val="bottom"/>
                </w:tcPr>
                <w:p w:rsidR="00745FEA" w:rsidRPr="004809F1" w:rsidRDefault="00745FEA" w:rsidP="00745FEA">
                  <w:pPr>
                    <w:pStyle w:val="TableBodyText"/>
                    <w:ind w:right="57"/>
                  </w:pPr>
                  <w:r w:rsidRPr="004809F1">
                    <w:t>40.7</w:t>
                  </w:r>
                </w:p>
              </w:tc>
            </w:tr>
            <w:tr w:rsidR="00745FEA" w:rsidTr="00745FEA">
              <w:tc>
                <w:tcPr>
                  <w:tcW w:w="2217" w:type="pct"/>
                  <w:shd w:val="clear" w:color="auto" w:fill="auto"/>
                </w:tcPr>
                <w:p w:rsidR="00745FEA" w:rsidRPr="00494E8E" w:rsidRDefault="00745FEA" w:rsidP="00745FEA">
                  <w:pPr>
                    <w:pStyle w:val="TableBodyText"/>
                    <w:spacing w:after="0"/>
                    <w:ind w:left="227" w:right="0"/>
                    <w:jc w:val="left"/>
                  </w:pPr>
                  <w:r w:rsidRPr="00494E8E">
                    <w:t>25 per cent entrepreneurs' tax offset</w:t>
                  </w:r>
                </w:p>
              </w:tc>
              <w:tc>
                <w:tcPr>
                  <w:tcW w:w="464" w:type="pct"/>
                  <w:vAlign w:val="bottom"/>
                </w:tcPr>
                <w:p w:rsidR="00745FEA" w:rsidRPr="004809F1" w:rsidRDefault="00745FEA" w:rsidP="00745FEA">
                  <w:pPr>
                    <w:pStyle w:val="TableBodyText"/>
                    <w:ind w:right="57"/>
                  </w:pPr>
                  <w:r w:rsidRPr="004809F1">
                    <w:t>1.6</w:t>
                  </w:r>
                </w:p>
              </w:tc>
              <w:tc>
                <w:tcPr>
                  <w:tcW w:w="464" w:type="pct"/>
                  <w:vAlign w:val="bottom"/>
                </w:tcPr>
                <w:p w:rsidR="00745FEA" w:rsidRPr="004809F1" w:rsidRDefault="00745FEA" w:rsidP="00745FEA">
                  <w:pPr>
                    <w:pStyle w:val="TableBodyText"/>
                    <w:ind w:right="57"/>
                  </w:pPr>
                  <w:r w:rsidRPr="004809F1">
                    <w:t>1.3</w:t>
                  </w:r>
                </w:p>
              </w:tc>
              <w:tc>
                <w:tcPr>
                  <w:tcW w:w="464" w:type="pct"/>
                  <w:vAlign w:val="bottom"/>
                </w:tcPr>
                <w:p w:rsidR="00745FEA" w:rsidRPr="004809F1" w:rsidRDefault="00745FEA" w:rsidP="00745FEA">
                  <w:pPr>
                    <w:pStyle w:val="TableBodyText"/>
                    <w:ind w:right="57"/>
                  </w:pPr>
                  <w:r w:rsidRPr="004809F1">
                    <w:t>–</w:t>
                  </w:r>
                </w:p>
              </w:tc>
              <w:tc>
                <w:tcPr>
                  <w:tcW w:w="464" w:type="pct"/>
                  <w:vAlign w:val="bottom"/>
                </w:tcPr>
                <w:p w:rsidR="00745FEA" w:rsidRPr="004809F1" w:rsidRDefault="00745FEA" w:rsidP="00745FEA">
                  <w:pPr>
                    <w:pStyle w:val="TableBodyText"/>
                    <w:ind w:right="57"/>
                  </w:pPr>
                  <w:r w:rsidRPr="004809F1">
                    <w:t>–</w:t>
                  </w:r>
                </w:p>
              </w:tc>
              <w:tc>
                <w:tcPr>
                  <w:tcW w:w="464" w:type="pct"/>
                  <w:shd w:val="clear" w:color="auto" w:fill="auto"/>
                  <w:vAlign w:val="bottom"/>
                </w:tcPr>
                <w:p w:rsidR="00745FEA" w:rsidRPr="004809F1" w:rsidRDefault="00745FEA" w:rsidP="00745FEA">
                  <w:pPr>
                    <w:pStyle w:val="TableBodyText"/>
                    <w:ind w:right="57"/>
                  </w:pPr>
                  <w:r w:rsidRPr="004809F1">
                    <w:t>–</w:t>
                  </w:r>
                </w:p>
              </w:tc>
              <w:tc>
                <w:tcPr>
                  <w:tcW w:w="462" w:type="pct"/>
                  <w:shd w:val="clear" w:color="auto" w:fill="auto"/>
                  <w:vAlign w:val="bottom"/>
                </w:tcPr>
                <w:p w:rsidR="00745FEA" w:rsidRDefault="00745FEA" w:rsidP="00745FEA">
                  <w:pPr>
                    <w:pStyle w:val="TableBodyText"/>
                    <w:ind w:right="57"/>
                  </w:pPr>
                  <w:r w:rsidRPr="004809F1">
                    <w:t>–</w:t>
                  </w:r>
                </w:p>
              </w:tc>
            </w:tr>
            <w:tr w:rsidR="00745FEA" w:rsidTr="00745FEA">
              <w:tc>
                <w:tcPr>
                  <w:tcW w:w="2217" w:type="pct"/>
                  <w:shd w:val="clear" w:color="auto" w:fill="auto"/>
                </w:tcPr>
                <w:p w:rsidR="00745FEA" w:rsidRPr="00AC6C50" w:rsidRDefault="00745FEA" w:rsidP="00745FEA">
                  <w:pPr>
                    <w:pStyle w:val="TableBodyText"/>
                    <w:spacing w:before="20" w:after="20"/>
                    <w:jc w:val="left"/>
                    <w:rPr>
                      <w:i/>
                    </w:rPr>
                  </w:pPr>
                  <w:r w:rsidRPr="00AC6C50">
                    <w:rPr>
                      <w:i/>
                    </w:rPr>
                    <w:t>Total</w:t>
                  </w:r>
                </w:p>
              </w:tc>
              <w:tc>
                <w:tcPr>
                  <w:tcW w:w="464" w:type="pct"/>
                  <w:vAlign w:val="bottom"/>
                </w:tcPr>
                <w:p w:rsidR="00745FEA" w:rsidRPr="00831F73" w:rsidRDefault="00745FEA" w:rsidP="00745FEA">
                  <w:pPr>
                    <w:pStyle w:val="TableBodyText"/>
                    <w:spacing w:before="20" w:after="20"/>
                    <w:ind w:right="57"/>
                    <w:rPr>
                      <w:i/>
                    </w:rPr>
                  </w:pPr>
                  <w:r>
                    <w:rPr>
                      <w:i/>
                    </w:rPr>
                    <w:t>662.7</w:t>
                  </w:r>
                </w:p>
              </w:tc>
              <w:tc>
                <w:tcPr>
                  <w:tcW w:w="464" w:type="pct"/>
                  <w:vAlign w:val="bottom"/>
                </w:tcPr>
                <w:p w:rsidR="00745FEA" w:rsidRPr="00831F73" w:rsidRDefault="00745FEA" w:rsidP="00745FEA">
                  <w:pPr>
                    <w:pStyle w:val="TableBodyText"/>
                    <w:spacing w:before="20" w:after="20"/>
                    <w:ind w:right="57"/>
                    <w:rPr>
                      <w:i/>
                    </w:rPr>
                  </w:pPr>
                  <w:r>
                    <w:rPr>
                      <w:i/>
                    </w:rPr>
                    <w:t>526.2</w:t>
                  </w:r>
                </w:p>
              </w:tc>
              <w:tc>
                <w:tcPr>
                  <w:tcW w:w="464" w:type="pct"/>
                </w:tcPr>
                <w:p w:rsidR="00745FEA" w:rsidRPr="00150E2C" w:rsidRDefault="00745FEA" w:rsidP="00745FEA">
                  <w:pPr>
                    <w:pStyle w:val="TableBodyText"/>
                    <w:spacing w:before="20" w:after="20"/>
                    <w:ind w:right="57"/>
                    <w:rPr>
                      <w:i/>
                    </w:rPr>
                  </w:pPr>
                  <w:r>
                    <w:rPr>
                      <w:i/>
                    </w:rPr>
                    <w:t>606.5</w:t>
                  </w:r>
                </w:p>
              </w:tc>
              <w:tc>
                <w:tcPr>
                  <w:tcW w:w="464" w:type="pct"/>
                </w:tcPr>
                <w:p w:rsidR="00745FEA" w:rsidRPr="00150E2C" w:rsidRDefault="00745FEA" w:rsidP="00745FEA">
                  <w:pPr>
                    <w:pStyle w:val="TableBodyText"/>
                    <w:spacing w:before="20" w:after="20"/>
                    <w:ind w:right="57"/>
                    <w:rPr>
                      <w:i/>
                    </w:rPr>
                  </w:pPr>
                  <w:r>
                    <w:rPr>
                      <w:i/>
                    </w:rPr>
                    <w:t>603.9</w:t>
                  </w:r>
                </w:p>
              </w:tc>
              <w:tc>
                <w:tcPr>
                  <w:tcW w:w="464" w:type="pct"/>
                  <w:shd w:val="clear" w:color="auto" w:fill="auto"/>
                </w:tcPr>
                <w:p w:rsidR="00745FEA" w:rsidRPr="00150E2C" w:rsidRDefault="00745FEA" w:rsidP="00745FEA">
                  <w:pPr>
                    <w:pStyle w:val="TableBodyText"/>
                    <w:spacing w:before="20" w:after="20"/>
                    <w:ind w:right="57"/>
                    <w:rPr>
                      <w:i/>
                    </w:rPr>
                  </w:pPr>
                  <w:r>
                    <w:rPr>
                      <w:i/>
                    </w:rPr>
                    <w:t>632.0</w:t>
                  </w:r>
                </w:p>
              </w:tc>
              <w:tc>
                <w:tcPr>
                  <w:tcW w:w="462" w:type="pct"/>
                  <w:shd w:val="clear" w:color="auto" w:fill="auto"/>
                </w:tcPr>
                <w:p w:rsidR="00745FEA" w:rsidRPr="00150E2C" w:rsidRDefault="00745FEA" w:rsidP="00745FEA">
                  <w:pPr>
                    <w:pStyle w:val="TableBodyText"/>
                    <w:spacing w:before="20" w:after="20"/>
                    <w:ind w:right="57"/>
                    <w:rPr>
                      <w:i/>
                    </w:rPr>
                  </w:pPr>
                  <w:r>
                    <w:rPr>
                      <w:i/>
                    </w:rPr>
                    <w:t>758.4</w:t>
                  </w:r>
                </w:p>
              </w:tc>
            </w:tr>
            <w:tr w:rsidR="00745FEA" w:rsidTr="00745FEA">
              <w:tc>
                <w:tcPr>
                  <w:tcW w:w="2217" w:type="pct"/>
                  <w:shd w:val="clear" w:color="auto" w:fill="auto"/>
                </w:tcPr>
                <w:p w:rsidR="00745FEA" w:rsidRPr="008E4F0C" w:rsidRDefault="00745FEA" w:rsidP="00745FEA">
                  <w:pPr>
                    <w:pStyle w:val="TableBodyText"/>
                    <w:spacing w:before="40"/>
                    <w:jc w:val="left"/>
                    <w:rPr>
                      <w:b/>
                    </w:rPr>
                  </w:pPr>
                  <w:r w:rsidRPr="008E4F0C">
                    <w:rPr>
                      <w:b/>
                    </w:rPr>
                    <w:t>Other crop growing</w:t>
                  </w:r>
                </w:p>
              </w:tc>
              <w:tc>
                <w:tcPr>
                  <w:tcW w:w="464" w:type="pct"/>
                  <w:vAlign w:val="bottom"/>
                </w:tcPr>
                <w:p w:rsidR="00745FEA" w:rsidRPr="00AC6C50" w:rsidRDefault="00745FEA" w:rsidP="00745FEA">
                  <w:pPr>
                    <w:pStyle w:val="TableBodyText"/>
                    <w:spacing w:before="40"/>
                    <w:ind w:right="57"/>
                    <w:rPr>
                      <w:szCs w:val="18"/>
                    </w:rPr>
                  </w:pPr>
                </w:p>
              </w:tc>
              <w:tc>
                <w:tcPr>
                  <w:tcW w:w="464" w:type="pct"/>
                  <w:vAlign w:val="bottom"/>
                </w:tcPr>
                <w:p w:rsidR="00745FEA" w:rsidRPr="00AC6C50" w:rsidRDefault="00745FEA" w:rsidP="00745FEA">
                  <w:pPr>
                    <w:pStyle w:val="TableBodyText"/>
                    <w:spacing w:before="40"/>
                    <w:ind w:right="57"/>
                    <w:rPr>
                      <w:szCs w:val="18"/>
                    </w:rPr>
                  </w:pPr>
                </w:p>
              </w:tc>
              <w:tc>
                <w:tcPr>
                  <w:tcW w:w="464" w:type="pct"/>
                  <w:vAlign w:val="bottom"/>
                </w:tcPr>
                <w:p w:rsidR="00745FEA" w:rsidRPr="00AC6C50" w:rsidRDefault="00745FEA" w:rsidP="00745FEA">
                  <w:pPr>
                    <w:pStyle w:val="TableBodyText"/>
                    <w:spacing w:before="40"/>
                    <w:ind w:right="57"/>
                    <w:rPr>
                      <w:szCs w:val="18"/>
                    </w:rPr>
                  </w:pPr>
                </w:p>
              </w:tc>
              <w:tc>
                <w:tcPr>
                  <w:tcW w:w="464" w:type="pct"/>
                  <w:vAlign w:val="bottom"/>
                </w:tcPr>
                <w:p w:rsidR="00745FEA" w:rsidRPr="00AC6C50" w:rsidRDefault="00745FEA" w:rsidP="00745FEA">
                  <w:pPr>
                    <w:pStyle w:val="TableBodyText"/>
                    <w:spacing w:before="40"/>
                    <w:ind w:right="57"/>
                    <w:rPr>
                      <w:szCs w:val="18"/>
                    </w:rPr>
                  </w:pPr>
                </w:p>
              </w:tc>
              <w:tc>
                <w:tcPr>
                  <w:tcW w:w="464" w:type="pct"/>
                  <w:shd w:val="clear" w:color="auto" w:fill="auto"/>
                  <w:vAlign w:val="bottom"/>
                </w:tcPr>
                <w:p w:rsidR="00745FEA" w:rsidRPr="00AC6C50" w:rsidRDefault="00745FEA" w:rsidP="00745FEA">
                  <w:pPr>
                    <w:pStyle w:val="TableBodyText"/>
                    <w:spacing w:before="40"/>
                    <w:ind w:right="57"/>
                    <w:rPr>
                      <w:szCs w:val="18"/>
                    </w:rPr>
                  </w:pPr>
                </w:p>
              </w:tc>
              <w:tc>
                <w:tcPr>
                  <w:tcW w:w="462" w:type="pct"/>
                  <w:shd w:val="clear" w:color="auto" w:fill="auto"/>
                  <w:vAlign w:val="bottom"/>
                </w:tcPr>
                <w:p w:rsidR="00745FEA" w:rsidRPr="00AC6C50" w:rsidRDefault="00745FEA" w:rsidP="00745FEA">
                  <w:pPr>
                    <w:pStyle w:val="TableBodyText"/>
                    <w:spacing w:before="40"/>
                    <w:ind w:right="57"/>
                    <w:rPr>
                      <w:szCs w:val="18"/>
                    </w:rPr>
                  </w:pPr>
                </w:p>
              </w:tc>
            </w:tr>
            <w:tr w:rsidR="00745FEA" w:rsidTr="00745FEA">
              <w:tc>
                <w:tcPr>
                  <w:tcW w:w="2217" w:type="pct"/>
                </w:tcPr>
                <w:p w:rsidR="00745FEA" w:rsidRPr="00B15491" w:rsidRDefault="00745FEA" w:rsidP="00745FEA">
                  <w:pPr>
                    <w:pStyle w:val="TableUnitsRow"/>
                    <w:spacing w:after="0"/>
                    <w:ind w:left="113"/>
                    <w:jc w:val="left"/>
                    <w:rPr>
                      <w:i/>
                    </w:rPr>
                  </w:pPr>
                  <w:r w:rsidRPr="00AC6C50">
                    <w:rPr>
                      <w:i/>
                    </w:rPr>
                    <w:t>Sector-specific measures</w:t>
                  </w:r>
                </w:p>
              </w:tc>
              <w:tc>
                <w:tcPr>
                  <w:tcW w:w="464" w:type="pct"/>
                  <w:vAlign w:val="bottom"/>
                </w:tcPr>
                <w:p w:rsidR="00745FEA" w:rsidRDefault="00745FEA" w:rsidP="00745FEA">
                  <w:pPr>
                    <w:pStyle w:val="TableUnitsRow"/>
                    <w:spacing w:after="0"/>
                    <w:ind w:left="113" w:right="57"/>
                  </w:pPr>
                </w:p>
              </w:tc>
              <w:tc>
                <w:tcPr>
                  <w:tcW w:w="464" w:type="pct"/>
                  <w:vAlign w:val="bottom"/>
                </w:tcPr>
                <w:p w:rsidR="00745FEA" w:rsidRDefault="00745FEA" w:rsidP="00745FEA">
                  <w:pPr>
                    <w:pStyle w:val="TableUnitsRow"/>
                    <w:spacing w:after="0"/>
                    <w:ind w:left="113" w:right="57"/>
                  </w:pPr>
                </w:p>
              </w:tc>
              <w:tc>
                <w:tcPr>
                  <w:tcW w:w="464" w:type="pct"/>
                  <w:vAlign w:val="bottom"/>
                </w:tcPr>
                <w:p w:rsidR="00745FEA" w:rsidRDefault="00745FEA" w:rsidP="00745FEA">
                  <w:pPr>
                    <w:pStyle w:val="TableUnitsRow"/>
                    <w:spacing w:after="0"/>
                    <w:ind w:left="113" w:right="57"/>
                  </w:pPr>
                </w:p>
              </w:tc>
              <w:tc>
                <w:tcPr>
                  <w:tcW w:w="464" w:type="pct"/>
                  <w:vAlign w:val="bottom"/>
                </w:tcPr>
                <w:p w:rsidR="00745FEA" w:rsidRDefault="00745FEA" w:rsidP="00745FEA">
                  <w:pPr>
                    <w:pStyle w:val="TableUnitsRow"/>
                    <w:spacing w:after="0"/>
                    <w:ind w:left="113" w:right="57"/>
                  </w:pPr>
                </w:p>
              </w:tc>
              <w:tc>
                <w:tcPr>
                  <w:tcW w:w="464" w:type="pct"/>
                  <w:vAlign w:val="bottom"/>
                </w:tcPr>
                <w:p w:rsidR="00745FEA" w:rsidRDefault="00745FEA" w:rsidP="00745FEA">
                  <w:pPr>
                    <w:pStyle w:val="TableUnitsRow"/>
                    <w:spacing w:after="0"/>
                    <w:ind w:left="113" w:right="57"/>
                  </w:pPr>
                </w:p>
              </w:tc>
              <w:tc>
                <w:tcPr>
                  <w:tcW w:w="462" w:type="pct"/>
                  <w:vAlign w:val="bottom"/>
                </w:tcPr>
                <w:p w:rsidR="00745FEA" w:rsidRDefault="00745FEA" w:rsidP="00745FEA">
                  <w:pPr>
                    <w:pStyle w:val="TableUnitsRow"/>
                    <w:spacing w:after="0"/>
                    <w:ind w:left="113" w:right="57"/>
                  </w:pP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Carbon Farming Futures</w:t>
                  </w:r>
                </w:p>
              </w:tc>
              <w:tc>
                <w:tcPr>
                  <w:tcW w:w="464" w:type="pct"/>
                  <w:vAlign w:val="bottom"/>
                </w:tcPr>
                <w:p w:rsidR="00745FEA" w:rsidRPr="00EC62DA" w:rsidRDefault="00745FEA" w:rsidP="00745FEA">
                  <w:pPr>
                    <w:pStyle w:val="TableBodyText"/>
                    <w:ind w:right="57"/>
                  </w:pPr>
                  <w:r w:rsidRPr="00EC62DA">
                    <w:t>3.0</w:t>
                  </w:r>
                </w:p>
              </w:tc>
              <w:tc>
                <w:tcPr>
                  <w:tcW w:w="464" w:type="pct"/>
                  <w:vAlign w:val="bottom"/>
                </w:tcPr>
                <w:p w:rsidR="00745FEA" w:rsidRPr="00EC62DA" w:rsidRDefault="00745FEA" w:rsidP="00745FEA">
                  <w:pPr>
                    <w:pStyle w:val="TableBodyText"/>
                    <w:ind w:right="57"/>
                  </w:pPr>
                  <w:r w:rsidRPr="00EC62DA">
                    <w:t>2.3</w:t>
                  </w:r>
                </w:p>
              </w:tc>
              <w:tc>
                <w:tcPr>
                  <w:tcW w:w="464" w:type="pct"/>
                  <w:vAlign w:val="bottom"/>
                </w:tcPr>
                <w:p w:rsidR="00745FEA" w:rsidRPr="00EC62DA" w:rsidRDefault="00745FEA" w:rsidP="00745FEA">
                  <w:pPr>
                    <w:pStyle w:val="TableBodyText"/>
                    <w:ind w:right="57"/>
                  </w:pPr>
                  <w:r w:rsidRPr="00EC62DA">
                    <w:t>3.7</w:t>
                  </w:r>
                </w:p>
              </w:tc>
              <w:tc>
                <w:tcPr>
                  <w:tcW w:w="464" w:type="pct"/>
                  <w:vAlign w:val="bottom"/>
                </w:tcPr>
                <w:p w:rsidR="00745FEA" w:rsidRPr="00EC62DA" w:rsidRDefault="00745FEA" w:rsidP="00745FEA">
                  <w:pPr>
                    <w:pStyle w:val="TableBodyText"/>
                    <w:ind w:right="57"/>
                  </w:pPr>
                  <w:r w:rsidRPr="00EC62DA">
                    <w:t>3.0</w:t>
                  </w:r>
                </w:p>
              </w:tc>
              <w:tc>
                <w:tcPr>
                  <w:tcW w:w="464" w:type="pct"/>
                  <w:shd w:val="clear" w:color="auto" w:fill="auto"/>
                  <w:vAlign w:val="bottom"/>
                </w:tcPr>
                <w:p w:rsidR="00745FEA" w:rsidRPr="00EC62DA" w:rsidRDefault="00745FEA" w:rsidP="00745FEA">
                  <w:pPr>
                    <w:pStyle w:val="TableBodyText"/>
                    <w:ind w:right="57"/>
                  </w:pPr>
                  <w:r w:rsidRPr="00EC62DA">
                    <w:t>5.4</w:t>
                  </w:r>
                </w:p>
              </w:tc>
              <w:tc>
                <w:tcPr>
                  <w:tcW w:w="462" w:type="pct"/>
                  <w:shd w:val="clear" w:color="auto" w:fill="auto"/>
                  <w:vAlign w:val="bottom"/>
                </w:tcPr>
                <w:p w:rsidR="00745FEA" w:rsidRPr="00EC62DA" w:rsidRDefault="00745FEA" w:rsidP="00745FEA">
                  <w:pPr>
                    <w:pStyle w:val="TableBodyText"/>
                    <w:ind w:right="57"/>
                  </w:pPr>
                  <w:r w:rsidRPr="00EC62DA">
                    <w:t>4.1</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 xml:space="preserve">Drought Assistance Package - </w:t>
                  </w:r>
                  <w:r>
                    <w:t>concessional</w:t>
                  </w:r>
                  <w:r w:rsidRPr="004C7154">
                    <w:t xml:space="preserve"> loans</w:t>
                  </w:r>
                </w:p>
              </w:tc>
              <w:tc>
                <w:tcPr>
                  <w:tcW w:w="464" w:type="pct"/>
                  <w:vAlign w:val="bottom"/>
                </w:tcPr>
                <w:p w:rsidR="00745FEA" w:rsidRPr="00EC62DA" w:rsidRDefault="00745FEA" w:rsidP="00745FEA">
                  <w:pPr>
                    <w:pStyle w:val="TableBodyText"/>
                    <w:ind w:right="57"/>
                  </w:pPr>
                  <w:r w:rsidRPr="00EC62DA">
                    <w:t>–</w:t>
                  </w:r>
                </w:p>
              </w:tc>
              <w:tc>
                <w:tcPr>
                  <w:tcW w:w="464" w:type="pct"/>
                  <w:vAlign w:val="bottom"/>
                </w:tcPr>
                <w:p w:rsidR="00745FEA" w:rsidRPr="00EC62DA" w:rsidRDefault="00745FEA" w:rsidP="00745FEA">
                  <w:pPr>
                    <w:pStyle w:val="TableBodyText"/>
                    <w:ind w:right="57"/>
                  </w:pPr>
                  <w:r w:rsidRPr="00EC62DA">
                    <w:t>–</w:t>
                  </w:r>
                </w:p>
              </w:tc>
              <w:tc>
                <w:tcPr>
                  <w:tcW w:w="464" w:type="pct"/>
                  <w:vAlign w:val="bottom"/>
                </w:tcPr>
                <w:p w:rsidR="00745FEA" w:rsidRPr="00EC62DA" w:rsidRDefault="00745FEA" w:rsidP="00745FEA">
                  <w:pPr>
                    <w:pStyle w:val="TableBodyText"/>
                    <w:ind w:right="57"/>
                  </w:pPr>
                  <w:r w:rsidRPr="00EC62DA">
                    <w:t>–</w:t>
                  </w:r>
                </w:p>
              </w:tc>
              <w:tc>
                <w:tcPr>
                  <w:tcW w:w="464" w:type="pct"/>
                  <w:vAlign w:val="bottom"/>
                </w:tcPr>
                <w:p w:rsidR="00745FEA" w:rsidRPr="00EC62DA" w:rsidRDefault="00745FEA" w:rsidP="00745FEA">
                  <w:pPr>
                    <w:pStyle w:val="TableBodyText"/>
                    <w:ind w:right="57"/>
                  </w:pPr>
                  <w:r w:rsidRPr="00EC62DA">
                    <w:t>0.2</w:t>
                  </w:r>
                </w:p>
              </w:tc>
              <w:tc>
                <w:tcPr>
                  <w:tcW w:w="464" w:type="pct"/>
                  <w:shd w:val="clear" w:color="auto" w:fill="auto"/>
                  <w:vAlign w:val="bottom"/>
                </w:tcPr>
                <w:p w:rsidR="00745FEA" w:rsidRPr="00EC62DA" w:rsidRDefault="00745FEA" w:rsidP="00745FEA">
                  <w:pPr>
                    <w:pStyle w:val="TableBodyText"/>
                    <w:ind w:right="57"/>
                  </w:pPr>
                  <w:r w:rsidRPr="00EC62DA">
                    <w:t>0.2</w:t>
                  </w:r>
                </w:p>
              </w:tc>
              <w:tc>
                <w:tcPr>
                  <w:tcW w:w="462" w:type="pct"/>
                  <w:shd w:val="clear" w:color="auto" w:fill="auto"/>
                  <w:vAlign w:val="bottom"/>
                </w:tcPr>
                <w:p w:rsidR="00745FEA" w:rsidRPr="00EC62DA" w:rsidRDefault="00745FEA" w:rsidP="00745FEA">
                  <w:pPr>
                    <w:pStyle w:val="TableBodyText"/>
                    <w:ind w:right="57"/>
                  </w:pPr>
                  <w:r w:rsidRPr="00EC62DA">
                    <w:t>0.4</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t>Exceptional Circumstances - interest rate subsidies</w:t>
                  </w:r>
                </w:p>
              </w:tc>
              <w:tc>
                <w:tcPr>
                  <w:tcW w:w="464" w:type="pct"/>
                  <w:vAlign w:val="bottom"/>
                </w:tcPr>
                <w:p w:rsidR="00745FEA" w:rsidRPr="00EC62DA" w:rsidRDefault="00745FEA" w:rsidP="00745FEA">
                  <w:pPr>
                    <w:pStyle w:val="TableBodyText"/>
                    <w:ind w:right="57"/>
                  </w:pPr>
                  <w:r w:rsidRPr="00EC62DA">
                    <w:t>2.1</w:t>
                  </w:r>
                </w:p>
              </w:tc>
              <w:tc>
                <w:tcPr>
                  <w:tcW w:w="464" w:type="pct"/>
                  <w:vAlign w:val="bottom"/>
                </w:tcPr>
                <w:p w:rsidR="00745FEA" w:rsidRPr="00EC62DA" w:rsidRDefault="00745FEA" w:rsidP="00745FEA">
                  <w:pPr>
                    <w:pStyle w:val="TableBodyText"/>
                    <w:ind w:right="57"/>
                  </w:pPr>
                  <w:r w:rsidRPr="00EC62DA">
                    <w:t>–</w:t>
                  </w:r>
                </w:p>
              </w:tc>
              <w:tc>
                <w:tcPr>
                  <w:tcW w:w="464" w:type="pct"/>
                  <w:vAlign w:val="bottom"/>
                </w:tcPr>
                <w:p w:rsidR="00745FEA" w:rsidRPr="00EC62DA" w:rsidRDefault="00745FEA" w:rsidP="00745FEA">
                  <w:pPr>
                    <w:pStyle w:val="TableBodyText"/>
                    <w:ind w:right="57"/>
                  </w:pPr>
                  <w:r w:rsidRPr="00EC62DA">
                    <w:t>–</w:t>
                  </w:r>
                </w:p>
              </w:tc>
              <w:tc>
                <w:tcPr>
                  <w:tcW w:w="464" w:type="pct"/>
                  <w:vAlign w:val="bottom"/>
                </w:tcPr>
                <w:p w:rsidR="00745FEA" w:rsidRPr="00EC62DA" w:rsidRDefault="00745FEA" w:rsidP="00745FEA">
                  <w:pPr>
                    <w:pStyle w:val="TableBodyText"/>
                    <w:ind w:right="57"/>
                  </w:pPr>
                  <w:r w:rsidRPr="00EC62DA">
                    <w:t>–</w:t>
                  </w:r>
                </w:p>
              </w:tc>
              <w:tc>
                <w:tcPr>
                  <w:tcW w:w="464" w:type="pct"/>
                  <w:shd w:val="clear" w:color="auto" w:fill="auto"/>
                  <w:vAlign w:val="bottom"/>
                </w:tcPr>
                <w:p w:rsidR="00745FEA" w:rsidRPr="00EC62DA" w:rsidRDefault="00745FEA" w:rsidP="00745FEA">
                  <w:pPr>
                    <w:pStyle w:val="TableBodyText"/>
                    <w:ind w:right="57"/>
                  </w:pPr>
                  <w:r w:rsidRPr="00EC62DA">
                    <w:t>–</w:t>
                  </w:r>
                </w:p>
              </w:tc>
              <w:tc>
                <w:tcPr>
                  <w:tcW w:w="462" w:type="pct"/>
                  <w:shd w:val="clear" w:color="auto" w:fill="auto"/>
                  <w:vAlign w:val="bottom"/>
                </w:tcPr>
                <w:p w:rsidR="00745FEA" w:rsidRDefault="00745FEA" w:rsidP="00745FEA">
                  <w:pPr>
                    <w:pStyle w:val="TableBodyText"/>
                    <w:ind w:right="57"/>
                  </w:pPr>
                  <w:r w:rsidRPr="00EC62DA">
                    <w:t>–</w:t>
                  </w:r>
                </w:p>
              </w:tc>
            </w:tr>
            <w:tr w:rsidR="00745FEA" w:rsidTr="00745FEA">
              <w:tc>
                <w:tcPr>
                  <w:tcW w:w="2217" w:type="pct"/>
                  <w:tcBorders>
                    <w:bottom w:val="single" w:sz="6" w:space="0" w:color="BFBFBF"/>
                  </w:tcBorders>
                  <w:shd w:val="clear" w:color="auto" w:fill="auto"/>
                </w:tcPr>
                <w:p w:rsidR="00745FEA" w:rsidRPr="004C7154" w:rsidRDefault="00745FEA" w:rsidP="00745FEA">
                  <w:pPr>
                    <w:pStyle w:val="TableBodyText"/>
                    <w:spacing w:after="0"/>
                    <w:ind w:left="227" w:right="0"/>
                    <w:jc w:val="left"/>
                  </w:pPr>
                  <w:r w:rsidRPr="004C7154">
                    <w:t>Exceptional</w:t>
                  </w:r>
                  <w:r>
                    <w:t xml:space="preserve"> Circumstances - relief payments</w:t>
                  </w:r>
                </w:p>
              </w:tc>
              <w:tc>
                <w:tcPr>
                  <w:tcW w:w="464" w:type="pct"/>
                  <w:tcBorders>
                    <w:bottom w:val="single" w:sz="6" w:space="0" w:color="BFBFBF"/>
                  </w:tcBorders>
                  <w:vAlign w:val="bottom"/>
                </w:tcPr>
                <w:p w:rsidR="00745FEA" w:rsidRPr="00D40E89" w:rsidRDefault="00745FEA" w:rsidP="00745FEA">
                  <w:pPr>
                    <w:pStyle w:val="TableBodyText"/>
                    <w:ind w:right="57"/>
                  </w:pPr>
                  <w:r w:rsidRPr="00D40E89">
                    <w:t>&lt;0.1</w:t>
                  </w:r>
                </w:p>
              </w:tc>
              <w:tc>
                <w:tcPr>
                  <w:tcW w:w="464" w:type="pct"/>
                  <w:tcBorders>
                    <w:bottom w:val="single" w:sz="6" w:space="0" w:color="BFBFBF"/>
                  </w:tcBorders>
                  <w:vAlign w:val="bottom"/>
                </w:tcPr>
                <w:p w:rsidR="00745FEA" w:rsidRPr="00D40E89" w:rsidRDefault="00745FEA" w:rsidP="00745FEA">
                  <w:pPr>
                    <w:pStyle w:val="TableBodyText"/>
                    <w:ind w:right="57"/>
                  </w:pPr>
                  <w:r w:rsidRPr="00D40E89">
                    <w:t>–</w:t>
                  </w:r>
                </w:p>
              </w:tc>
              <w:tc>
                <w:tcPr>
                  <w:tcW w:w="464" w:type="pct"/>
                  <w:tcBorders>
                    <w:bottom w:val="single" w:sz="6" w:space="0" w:color="BFBFBF"/>
                  </w:tcBorders>
                  <w:vAlign w:val="bottom"/>
                </w:tcPr>
                <w:p w:rsidR="00745FEA" w:rsidRPr="00D40E89" w:rsidRDefault="00745FEA" w:rsidP="00745FEA">
                  <w:pPr>
                    <w:pStyle w:val="TableBodyText"/>
                    <w:ind w:right="57"/>
                  </w:pPr>
                  <w:r w:rsidRPr="00D40E89">
                    <w:t>–</w:t>
                  </w:r>
                </w:p>
              </w:tc>
              <w:tc>
                <w:tcPr>
                  <w:tcW w:w="464" w:type="pct"/>
                  <w:tcBorders>
                    <w:bottom w:val="single" w:sz="6" w:space="0" w:color="BFBFBF"/>
                  </w:tcBorders>
                  <w:vAlign w:val="bottom"/>
                </w:tcPr>
                <w:p w:rsidR="00745FEA" w:rsidRPr="00D40E89" w:rsidRDefault="00745FEA" w:rsidP="00745FEA">
                  <w:pPr>
                    <w:pStyle w:val="TableBodyText"/>
                    <w:ind w:right="57"/>
                  </w:pPr>
                  <w:r w:rsidRPr="00D40E89">
                    <w:t>–</w:t>
                  </w:r>
                </w:p>
              </w:tc>
              <w:tc>
                <w:tcPr>
                  <w:tcW w:w="464" w:type="pct"/>
                  <w:tcBorders>
                    <w:bottom w:val="single" w:sz="6" w:space="0" w:color="BFBFBF"/>
                  </w:tcBorders>
                  <w:shd w:val="clear" w:color="auto" w:fill="auto"/>
                  <w:vAlign w:val="bottom"/>
                </w:tcPr>
                <w:p w:rsidR="00745FEA" w:rsidRPr="00D40E89" w:rsidRDefault="00745FEA" w:rsidP="00745FEA">
                  <w:pPr>
                    <w:pStyle w:val="TableBodyText"/>
                    <w:ind w:right="57"/>
                  </w:pPr>
                  <w:r w:rsidRPr="00D40E89">
                    <w:t>–</w:t>
                  </w:r>
                </w:p>
              </w:tc>
              <w:tc>
                <w:tcPr>
                  <w:tcW w:w="462" w:type="pct"/>
                  <w:tcBorders>
                    <w:bottom w:val="single" w:sz="6" w:space="0" w:color="BFBFBF"/>
                  </w:tcBorders>
                  <w:shd w:val="clear" w:color="auto" w:fill="auto"/>
                  <w:vAlign w:val="bottom"/>
                </w:tcPr>
                <w:p w:rsidR="00745FEA" w:rsidRPr="00D40E89" w:rsidRDefault="00745FEA" w:rsidP="00745FEA">
                  <w:pPr>
                    <w:pStyle w:val="TableBodyText"/>
                    <w:ind w:right="57"/>
                  </w:pPr>
                  <w:r w:rsidRPr="00D40E89">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4" w:type="dxa"/>
              <w:tblCellMar>
                <w:top w:w="28" w:type="dxa"/>
                <w:left w:w="0" w:type="dxa"/>
                <w:right w:w="0" w:type="dxa"/>
              </w:tblCellMar>
              <w:tblLook w:val="0000" w:firstRow="0" w:lastRow="0" w:firstColumn="0" w:lastColumn="0" w:noHBand="0" w:noVBand="0"/>
            </w:tblPr>
            <w:tblGrid>
              <w:gridCol w:w="3798"/>
              <w:gridCol w:w="795"/>
              <w:gridCol w:w="795"/>
              <w:gridCol w:w="795"/>
              <w:gridCol w:w="795"/>
              <w:gridCol w:w="795"/>
              <w:gridCol w:w="791"/>
            </w:tblGrid>
            <w:tr w:rsidR="00745FEA" w:rsidTr="00C719FB">
              <w:trPr>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7" w:type="pct"/>
                  <w:tcBorders>
                    <w:top w:val="single" w:sz="6" w:space="0" w:color="BFBFBF"/>
                  </w:tcBorders>
                </w:tcPr>
                <w:p w:rsidR="00745FEA" w:rsidRPr="00B15491" w:rsidRDefault="00745FEA" w:rsidP="00745FEA">
                  <w:pPr>
                    <w:pStyle w:val="TableUnitsRow"/>
                    <w:spacing w:after="0"/>
                    <w:ind w:left="113"/>
                    <w:jc w:val="left"/>
                    <w:rPr>
                      <w:i/>
                    </w:rPr>
                  </w:pPr>
                  <w:r w:rsidRPr="00AC6C50">
                    <w:rPr>
                      <w:i/>
                    </w:rPr>
                    <w:t>Sector-specific measures</w:t>
                  </w:r>
                  <w:r>
                    <w:rPr>
                      <w:i/>
                    </w:rPr>
                    <w:t xml:space="preserve"> (continued)</w:t>
                  </w: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Farm Finance - concessional loans</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1.0</w:t>
                  </w:r>
                </w:p>
              </w:tc>
              <w:tc>
                <w:tcPr>
                  <w:tcW w:w="464" w:type="pct"/>
                  <w:vAlign w:val="bottom"/>
                </w:tcPr>
                <w:p w:rsidR="00745FEA" w:rsidRPr="00D40E89" w:rsidRDefault="00745FEA" w:rsidP="00745FEA">
                  <w:pPr>
                    <w:pStyle w:val="TableBodyText"/>
                    <w:ind w:right="57"/>
                  </w:pPr>
                  <w:r w:rsidRPr="00D40E89">
                    <w:t>0.2</w:t>
                  </w:r>
                </w:p>
              </w:tc>
              <w:tc>
                <w:tcPr>
                  <w:tcW w:w="464" w:type="pct"/>
                  <w:shd w:val="clear" w:color="auto" w:fill="auto"/>
                  <w:vAlign w:val="bottom"/>
                </w:tcPr>
                <w:p w:rsidR="00745FEA" w:rsidRPr="00D40E89" w:rsidRDefault="00745FEA" w:rsidP="00745FEA">
                  <w:pPr>
                    <w:pStyle w:val="TableBodyText"/>
                    <w:ind w:right="57"/>
                  </w:pPr>
                  <w:r w:rsidRPr="00D40E89">
                    <w:t>0.2</w:t>
                  </w:r>
                </w:p>
              </w:tc>
              <w:tc>
                <w:tcPr>
                  <w:tcW w:w="462" w:type="pct"/>
                  <w:shd w:val="clear" w:color="auto" w:fill="auto"/>
                  <w:vAlign w:val="bottom"/>
                </w:tcPr>
                <w:p w:rsidR="00745FEA" w:rsidRPr="00D40E89" w:rsidRDefault="00745FEA" w:rsidP="00745FEA">
                  <w:pPr>
                    <w:pStyle w:val="TableBodyText"/>
                    <w:ind w:right="57"/>
                  </w:pPr>
                  <w:r w:rsidRPr="00D40E89">
                    <w:t>0.2</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D7746B">
                    <w:t>Improved Access to Agricultural and Veterinary Chemicals</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0.3</w:t>
                  </w:r>
                </w:p>
              </w:tc>
              <w:tc>
                <w:tcPr>
                  <w:tcW w:w="464" w:type="pct"/>
                  <w:shd w:val="clear" w:color="auto" w:fill="auto"/>
                  <w:vAlign w:val="bottom"/>
                </w:tcPr>
                <w:p w:rsidR="00745FEA" w:rsidRPr="00D40E89" w:rsidRDefault="00745FEA" w:rsidP="00745FEA">
                  <w:pPr>
                    <w:pStyle w:val="TableBodyText"/>
                    <w:ind w:right="57"/>
                  </w:pPr>
                  <w:r w:rsidRPr="00D40E89">
                    <w:t>1.7</w:t>
                  </w:r>
                </w:p>
              </w:tc>
              <w:tc>
                <w:tcPr>
                  <w:tcW w:w="462" w:type="pct"/>
                  <w:shd w:val="clear" w:color="auto" w:fill="auto"/>
                  <w:vAlign w:val="bottom"/>
                </w:tcPr>
                <w:p w:rsidR="00745FEA" w:rsidRPr="00D40E89" w:rsidRDefault="00745FEA" w:rsidP="00745FEA">
                  <w:pPr>
                    <w:pStyle w:val="TableBodyText"/>
                    <w:ind w:right="57"/>
                  </w:pPr>
                  <w:r w:rsidRPr="00D40E89">
                    <w:t>0.7</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Interim Income Support</w:t>
                  </w:r>
                </w:p>
              </w:tc>
              <w:tc>
                <w:tcPr>
                  <w:tcW w:w="464" w:type="pct"/>
                  <w:vAlign w:val="bottom"/>
                </w:tcPr>
                <w:p w:rsidR="00745FEA" w:rsidRPr="00D40E89" w:rsidRDefault="00745FEA" w:rsidP="00745FEA">
                  <w:pPr>
                    <w:pStyle w:val="TableBodyText"/>
                    <w:ind w:right="57"/>
                  </w:pPr>
                  <w:r w:rsidRPr="00D40E89">
                    <w:t>&lt;0.1</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w:t>
                  </w:r>
                </w:p>
              </w:tc>
              <w:tc>
                <w:tcPr>
                  <w:tcW w:w="464" w:type="pct"/>
                  <w:vAlign w:val="bottom"/>
                </w:tcPr>
                <w:p w:rsidR="00745FEA" w:rsidRPr="00D40E89" w:rsidRDefault="00745FEA" w:rsidP="00745FEA">
                  <w:pPr>
                    <w:pStyle w:val="TableBodyText"/>
                    <w:ind w:right="57"/>
                  </w:pPr>
                  <w:r w:rsidRPr="00D40E89">
                    <w:t>–</w:t>
                  </w:r>
                </w:p>
              </w:tc>
              <w:tc>
                <w:tcPr>
                  <w:tcW w:w="464" w:type="pct"/>
                  <w:shd w:val="clear" w:color="auto" w:fill="auto"/>
                  <w:vAlign w:val="bottom"/>
                </w:tcPr>
                <w:p w:rsidR="00745FEA" w:rsidRPr="00D40E89" w:rsidRDefault="00745FEA" w:rsidP="00745FEA">
                  <w:pPr>
                    <w:pStyle w:val="TableBodyText"/>
                    <w:ind w:right="57"/>
                  </w:pPr>
                  <w:r w:rsidRPr="00D40E89">
                    <w:t>–</w:t>
                  </w:r>
                </w:p>
              </w:tc>
              <w:tc>
                <w:tcPr>
                  <w:tcW w:w="462" w:type="pct"/>
                  <w:shd w:val="clear" w:color="auto" w:fill="auto"/>
                  <w:vAlign w:val="bottom"/>
                </w:tcPr>
                <w:p w:rsidR="00745FEA" w:rsidRPr="00D40E89" w:rsidRDefault="00745FEA" w:rsidP="00745FEA">
                  <w:pPr>
                    <w:pStyle w:val="TableBodyText"/>
                    <w:ind w:right="57"/>
                  </w:pPr>
                  <w:r w:rsidRPr="00D40E89">
                    <w:t>–</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Rural Financial Counselling Service</w:t>
                  </w:r>
                </w:p>
              </w:tc>
              <w:tc>
                <w:tcPr>
                  <w:tcW w:w="464" w:type="pct"/>
                  <w:vAlign w:val="bottom"/>
                </w:tcPr>
                <w:p w:rsidR="00745FEA" w:rsidRPr="00D40E89" w:rsidRDefault="00745FEA" w:rsidP="00745FEA">
                  <w:pPr>
                    <w:pStyle w:val="TableBodyText"/>
                    <w:ind w:right="57"/>
                  </w:pPr>
                  <w:r w:rsidRPr="00D40E89">
                    <w:t>0.9</w:t>
                  </w:r>
                </w:p>
              </w:tc>
              <w:tc>
                <w:tcPr>
                  <w:tcW w:w="464" w:type="pct"/>
                  <w:vAlign w:val="bottom"/>
                </w:tcPr>
                <w:p w:rsidR="00745FEA" w:rsidRPr="00D40E89" w:rsidRDefault="00745FEA" w:rsidP="00745FEA">
                  <w:pPr>
                    <w:pStyle w:val="TableBodyText"/>
                    <w:ind w:right="57"/>
                  </w:pPr>
                  <w:r w:rsidRPr="00D40E89">
                    <w:t>0.6</w:t>
                  </w:r>
                </w:p>
              </w:tc>
              <w:tc>
                <w:tcPr>
                  <w:tcW w:w="464" w:type="pct"/>
                  <w:vAlign w:val="bottom"/>
                </w:tcPr>
                <w:p w:rsidR="00745FEA" w:rsidRPr="00D40E89" w:rsidRDefault="00745FEA" w:rsidP="00745FEA">
                  <w:pPr>
                    <w:pStyle w:val="TableBodyText"/>
                    <w:ind w:right="57"/>
                  </w:pPr>
                  <w:r w:rsidRPr="00D40E89">
                    <w:t>0.8</w:t>
                  </w:r>
                </w:p>
              </w:tc>
              <w:tc>
                <w:tcPr>
                  <w:tcW w:w="464" w:type="pct"/>
                  <w:vAlign w:val="bottom"/>
                </w:tcPr>
                <w:p w:rsidR="00745FEA" w:rsidRPr="00D40E89" w:rsidRDefault="00745FEA" w:rsidP="00745FEA">
                  <w:pPr>
                    <w:pStyle w:val="TableBodyText"/>
                    <w:ind w:right="57"/>
                  </w:pPr>
                  <w:r w:rsidRPr="00D40E89">
                    <w:t>0.8</w:t>
                  </w:r>
                </w:p>
              </w:tc>
              <w:tc>
                <w:tcPr>
                  <w:tcW w:w="464" w:type="pct"/>
                  <w:shd w:val="clear" w:color="auto" w:fill="auto"/>
                  <w:vAlign w:val="bottom"/>
                </w:tcPr>
                <w:p w:rsidR="00745FEA" w:rsidRPr="00D40E89" w:rsidRDefault="00745FEA" w:rsidP="00745FEA">
                  <w:pPr>
                    <w:pStyle w:val="TableBodyText"/>
                    <w:ind w:right="57"/>
                  </w:pPr>
                  <w:r w:rsidRPr="00D40E89">
                    <w:t>0.8</w:t>
                  </w:r>
                </w:p>
              </w:tc>
              <w:tc>
                <w:tcPr>
                  <w:tcW w:w="462" w:type="pct"/>
                  <w:shd w:val="clear" w:color="auto" w:fill="auto"/>
                  <w:vAlign w:val="bottom"/>
                </w:tcPr>
                <w:p w:rsidR="00745FEA" w:rsidRPr="00D40E89" w:rsidRDefault="00745FEA" w:rsidP="00745FEA">
                  <w:pPr>
                    <w:pStyle w:val="TableBodyText"/>
                    <w:ind w:right="57"/>
                  </w:pPr>
                  <w:r w:rsidRPr="00D40E89">
                    <w:t>1.0</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Farm Management Deposits Scheme</w:t>
                  </w:r>
                </w:p>
              </w:tc>
              <w:tc>
                <w:tcPr>
                  <w:tcW w:w="464" w:type="pct"/>
                  <w:vAlign w:val="bottom"/>
                </w:tcPr>
                <w:p w:rsidR="00745FEA" w:rsidRPr="00D40E89" w:rsidRDefault="00745FEA" w:rsidP="00745FEA">
                  <w:pPr>
                    <w:pStyle w:val="TableBodyText"/>
                    <w:ind w:right="57"/>
                  </w:pPr>
                  <w:r w:rsidRPr="00D40E89">
                    <w:t>11.9</w:t>
                  </w:r>
                </w:p>
              </w:tc>
              <w:tc>
                <w:tcPr>
                  <w:tcW w:w="464" w:type="pct"/>
                  <w:vAlign w:val="bottom"/>
                </w:tcPr>
                <w:p w:rsidR="00745FEA" w:rsidRPr="00D40E89" w:rsidRDefault="00745FEA" w:rsidP="00745FEA">
                  <w:pPr>
                    <w:pStyle w:val="TableBodyText"/>
                    <w:ind w:right="57"/>
                  </w:pPr>
                  <w:r w:rsidRPr="00D40E89">
                    <w:t>9.0</w:t>
                  </w:r>
                </w:p>
              </w:tc>
              <w:tc>
                <w:tcPr>
                  <w:tcW w:w="464" w:type="pct"/>
                  <w:vAlign w:val="bottom"/>
                </w:tcPr>
                <w:p w:rsidR="00745FEA" w:rsidRPr="00D40E89" w:rsidRDefault="00745FEA" w:rsidP="00745FEA">
                  <w:pPr>
                    <w:pStyle w:val="TableBodyText"/>
                    <w:ind w:right="57"/>
                  </w:pPr>
                  <w:r w:rsidRPr="00D40E89">
                    <w:t>10.1</w:t>
                  </w:r>
                </w:p>
              </w:tc>
              <w:tc>
                <w:tcPr>
                  <w:tcW w:w="464" w:type="pct"/>
                  <w:vAlign w:val="bottom"/>
                </w:tcPr>
                <w:p w:rsidR="00745FEA" w:rsidRPr="00D40E89" w:rsidRDefault="00745FEA" w:rsidP="00745FEA">
                  <w:pPr>
                    <w:pStyle w:val="TableBodyText"/>
                    <w:ind w:right="57"/>
                  </w:pPr>
                  <w:r w:rsidRPr="00D40E89">
                    <w:t>11.8</w:t>
                  </w:r>
                </w:p>
              </w:tc>
              <w:tc>
                <w:tcPr>
                  <w:tcW w:w="464" w:type="pct"/>
                  <w:shd w:val="clear" w:color="auto" w:fill="auto"/>
                  <w:vAlign w:val="bottom"/>
                </w:tcPr>
                <w:p w:rsidR="00745FEA" w:rsidRPr="00D40E89" w:rsidRDefault="00745FEA" w:rsidP="00745FEA">
                  <w:pPr>
                    <w:pStyle w:val="TableBodyText"/>
                    <w:ind w:right="57"/>
                  </w:pPr>
                  <w:r w:rsidRPr="00D40E89">
                    <w:t>17.1</w:t>
                  </w:r>
                </w:p>
              </w:tc>
              <w:tc>
                <w:tcPr>
                  <w:tcW w:w="462" w:type="pct"/>
                  <w:shd w:val="clear" w:color="auto" w:fill="auto"/>
                  <w:vAlign w:val="bottom"/>
                </w:tcPr>
                <w:p w:rsidR="00745FEA" w:rsidRPr="00D40E89" w:rsidRDefault="00745FEA" w:rsidP="00745FEA">
                  <w:pPr>
                    <w:pStyle w:val="TableBodyText"/>
                    <w:ind w:right="57"/>
                  </w:pPr>
                  <w:r w:rsidRPr="00D40E89">
                    <w:t>17.4</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Income tax averaging provisions</w:t>
                  </w:r>
                </w:p>
              </w:tc>
              <w:tc>
                <w:tcPr>
                  <w:tcW w:w="464" w:type="pct"/>
                  <w:vAlign w:val="bottom"/>
                </w:tcPr>
                <w:p w:rsidR="00745FEA" w:rsidRPr="00D40E89" w:rsidRDefault="00745FEA" w:rsidP="00745FEA">
                  <w:pPr>
                    <w:pStyle w:val="TableBodyText"/>
                    <w:ind w:right="57"/>
                  </w:pPr>
                  <w:r w:rsidRPr="00D40E89">
                    <w:t>5.7</w:t>
                  </w:r>
                </w:p>
              </w:tc>
              <w:tc>
                <w:tcPr>
                  <w:tcW w:w="464" w:type="pct"/>
                  <w:vAlign w:val="bottom"/>
                </w:tcPr>
                <w:p w:rsidR="00745FEA" w:rsidRPr="00D40E89" w:rsidRDefault="00745FEA" w:rsidP="00745FEA">
                  <w:pPr>
                    <w:pStyle w:val="TableBodyText"/>
                    <w:ind w:right="57"/>
                  </w:pPr>
                  <w:r w:rsidRPr="00D40E89">
                    <w:t>6.3</w:t>
                  </w:r>
                </w:p>
              </w:tc>
              <w:tc>
                <w:tcPr>
                  <w:tcW w:w="464" w:type="pct"/>
                  <w:vAlign w:val="bottom"/>
                </w:tcPr>
                <w:p w:rsidR="00745FEA" w:rsidRPr="00D40E89" w:rsidRDefault="00745FEA" w:rsidP="00745FEA">
                  <w:pPr>
                    <w:pStyle w:val="TableBodyText"/>
                    <w:ind w:right="57"/>
                  </w:pPr>
                  <w:r w:rsidRPr="00D40E89">
                    <w:t>7.9</w:t>
                  </w:r>
                </w:p>
              </w:tc>
              <w:tc>
                <w:tcPr>
                  <w:tcW w:w="464" w:type="pct"/>
                  <w:vAlign w:val="bottom"/>
                </w:tcPr>
                <w:p w:rsidR="00745FEA" w:rsidRPr="00D40E89" w:rsidRDefault="00745FEA" w:rsidP="00745FEA">
                  <w:pPr>
                    <w:pStyle w:val="TableBodyText"/>
                    <w:ind w:right="57"/>
                  </w:pPr>
                  <w:r w:rsidRPr="00D40E89">
                    <w:t>6.8</w:t>
                  </w:r>
                </w:p>
              </w:tc>
              <w:tc>
                <w:tcPr>
                  <w:tcW w:w="464" w:type="pct"/>
                  <w:shd w:val="clear" w:color="auto" w:fill="auto"/>
                  <w:vAlign w:val="bottom"/>
                </w:tcPr>
                <w:p w:rsidR="00745FEA" w:rsidRPr="00D40E89" w:rsidRDefault="00745FEA" w:rsidP="00745FEA">
                  <w:pPr>
                    <w:pStyle w:val="TableBodyText"/>
                    <w:ind w:right="57"/>
                  </w:pPr>
                  <w:r w:rsidRPr="00D40E89">
                    <w:t>7.2</w:t>
                  </w:r>
                </w:p>
              </w:tc>
              <w:tc>
                <w:tcPr>
                  <w:tcW w:w="462" w:type="pct"/>
                  <w:shd w:val="clear" w:color="auto" w:fill="auto"/>
                  <w:vAlign w:val="bottom"/>
                </w:tcPr>
                <w:p w:rsidR="00745FEA" w:rsidRPr="00D40E89" w:rsidRDefault="00745FEA" w:rsidP="00745FEA">
                  <w:pPr>
                    <w:pStyle w:val="TableBodyText"/>
                    <w:ind w:right="57"/>
                  </w:pPr>
                  <w:r w:rsidRPr="00D40E89">
                    <w:t>5.8</w:t>
                  </w:r>
                </w:p>
              </w:tc>
            </w:tr>
            <w:tr w:rsidR="00745FEA" w:rsidTr="00745FEA">
              <w:tc>
                <w:tcPr>
                  <w:tcW w:w="2217" w:type="pct"/>
                  <w:shd w:val="clear" w:color="auto" w:fill="auto"/>
                </w:tcPr>
                <w:p w:rsidR="00745FEA" w:rsidRPr="004C7154" w:rsidRDefault="00745FEA" w:rsidP="00745FEA">
                  <w:pPr>
                    <w:pStyle w:val="TableBodyText"/>
                    <w:spacing w:after="0"/>
                    <w:ind w:left="227" w:right="0"/>
                    <w:jc w:val="left"/>
                  </w:pPr>
                  <w:r w:rsidRPr="004C7154">
                    <w:t>Tax deduction for conserving or conveying water</w:t>
                  </w:r>
                </w:p>
              </w:tc>
              <w:tc>
                <w:tcPr>
                  <w:tcW w:w="464" w:type="pct"/>
                  <w:vAlign w:val="bottom"/>
                </w:tcPr>
                <w:p w:rsidR="00745FEA" w:rsidRPr="00D40E89" w:rsidRDefault="00745FEA" w:rsidP="00745FEA">
                  <w:pPr>
                    <w:pStyle w:val="TableBodyText"/>
                    <w:ind w:right="57"/>
                  </w:pPr>
                  <w:r w:rsidRPr="00D40E89">
                    <w:t>22.1</w:t>
                  </w:r>
                </w:p>
              </w:tc>
              <w:tc>
                <w:tcPr>
                  <w:tcW w:w="464" w:type="pct"/>
                  <w:vAlign w:val="bottom"/>
                </w:tcPr>
                <w:p w:rsidR="00745FEA" w:rsidRPr="00D40E89" w:rsidRDefault="00745FEA" w:rsidP="00745FEA">
                  <w:pPr>
                    <w:pStyle w:val="TableBodyText"/>
                    <w:ind w:right="57"/>
                  </w:pPr>
                  <w:r w:rsidRPr="00D40E89">
                    <w:t>28.9</w:t>
                  </w:r>
                </w:p>
              </w:tc>
              <w:tc>
                <w:tcPr>
                  <w:tcW w:w="464" w:type="pct"/>
                  <w:vAlign w:val="bottom"/>
                </w:tcPr>
                <w:p w:rsidR="00745FEA" w:rsidRPr="00D40E89" w:rsidRDefault="00745FEA" w:rsidP="00745FEA">
                  <w:pPr>
                    <w:pStyle w:val="TableBodyText"/>
                    <w:ind w:right="57"/>
                  </w:pPr>
                  <w:r w:rsidRPr="00D40E89">
                    <w:t>25.2</w:t>
                  </w:r>
                </w:p>
              </w:tc>
              <w:tc>
                <w:tcPr>
                  <w:tcW w:w="464" w:type="pct"/>
                  <w:vAlign w:val="bottom"/>
                </w:tcPr>
                <w:p w:rsidR="00745FEA" w:rsidRPr="00D40E89" w:rsidRDefault="00745FEA" w:rsidP="00745FEA">
                  <w:pPr>
                    <w:pStyle w:val="TableBodyText"/>
                    <w:ind w:right="57"/>
                  </w:pPr>
                  <w:r w:rsidRPr="00D40E89">
                    <w:t>2.1</w:t>
                  </w:r>
                </w:p>
              </w:tc>
              <w:tc>
                <w:tcPr>
                  <w:tcW w:w="464" w:type="pct"/>
                  <w:shd w:val="clear" w:color="auto" w:fill="auto"/>
                  <w:vAlign w:val="bottom"/>
                </w:tcPr>
                <w:p w:rsidR="00745FEA" w:rsidRPr="00D40E89" w:rsidRDefault="00745FEA" w:rsidP="00745FEA">
                  <w:pPr>
                    <w:pStyle w:val="TableBodyText"/>
                    <w:ind w:right="57"/>
                  </w:pPr>
                  <w:r w:rsidRPr="00D40E89">
                    <w:t>2.4</w:t>
                  </w:r>
                </w:p>
              </w:tc>
              <w:tc>
                <w:tcPr>
                  <w:tcW w:w="462" w:type="pct"/>
                  <w:shd w:val="clear" w:color="auto" w:fill="auto"/>
                  <w:vAlign w:val="bottom"/>
                </w:tcPr>
                <w:p w:rsidR="00745FEA" w:rsidRDefault="00745FEA" w:rsidP="00745FEA">
                  <w:pPr>
                    <w:pStyle w:val="TableBodyText"/>
                    <w:ind w:right="57"/>
                  </w:pPr>
                  <w:r w:rsidRPr="00D40E89">
                    <w:t>6.1</w:t>
                  </w:r>
                </w:p>
              </w:tc>
            </w:tr>
            <w:tr w:rsidR="00745FEA" w:rsidTr="00745FEA">
              <w:tc>
                <w:tcPr>
                  <w:tcW w:w="2217" w:type="pct"/>
                </w:tcPr>
                <w:p w:rsidR="00745FEA" w:rsidRPr="00B15491" w:rsidRDefault="00745FEA" w:rsidP="00745FEA">
                  <w:pPr>
                    <w:pStyle w:val="TableUnitsRow"/>
                    <w:spacing w:after="0"/>
                    <w:ind w:left="113"/>
                    <w:jc w:val="left"/>
                    <w:rPr>
                      <w:i/>
                    </w:rPr>
                  </w:pPr>
                  <w:r w:rsidRPr="00B15491">
                    <w:rPr>
                      <w:i/>
                    </w:rPr>
                    <w:t>Rural R&amp;D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vAlign w:val="bottom"/>
                </w:tcPr>
                <w:p w:rsidR="00745FEA" w:rsidRDefault="00745FEA" w:rsidP="00745FEA">
                  <w:pPr>
                    <w:pStyle w:val="TableBodyText"/>
                    <w:ind w:right="57"/>
                  </w:pPr>
                </w:p>
              </w:tc>
            </w:tr>
            <w:tr w:rsidR="00745FEA" w:rsidTr="00745FEA">
              <w:tc>
                <w:tcPr>
                  <w:tcW w:w="2217" w:type="pct"/>
                </w:tcPr>
                <w:p w:rsidR="00745FEA" w:rsidRPr="0088278B" w:rsidRDefault="00745FEA" w:rsidP="00745FEA">
                  <w:pPr>
                    <w:pStyle w:val="TableBodyText"/>
                    <w:spacing w:after="0"/>
                    <w:ind w:left="227" w:right="0"/>
                    <w:jc w:val="left"/>
                  </w:pPr>
                  <w:r w:rsidRPr="0088278B">
                    <w:t xml:space="preserve">Cotton </w:t>
                  </w:r>
                  <w:r>
                    <w:t>R&amp;D Corporation</w:t>
                  </w:r>
                </w:p>
              </w:tc>
              <w:tc>
                <w:tcPr>
                  <w:tcW w:w="464" w:type="pct"/>
                  <w:vAlign w:val="bottom"/>
                </w:tcPr>
                <w:p w:rsidR="00745FEA" w:rsidRPr="00F342A8" w:rsidRDefault="00745FEA" w:rsidP="00745FEA">
                  <w:pPr>
                    <w:pStyle w:val="TableBodyText"/>
                    <w:ind w:right="57"/>
                  </w:pPr>
                  <w:r w:rsidRPr="00F342A8">
                    <w:t>9.5</w:t>
                  </w:r>
                </w:p>
              </w:tc>
              <w:tc>
                <w:tcPr>
                  <w:tcW w:w="464" w:type="pct"/>
                  <w:vAlign w:val="bottom"/>
                </w:tcPr>
                <w:p w:rsidR="00745FEA" w:rsidRPr="00F342A8" w:rsidRDefault="00745FEA" w:rsidP="00745FEA">
                  <w:pPr>
                    <w:pStyle w:val="TableBodyText"/>
                    <w:ind w:right="57"/>
                  </w:pPr>
                  <w:r w:rsidRPr="00F342A8">
                    <w:t>11.8</w:t>
                  </w:r>
                </w:p>
              </w:tc>
              <w:tc>
                <w:tcPr>
                  <w:tcW w:w="464" w:type="pct"/>
                  <w:vAlign w:val="bottom"/>
                </w:tcPr>
                <w:p w:rsidR="00745FEA" w:rsidRPr="00F342A8" w:rsidRDefault="00745FEA" w:rsidP="00745FEA">
                  <w:pPr>
                    <w:pStyle w:val="TableBodyText"/>
                    <w:ind w:right="57"/>
                  </w:pPr>
                  <w:r w:rsidRPr="00F342A8">
                    <w:t>11.2</w:t>
                  </w:r>
                </w:p>
              </w:tc>
              <w:tc>
                <w:tcPr>
                  <w:tcW w:w="464" w:type="pct"/>
                  <w:vAlign w:val="bottom"/>
                </w:tcPr>
                <w:p w:rsidR="00745FEA" w:rsidRPr="00F342A8" w:rsidRDefault="00745FEA" w:rsidP="00745FEA">
                  <w:pPr>
                    <w:pStyle w:val="TableBodyText"/>
                    <w:ind w:right="57"/>
                  </w:pPr>
                  <w:r w:rsidRPr="00F342A8">
                    <w:t>7.3</w:t>
                  </w:r>
                </w:p>
              </w:tc>
              <w:tc>
                <w:tcPr>
                  <w:tcW w:w="464" w:type="pct"/>
                  <w:vAlign w:val="bottom"/>
                </w:tcPr>
                <w:p w:rsidR="00745FEA" w:rsidRPr="00F342A8" w:rsidRDefault="00745FEA" w:rsidP="00745FEA">
                  <w:pPr>
                    <w:pStyle w:val="TableBodyText"/>
                    <w:ind w:right="57"/>
                  </w:pPr>
                  <w:r w:rsidRPr="00F342A8">
                    <w:t>6.1</w:t>
                  </w:r>
                </w:p>
              </w:tc>
              <w:tc>
                <w:tcPr>
                  <w:tcW w:w="462" w:type="pct"/>
                  <w:vAlign w:val="bottom"/>
                </w:tcPr>
                <w:p w:rsidR="00745FEA" w:rsidRPr="00F342A8" w:rsidRDefault="00745FEA" w:rsidP="00745FEA">
                  <w:pPr>
                    <w:pStyle w:val="TableBodyText"/>
                    <w:ind w:right="57"/>
                  </w:pPr>
                  <w:r w:rsidRPr="00F342A8">
                    <w:t>6.1</w:t>
                  </w:r>
                </w:p>
              </w:tc>
            </w:tr>
            <w:tr w:rsidR="00745FEA" w:rsidTr="00745FEA">
              <w:tc>
                <w:tcPr>
                  <w:tcW w:w="2217" w:type="pct"/>
                  <w:shd w:val="clear" w:color="auto" w:fill="auto"/>
                </w:tcPr>
                <w:p w:rsidR="00745FEA" w:rsidRPr="0088278B" w:rsidRDefault="00745FEA" w:rsidP="00745FEA">
                  <w:pPr>
                    <w:pStyle w:val="TableBodyText"/>
                    <w:spacing w:after="0"/>
                    <w:ind w:left="227" w:right="0"/>
                    <w:jc w:val="left"/>
                  </w:pPr>
                  <w:r w:rsidRPr="0088278B">
                    <w:t xml:space="preserve">Rural Industries </w:t>
                  </w:r>
                  <w:r>
                    <w:t>R&amp;D Corporation</w:t>
                  </w:r>
                </w:p>
              </w:tc>
              <w:tc>
                <w:tcPr>
                  <w:tcW w:w="464" w:type="pct"/>
                  <w:vAlign w:val="bottom"/>
                </w:tcPr>
                <w:p w:rsidR="00745FEA" w:rsidRPr="00F342A8" w:rsidRDefault="00745FEA" w:rsidP="00745FEA">
                  <w:pPr>
                    <w:pStyle w:val="TableBodyText"/>
                    <w:ind w:right="57"/>
                  </w:pPr>
                  <w:r w:rsidRPr="00F342A8">
                    <w:t>0.8</w:t>
                  </w:r>
                </w:p>
              </w:tc>
              <w:tc>
                <w:tcPr>
                  <w:tcW w:w="464" w:type="pct"/>
                  <w:vAlign w:val="bottom"/>
                </w:tcPr>
                <w:p w:rsidR="00745FEA" w:rsidRPr="00F342A8" w:rsidRDefault="00745FEA" w:rsidP="00745FEA">
                  <w:pPr>
                    <w:pStyle w:val="TableBodyText"/>
                    <w:ind w:right="57"/>
                  </w:pPr>
                  <w:r w:rsidRPr="00F342A8">
                    <w:t>0.7</w:t>
                  </w:r>
                </w:p>
              </w:tc>
              <w:tc>
                <w:tcPr>
                  <w:tcW w:w="464" w:type="pct"/>
                  <w:vAlign w:val="bottom"/>
                </w:tcPr>
                <w:p w:rsidR="00745FEA" w:rsidRPr="00F342A8" w:rsidRDefault="00745FEA" w:rsidP="00745FEA">
                  <w:pPr>
                    <w:pStyle w:val="TableBodyText"/>
                    <w:ind w:right="57"/>
                  </w:pPr>
                  <w:r w:rsidRPr="00F342A8">
                    <w:t>0.6</w:t>
                  </w:r>
                </w:p>
              </w:tc>
              <w:tc>
                <w:tcPr>
                  <w:tcW w:w="464" w:type="pct"/>
                  <w:vAlign w:val="bottom"/>
                </w:tcPr>
                <w:p w:rsidR="00745FEA" w:rsidRPr="00F342A8" w:rsidRDefault="00745FEA" w:rsidP="00745FEA">
                  <w:pPr>
                    <w:pStyle w:val="TableBodyText"/>
                    <w:ind w:right="57"/>
                  </w:pPr>
                  <w:r w:rsidRPr="00F342A8">
                    <w:t>0.6</w:t>
                  </w:r>
                </w:p>
              </w:tc>
              <w:tc>
                <w:tcPr>
                  <w:tcW w:w="464" w:type="pct"/>
                  <w:shd w:val="clear" w:color="auto" w:fill="auto"/>
                  <w:vAlign w:val="bottom"/>
                </w:tcPr>
                <w:p w:rsidR="00745FEA" w:rsidRPr="00F342A8" w:rsidRDefault="00745FEA" w:rsidP="00745FEA">
                  <w:pPr>
                    <w:pStyle w:val="TableBodyText"/>
                    <w:ind w:right="57"/>
                  </w:pPr>
                  <w:r w:rsidRPr="00F342A8">
                    <w:t>0.6</w:t>
                  </w:r>
                </w:p>
              </w:tc>
              <w:tc>
                <w:tcPr>
                  <w:tcW w:w="462" w:type="pct"/>
                  <w:shd w:val="clear" w:color="auto" w:fill="auto"/>
                  <w:vAlign w:val="bottom"/>
                </w:tcPr>
                <w:p w:rsidR="00745FEA" w:rsidRPr="00F342A8" w:rsidRDefault="00745FEA" w:rsidP="00745FEA">
                  <w:pPr>
                    <w:pStyle w:val="TableBodyText"/>
                    <w:ind w:right="57"/>
                  </w:pPr>
                  <w:r w:rsidRPr="00F342A8">
                    <w:t>0.7</w:t>
                  </w:r>
                </w:p>
              </w:tc>
            </w:tr>
            <w:tr w:rsidR="00745FEA" w:rsidTr="00745FEA">
              <w:tc>
                <w:tcPr>
                  <w:tcW w:w="2217" w:type="pct"/>
                  <w:shd w:val="clear" w:color="auto" w:fill="auto"/>
                </w:tcPr>
                <w:p w:rsidR="00745FEA" w:rsidRPr="0088278B" w:rsidRDefault="00745FEA" w:rsidP="00745FEA">
                  <w:pPr>
                    <w:pStyle w:val="TableBodyText"/>
                    <w:spacing w:after="0"/>
                    <w:ind w:left="227" w:right="0"/>
                    <w:jc w:val="left"/>
                  </w:pPr>
                  <w:r w:rsidRPr="0088278B">
                    <w:t xml:space="preserve">Sugar </w:t>
                  </w:r>
                  <w:r>
                    <w:t>R&amp;D Corporation</w:t>
                  </w:r>
                </w:p>
              </w:tc>
              <w:tc>
                <w:tcPr>
                  <w:tcW w:w="464" w:type="pct"/>
                  <w:vAlign w:val="bottom"/>
                </w:tcPr>
                <w:p w:rsidR="00745FEA" w:rsidRPr="00F342A8" w:rsidRDefault="00745FEA" w:rsidP="00745FEA">
                  <w:pPr>
                    <w:pStyle w:val="TableBodyText"/>
                    <w:ind w:right="57"/>
                  </w:pPr>
                  <w:r w:rsidRPr="00F342A8">
                    <w:t>5.4</w:t>
                  </w:r>
                </w:p>
              </w:tc>
              <w:tc>
                <w:tcPr>
                  <w:tcW w:w="464" w:type="pct"/>
                  <w:vAlign w:val="bottom"/>
                </w:tcPr>
                <w:p w:rsidR="00745FEA" w:rsidRPr="00F342A8" w:rsidRDefault="00745FEA" w:rsidP="00745FEA">
                  <w:pPr>
                    <w:pStyle w:val="TableBodyText"/>
                    <w:ind w:right="57"/>
                  </w:pPr>
                  <w:r w:rsidRPr="00F342A8">
                    <w:t>4.3</w:t>
                  </w:r>
                </w:p>
              </w:tc>
              <w:tc>
                <w:tcPr>
                  <w:tcW w:w="464" w:type="pct"/>
                  <w:vAlign w:val="bottom"/>
                </w:tcPr>
                <w:p w:rsidR="00745FEA" w:rsidRPr="00F342A8" w:rsidRDefault="00745FEA" w:rsidP="00745FEA">
                  <w:pPr>
                    <w:pStyle w:val="TableBodyText"/>
                    <w:ind w:right="57"/>
                  </w:pPr>
                  <w:r w:rsidRPr="00F342A8">
                    <w:t>6.7</w:t>
                  </w:r>
                </w:p>
              </w:tc>
              <w:tc>
                <w:tcPr>
                  <w:tcW w:w="464" w:type="pct"/>
                  <w:vAlign w:val="bottom"/>
                </w:tcPr>
                <w:p w:rsidR="00745FEA" w:rsidRPr="00F342A8" w:rsidRDefault="00745FEA" w:rsidP="00745FEA">
                  <w:pPr>
                    <w:pStyle w:val="TableBodyText"/>
                    <w:ind w:right="57"/>
                  </w:pPr>
                  <w:r w:rsidRPr="00F342A8">
                    <w:t>6.1</w:t>
                  </w:r>
                </w:p>
              </w:tc>
              <w:tc>
                <w:tcPr>
                  <w:tcW w:w="464" w:type="pct"/>
                  <w:shd w:val="clear" w:color="auto" w:fill="auto"/>
                  <w:vAlign w:val="bottom"/>
                </w:tcPr>
                <w:p w:rsidR="00745FEA" w:rsidRPr="00F342A8" w:rsidRDefault="00745FEA" w:rsidP="00745FEA">
                  <w:pPr>
                    <w:pStyle w:val="TableBodyText"/>
                    <w:ind w:right="57"/>
                  </w:pPr>
                  <w:r w:rsidRPr="00F342A8">
                    <w:t>6.6</w:t>
                  </w:r>
                </w:p>
              </w:tc>
              <w:tc>
                <w:tcPr>
                  <w:tcW w:w="462" w:type="pct"/>
                  <w:shd w:val="clear" w:color="auto" w:fill="auto"/>
                  <w:vAlign w:val="bottom"/>
                </w:tcPr>
                <w:p w:rsidR="00745FEA" w:rsidRDefault="00745FEA" w:rsidP="00745FEA">
                  <w:pPr>
                    <w:pStyle w:val="TableBodyText"/>
                    <w:ind w:right="57"/>
                  </w:pPr>
                  <w:r w:rsidRPr="00F342A8">
                    <w:t>7.6</w:t>
                  </w:r>
                </w:p>
              </w:tc>
            </w:tr>
            <w:tr w:rsidR="00745FEA" w:rsidTr="00745FEA">
              <w:tc>
                <w:tcPr>
                  <w:tcW w:w="2217" w:type="pct"/>
                  <w:shd w:val="clear" w:color="auto" w:fill="auto"/>
                </w:tcPr>
                <w:p w:rsidR="00745FEA" w:rsidRPr="00B15491" w:rsidRDefault="00745FEA" w:rsidP="00745FEA">
                  <w:pPr>
                    <w:pStyle w:val="TableBodyText"/>
                    <w:spacing w:before="40" w:after="0"/>
                    <w:ind w:left="113"/>
                    <w:jc w:val="left"/>
                    <w:rPr>
                      <w:i/>
                    </w:rPr>
                  </w:pPr>
                  <w:r w:rsidRPr="00B15491">
                    <w:rPr>
                      <w:i/>
                    </w:rPr>
                    <w:t>General export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DF1AEB" w:rsidRDefault="00745FEA" w:rsidP="00745FEA">
                  <w:pPr>
                    <w:pStyle w:val="TableBodyText"/>
                    <w:spacing w:after="0"/>
                    <w:ind w:left="227" w:right="0"/>
                    <w:jc w:val="left"/>
                  </w:pPr>
                  <w:r w:rsidRPr="00DF1AEB">
                    <w:t>Export Market Development Grants Scheme</w:t>
                  </w:r>
                </w:p>
              </w:tc>
              <w:tc>
                <w:tcPr>
                  <w:tcW w:w="464" w:type="pct"/>
                  <w:vAlign w:val="bottom"/>
                </w:tcPr>
                <w:p w:rsidR="00745FEA" w:rsidRPr="006D4717" w:rsidRDefault="00745FEA" w:rsidP="00745FEA">
                  <w:pPr>
                    <w:pStyle w:val="TableBodyText"/>
                    <w:ind w:right="57"/>
                  </w:pPr>
                  <w:r w:rsidRPr="006D4717">
                    <w:t>0.5</w:t>
                  </w:r>
                </w:p>
              </w:tc>
              <w:tc>
                <w:tcPr>
                  <w:tcW w:w="464" w:type="pct"/>
                  <w:vAlign w:val="bottom"/>
                </w:tcPr>
                <w:p w:rsidR="00745FEA" w:rsidRPr="006D4717" w:rsidRDefault="00745FEA" w:rsidP="00745FEA">
                  <w:pPr>
                    <w:pStyle w:val="TableBodyText"/>
                    <w:ind w:right="57"/>
                  </w:pPr>
                  <w:r w:rsidRPr="006D4717">
                    <w:t>0.6</w:t>
                  </w:r>
                </w:p>
              </w:tc>
              <w:tc>
                <w:tcPr>
                  <w:tcW w:w="464" w:type="pct"/>
                  <w:vAlign w:val="bottom"/>
                </w:tcPr>
                <w:p w:rsidR="00745FEA" w:rsidRPr="006D4717" w:rsidRDefault="00745FEA" w:rsidP="00745FEA">
                  <w:pPr>
                    <w:pStyle w:val="TableBodyText"/>
                    <w:ind w:right="57"/>
                  </w:pPr>
                  <w:r w:rsidRPr="006D4717">
                    <w:t>0.6</w:t>
                  </w:r>
                </w:p>
              </w:tc>
              <w:tc>
                <w:tcPr>
                  <w:tcW w:w="464" w:type="pct"/>
                  <w:vAlign w:val="bottom"/>
                </w:tcPr>
                <w:p w:rsidR="00745FEA" w:rsidRPr="006D4717" w:rsidRDefault="00745FEA" w:rsidP="00745FEA">
                  <w:pPr>
                    <w:pStyle w:val="TableBodyText"/>
                    <w:ind w:right="57"/>
                  </w:pPr>
                  <w:r w:rsidRPr="006D4717">
                    <w:t>0.8</w:t>
                  </w:r>
                </w:p>
              </w:tc>
              <w:tc>
                <w:tcPr>
                  <w:tcW w:w="464" w:type="pct"/>
                  <w:shd w:val="clear" w:color="auto" w:fill="auto"/>
                  <w:vAlign w:val="bottom"/>
                </w:tcPr>
                <w:p w:rsidR="00745FEA" w:rsidRPr="006D4717" w:rsidRDefault="00745FEA" w:rsidP="00745FEA">
                  <w:pPr>
                    <w:pStyle w:val="TableBodyText"/>
                    <w:ind w:right="57"/>
                  </w:pPr>
                  <w:r w:rsidRPr="006D4717">
                    <w:t>0.8</w:t>
                  </w:r>
                </w:p>
              </w:tc>
              <w:tc>
                <w:tcPr>
                  <w:tcW w:w="462" w:type="pct"/>
                  <w:shd w:val="clear" w:color="auto" w:fill="auto"/>
                  <w:vAlign w:val="bottom"/>
                </w:tcPr>
                <w:p w:rsidR="00745FEA" w:rsidRDefault="00745FEA" w:rsidP="00745FEA">
                  <w:pPr>
                    <w:pStyle w:val="TableBodyText"/>
                    <w:ind w:right="57"/>
                  </w:pPr>
                  <w:r w:rsidRPr="006D4717">
                    <w:t>0.9</w:t>
                  </w:r>
                </w:p>
              </w:tc>
            </w:tr>
            <w:tr w:rsidR="00745FEA" w:rsidTr="00745FEA">
              <w:tc>
                <w:tcPr>
                  <w:tcW w:w="2217" w:type="pct"/>
                  <w:shd w:val="clear" w:color="auto" w:fill="auto"/>
                </w:tcPr>
                <w:p w:rsidR="00745FEA" w:rsidRPr="00B15491" w:rsidRDefault="00745FEA" w:rsidP="00745FEA">
                  <w:pPr>
                    <w:pStyle w:val="TableBodyText"/>
                    <w:spacing w:before="40" w:after="0"/>
                    <w:ind w:left="113"/>
                    <w:jc w:val="left"/>
                    <w:rPr>
                      <w:i/>
                      <w:szCs w:val="18"/>
                    </w:rPr>
                  </w:pPr>
                  <w:r w:rsidRPr="00B15491">
                    <w:rPr>
                      <w:i/>
                      <w:szCs w:val="18"/>
                    </w:rPr>
                    <w:t>General R&amp;D measures</w:t>
                  </w:r>
                </w:p>
              </w:tc>
              <w:tc>
                <w:tcPr>
                  <w:tcW w:w="464" w:type="pct"/>
                  <w:vAlign w:val="bottom"/>
                </w:tcPr>
                <w:p w:rsidR="00745FEA" w:rsidRPr="00B15491" w:rsidRDefault="00745FEA" w:rsidP="00745FEA">
                  <w:pPr>
                    <w:pStyle w:val="TableBodyText"/>
                    <w:ind w:right="57"/>
                    <w:rPr>
                      <w:szCs w:val="18"/>
                    </w:rPr>
                  </w:pPr>
                </w:p>
              </w:tc>
              <w:tc>
                <w:tcPr>
                  <w:tcW w:w="464" w:type="pct"/>
                  <w:vAlign w:val="bottom"/>
                </w:tcPr>
                <w:p w:rsidR="00745FEA" w:rsidRPr="00B15491" w:rsidRDefault="00745FEA" w:rsidP="00745FEA">
                  <w:pPr>
                    <w:pStyle w:val="TableBodyText"/>
                    <w:ind w:right="57"/>
                    <w:rPr>
                      <w:szCs w:val="18"/>
                    </w:rPr>
                  </w:pPr>
                </w:p>
              </w:tc>
              <w:tc>
                <w:tcPr>
                  <w:tcW w:w="464" w:type="pct"/>
                  <w:vAlign w:val="bottom"/>
                </w:tcPr>
                <w:p w:rsidR="00745FEA" w:rsidRPr="00B15491" w:rsidRDefault="00745FEA" w:rsidP="00745FEA">
                  <w:pPr>
                    <w:pStyle w:val="TableBodyText"/>
                    <w:ind w:right="57"/>
                    <w:rPr>
                      <w:szCs w:val="18"/>
                    </w:rPr>
                  </w:pPr>
                </w:p>
              </w:tc>
              <w:tc>
                <w:tcPr>
                  <w:tcW w:w="464" w:type="pct"/>
                  <w:vAlign w:val="bottom"/>
                </w:tcPr>
                <w:p w:rsidR="00745FEA" w:rsidRPr="00B15491" w:rsidRDefault="00745FEA" w:rsidP="00745FEA">
                  <w:pPr>
                    <w:pStyle w:val="TableBodyText"/>
                    <w:ind w:right="57"/>
                    <w:rPr>
                      <w:szCs w:val="18"/>
                    </w:rPr>
                  </w:pPr>
                </w:p>
              </w:tc>
              <w:tc>
                <w:tcPr>
                  <w:tcW w:w="464" w:type="pct"/>
                  <w:shd w:val="clear" w:color="auto" w:fill="auto"/>
                  <w:vAlign w:val="bottom"/>
                </w:tcPr>
                <w:p w:rsidR="00745FEA" w:rsidRPr="00B15491" w:rsidRDefault="00745FEA" w:rsidP="00745FEA">
                  <w:pPr>
                    <w:pStyle w:val="TableBodyText"/>
                    <w:ind w:right="57"/>
                    <w:rPr>
                      <w:szCs w:val="18"/>
                    </w:rPr>
                  </w:pPr>
                </w:p>
              </w:tc>
              <w:tc>
                <w:tcPr>
                  <w:tcW w:w="462" w:type="pct"/>
                  <w:shd w:val="clear" w:color="auto" w:fill="auto"/>
                  <w:vAlign w:val="bottom"/>
                </w:tcPr>
                <w:p w:rsidR="00745FEA" w:rsidRPr="00B15491" w:rsidRDefault="00745FEA" w:rsidP="00745FEA">
                  <w:pPr>
                    <w:pStyle w:val="TableBodyText"/>
                    <w:ind w:right="57"/>
                    <w:rPr>
                      <w:szCs w:val="18"/>
                    </w:rPr>
                  </w:pP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Commercialisation Australia</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0.1</w:t>
                  </w:r>
                </w:p>
              </w:tc>
              <w:tc>
                <w:tcPr>
                  <w:tcW w:w="464" w:type="pct"/>
                  <w:vAlign w:val="bottom"/>
                </w:tcPr>
                <w:p w:rsidR="00745FEA" w:rsidRPr="001942EB" w:rsidRDefault="00745FEA" w:rsidP="00745FEA">
                  <w:pPr>
                    <w:pStyle w:val="TableBodyText"/>
                    <w:ind w:right="57"/>
                  </w:pPr>
                  <w:r w:rsidRPr="001942EB">
                    <w:t>0.1</w:t>
                  </w:r>
                </w:p>
              </w:tc>
              <w:tc>
                <w:tcPr>
                  <w:tcW w:w="464" w:type="pct"/>
                  <w:vAlign w:val="bottom"/>
                </w:tcPr>
                <w:p w:rsidR="00745FEA" w:rsidRPr="001942EB" w:rsidRDefault="00745FEA" w:rsidP="00745FEA">
                  <w:pPr>
                    <w:pStyle w:val="TableBodyText"/>
                    <w:ind w:right="57"/>
                  </w:pPr>
                  <w:r w:rsidRPr="001942EB">
                    <w:t>–</w:t>
                  </w:r>
                </w:p>
              </w:tc>
              <w:tc>
                <w:tcPr>
                  <w:tcW w:w="464" w:type="pct"/>
                  <w:shd w:val="clear" w:color="auto" w:fill="auto"/>
                  <w:vAlign w:val="bottom"/>
                </w:tcPr>
                <w:p w:rsidR="00745FEA" w:rsidRPr="001942EB" w:rsidRDefault="00745FEA" w:rsidP="00745FEA">
                  <w:pPr>
                    <w:pStyle w:val="TableBodyText"/>
                    <w:ind w:right="57"/>
                  </w:pPr>
                  <w:r w:rsidRPr="001942EB">
                    <w:t>–</w:t>
                  </w:r>
                </w:p>
              </w:tc>
              <w:tc>
                <w:tcPr>
                  <w:tcW w:w="462" w:type="pct"/>
                  <w:shd w:val="clear" w:color="auto" w:fill="auto"/>
                  <w:vAlign w:val="bottom"/>
                </w:tcPr>
                <w:p w:rsidR="00745FEA" w:rsidRPr="001942EB" w:rsidRDefault="00745FEA" w:rsidP="00745FEA">
                  <w:pPr>
                    <w:pStyle w:val="TableBodyText"/>
                    <w:ind w:right="57"/>
                  </w:pPr>
                  <w:r w:rsidRPr="001942EB">
                    <w:t>–</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Cooperative Research Centres</w:t>
                  </w:r>
                </w:p>
              </w:tc>
              <w:tc>
                <w:tcPr>
                  <w:tcW w:w="464" w:type="pct"/>
                  <w:vAlign w:val="bottom"/>
                </w:tcPr>
                <w:p w:rsidR="00745FEA" w:rsidRPr="001942EB" w:rsidRDefault="00745FEA" w:rsidP="00745FEA">
                  <w:pPr>
                    <w:pStyle w:val="TableBodyText"/>
                    <w:ind w:right="57"/>
                  </w:pPr>
                  <w:r w:rsidRPr="001942EB">
                    <w:t>3.0</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shd w:val="clear" w:color="auto" w:fill="auto"/>
                  <w:vAlign w:val="bottom"/>
                </w:tcPr>
                <w:p w:rsidR="00745FEA" w:rsidRPr="001942EB" w:rsidRDefault="00745FEA" w:rsidP="00745FEA">
                  <w:pPr>
                    <w:pStyle w:val="TableBodyText"/>
                    <w:ind w:right="57"/>
                  </w:pPr>
                  <w:r w:rsidRPr="001942EB">
                    <w:t>–</w:t>
                  </w:r>
                </w:p>
              </w:tc>
              <w:tc>
                <w:tcPr>
                  <w:tcW w:w="462" w:type="pct"/>
                  <w:shd w:val="clear" w:color="auto" w:fill="auto"/>
                  <w:vAlign w:val="bottom"/>
                </w:tcPr>
                <w:p w:rsidR="00745FEA" w:rsidRPr="001942EB" w:rsidRDefault="00745FEA" w:rsidP="00745FEA">
                  <w:pPr>
                    <w:pStyle w:val="TableBodyText"/>
                    <w:ind w:right="57"/>
                  </w:pPr>
                  <w:r w:rsidRPr="001942EB">
                    <w:t>–</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Clean Business Australia - Climate Ready Program</w:t>
                  </w:r>
                </w:p>
              </w:tc>
              <w:tc>
                <w:tcPr>
                  <w:tcW w:w="464" w:type="pct"/>
                  <w:vAlign w:val="bottom"/>
                </w:tcPr>
                <w:p w:rsidR="00745FEA" w:rsidRPr="001942EB" w:rsidRDefault="00745FEA" w:rsidP="00745FEA">
                  <w:pPr>
                    <w:pStyle w:val="TableBodyText"/>
                    <w:ind w:right="57"/>
                  </w:pPr>
                  <w:r w:rsidRPr="001942EB">
                    <w:t>&lt;0.1</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shd w:val="clear" w:color="auto" w:fill="auto"/>
                  <w:vAlign w:val="bottom"/>
                </w:tcPr>
                <w:p w:rsidR="00745FEA" w:rsidRPr="001942EB" w:rsidRDefault="00745FEA" w:rsidP="00745FEA">
                  <w:pPr>
                    <w:pStyle w:val="TableBodyText"/>
                    <w:ind w:right="57"/>
                  </w:pPr>
                  <w:r w:rsidRPr="001942EB">
                    <w:t>–</w:t>
                  </w:r>
                </w:p>
              </w:tc>
              <w:tc>
                <w:tcPr>
                  <w:tcW w:w="462" w:type="pct"/>
                  <w:shd w:val="clear" w:color="auto" w:fill="auto"/>
                  <w:vAlign w:val="bottom"/>
                </w:tcPr>
                <w:p w:rsidR="00745FEA" w:rsidRPr="001942EB" w:rsidRDefault="00745FEA" w:rsidP="00745FEA">
                  <w:pPr>
                    <w:pStyle w:val="TableBodyText"/>
                    <w:ind w:right="57"/>
                  </w:pPr>
                  <w:r w:rsidRPr="001942EB">
                    <w:t>–</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CSIRO</w:t>
                  </w:r>
                </w:p>
              </w:tc>
              <w:tc>
                <w:tcPr>
                  <w:tcW w:w="464" w:type="pct"/>
                  <w:vAlign w:val="bottom"/>
                </w:tcPr>
                <w:p w:rsidR="00745FEA" w:rsidRPr="001942EB" w:rsidRDefault="00745FEA" w:rsidP="00745FEA">
                  <w:pPr>
                    <w:pStyle w:val="TableBodyText"/>
                    <w:ind w:right="57"/>
                  </w:pPr>
                  <w:r w:rsidRPr="001942EB">
                    <w:t>23.0</w:t>
                  </w:r>
                </w:p>
              </w:tc>
              <w:tc>
                <w:tcPr>
                  <w:tcW w:w="464" w:type="pct"/>
                  <w:vAlign w:val="bottom"/>
                </w:tcPr>
                <w:p w:rsidR="00745FEA" w:rsidRPr="001942EB" w:rsidRDefault="00745FEA" w:rsidP="00745FEA">
                  <w:pPr>
                    <w:pStyle w:val="TableBodyText"/>
                    <w:ind w:right="57"/>
                  </w:pPr>
                  <w:r w:rsidRPr="001942EB">
                    <w:t>23.2</w:t>
                  </w:r>
                </w:p>
              </w:tc>
              <w:tc>
                <w:tcPr>
                  <w:tcW w:w="464" w:type="pct"/>
                  <w:vAlign w:val="bottom"/>
                </w:tcPr>
                <w:p w:rsidR="00745FEA" w:rsidRPr="001942EB" w:rsidRDefault="00745FEA" w:rsidP="00745FEA">
                  <w:pPr>
                    <w:pStyle w:val="TableBodyText"/>
                    <w:ind w:right="57"/>
                  </w:pPr>
                  <w:r w:rsidRPr="001942EB">
                    <w:t>27.0</w:t>
                  </w:r>
                </w:p>
              </w:tc>
              <w:tc>
                <w:tcPr>
                  <w:tcW w:w="464" w:type="pct"/>
                  <w:vAlign w:val="bottom"/>
                </w:tcPr>
                <w:p w:rsidR="00745FEA" w:rsidRPr="001942EB" w:rsidRDefault="00745FEA" w:rsidP="00745FEA">
                  <w:pPr>
                    <w:pStyle w:val="TableBodyText"/>
                    <w:ind w:right="57"/>
                  </w:pPr>
                  <w:r w:rsidRPr="001942EB">
                    <w:t>31.6</w:t>
                  </w:r>
                </w:p>
              </w:tc>
              <w:tc>
                <w:tcPr>
                  <w:tcW w:w="464" w:type="pct"/>
                  <w:shd w:val="clear" w:color="auto" w:fill="auto"/>
                  <w:vAlign w:val="bottom"/>
                </w:tcPr>
                <w:p w:rsidR="00745FEA" w:rsidRPr="001942EB" w:rsidRDefault="00745FEA" w:rsidP="00745FEA">
                  <w:pPr>
                    <w:pStyle w:val="TableBodyText"/>
                    <w:ind w:right="57"/>
                  </w:pPr>
                  <w:r w:rsidRPr="001942EB">
                    <w:t>31.9</w:t>
                  </w:r>
                </w:p>
              </w:tc>
              <w:tc>
                <w:tcPr>
                  <w:tcW w:w="462" w:type="pct"/>
                  <w:shd w:val="clear" w:color="auto" w:fill="auto"/>
                  <w:vAlign w:val="bottom"/>
                </w:tcPr>
                <w:p w:rsidR="00745FEA" w:rsidRPr="001942EB" w:rsidRDefault="00745FEA" w:rsidP="00745FEA">
                  <w:pPr>
                    <w:pStyle w:val="TableBodyText"/>
                    <w:ind w:right="57"/>
                  </w:pPr>
                  <w:r w:rsidRPr="001942EB">
                    <w:t>27.5</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R&amp;D Tax Incentive - refundable tax offset</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1.8</w:t>
                  </w:r>
                </w:p>
              </w:tc>
              <w:tc>
                <w:tcPr>
                  <w:tcW w:w="464" w:type="pct"/>
                  <w:vAlign w:val="bottom"/>
                </w:tcPr>
                <w:p w:rsidR="00745FEA" w:rsidRPr="001942EB" w:rsidRDefault="00745FEA" w:rsidP="00745FEA">
                  <w:pPr>
                    <w:pStyle w:val="TableBodyText"/>
                    <w:ind w:right="57"/>
                  </w:pPr>
                  <w:r w:rsidRPr="001942EB">
                    <w:t>1.8</w:t>
                  </w:r>
                </w:p>
              </w:tc>
              <w:tc>
                <w:tcPr>
                  <w:tcW w:w="464" w:type="pct"/>
                  <w:vAlign w:val="bottom"/>
                </w:tcPr>
                <w:p w:rsidR="00745FEA" w:rsidRPr="001942EB" w:rsidRDefault="00745FEA" w:rsidP="00745FEA">
                  <w:pPr>
                    <w:pStyle w:val="TableBodyText"/>
                    <w:ind w:right="57"/>
                  </w:pPr>
                  <w:r w:rsidRPr="001942EB">
                    <w:t>2.4</w:t>
                  </w:r>
                </w:p>
              </w:tc>
              <w:tc>
                <w:tcPr>
                  <w:tcW w:w="464" w:type="pct"/>
                  <w:shd w:val="clear" w:color="auto" w:fill="auto"/>
                  <w:vAlign w:val="bottom"/>
                </w:tcPr>
                <w:p w:rsidR="00745FEA" w:rsidRPr="001942EB" w:rsidRDefault="00745FEA" w:rsidP="00745FEA">
                  <w:pPr>
                    <w:pStyle w:val="TableBodyText"/>
                    <w:ind w:right="57"/>
                  </w:pPr>
                  <w:r w:rsidRPr="001942EB">
                    <w:t>2.5</w:t>
                  </w:r>
                </w:p>
              </w:tc>
              <w:tc>
                <w:tcPr>
                  <w:tcW w:w="462" w:type="pct"/>
                  <w:shd w:val="clear" w:color="auto" w:fill="auto"/>
                  <w:vAlign w:val="bottom"/>
                </w:tcPr>
                <w:p w:rsidR="00745FEA" w:rsidRPr="001942EB" w:rsidRDefault="00745FEA" w:rsidP="00745FEA">
                  <w:pPr>
                    <w:pStyle w:val="TableBodyText"/>
                    <w:ind w:right="57"/>
                  </w:pPr>
                  <w:r w:rsidRPr="001942EB">
                    <w:t>3.1</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R&amp;D tax offsets - Refundable</w:t>
                  </w:r>
                </w:p>
              </w:tc>
              <w:tc>
                <w:tcPr>
                  <w:tcW w:w="464" w:type="pct"/>
                  <w:vAlign w:val="bottom"/>
                </w:tcPr>
                <w:p w:rsidR="00745FEA" w:rsidRPr="001942EB" w:rsidRDefault="00745FEA" w:rsidP="00745FEA">
                  <w:pPr>
                    <w:pStyle w:val="TableBodyText"/>
                    <w:ind w:right="57"/>
                  </w:pPr>
                  <w:r w:rsidRPr="001942EB">
                    <w:t>0.6</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shd w:val="clear" w:color="auto" w:fill="auto"/>
                  <w:vAlign w:val="bottom"/>
                </w:tcPr>
                <w:p w:rsidR="00745FEA" w:rsidRPr="001942EB" w:rsidRDefault="00745FEA" w:rsidP="00745FEA">
                  <w:pPr>
                    <w:pStyle w:val="TableBodyText"/>
                    <w:ind w:right="57"/>
                  </w:pPr>
                  <w:r w:rsidRPr="001942EB">
                    <w:t>–</w:t>
                  </w:r>
                </w:p>
              </w:tc>
              <w:tc>
                <w:tcPr>
                  <w:tcW w:w="462" w:type="pct"/>
                  <w:shd w:val="clear" w:color="auto" w:fill="auto"/>
                  <w:vAlign w:val="bottom"/>
                </w:tcPr>
                <w:p w:rsidR="00745FEA" w:rsidRPr="001942EB" w:rsidRDefault="00745FEA" w:rsidP="00745FEA">
                  <w:pPr>
                    <w:pStyle w:val="TableBodyText"/>
                    <w:ind w:right="57"/>
                  </w:pPr>
                  <w:r w:rsidRPr="001942EB">
                    <w:t>–</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R&amp;D tax concession</w:t>
                  </w:r>
                </w:p>
              </w:tc>
              <w:tc>
                <w:tcPr>
                  <w:tcW w:w="464" w:type="pct"/>
                  <w:vAlign w:val="bottom"/>
                </w:tcPr>
                <w:p w:rsidR="00745FEA" w:rsidRPr="001942EB" w:rsidRDefault="00745FEA" w:rsidP="00745FEA">
                  <w:pPr>
                    <w:pStyle w:val="TableBodyText"/>
                    <w:ind w:right="57"/>
                  </w:pPr>
                  <w:r w:rsidRPr="001942EB">
                    <w:t>0.7</w:t>
                  </w:r>
                </w:p>
              </w:tc>
              <w:tc>
                <w:tcPr>
                  <w:tcW w:w="464" w:type="pct"/>
                  <w:vAlign w:val="bottom"/>
                </w:tcPr>
                <w:p w:rsidR="00745FEA" w:rsidRPr="001942EB" w:rsidRDefault="00745FEA" w:rsidP="00745FEA">
                  <w:pPr>
                    <w:pStyle w:val="TableBodyText"/>
                    <w:ind w:right="57"/>
                  </w:pPr>
                  <w:r w:rsidRPr="001942EB">
                    <w:t>0.3</w:t>
                  </w:r>
                </w:p>
              </w:tc>
              <w:tc>
                <w:tcPr>
                  <w:tcW w:w="464" w:type="pct"/>
                  <w:vAlign w:val="bottom"/>
                </w:tcPr>
                <w:p w:rsidR="00745FEA" w:rsidRPr="001942EB" w:rsidRDefault="00745FEA" w:rsidP="00745FEA">
                  <w:pPr>
                    <w:pStyle w:val="TableBodyText"/>
                    <w:ind w:right="57"/>
                  </w:pPr>
                  <w:r w:rsidRPr="001942EB">
                    <w:t>0.1</w:t>
                  </w:r>
                </w:p>
              </w:tc>
              <w:tc>
                <w:tcPr>
                  <w:tcW w:w="464" w:type="pct"/>
                  <w:vAlign w:val="bottom"/>
                </w:tcPr>
                <w:p w:rsidR="00745FEA" w:rsidRPr="001942EB" w:rsidRDefault="00745FEA" w:rsidP="00745FEA">
                  <w:pPr>
                    <w:pStyle w:val="TableBodyText"/>
                    <w:ind w:right="57"/>
                  </w:pPr>
                  <w:r w:rsidRPr="001942EB">
                    <w:t>&lt;0.1</w:t>
                  </w:r>
                </w:p>
              </w:tc>
              <w:tc>
                <w:tcPr>
                  <w:tcW w:w="464" w:type="pct"/>
                  <w:shd w:val="clear" w:color="auto" w:fill="auto"/>
                  <w:vAlign w:val="bottom"/>
                </w:tcPr>
                <w:p w:rsidR="00745FEA" w:rsidRPr="001942EB" w:rsidRDefault="00745FEA" w:rsidP="00745FEA">
                  <w:pPr>
                    <w:pStyle w:val="TableBodyText"/>
                    <w:ind w:right="57"/>
                  </w:pPr>
                  <w:r w:rsidRPr="001942EB">
                    <w:t>–</w:t>
                  </w:r>
                </w:p>
              </w:tc>
              <w:tc>
                <w:tcPr>
                  <w:tcW w:w="462" w:type="pct"/>
                  <w:shd w:val="clear" w:color="auto" w:fill="auto"/>
                  <w:vAlign w:val="bottom"/>
                </w:tcPr>
                <w:p w:rsidR="00745FEA" w:rsidRPr="001942EB" w:rsidRDefault="00745FEA" w:rsidP="00745FEA">
                  <w:pPr>
                    <w:pStyle w:val="TableBodyText"/>
                    <w:ind w:right="57"/>
                  </w:pPr>
                  <w:r w:rsidRPr="001942EB">
                    <w:t>–</w:t>
                  </w:r>
                </w:p>
              </w:tc>
            </w:tr>
            <w:tr w:rsidR="00745FEA" w:rsidTr="00745FEA">
              <w:tc>
                <w:tcPr>
                  <w:tcW w:w="2217" w:type="pct"/>
                  <w:shd w:val="clear" w:color="auto" w:fill="auto"/>
                </w:tcPr>
                <w:p w:rsidR="00745FEA" w:rsidRPr="005440CA" w:rsidRDefault="00745FEA" w:rsidP="00745FEA">
                  <w:pPr>
                    <w:pStyle w:val="TableBodyText"/>
                    <w:spacing w:after="0"/>
                    <w:ind w:left="227" w:right="0"/>
                    <w:jc w:val="left"/>
                  </w:pPr>
                  <w:r w:rsidRPr="005440CA">
                    <w:t>R&amp;D Tax Incentive - non-refundable tax offset</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w:t>
                  </w:r>
                </w:p>
              </w:tc>
              <w:tc>
                <w:tcPr>
                  <w:tcW w:w="464" w:type="pct"/>
                  <w:vAlign w:val="bottom"/>
                </w:tcPr>
                <w:p w:rsidR="00745FEA" w:rsidRPr="001942EB" w:rsidRDefault="00745FEA" w:rsidP="00745FEA">
                  <w:pPr>
                    <w:pStyle w:val="TableBodyText"/>
                    <w:ind w:right="57"/>
                  </w:pPr>
                  <w:r w:rsidRPr="001942EB">
                    <w:t>0.4</w:t>
                  </w:r>
                </w:p>
              </w:tc>
              <w:tc>
                <w:tcPr>
                  <w:tcW w:w="464" w:type="pct"/>
                  <w:vAlign w:val="bottom"/>
                </w:tcPr>
                <w:p w:rsidR="00745FEA" w:rsidRPr="001942EB" w:rsidRDefault="00745FEA" w:rsidP="00745FEA">
                  <w:pPr>
                    <w:pStyle w:val="TableBodyText"/>
                    <w:ind w:right="57"/>
                  </w:pPr>
                  <w:r w:rsidRPr="001942EB">
                    <w:t>0.3</w:t>
                  </w:r>
                </w:p>
              </w:tc>
              <w:tc>
                <w:tcPr>
                  <w:tcW w:w="464" w:type="pct"/>
                  <w:shd w:val="clear" w:color="auto" w:fill="auto"/>
                  <w:vAlign w:val="bottom"/>
                </w:tcPr>
                <w:p w:rsidR="00745FEA" w:rsidRPr="001942EB" w:rsidRDefault="00745FEA" w:rsidP="00745FEA">
                  <w:pPr>
                    <w:pStyle w:val="TableBodyText"/>
                    <w:ind w:right="57"/>
                  </w:pPr>
                  <w:r w:rsidRPr="001942EB">
                    <w:t>0.6</w:t>
                  </w:r>
                </w:p>
              </w:tc>
              <w:tc>
                <w:tcPr>
                  <w:tcW w:w="462" w:type="pct"/>
                  <w:shd w:val="clear" w:color="auto" w:fill="auto"/>
                  <w:vAlign w:val="bottom"/>
                </w:tcPr>
                <w:p w:rsidR="00745FEA" w:rsidRDefault="00745FEA" w:rsidP="00745FEA">
                  <w:pPr>
                    <w:pStyle w:val="TableBodyText"/>
                    <w:ind w:right="57"/>
                  </w:pPr>
                  <w:r w:rsidRPr="001942EB">
                    <w:t>0.7</w:t>
                  </w:r>
                </w:p>
              </w:tc>
            </w:tr>
            <w:tr w:rsidR="00745FEA" w:rsidTr="00745FEA">
              <w:tc>
                <w:tcPr>
                  <w:tcW w:w="2217" w:type="pct"/>
                  <w:shd w:val="clear" w:color="auto" w:fill="auto"/>
                </w:tcPr>
                <w:p w:rsidR="00745FEA" w:rsidRPr="008E4F0C" w:rsidRDefault="00745FEA" w:rsidP="00745FEA">
                  <w:pPr>
                    <w:pStyle w:val="TableBodyText"/>
                    <w:spacing w:before="40" w:after="0"/>
                    <w:ind w:left="113"/>
                    <w:jc w:val="left"/>
                    <w:rPr>
                      <w:i/>
                    </w:rPr>
                  </w:pPr>
                  <w:r w:rsidRPr="008E4F0C">
                    <w:rPr>
                      <w:i/>
                    </w:rPr>
                    <w:t>Other measures</w:t>
                  </w: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Australian Government Innovation and Investment Fund - Tasmania</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0.2</w:t>
                  </w:r>
                </w:p>
              </w:tc>
              <w:tc>
                <w:tcPr>
                  <w:tcW w:w="464" w:type="pct"/>
                  <w:shd w:val="clear" w:color="auto" w:fill="auto"/>
                  <w:vAlign w:val="bottom"/>
                </w:tcPr>
                <w:p w:rsidR="00745FEA" w:rsidRPr="00921C5A" w:rsidRDefault="00745FEA" w:rsidP="00745FEA">
                  <w:pPr>
                    <w:pStyle w:val="TableBodyText"/>
                    <w:ind w:right="57"/>
                  </w:pPr>
                  <w:r w:rsidRPr="00921C5A">
                    <w:t>0.2</w:t>
                  </w:r>
                </w:p>
              </w:tc>
              <w:tc>
                <w:tcPr>
                  <w:tcW w:w="462" w:type="pct"/>
                  <w:shd w:val="clear" w:color="auto" w:fill="auto"/>
                  <w:vAlign w:val="bottom"/>
                </w:tcPr>
                <w:p w:rsidR="00745FEA" w:rsidRPr="00921C5A" w:rsidRDefault="00745FEA" w:rsidP="00745FEA">
                  <w:pPr>
                    <w:pStyle w:val="TableBodyText"/>
                    <w:ind w:right="57"/>
                  </w:pPr>
                  <w:r w:rsidRPr="00921C5A">
                    <w:t>0.1</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C63DB6">
                    <w:t>Entrepreneurs’ Infrastructure Programme - Business Management Skills</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w:t>
                  </w:r>
                </w:p>
              </w:tc>
              <w:tc>
                <w:tcPr>
                  <w:tcW w:w="464" w:type="pct"/>
                  <w:shd w:val="clear" w:color="auto" w:fill="auto"/>
                  <w:vAlign w:val="bottom"/>
                </w:tcPr>
                <w:p w:rsidR="00745FEA" w:rsidRPr="00921C5A" w:rsidRDefault="00745FEA" w:rsidP="00745FEA">
                  <w:pPr>
                    <w:pStyle w:val="TableBodyText"/>
                    <w:ind w:right="57"/>
                  </w:pPr>
                  <w:r w:rsidRPr="00921C5A">
                    <w:t>–</w:t>
                  </w:r>
                </w:p>
              </w:tc>
              <w:tc>
                <w:tcPr>
                  <w:tcW w:w="462" w:type="pct"/>
                  <w:shd w:val="clear" w:color="auto" w:fill="auto"/>
                  <w:vAlign w:val="bottom"/>
                </w:tcPr>
                <w:p w:rsidR="00745FEA" w:rsidRPr="00921C5A" w:rsidRDefault="00745FEA" w:rsidP="00745FEA">
                  <w:pPr>
                    <w:pStyle w:val="TableBodyText"/>
                    <w:ind w:right="57"/>
                  </w:pPr>
                  <w:r w:rsidRPr="00921C5A">
                    <w:t>&lt;0.1</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 xml:space="preserve">Small business </w:t>
                  </w:r>
                  <w:r>
                    <w:t>capital gains tax</w:t>
                  </w:r>
                  <w:r w:rsidRPr="001503F9">
                    <w:t xml:space="preserve"> rollover deferral</w:t>
                  </w:r>
                </w:p>
              </w:tc>
              <w:tc>
                <w:tcPr>
                  <w:tcW w:w="464" w:type="pct"/>
                  <w:vAlign w:val="bottom"/>
                </w:tcPr>
                <w:p w:rsidR="00745FEA" w:rsidRPr="00921C5A" w:rsidRDefault="00745FEA" w:rsidP="00745FEA">
                  <w:pPr>
                    <w:pStyle w:val="TableBodyText"/>
                    <w:ind w:right="57"/>
                  </w:pPr>
                  <w:r w:rsidRPr="00921C5A">
                    <w:t>0.5</w:t>
                  </w:r>
                </w:p>
              </w:tc>
              <w:tc>
                <w:tcPr>
                  <w:tcW w:w="464" w:type="pct"/>
                  <w:vAlign w:val="bottom"/>
                </w:tcPr>
                <w:p w:rsidR="00745FEA" w:rsidRPr="00921C5A" w:rsidRDefault="00745FEA" w:rsidP="00745FEA">
                  <w:pPr>
                    <w:pStyle w:val="TableBodyText"/>
                    <w:ind w:right="57"/>
                  </w:pPr>
                  <w:r w:rsidRPr="00921C5A">
                    <w:t>0.5</w:t>
                  </w:r>
                </w:p>
              </w:tc>
              <w:tc>
                <w:tcPr>
                  <w:tcW w:w="464" w:type="pct"/>
                  <w:vAlign w:val="bottom"/>
                </w:tcPr>
                <w:p w:rsidR="00745FEA" w:rsidRPr="00921C5A" w:rsidRDefault="00745FEA" w:rsidP="00745FEA">
                  <w:pPr>
                    <w:pStyle w:val="TableBodyText"/>
                    <w:ind w:right="57"/>
                  </w:pPr>
                  <w:r w:rsidRPr="00921C5A">
                    <w:t>0.6</w:t>
                  </w:r>
                </w:p>
              </w:tc>
              <w:tc>
                <w:tcPr>
                  <w:tcW w:w="464" w:type="pct"/>
                  <w:vAlign w:val="bottom"/>
                </w:tcPr>
                <w:p w:rsidR="00745FEA" w:rsidRPr="00921C5A" w:rsidRDefault="00745FEA" w:rsidP="00745FEA">
                  <w:pPr>
                    <w:pStyle w:val="TableBodyText"/>
                    <w:ind w:right="57"/>
                  </w:pPr>
                  <w:r w:rsidRPr="00921C5A">
                    <w:t>1.0</w:t>
                  </w:r>
                </w:p>
              </w:tc>
              <w:tc>
                <w:tcPr>
                  <w:tcW w:w="464" w:type="pct"/>
                  <w:shd w:val="clear" w:color="auto" w:fill="auto"/>
                  <w:vAlign w:val="bottom"/>
                </w:tcPr>
                <w:p w:rsidR="00745FEA" w:rsidRPr="00921C5A" w:rsidRDefault="00745FEA" w:rsidP="00745FEA">
                  <w:pPr>
                    <w:pStyle w:val="TableBodyText"/>
                    <w:ind w:right="57"/>
                  </w:pPr>
                  <w:r w:rsidRPr="00921C5A">
                    <w:t>1.0</w:t>
                  </w:r>
                </w:p>
              </w:tc>
              <w:tc>
                <w:tcPr>
                  <w:tcW w:w="462" w:type="pct"/>
                  <w:shd w:val="clear" w:color="auto" w:fill="auto"/>
                  <w:vAlign w:val="bottom"/>
                </w:tcPr>
                <w:p w:rsidR="00745FEA" w:rsidRPr="00921C5A" w:rsidRDefault="00745FEA" w:rsidP="00745FEA">
                  <w:pPr>
                    <w:pStyle w:val="TableBodyText"/>
                    <w:ind w:right="57"/>
                  </w:pPr>
                  <w:r w:rsidRPr="00921C5A">
                    <w:t>1.5</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The Small Business and General Business Tax Break</w:t>
                  </w:r>
                </w:p>
              </w:tc>
              <w:tc>
                <w:tcPr>
                  <w:tcW w:w="464" w:type="pct"/>
                  <w:vAlign w:val="bottom"/>
                </w:tcPr>
                <w:p w:rsidR="00745FEA" w:rsidRPr="00921C5A" w:rsidRDefault="00745FEA" w:rsidP="00745FEA">
                  <w:pPr>
                    <w:pStyle w:val="TableBodyText"/>
                    <w:ind w:right="57"/>
                  </w:pPr>
                  <w:r w:rsidRPr="00921C5A">
                    <w:t>0.7</w:t>
                  </w:r>
                </w:p>
              </w:tc>
              <w:tc>
                <w:tcPr>
                  <w:tcW w:w="464" w:type="pct"/>
                  <w:vAlign w:val="bottom"/>
                </w:tcPr>
                <w:p w:rsidR="00745FEA" w:rsidRPr="00921C5A" w:rsidRDefault="00745FEA" w:rsidP="00745FEA">
                  <w:pPr>
                    <w:pStyle w:val="TableBodyText"/>
                    <w:ind w:right="57"/>
                  </w:pPr>
                  <w:r w:rsidRPr="00921C5A">
                    <w:t>0.3</w:t>
                  </w:r>
                </w:p>
              </w:tc>
              <w:tc>
                <w:tcPr>
                  <w:tcW w:w="464" w:type="pct"/>
                  <w:vAlign w:val="bottom"/>
                </w:tcPr>
                <w:p w:rsidR="00745FEA" w:rsidRPr="00921C5A" w:rsidRDefault="00745FEA" w:rsidP="00745FEA">
                  <w:pPr>
                    <w:pStyle w:val="TableBodyText"/>
                    <w:ind w:right="57"/>
                  </w:pPr>
                  <w:r w:rsidRPr="00921C5A">
                    <w:t>&lt;0.1</w:t>
                  </w:r>
                </w:p>
              </w:tc>
              <w:tc>
                <w:tcPr>
                  <w:tcW w:w="464" w:type="pct"/>
                  <w:vAlign w:val="bottom"/>
                </w:tcPr>
                <w:p w:rsidR="00745FEA" w:rsidRPr="00921C5A" w:rsidRDefault="00745FEA" w:rsidP="00745FEA">
                  <w:pPr>
                    <w:pStyle w:val="TableBodyText"/>
                    <w:ind w:right="57"/>
                  </w:pPr>
                  <w:r w:rsidRPr="00921C5A">
                    <w:t>–</w:t>
                  </w:r>
                </w:p>
              </w:tc>
              <w:tc>
                <w:tcPr>
                  <w:tcW w:w="464" w:type="pct"/>
                  <w:shd w:val="clear" w:color="auto" w:fill="auto"/>
                  <w:vAlign w:val="bottom"/>
                </w:tcPr>
                <w:p w:rsidR="00745FEA" w:rsidRPr="00921C5A" w:rsidRDefault="00745FEA" w:rsidP="00745FEA">
                  <w:pPr>
                    <w:pStyle w:val="TableBodyText"/>
                    <w:ind w:right="57"/>
                  </w:pPr>
                  <w:r w:rsidRPr="00921C5A">
                    <w:t>–</w:t>
                  </w:r>
                </w:p>
              </w:tc>
              <w:tc>
                <w:tcPr>
                  <w:tcW w:w="462" w:type="pct"/>
                  <w:shd w:val="clear" w:color="auto" w:fill="auto"/>
                  <w:vAlign w:val="bottom"/>
                </w:tcPr>
                <w:p w:rsidR="00745FEA" w:rsidRPr="00921C5A" w:rsidRDefault="00745FEA" w:rsidP="00745FEA">
                  <w:pPr>
                    <w:pStyle w:val="TableBodyText"/>
                    <w:ind w:right="57"/>
                  </w:pPr>
                  <w:r w:rsidRPr="00921C5A">
                    <w:t>–</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Small Business - Simplified depreciation rules</w:t>
                  </w:r>
                </w:p>
              </w:tc>
              <w:tc>
                <w:tcPr>
                  <w:tcW w:w="464" w:type="pct"/>
                  <w:vAlign w:val="bottom"/>
                </w:tcPr>
                <w:p w:rsidR="00745FEA" w:rsidRPr="00921C5A" w:rsidRDefault="00745FEA" w:rsidP="00745FEA">
                  <w:pPr>
                    <w:pStyle w:val="TableBodyText"/>
                    <w:ind w:right="57"/>
                  </w:pPr>
                  <w:r w:rsidRPr="00921C5A">
                    <w:t>&lt;0.1</w:t>
                  </w:r>
                </w:p>
              </w:tc>
              <w:tc>
                <w:tcPr>
                  <w:tcW w:w="464" w:type="pct"/>
                  <w:vAlign w:val="bottom"/>
                </w:tcPr>
                <w:p w:rsidR="00745FEA" w:rsidRPr="00921C5A" w:rsidRDefault="00745FEA" w:rsidP="00745FEA">
                  <w:pPr>
                    <w:pStyle w:val="TableBodyText"/>
                    <w:ind w:right="57"/>
                  </w:pPr>
                  <w:r w:rsidRPr="00921C5A">
                    <w:t>-0.2</w:t>
                  </w:r>
                </w:p>
              </w:tc>
              <w:tc>
                <w:tcPr>
                  <w:tcW w:w="464" w:type="pct"/>
                  <w:vAlign w:val="bottom"/>
                </w:tcPr>
                <w:p w:rsidR="00745FEA" w:rsidRPr="00921C5A" w:rsidRDefault="00745FEA" w:rsidP="00745FEA">
                  <w:pPr>
                    <w:pStyle w:val="TableBodyText"/>
                    <w:ind w:right="57"/>
                  </w:pPr>
                  <w:r w:rsidRPr="00921C5A">
                    <w:t>0.8</w:t>
                  </w:r>
                </w:p>
              </w:tc>
              <w:tc>
                <w:tcPr>
                  <w:tcW w:w="464" w:type="pct"/>
                  <w:vAlign w:val="bottom"/>
                </w:tcPr>
                <w:p w:rsidR="00745FEA" w:rsidRPr="00921C5A" w:rsidRDefault="00745FEA" w:rsidP="00745FEA">
                  <w:pPr>
                    <w:pStyle w:val="TableBodyText"/>
                    <w:ind w:right="57"/>
                  </w:pPr>
                  <w:r w:rsidRPr="00921C5A">
                    <w:t>-0.4</w:t>
                  </w:r>
                </w:p>
              </w:tc>
              <w:tc>
                <w:tcPr>
                  <w:tcW w:w="464" w:type="pct"/>
                  <w:shd w:val="clear" w:color="auto" w:fill="auto"/>
                  <w:vAlign w:val="bottom"/>
                </w:tcPr>
                <w:p w:rsidR="00745FEA" w:rsidRPr="00921C5A" w:rsidRDefault="00745FEA" w:rsidP="00745FEA">
                  <w:pPr>
                    <w:pStyle w:val="TableBodyText"/>
                    <w:ind w:right="57"/>
                  </w:pPr>
                  <w:r w:rsidRPr="00921C5A">
                    <w:t>-0.8</w:t>
                  </w:r>
                </w:p>
              </w:tc>
              <w:tc>
                <w:tcPr>
                  <w:tcW w:w="462" w:type="pct"/>
                  <w:shd w:val="clear" w:color="auto" w:fill="auto"/>
                  <w:vAlign w:val="bottom"/>
                </w:tcPr>
                <w:p w:rsidR="00745FEA" w:rsidRPr="00921C5A" w:rsidRDefault="00745FEA" w:rsidP="00745FEA">
                  <w:pPr>
                    <w:pStyle w:val="TableBodyText"/>
                    <w:ind w:right="57"/>
                  </w:pPr>
                  <w:r w:rsidRPr="00921C5A">
                    <w:t>4.0</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 xml:space="preserve">Small business </w:t>
                  </w:r>
                  <w:r>
                    <w:t>capital gains tax</w:t>
                  </w:r>
                  <w:r w:rsidRPr="001503F9">
                    <w:t xml:space="preserve"> 15-year asset exemption</w:t>
                  </w:r>
                </w:p>
              </w:tc>
              <w:tc>
                <w:tcPr>
                  <w:tcW w:w="464" w:type="pct"/>
                  <w:vAlign w:val="bottom"/>
                </w:tcPr>
                <w:p w:rsidR="00745FEA" w:rsidRPr="00921C5A" w:rsidRDefault="00745FEA" w:rsidP="00745FEA">
                  <w:pPr>
                    <w:pStyle w:val="TableBodyText"/>
                    <w:ind w:right="57"/>
                  </w:pPr>
                  <w:r w:rsidRPr="00921C5A">
                    <w:t>0.6</w:t>
                  </w:r>
                </w:p>
              </w:tc>
              <w:tc>
                <w:tcPr>
                  <w:tcW w:w="464" w:type="pct"/>
                  <w:vAlign w:val="bottom"/>
                </w:tcPr>
                <w:p w:rsidR="00745FEA" w:rsidRPr="00921C5A" w:rsidRDefault="00745FEA" w:rsidP="00745FEA">
                  <w:pPr>
                    <w:pStyle w:val="TableBodyText"/>
                    <w:ind w:right="57"/>
                  </w:pPr>
                  <w:r w:rsidRPr="00921C5A">
                    <w:t>0.6</w:t>
                  </w:r>
                </w:p>
              </w:tc>
              <w:tc>
                <w:tcPr>
                  <w:tcW w:w="464" w:type="pct"/>
                  <w:vAlign w:val="bottom"/>
                </w:tcPr>
                <w:p w:rsidR="00745FEA" w:rsidRPr="00921C5A" w:rsidRDefault="00745FEA" w:rsidP="00745FEA">
                  <w:pPr>
                    <w:pStyle w:val="TableBodyText"/>
                    <w:ind w:right="57"/>
                  </w:pPr>
                  <w:r w:rsidRPr="00921C5A">
                    <w:t>0.7</w:t>
                  </w:r>
                </w:p>
              </w:tc>
              <w:tc>
                <w:tcPr>
                  <w:tcW w:w="464" w:type="pct"/>
                  <w:vAlign w:val="bottom"/>
                </w:tcPr>
                <w:p w:rsidR="00745FEA" w:rsidRPr="00921C5A" w:rsidRDefault="00745FEA" w:rsidP="00745FEA">
                  <w:pPr>
                    <w:pStyle w:val="TableBodyText"/>
                    <w:ind w:right="57"/>
                  </w:pPr>
                  <w:r w:rsidRPr="00921C5A">
                    <w:t>1.3</w:t>
                  </w:r>
                </w:p>
              </w:tc>
              <w:tc>
                <w:tcPr>
                  <w:tcW w:w="464" w:type="pct"/>
                  <w:shd w:val="clear" w:color="auto" w:fill="auto"/>
                  <w:vAlign w:val="bottom"/>
                </w:tcPr>
                <w:p w:rsidR="00745FEA" w:rsidRPr="00921C5A" w:rsidRDefault="00745FEA" w:rsidP="00745FEA">
                  <w:pPr>
                    <w:pStyle w:val="TableBodyText"/>
                    <w:ind w:right="57"/>
                  </w:pPr>
                  <w:r w:rsidRPr="00921C5A">
                    <w:t>1.4</w:t>
                  </w:r>
                </w:p>
              </w:tc>
              <w:tc>
                <w:tcPr>
                  <w:tcW w:w="462" w:type="pct"/>
                  <w:shd w:val="clear" w:color="auto" w:fill="auto"/>
                  <w:vAlign w:val="bottom"/>
                </w:tcPr>
                <w:p w:rsidR="00745FEA" w:rsidRPr="00921C5A" w:rsidRDefault="00745FEA" w:rsidP="00745FEA">
                  <w:pPr>
                    <w:pStyle w:val="TableBodyText"/>
                    <w:ind w:right="57"/>
                  </w:pPr>
                  <w:r w:rsidRPr="00921C5A">
                    <w:t>1.8</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 xml:space="preserve">Small business </w:t>
                  </w:r>
                  <w:r>
                    <w:t>capital gains tax</w:t>
                  </w:r>
                  <w:r w:rsidRPr="001503F9">
                    <w:t xml:space="preserve"> retirement exemption</w:t>
                  </w:r>
                </w:p>
              </w:tc>
              <w:tc>
                <w:tcPr>
                  <w:tcW w:w="464" w:type="pct"/>
                  <w:vAlign w:val="bottom"/>
                </w:tcPr>
                <w:p w:rsidR="00745FEA" w:rsidRPr="00921C5A" w:rsidRDefault="00745FEA" w:rsidP="00745FEA">
                  <w:pPr>
                    <w:pStyle w:val="TableBodyText"/>
                    <w:ind w:right="57"/>
                  </w:pPr>
                  <w:r w:rsidRPr="00921C5A">
                    <w:t>0.7</w:t>
                  </w:r>
                </w:p>
              </w:tc>
              <w:tc>
                <w:tcPr>
                  <w:tcW w:w="464" w:type="pct"/>
                  <w:vAlign w:val="bottom"/>
                </w:tcPr>
                <w:p w:rsidR="00745FEA" w:rsidRPr="00921C5A" w:rsidRDefault="00745FEA" w:rsidP="00745FEA">
                  <w:pPr>
                    <w:pStyle w:val="TableBodyText"/>
                    <w:ind w:right="57"/>
                  </w:pPr>
                  <w:r w:rsidRPr="00921C5A">
                    <w:t>0.7</w:t>
                  </w:r>
                </w:p>
              </w:tc>
              <w:tc>
                <w:tcPr>
                  <w:tcW w:w="464" w:type="pct"/>
                  <w:vAlign w:val="bottom"/>
                </w:tcPr>
                <w:p w:rsidR="00745FEA" w:rsidRPr="00921C5A" w:rsidRDefault="00745FEA" w:rsidP="00745FEA">
                  <w:pPr>
                    <w:pStyle w:val="TableBodyText"/>
                    <w:ind w:right="57"/>
                  </w:pPr>
                  <w:r w:rsidRPr="00921C5A">
                    <w:t>0.7</w:t>
                  </w:r>
                </w:p>
              </w:tc>
              <w:tc>
                <w:tcPr>
                  <w:tcW w:w="464" w:type="pct"/>
                  <w:vAlign w:val="bottom"/>
                </w:tcPr>
                <w:p w:rsidR="00745FEA" w:rsidRPr="00921C5A" w:rsidRDefault="00745FEA" w:rsidP="00745FEA">
                  <w:pPr>
                    <w:pStyle w:val="TableBodyText"/>
                    <w:ind w:right="57"/>
                  </w:pPr>
                  <w:r w:rsidRPr="00921C5A">
                    <w:t>1.3</w:t>
                  </w:r>
                </w:p>
              </w:tc>
              <w:tc>
                <w:tcPr>
                  <w:tcW w:w="464" w:type="pct"/>
                  <w:shd w:val="clear" w:color="auto" w:fill="auto"/>
                  <w:vAlign w:val="bottom"/>
                </w:tcPr>
                <w:p w:rsidR="00745FEA" w:rsidRPr="00921C5A" w:rsidRDefault="00745FEA" w:rsidP="00745FEA">
                  <w:pPr>
                    <w:pStyle w:val="TableBodyText"/>
                    <w:ind w:right="57"/>
                  </w:pPr>
                  <w:r w:rsidRPr="00921C5A">
                    <w:t>1.4</w:t>
                  </w:r>
                </w:p>
              </w:tc>
              <w:tc>
                <w:tcPr>
                  <w:tcW w:w="462" w:type="pct"/>
                  <w:shd w:val="clear" w:color="auto" w:fill="auto"/>
                  <w:vAlign w:val="bottom"/>
                </w:tcPr>
                <w:p w:rsidR="00745FEA" w:rsidRPr="00921C5A" w:rsidRDefault="00745FEA" w:rsidP="00745FEA">
                  <w:pPr>
                    <w:pStyle w:val="TableBodyText"/>
                    <w:ind w:right="57"/>
                  </w:pPr>
                  <w:r w:rsidRPr="00921C5A">
                    <w:t>1.3</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 xml:space="preserve">Small business </w:t>
                  </w:r>
                  <w:r>
                    <w:t>capital gains tax</w:t>
                  </w:r>
                  <w:r w:rsidRPr="001503F9">
                    <w:t xml:space="preserve"> 50 per cent reduction</w:t>
                  </w:r>
                </w:p>
              </w:tc>
              <w:tc>
                <w:tcPr>
                  <w:tcW w:w="464" w:type="pct"/>
                  <w:vAlign w:val="bottom"/>
                </w:tcPr>
                <w:p w:rsidR="00745FEA" w:rsidRPr="00921C5A" w:rsidRDefault="00745FEA" w:rsidP="00745FEA">
                  <w:pPr>
                    <w:pStyle w:val="TableBodyText"/>
                    <w:ind w:right="57"/>
                  </w:pPr>
                  <w:r w:rsidRPr="00921C5A">
                    <w:t>2.3</w:t>
                  </w:r>
                </w:p>
              </w:tc>
              <w:tc>
                <w:tcPr>
                  <w:tcW w:w="464" w:type="pct"/>
                  <w:vAlign w:val="bottom"/>
                </w:tcPr>
                <w:p w:rsidR="00745FEA" w:rsidRPr="00921C5A" w:rsidRDefault="00745FEA" w:rsidP="00745FEA">
                  <w:pPr>
                    <w:pStyle w:val="TableBodyText"/>
                    <w:ind w:right="57"/>
                  </w:pPr>
                  <w:r w:rsidRPr="00921C5A">
                    <w:t>2.4</w:t>
                  </w:r>
                </w:p>
              </w:tc>
              <w:tc>
                <w:tcPr>
                  <w:tcW w:w="464" w:type="pct"/>
                  <w:vAlign w:val="bottom"/>
                </w:tcPr>
                <w:p w:rsidR="00745FEA" w:rsidRPr="00921C5A" w:rsidRDefault="00745FEA" w:rsidP="00745FEA">
                  <w:pPr>
                    <w:pStyle w:val="TableBodyText"/>
                    <w:ind w:right="57"/>
                  </w:pPr>
                  <w:r w:rsidRPr="00921C5A">
                    <w:t>2.4</w:t>
                  </w:r>
                </w:p>
              </w:tc>
              <w:tc>
                <w:tcPr>
                  <w:tcW w:w="464" w:type="pct"/>
                  <w:vAlign w:val="bottom"/>
                </w:tcPr>
                <w:p w:rsidR="00745FEA" w:rsidRPr="00921C5A" w:rsidRDefault="00745FEA" w:rsidP="00745FEA">
                  <w:pPr>
                    <w:pStyle w:val="TableBodyText"/>
                    <w:ind w:right="57"/>
                  </w:pPr>
                  <w:r w:rsidRPr="00921C5A">
                    <w:t>4.2</w:t>
                  </w:r>
                </w:p>
              </w:tc>
              <w:tc>
                <w:tcPr>
                  <w:tcW w:w="464" w:type="pct"/>
                  <w:shd w:val="clear" w:color="auto" w:fill="auto"/>
                  <w:vAlign w:val="bottom"/>
                </w:tcPr>
                <w:p w:rsidR="00745FEA" w:rsidRPr="00921C5A" w:rsidRDefault="00745FEA" w:rsidP="00745FEA">
                  <w:pPr>
                    <w:pStyle w:val="TableBodyText"/>
                    <w:ind w:right="57"/>
                  </w:pPr>
                  <w:r w:rsidRPr="00921C5A">
                    <w:t>3.9</w:t>
                  </w:r>
                </w:p>
              </w:tc>
              <w:tc>
                <w:tcPr>
                  <w:tcW w:w="462" w:type="pct"/>
                  <w:shd w:val="clear" w:color="auto" w:fill="auto"/>
                  <w:vAlign w:val="bottom"/>
                </w:tcPr>
                <w:p w:rsidR="00745FEA" w:rsidRPr="00921C5A" w:rsidRDefault="00745FEA" w:rsidP="00745FEA">
                  <w:pPr>
                    <w:pStyle w:val="TableBodyText"/>
                    <w:ind w:right="57"/>
                  </w:pPr>
                  <w:r w:rsidRPr="00921C5A">
                    <w:t>4.9</w:t>
                  </w:r>
                </w:p>
              </w:tc>
            </w:tr>
            <w:tr w:rsidR="00745FEA" w:rsidTr="00745FEA">
              <w:tc>
                <w:tcPr>
                  <w:tcW w:w="2217" w:type="pct"/>
                  <w:shd w:val="clear" w:color="auto" w:fill="auto"/>
                </w:tcPr>
                <w:p w:rsidR="00745FEA" w:rsidRPr="001503F9" w:rsidRDefault="00745FEA" w:rsidP="00745FEA">
                  <w:pPr>
                    <w:pStyle w:val="TableBodyText"/>
                    <w:spacing w:after="0"/>
                    <w:ind w:left="227" w:right="0"/>
                    <w:jc w:val="left"/>
                  </w:pPr>
                  <w:r w:rsidRPr="001503F9">
                    <w:t>25 per cent entrepreneurs' tax offset</w:t>
                  </w:r>
                </w:p>
              </w:tc>
              <w:tc>
                <w:tcPr>
                  <w:tcW w:w="464" w:type="pct"/>
                  <w:vAlign w:val="bottom"/>
                </w:tcPr>
                <w:p w:rsidR="00745FEA" w:rsidRPr="00921C5A" w:rsidRDefault="00745FEA" w:rsidP="00745FEA">
                  <w:pPr>
                    <w:pStyle w:val="TableBodyText"/>
                    <w:ind w:right="57"/>
                  </w:pPr>
                  <w:r w:rsidRPr="00921C5A">
                    <w:t>0.1</w:t>
                  </w:r>
                </w:p>
              </w:tc>
              <w:tc>
                <w:tcPr>
                  <w:tcW w:w="464" w:type="pct"/>
                  <w:vAlign w:val="bottom"/>
                </w:tcPr>
                <w:p w:rsidR="00745FEA" w:rsidRPr="00921C5A" w:rsidRDefault="00745FEA" w:rsidP="00745FEA">
                  <w:pPr>
                    <w:pStyle w:val="TableBodyText"/>
                    <w:ind w:right="57"/>
                  </w:pPr>
                  <w:r w:rsidRPr="00921C5A">
                    <w:t>0.1</w:t>
                  </w:r>
                </w:p>
              </w:tc>
              <w:tc>
                <w:tcPr>
                  <w:tcW w:w="464" w:type="pct"/>
                  <w:vAlign w:val="bottom"/>
                </w:tcPr>
                <w:p w:rsidR="00745FEA" w:rsidRPr="00921C5A" w:rsidRDefault="00745FEA" w:rsidP="00745FEA">
                  <w:pPr>
                    <w:pStyle w:val="TableBodyText"/>
                    <w:ind w:right="57"/>
                  </w:pPr>
                  <w:r w:rsidRPr="00921C5A">
                    <w:t>–</w:t>
                  </w:r>
                </w:p>
              </w:tc>
              <w:tc>
                <w:tcPr>
                  <w:tcW w:w="464" w:type="pct"/>
                  <w:vAlign w:val="bottom"/>
                </w:tcPr>
                <w:p w:rsidR="00745FEA" w:rsidRPr="00921C5A" w:rsidRDefault="00745FEA" w:rsidP="00745FEA">
                  <w:pPr>
                    <w:pStyle w:val="TableBodyText"/>
                    <w:ind w:right="57"/>
                  </w:pPr>
                  <w:r w:rsidRPr="00921C5A">
                    <w:t>–</w:t>
                  </w:r>
                </w:p>
              </w:tc>
              <w:tc>
                <w:tcPr>
                  <w:tcW w:w="464" w:type="pct"/>
                  <w:shd w:val="clear" w:color="auto" w:fill="auto"/>
                  <w:vAlign w:val="bottom"/>
                </w:tcPr>
                <w:p w:rsidR="00745FEA" w:rsidRPr="00921C5A" w:rsidRDefault="00745FEA" w:rsidP="00745FEA">
                  <w:pPr>
                    <w:pStyle w:val="TableBodyText"/>
                    <w:ind w:right="57"/>
                  </w:pPr>
                  <w:r w:rsidRPr="00921C5A">
                    <w:t>–</w:t>
                  </w:r>
                </w:p>
              </w:tc>
              <w:tc>
                <w:tcPr>
                  <w:tcW w:w="462" w:type="pct"/>
                  <w:shd w:val="clear" w:color="auto" w:fill="auto"/>
                  <w:vAlign w:val="bottom"/>
                </w:tcPr>
                <w:p w:rsidR="00745FEA" w:rsidRDefault="00745FEA" w:rsidP="00745FEA">
                  <w:pPr>
                    <w:pStyle w:val="TableBodyText"/>
                    <w:ind w:right="57"/>
                  </w:pPr>
                  <w:r w:rsidRPr="00921C5A">
                    <w:t>–</w:t>
                  </w:r>
                </w:p>
              </w:tc>
            </w:tr>
            <w:tr w:rsidR="00745FEA" w:rsidTr="00745FEA">
              <w:tc>
                <w:tcPr>
                  <w:tcW w:w="2217" w:type="pct"/>
                  <w:tcBorders>
                    <w:bottom w:val="single" w:sz="6" w:space="0" w:color="BFBFBF"/>
                  </w:tcBorders>
                  <w:shd w:val="clear" w:color="auto" w:fill="auto"/>
                </w:tcPr>
                <w:p w:rsidR="00745FEA" w:rsidRPr="008E4F0C" w:rsidRDefault="00745FEA" w:rsidP="00745FEA">
                  <w:pPr>
                    <w:pStyle w:val="TableBodyText"/>
                    <w:spacing w:before="20"/>
                    <w:jc w:val="left"/>
                    <w:rPr>
                      <w:i/>
                    </w:rPr>
                  </w:pPr>
                  <w:r w:rsidRPr="008E4F0C">
                    <w:rPr>
                      <w:i/>
                    </w:rPr>
                    <w:t>Total</w:t>
                  </w:r>
                </w:p>
              </w:tc>
              <w:tc>
                <w:tcPr>
                  <w:tcW w:w="464" w:type="pct"/>
                  <w:tcBorders>
                    <w:bottom w:val="single" w:sz="6" w:space="0" w:color="BFBFBF"/>
                  </w:tcBorders>
                  <w:vAlign w:val="bottom"/>
                </w:tcPr>
                <w:p w:rsidR="00745FEA" w:rsidRPr="00831F73" w:rsidRDefault="00745FEA" w:rsidP="00745FEA">
                  <w:pPr>
                    <w:pStyle w:val="TableBodyText"/>
                    <w:spacing w:before="20"/>
                    <w:ind w:right="57"/>
                    <w:rPr>
                      <w:i/>
                    </w:rPr>
                  </w:pPr>
                  <w:r>
                    <w:rPr>
                      <w:i/>
                    </w:rPr>
                    <w:t>94.1</w:t>
                  </w:r>
                </w:p>
              </w:tc>
              <w:tc>
                <w:tcPr>
                  <w:tcW w:w="464" w:type="pct"/>
                  <w:tcBorders>
                    <w:bottom w:val="single" w:sz="6" w:space="0" w:color="BFBFBF"/>
                  </w:tcBorders>
                  <w:vAlign w:val="bottom"/>
                </w:tcPr>
                <w:p w:rsidR="00745FEA" w:rsidRPr="00831F73" w:rsidRDefault="00745FEA" w:rsidP="00745FEA">
                  <w:pPr>
                    <w:pStyle w:val="TableBodyText"/>
                    <w:spacing w:before="20"/>
                    <w:ind w:right="57"/>
                    <w:rPr>
                      <w:i/>
                    </w:rPr>
                  </w:pPr>
                  <w:r>
                    <w:rPr>
                      <w:i/>
                    </w:rPr>
                    <w:t>94.4</w:t>
                  </w:r>
                </w:p>
              </w:tc>
              <w:tc>
                <w:tcPr>
                  <w:tcW w:w="464" w:type="pct"/>
                  <w:tcBorders>
                    <w:bottom w:val="single" w:sz="6" w:space="0" w:color="BFBFBF"/>
                  </w:tcBorders>
                </w:tcPr>
                <w:p w:rsidR="00745FEA" w:rsidRPr="00150E2C" w:rsidRDefault="00745FEA" w:rsidP="00745FEA">
                  <w:pPr>
                    <w:pStyle w:val="TableBodyText"/>
                    <w:spacing w:before="20"/>
                    <w:ind w:right="57"/>
                    <w:rPr>
                      <w:i/>
                    </w:rPr>
                  </w:pPr>
                  <w:r>
                    <w:rPr>
                      <w:i/>
                    </w:rPr>
                    <w:t>102.6</w:t>
                  </w:r>
                </w:p>
              </w:tc>
              <w:tc>
                <w:tcPr>
                  <w:tcW w:w="464" w:type="pct"/>
                  <w:tcBorders>
                    <w:bottom w:val="single" w:sz="6" w:space="0" w:color="BFBFBF"/>
                  </w:tcBorders>
                </w:tcPr>
                <w:p w:rsidR="00745FEA" w:rsidRPr="00150E2C" w:rsidRDefault="00745FEA" w:rsidP="00745FEA">
                  <w:pPr>
                    <w:pStyle w:val="TableBodyText"/>
                    <w:spacing w:before="20"/>
                    <w:ind w:right="57"/>
                    <w:rPr>
                      <w:i/>
                    </w:rPr>
                  </w:pPr>
                  <w:r>
                    <w:rPr>
                      <w:i/>
                    </w:rPr>
                    <w:t>81.9</w:t>
                  </w:r>
                </w:p>
              </w:tc>
              <w:tc>
                <w:tcPr>
                  <w:tcW w:w="464" w:type="pct"/>
                  <w:tcBorders>
                    <w:bottom w:val="single" w:sz="6" w:space="0" w:color="BFBFBF"/>
                  </w:tcBorders>
                  <w:shd w:val="clear" w:color="auto" w:fill="auto"/>
                </w:tcPr>
                <w:p w:rsidR="00745FEA" w:rsidRPr="00150E2C" w:rsidRDefault="00745FEA" w:rsidP="00745FEA">
                  <w:pPr>
                    <w:pStyle w:val="TableBodyText"/>
                    <w:spacing w:before="20"/>
                    <w:ind w:right="57"/>
                    <w:rPr>
                      <w:i/>
                    </w:rPr>
                  </w:pPr>
                  <w:r>
                    <w:rPr>
                      <w:i/>
                    </w:rPr>
                    <w:t>91.2</w:t>
                  </w:r>
                </w:p>
              </w:tc>
              <w:tc>
                <w:tcPr>
                  <w:tcW w:w="462" w:type="pct"/>
                  <w:tcBorders>
                    <w:bottom w:val="single" w:sz="6" w:space="0" w:color="BFBFBF"/>
                  </w:tcBorders>
                  <w:shd w:val="clear" w:color="auto" w:fill="auto"/>
                </w:tcPr>
                <w:p w:rsidR="00745FEA" w:rsidRPr="00150E2C" w:rsidRDefault="00745FEA" w:rsidP="00745FEA">
                  <w:pPr>
                    <w:pStyle w:val="TableBodyText"/>
                    <w:spacing w:before="20"/>
                    <w:ind w:right="57"/>
                    <w:rPr>
                      <w:i/>
                    </w:rPr>
                  </w:pPr>
                  <w:r>
                    <w:rPr>
                      <w:i/>
                    </w:rPr>
                    <w:t>95.9</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5" w:type="dxa"/>
              <w:tblCellMar>
                <w:top w:w="28" w:type="dxa"/>
                <w:left w:w="0" w:type="dxa"/>
                <w:right w:w="0" w:type="dxa"/>
              </w:tblCellMar>
              <w:tblLook w:val="0000" w:firstRow="0" w:lastRow="0" w:firstColumn="0" w:lastColumn="0" w:noHBand="0" w:noVBand="0"/>
            </w:tblPr>
            <w:tblGrid>
              <w:gridCol w:w="3798"/>
              <w:gridCol w:w="797"/>
              <w:gridCol w:w="795"/>
              <w:gridCol w:w="795"/>
              <w:gridCol w:w="795"/>
              <w:gridCol w:w="795"/>
              <w:gridCol w:w="790"/>
            </w:tblGrid>
            <w:tr w:rsidR="00745FEA" w:rsidTr="00C719FB">
              <w:trPr>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1"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7" w:type="pct"/>
                  <w:shd w:val="clear" w:color="auto" w:fill="auto"/>
                </w:tcPr>
                <w:p w:rsidR="00745FEA" w:rsidRPr="008E4F0C" w:rsidRDefault="00745FEA" w:rsidP="00745FEA">
                  <w:pPr>
                    <w:pStyle w:val="TableBodyText"/>
                    <w:spacing w:before="40"/>
                    <w:jc w:val="left"/>
                    <w:rPr>
                      <w:b/>
                    </w:rPr>
                  </w:pPr>
                  <w:r w:rsidRPr="008E4F0C">
                    <w:rPr>
                      <w:b/>
                    </w:rPr>
                    <w:t>Dairy cattle farming</w:t>
                  </w:r>
                </w:p>
              </w:tc>
              <w:tc>
                <w:tcPr>
                  <w:tcW w:w="465"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c>
                <w:tcPr>
                  <w:tcW w:w="461" w:type="pct"/>
                  <w:shd w:val="clear" w:color="auto" w:fill="auto"/>
                  <w:vAlign w:val="bottom"/>
                </w:tcPr>
                <w:p w:rsidR="00745FEA" w:rsidRDefault="00745FEA" w:rsidP="00745FEA">
                  <w:pPr>
                    <w:pStyle w:val="TableBodyText"/>
                    <w:spacing w:before="40"/>
                    <w:ind w:right="57"/>
                  </w:pPr>
                </w:p>
              </w:tc>
            </w:tr>
            <w:tr w:rsidR="00745FEA" w:rsidTr="00745FEA">
              <w:tc>
                <w:tcPr>
                  <w:tcW w:w="2217" w:type="pct"/>
                  <w:shd w:val="clear" w:color="auto" w:fill="auto"/>
                </w:tcPr>
                <w:p w:rsidR="00745FEA" w:rsidRPr="007B3D99" w:rsidRDefault="00745FEA" w:rsidP="00745FEA">
                  <w:pPr>
                    <w:pStyle w:val="TableBodyText"/>
                    <w:spacing w:before="40" w:after="0"/>
                    <w:ind w:left="113"/>
                    <w:jc w:val="left"/>
                    <w:rPr>
                      <w:i/>
                    </w:rPr>
                  </w:pPr>
                  <w:r w:rsidRPr="007B3D99">
                    <w:rPr>
                      <w:i/>
                    </w:rPr>
                    <w:t>Sector-specific measures</w:t>
                  </w: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1" w:type="pct"/>
                  <w:shd w:val="clear" w:color="auto" w:fill="auto"/>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Carbon Farming Futures</w:t>
                  </w:r>
                </w:p>
              </w:tc>
              <w:tc>
                <w:tcPr>
                  <w:tcW w:w="465" w:type="pct"/>
                  <w:vAlign w:val="bottom"/>
                </w:tcPr>
                <w:p w:rsidR="00745FEA" w:rsidRPr="00AA2EEE" w:rsidRDefault="00745FEA" w:rsidP="00745FEA">
                  <w:pPr>
                    <w:pStyle w:val="TableBodyText"/>
                    <w:ind w:right="57"/>
                  </w:pPr>
                  <w:r w:rsidRPr="00AA2EEE">
                    <w:t>2.5</w:t>
                  </w:r>
                </w:p>
              </w:tc>
              <w:tc>
                <w:tcPr>
                  <w:tcW w:w="464" w:type="pct"/>
                  <w:vAlign w:val="bottom"/>
                </w:tcPr>
                <w:p w:rsidR="00745FEA" w:rsidRPr="00AA2EEE" w:rsidRDefault="00745FEA" w:rsidP="00745FEA">
                  <w:pPr>
                    <w:pStyle w:val="TableBodyText"/>
                    <w:ind w:right="57"/>
                  </w:pPr>
                  <w:r w:rsidRPr="00AA2EEE">
                    <w:t>1.9</w:t>
                  </w:r>
                </w:p>
              </w:tc>
              <w:tc>
                <w:tcPr>
                  <w:tcW w:w="464" w:type="pct"/>
                  <w:vAlign w:val="bottom"/>
                </w:tcPr>
                <w:p w:rsidR="00745FEA" w:rsidRPr="00AA2EEE" w:rsidRDefault="00745FEA" w:rsidP="00745FEA">
                  <w:pPr>
                    <w:pStyle w:val="TableBodyText"/>
                    <w:ind w:right="57"/>
                  </w:pPr>
                  <w:r w:rsidRPr="00AA2EEE">
                    <w:t>6.5</w:t>
                  </w:r>
                </w:p>
              </w:tc>
              <w:tc>
                <w:tcPr>
                  <w:tcW w:w="464" w:type="pct"/>
                  <w:vAlign w:val="bottom"/>
                </w:tcPr>
                <w:p w:rsidR="00745FEA" w:rsidRPr="00AA2EEE" w:rsidRDefault="00745FEA" w:rsidP="00745FEA">
                  <w:pPr>
                    <w:pStyle w:val="TableBodyText"/>
                    <w:ind w:right="57"/>
                  </w:pPr>
                  <w:r w:rsidRPr="00AA2EEE">
                    <w:t>4.3</w:t>
                  </w:r>
                </w:p>
              </w:tc>
              <w:tc>
                <w:tcPr>
                  <w:tcW w:w="464" w:type="pct"/>
                  <w:shd w:val="clear" w:color="auto" w:fill="auto"/>
                  <w:vAlign w:val="bottom"/>
                </w:tcPr>
                <w:p w:rsidR="00745FEA" w:rsidRPr="00AA2EEE" w:rsidRDefault="00745FEA" w:rsidP="00745FEA">
                  <w:pPr>
                    <w:pStyle w:val="TableBodyText"/>
                    <w:ind w:right="57"/>
                  </w:pPr>
                  <w:r w:rsidRPr="00AA2EEE">
                    <w:t>2.3</w:t>
                  </w:r>
                </w:p>
              </w:tc>
              <w:tc>
                <w:tcPr>
                  <w:tcW w:w="461" w:type="pct"/>
                  <w:shd w:val="clear" w:color="auto" w:fill="auto"/>
                  <w:vAlign w:val="bottom"/>
                </w:tcPr>
                <w:p w:rsidR="00745FEA" w:rsidRPr="00AA2EEE" w:rsidRDefault="00745FEA" w:rsidP="00745FEA">
                  <w:pPr>
                    <w:pStyle w:val="TableBodyText"/>
                    <w:ind w:right="57"/>
                  </w:pPr>
                  <w:r w:rsidRPr="00AA2EEE">
                    <w:t>2.3</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 xml:space="preserve">Drought Assistance Package - </w:t>
                  </w:r>
                  <w:r>
                    <w:t>concessional</w:t>
                  </w:r>
                  <w:r w:rsidRPr="004F6C0D">
                    <w:t xml:space="preserve"> loans</w:t>
                  </w:r>
                </w:p>
              </w:tc>
              <w:tc>
                <w:tcPr>
                  <w:tcW w:w="465"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&lt;0.1</w:t>
                  </w:r>
                </w:p>
              </w:tc>
              <w:tc>
                <w:tcPr>
                  <w:tcW w:w="464" w:type="pct"/>
                  <w:shd w:val="clear" w:color="auto" w:fill="auto"/>
                  <w:vAlign w:val="bottom"/>
                </w:tcPr>
                <w:p w:rsidR="00745FEA" w:rsidRPr="00AA2EEE" w:rsidRDefault="00745FEA" w:rsidP="00745FEA">
                  <w:pPr>
                    <w:pStyle w:val="TableBodyText"/>
                    <w:ind w:right="57"/>
                  </w:pPr>
                  <w:r w:rsidRPr="00AA2EEE">
                    <w:t>0.1</w:t>
                  </w:r>
                </w:p>
              </w:tc>
              <w:tc>
                <w:tcPr>
                  <w:tcW w:w="461" w:type="pct"/>
                  <w:shd w:val="clear" w:color="auto" w:fill="auto"/>
                  <w:vAlign w:val="bottom"/>
                </w:tcPr>
                <w:p w:rsidR="00745FEA" w:rsidRPr="00AA2EEE" w:rsidRDefault="00745FEA" w:rsidP="00745FEA">
                  <w:pPr>
                    <w:pStyle w:val="TableBodyText"/>
                    <w:ind w:right="57"/>
                  </w:pPr>
                  <w:r w:rsidRPr="00AA2EEE">
                    <w:t>0.1</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 xml:space="preserve">Exceptional Circumstances - interest rate </w:t>
                  </w:r>
                  <w:r>
                    <w:t>subsidies</w:t>
                  </w:r>
                </w:p>
              </w:tc>
              <w:tc>
                <w:tcPr>
                  <w:tcW w:w="465" w:type="pct"/>
                  <w:vAlign w:val="bottom"/>
                </w:tcPr>
                <w:p w:rsidR="00745FEA" w:rsidRPr="00AA2EEE" w:rsidRDefault="00745FEA" w:rsidP="00745FEA">
                  <w:pPr>
                    <w:pStyle w:val="TableBodyText"/>
                    <w:ind w:right="57"/>
                  </w:pPr>
                  <w:r w:rsidRPr="00AA2EEE">
                    <w:t>2.9</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shd w:val="clear" w:color="auto" w:fill="auto"/>
                  <w:vAlign w:val="bottom"/>
                </w:tcPr>
                <w:p w:rsidR="00745FEA" w:rsidRPr="00AA2EEE" w:rsidRDefault="00745FEA" w:rsidP="00745FEA">
                  <w:pPr>
                    <w:pStyle w:val="TableBodyText"/>
                    <w:ind w:right="57"/>
                  </w:pPr>
                  <w:r w:rsidRPr="00AA2EEE">
                    <w:t>–</w:t>
                  </w:r>
                </w:p>
              </w:tc>
              <w:tc>
                <w:tcPr>
                  <w:tcW w:w="461" w:type="pct"/>
                  <w:shd w:val="clear" w:color="auto" w:fill="auto"/>
                  <w:vAlign w:val="bottom"/>
                </w:tcPr>
                <w:p w:rsidR="00745FEA" w:rsidRPr="00AA2EEE" w:rsidRDefault="00745FEA" w:rsidP="00745FEA">
                  <w:pPr>
                    <w:pStyle w:val="TableBodyText"/>
                    <w:ind w:right="57"/>
                  </w:pPr>
                  <w:r w:rsidRPr="00AA2EEE">
                    <w:t>–</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 xml:space="preserve">Exceptional Circumstances </w:t>
                  </w:r>
                  <w:r>
                    <w:t>-</w:t>
                  </w:r>
                  <w:r w:rsidRPr="004F6C0D">
                    <w:t xml:space="preserve"> relief</w:t>
                  </w:r>
                  <w:r>
                    <w:t xml:space="preserve"> payments</w:t>
                  </w:r>
                </w:p>
              </w:tc>
              <w:tc>
                <w:tcPr>
                  <w:tcW w:w="465" w:type="pct"/>
                  <w:vAlign w:val="bottom"/>
                </w:tcPr>
                <w:p w:rsidR="00745FEA" w:rsidRPr="00AA2EEE" w:rsidRDefault="00745FEA" w:rsidP="00745FEA">
                  <w:pPr>
                    <w:pStyle w:val="TableBodyText"/>
                    <w:ind w:right="57"/>
                  </w:pPr>
                  <w:r w:rsidRPr="00AA2EEE">
                    <w:t>0.8</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shd w:val="clear" w:color="auto" w:fill="auto"/>
                  <w:vAlign w:val="bottom"/>
                </w:tcPr>
                <w:p w:rsidR="00745FEA" w:rsidRPr="00AA2EEE" w:rsidRDefault="00745FEA" w:rsidP="00745FEA">
                  <w:pPr>
                    <w:pStyle w:val="TableBodyText"/>
                    <w:ind w:right="57"/>
                  </w:pPr>
                  <w:r w:rsidRPr="00AA2EEE">
                    <w:t>–</w:t>
                  </w:r>
                </w:p>
              </w:tc>
              <w:tc>
                <w:tcPr>
                  <w:tcW w:w="461" w:type="pct"/>
                  <w:shd w:val="clear" w:color="auto" w:fill="auto"/>
                  <w:vAlign w:val="bottom"/>
                </w:tcPr>
                <w:p w:rsidR="00745FEA" w:rsidRPr="00AA2EEE" w:rsidRDefault="00745FEA" w:rsidP="00745FEA">
                  <w:pPr>
                    <w:pStyle w:val="TableBodyText"/>
                    <w:ind w:right="57"/>
                  </w:pPr>
                  <w:r w:rsidRPr="00AA2EEE">
                    <w:t>–</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Farm Finance - concessional loans</w:t>
                  </w:r>
                </w:p>
              </w:tc>
              <w:tc>
                <w:tcPr>
                  <w:tcW w:w="465"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0.7</w:t>
                  </w:r>
                </w:p>
              </w:tc>
              <w:tc>
                <w:tcPr>
                  <w:tcW w:w="464" w:type="pct"/>
                  <w:vAlign w:val="bottom"/>
                </w:tcPr>
                <w:p w:rsidR="00745FEA" w:rsidRPr="00AA2EEE" w:rsidRDefault="00745FEA" w:rsidP="00745FEA">
                  <w:pPr>
                    <w:pStyle w:val="TableBodyText"/>
                    <w:ind w:right="57"/>
                  </w:pPr>
                  <w:r w:rsidRPr="00AA2EEE">
                    <w:t>0.2</w:t>
                  </w:r>
                </w:p>
              </w:tc>
              <w:tc>
                <w:tcPr>
                  <w:tcW w:w="464" w:type="pct"/>
                  <w:shd w:val="clear" w:color="auto" w:fill="auto"/>
                  <w:vAlign w:val="bottom"/>
                </w:tcPr>
                <w:p w:rsidR="00745FEA" w:rsidRPr="00AA2EEE" w:rsidRDefault="00745FEA" w:rsidP="00745FEA">
                  <w:pPr>
                    <w:pStyle w:val="TableBodyText"/>
                    <w:ind w:right="57"/>
                  </w:pPr>
                  <w:r w:rsidRPr="00AA2EEE">
                    <w:t>0.2</w:t>
                  </w:r>
                </w:p>
              </w:tc>
              <w:tc>
                <w:tcPr>
                  <w:tcW w:w="461" w:type="pct"/>
                  <w:shd w:val="clear" w:color="auto" w:fill="auto"/>
                  <w:vAlign w:val="bottom"/>
                </w:tcPr>
                <w:p w:rsidR="00745FEA" w:rsidRPr="00AA2EEE" w:rsidRDefault="00745FEA" w:rsidP="00745FEA">
                  <w:pPr>
                    <w:pStyle w:val="TableBodyText"/>
                    <w:ind w:right="57"/>
                  </w:pPr>
                  <w:r w:rsidRPr="00AA2EEE">
                    <w:t>0.8</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F20F54">
                    <w:t>Improved Access to Agricultural and Veterinary Chemicals</w:t>
                  </w:r>
                </w:p>
              </w:tc>
              <w:tc>
                <w:tcPr>
                  <w:tcW w:w="465"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shd w:val="clear" w:color="auto" w:fill="auto"/>
                  <w:vAlign w:val="bottom"/>
                </w:tcPr>
                <w:p w:rsidR="00745FEA" w:rsidRPr="00AA2EEE" w:rsidRDefault="00745FEA" w:rsidP="00745FEA">
                  <w:pPr>
                    <w:pStyle w:val="TableBodyText"/>
                    <w:ind w:right="57"/>
                  </w:pPr>
                  <w:r w:rsidRPr="00AA2EEE">
                    <w:t>–</w:t>
                  </w:r>
                </w:p>
              </w:tc>
              <w:tc>
                <w:tcPr>
                  <w:tcW w:w="461" w:type="pct"/>
                  <w:shd w:val="clear" w:color="auto" w:fill="auto"/>
                  <w:vAlign w:val="bottom"/>
                </w:tcPr>
                <w:p w:rsidR="00745FEA" w:rsidRPr="00AA2EEE" w:rsidRDefault="00745FEA" w:rsidP="00745FEA">
                  <w:pPr>
                    <w:pStyle w:val="TableBodyText"/>
                    <w:ind w:right="57"/>
                  </w:pPr>
                  <w:r w:rsidRPr="00AA2EEE">
                    <w:t>0.1</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Interim Income Support</w:t>
                  </w:r>
                </w:p>
              </w:tc>
              <w:tc>
                <w:tcPr>
                  <w:tcW w:w="465" w:type="pct"/>
                  <w:vAlign w:val="bottom"/>
                </w:tcPr>
                <w:p w:rsidR="00745FEA" w:rsidRPr="00AA2EEE" w:rsidRDefault="00745FEA" w:rsidP="00745FEA">
                  <w:pPr>
                    <w:pStyle w:val="TableBodyText"/>
                    <w:ind w:right="57"/>
                  </w:pPr>
                  <w:r w:rsidRPr="00AA2EEE">
                    <w:t>&lt;0.1</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vAlign w:val="bottom"/>
                </w:tcPr>
                <w:p w:rsidR="00745FEA" w:rsidRPr="00AA2EEE" w:rsidRDefault="00745FEA" w:rsidP="00745FEA">
                  <w:pPr>
                    <w:pStyle w:val="TableBodyText"/>
                    <w:ind w:right="57"/>
                  </w:pPr>
                  <w:r w:rsidRPr="00AA2EEE">
                    <w:t>–</w:t>
                  </w:r>
                </w:p>
              </w:tc>
              <w:tc>
                <w:tcPr>
                  <w:tcW w:w="464" w:type="pct"/>
                  <w:shd w:val="clear" w:color="auto" w:fill="auto"/>
                  <w:vAlign w:val="bottom"/>
                </w:tcPr>
                <w:p w:rsidR="00745FEA" w:rsidRPr="00AA2EEE" w:rsidRDefault="00745FEA" w:rsidP="00745FEA">
                  <w:pPr>
                    <w:pStyle w:val="TableBodyText"/>
                    <w:ind w:right="57"/>
                  </w:pPr>
                  <w:r w:rsidRPr="00AA2EEE">
                    <w:t>–</w:t>
                  </w:r>
                </w:p>
              </w:tc>
              <w:tc>
                <w:tcPr>
                  <w:tcW w:w="461" w:type="pct"/>
                  <w:shd w:val="clear" w:color="auto" w:fill="auto"/>
                  <w:vAlign w:val="bottom"/>
                </w:tcPr>
                <w:p w:rsidR="00745FEA" w:rsidRPr="00AA2EEE" w:rsidRDefault="00745FEA" w:rsidP="00745FEA">
                  <w:pPr>
                    <w:pStyle w:val="TableBodyText"/>
                    <w:ind w:right="57"/>
                  </w:pPr>
                  <w:r w:rsidRPr="00AA2EEE">
                    <w:t>–</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Rural Financial Counselling Service</w:t>
                  </w:r>
                </w:p>
              </w:tc>
              <w:tc>
                <w:tcPr>
                  <w:tcW w:w="465" w:type="pct"/>
                  <w:vAlign w:val="bottom"/>
                </w:tcPr>
                <w:p w:rsidR="00745FEA" w:rsidRPr="00AA2EEE" w:rsidRDefault="00745FEA" w:rsidP="00745FEA">
                  <w:pPr>
                    <w:pStyle w:val="TableBodyText"/>
                    <w:ind w:right="57"/>
                  </w:pPr>
                  <w:r w:rsidRPr="00AA2EEE">
                    <w:t>1.0</w:t>
                  </w:r>
                </w:p>
              </w:tc>
              <w:tc>
                <w:tcPr>
                  <w:tcW w:w="464" w:type="pct"/>
                  <w:vAlign w:val="bottom"/>
                </w:tcPr>
                <w:p w:rsidR="00745FEA" w:rsidRPr="00AA2EEE" w:rsidRDefault="00745FEA" w:rsidP="00745FEA">
                  <w:pPr>
                    <w:pStyle w:val="TableBodyText"/>
                    <w:ind w:right="57"/>
                  </w:pPr>
                  <w:r w:rsidRPr="00AA2EEE">
                    <w:t>1.6</w:t>
                  </w:r>
                </w:p>
              </w:tc>
              <w:tc>
                <w:tcPr>
                  <w:tcW w:w="464" w:type="pct"/>
                  <w:vAlign w:val="bottom"/>
                </w:tcPr>
                <w:p w:rsidR="00745FEA" w:rsidRPr="00AA2EEE" w:rsidRDefault="00745FEA" w:rsidP="00745FEA">
                  <w:pPr>
                    <w:pStyle w:val="TableBodyText"/>
                    <w:ind w:right="57"/>
                  </w:pPr>
                  <w:r w:rsidRPr="00AA2EEE">
                    <w:t>1.6</w:t>
                  </w:r>
                </w:p>
              </w:tc>
              <w:tc>
                <w:tcPr>
                  <w:tcW w:w="464" w:type="pct"/>
                  <w:vAlign w:val="bottom"/>
                </w:tcPr>
                <w:p w:rsidR="00745FEA" w:rsidRPr="00AA2EEE" w:rsidRDefault="00745FEA" w:rsidP="00745FEA">
                  <w:pPr>
                    <w:pStyle w:val="TableBodyText"/>
                    <w:ind w:right="57"/>
                  </w:pPr>
                  <w:r w:rsidRPr="00AA2EEE">
                    <w:t>1.4</w:t>
                  </w:r>
                </w:p>
              </w:tc>
              <w:tc>
                <w:tcPr>
                  <w:tcW w:w="464" w:type="pct"/>
                  <w:shd w:val="clear" w:color="auto" w:fill="auto"/>
                  <w:vAlign w:val="bottom"/>
                </w:tcPr>
                <w:p w:rsidR="00745FEA" w:rsidRPr="00AA2EEE" w:rsidRDefault="00745FEA" w:rsidP="00745FEA">
                  <w:pPr>
                    <w:pStyle w:val="TableBodyText"/>
                    <w:ind w:right="57"/>
                  </w:pPr>
                  <w:r w:rsidRPr="00AA2EEE">
                    <w:t>2.3</w:t>
                  </w:r>
                </w:p>
              </w:tc>
              <w:tc>
                <w:tcPr>
                  <w:tcW w:w="461" w:type="pct"/>
                  <w:shd w:val="clear" w:color="auto" w:fill="auto"/>
                  <w:vAlign w:val="bottom"/>
                </w:tcPr>
                <w:p w:rsidR="00745FEA" w:rsidRPr="00AA2EEE" w:rsidRDefault="00745FEA" w:rsidP="00745FEA">
                  <w:pPr>
                    <w:pStyle w:val="TableBodyText"/>
                    <w:ind w:right="57"/>
                  </w:pPr>
                  <w:r w:rsidRPr="00AA2EEE">
                    <w:t>3.9</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Farm Management Deposits Scheme</w:t>
                  </w:r>
                </w:p>
              </w:tc>
              <w:tc>
                <w:tcPr>
                  <w:tcW w:w="465" w:type="pct"/>
                  <w:vAlign w:val="bottom"/>
                </w:tcPr>
                <w:p w:rsidR="00745FEA" w:rsidRPr="00AA2EEE" w:rsidRDefault="00745FEA" w:rsidP="00745FEA">
                  <w:pPr>
                    <w:pStyle w:val="TableBodyText"/>
                    <w:ind w:right="57"/>
                  </w:pPr>
                  <w:r w:rsidRPr="00AA2EEE">
                    <w:t>15.4</w:t>
                  </w:r>
                </w:p>
              </w:tc>
              <w:tc>
                <w:tcPr>
                  <w:tcW w:w="464" w:type="pct"/>
                  <w:vAlign w:val="bottom"/>
                </w:tcPr>
                <w:p w:rsidR="00745FEA" w:rsidRPr="00AA2EEE" w:rsidRDefault="00745FEA" w:rsidP="00745FEA">
                  <w:pPr>
                    <w:pStyle w:val="TableBodyText"/>
                    <w:ind w:right="57"/>
                  </w:pPr>
                  <w:r w:rsidRPr="00AA2EEE">
                    <w:t>9.5</w:t>
                  </w:r>
                </w:p>
              </w:tc>
              <w:tc>
                <w:tcPr>
                  <w:tcW w:w="464" w:type="pct"/>
                  <w:vAlign w:val="bottom"/>
                </w:tcPr>
                <w:p w:rsidR="00745FEA" w:rsidRPr="00AA2EEE" w:rsidRDefault="00745FEA" w:rsidP="00745FEA">
                  <w:pPr>
                    <w:pStyle w:val="TableBodyText"/>
                    <w:ind w:right="57"/>
                  </w:pPr>
                  <w:r w:rsidRPr="00AA2EEE">
                    <w:t>9.9</w:t>
                  </w:r>
                </w:p>
              </w:tc>
              <w:tc>
                <w:tcPr>
                  <w:tcW w:w="464" w:type="pct"/>
                  <w:vAlign w:val="bottom"/>
                </w:tcPr>
                <w:p w:rsidR="00745FEA" w:rsidRPr="00AA2EEE" w:rsidRDefault="00745FEA" w:rsidP="00745FEA">
                  <w:pPr>
                    <w:pStyle w:val="TableBodyText"/>
                    <w:ind w:right="57"/>
                  </w:pPr>
                  <w:r w:rsidRPr="00AA2EEE">
                    <w:t>10.7</w:t>
                  </w:r>
                </w:p>
              </w:tc>
              <w:tc>
                <w:tcPr>
                  <w:tcW w:w="464" w:type="pct"/>
                  <w:shd w:val="clear" w:color="auto" w:fill="auto"/>
                  <w:vAlign w:val="bottom"/>
                </w:tcPr>
                <w:p w:rsidR="00745FEA" w:rsidRPr="00AA2EEE" w:rsidRDefault="00745FEA" w:rsidP="00745FEA">
                  <w:pPr>
                    <w:pStyle w:val="TableBodyText"/>
                    <w:ind w:right="57"/>
                  </w:pPr>
                  <w:r w:rsidRPr="00AA2EEE">
                    <w:t>14.5</w:t>
                  </w:r>
                </w:p>
              </w:tc>
              <w:tc>
                <w:tcPr>
                  <w:tcW w:w="461" w:type="pct"/>
                  <w:shd w:val="clear" w:color="auto" w:fill="auto"/>
                  <w:vAlign w:val="bottom"/>
                </w:tcPr>
                <w:p w:rsidR="00745FEA" w:rsidRPr="00AA2EEE" w:rsidRDefault="00745FEA" w:rsidP="00745FEA">
                  <w:pPr>
                    <w:pStyle w:val="TableBodyText"/>
                    <w:ind w:right="57"/>
                  </w:pPr>
                  <w:r w:rsidRPr="00AA2EEE">
                    <w:t>11.6</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Income tax averaging provisions</w:t>
                  </w:r>
                </w:p>
              </w:tc>
              <w:tc>
                <w:tcPr>
                  <w:tcW w:w="465" w:type="pct"/>
                  <w:vAlign w:val="bottom"/>
                </w:tcPr>
                <w:p w:rsidR="00745FEA" w:rsidRPr="00AA2EEE" w:rsidRDefault="00745FEA" w:rsidP="00745FEA">
                  <w:pPr>
                    <w:pStyle w:val="TableBodyText"/>
                    <w:ind w:right="57"/>
                  </w:pPr>
                  <w:r w:rsidRPr="00AA2EEE">
                    <w:t>10.1</w:t>
                  </w:r>
                </w:p>
              </w:tc>
              <w:tc>
                <w:tcPr>
                  <w:tcW w:w="464" w:type="pct"/>
                  <w:vAlign w:val="bottom"/>
                </w:tcPr>
                <w:p w:rsidR="00745FEA" w:rsidRPr="00AA2EEE" w:rsidRDefault="00745FEA" w:rsidP="00745FEA">
                  <w:pPr>
                    <w:pStyle w:val="TableBodyText"/>
                    <w:ind w:right="57"/>
                  </w:pPr>
                  <w:r w:rsidRPr="00AA2EEE">
                    <w:t>6.1</w:t>
                  </w:r>
                </w:p>
              </w:tc>
              <w:tc>
                <w:tcPr>
                  <w:tcW w:w="464" w:type="pct"/>
                  <w:vAlign w:val="bottom"/>
                </w:tcPr>
                <w:p w:rsidR="00745FEA" w:rsidRPr="00AA2EEE" w:rsidRDefault="00745FEA" w:rsidP="00745FEA">
                  <w:pPr>
                    <w:pStyle w:val="TableBodyText"/>
                    <w:ind w:right="57"/>
                  </w:pPr>
                  <w:r w:rsidRPr="00AA2EEE">
                    <w:t>7.7</w:t>
                  </w:r>
                </w:p>
              </w:tc>
              <w:tc>
                <w:tcPr>
                  <w:tcW w:w="464" w:type="pct"/>
                  <w:vAlign w:val="bottom"/>
                </w:tcPr>
                <w:p w:rsidR="00745FEA" w:rsidRPr="00AA2EEE" w:rsidRDefault="00745FEA" w:rsidP="00745FEA">
                  <w:pPr>
                    <w:pStyle w:val="TableBodyText"/>
                    <w:ind w:right="57"/>
                  </w:pPr>
                  <w:r w:rsidRPr="00AA2EEE">
                    <w:t>21.8</w:t>
                  </w:r>
                </w:p>
              </w:tc>
              <w:tc>
                <w:tcPr>
                  <w:tcW w:w="464" w:type="pct"/>
                  <w:shd w:val="clear" w:color="auto" w:fill="auto"/>
                  <w:vAlign w:val="bottom"/>
                </w:tcPr>
                <w:p w:rsidR="00745FEA" w:rsidRPr="00AA2EEE" w:rsidRDefault="00745FEA" w:rsidP="00745FEA">
                  <w:pPr>
                    <w:pStyle w:val="TableBodyText"/>
                    <w:ind w:right="57"/>
                  </w:pPr>
                  <w:r w:rsidRPr="00AA2EEE">
                    <w:t>23.0</w:t>
                  </w:r>
                </w:p>
              </w:tc>
              <w:tc>
                <w:tcPr>
                  <w:tcW w:w="461" w:type="pct"/>
                  <w:shd w:val="clear" w:color="auto" w:fill="auto"/>
                  <w:vAlign w:val="bottom"/>
                </w:tcPr>
                <w:p w:rsidR="00745FEA" w:rsidRPr="00AA2EEE" w:rsidRDefault="00745FEA" w:rsidP="00745FEA">
                  <w:pPr>
                    <w:pStyle w:val="TableBodyText"/>
                    <w:ind w:right="57"/>
                  </w:pPr>
                  <w:r w:rsidRPr="00AA2EEE">
                    <w:t>7.3</w:t>
                  </w:r>
                </w:p>
              </w:tc>
            </w:tr>
            <w:tr w:rsidR="00745FEA" w:rsidTr="00745FEA">
              <w:tc>
                <w:tcPr>
                  <w:tcW w:w="2217" w:type="pct"/>
                  <w:shd w:val="clear" w:color="auto" w:fill="auto"/>
                </w:tcPr>
                <w:p w:rsidR="00745FEA" w:rsidRPr="004F6C0D" w:rsidRDefault="00745FEA" w:rsidP="00745FEA">
                  <w:pPr>
                    <w:pStyle w:val="TableBodyText"/>
                    <w:spacing w:after="0"/>
                    <w:ind w:left="227" w:right="0"/>
                    <w:jc w:val="left"/>
                  </w:pPr>
                  <w:r w:rsidRPr="004F6C0D">
                    <w:t>Tax deduction for conserving or conveying water</w:t>
                  </w:r>
                </w:p>
              </w:tc>
              <w:tc>
                <w:tcPr>
                  <w:tcW w:w="465" w:type="pct"/>
                  <w:vAlign w:val="bottom"/>
                </w:tcPr>
                <w:p w:rsidR="00745FEA" w:rsidRPr="00AA2EEE" w:rsidRDefault="00745FEA" w:rsidP="00745FEA">
                  <w:pPr>
                    <w:pStyle w:val="TableBodyText"/>
                    <w:ind w:right="57"/>
                  </w:pPr>
                  <w:r w:rsidRPr="00AA2EEE">
                    <w:t>6.6</w:t>
                  </w:r>
                </w:p>
              </w:tc>
              <w:tc>
                <w:tcPr>
                  <w:tcW w:w="464" w:type="pct"/>
                  <w:vAlign w:val="bottom"/>
                </w:tcPr>
                <w:p w:rsidR="00745FEA" w:rsidRPr="00AA2EEE" w:rsidRDefault="00745FEA" w:rsidP="00745FEA">
                  <w:pPr>
                    <w:pStyle w:val="TableBodyText"/>
                    <w:ind w:right="57"/>
                  </w:pPr>
                  <w:r w:rsidRPr="00AA2EEE">
                    <w:t>2.2</w:t>
                  </w:r>
                </w:p>
              </w:tc>
              <w:tc>
                <w:tcPr>
                  <w:tcW w:w="464" w:type="pct"/>
                  <w:vAlign w:val="bottom"/>
                </w:tcPr>
                <w:p w:rsidR="00745FEA" w:rsidRPr="00AA2EEE" w:rsidRDefault="00745FEA" w:rsidP="00745FEA">
                  <w:pPr>
                    <w:pStyle w:val="TableBodyText"/>
                    <w:ind w:right="57"/>
                  </w:pPr>
                  <w:r w:rsidRPr="00AA2EEE">
                    <w:t>1.9</w:t>
                  </w:r>
                </w:p>
              </w:tc>
              <w:tc>
                <w:tcPr>
                  <w:tcW w:w="464" w:type="pct"/>
                  <w:vAlign w:val="bottom"/>
                </w:tcPr>
                <w:p w:rsidR="00745FEA" w:rsidRPr="00AA2EEE" w:rsidRDefault="00745FEA" w:rsidP="00745FEA">
                  <w:pPr>
                    <w:pStyle w:val="TableBodyText"/>
                    <w:ind w:right="57"/>
                  </w:pPr>
                  <w:r w:rsidRPr="00AA2EEE">
                    <w:t>0.1</w:t>
                  </w:r>
                </w:p>
              </w:tc>
              <w:tc>
                <w:tcPr>
                  <w:tcW w:w="464" w:type="pct"/>
                  <w:shd w:val="clear" w:color="auto" w:fill="auto"/>
                  <w:vAlign w:val="bottom"/>
                </w:tcPr>
                <w:p w:rsidR="00745FEA" w:rsidRPr="00AA2EEE" w:rsidRDefault="00745FEA" w:rsidP="00745FEA">
                  <w:pPr>
                    <w:pStyle w:val="TableBodyText"/>
                    <w:ind w:right="57"/>
                  </w:pPr>
                  <w:r w:rsidRPr="00AA2EEE">
                    <w:t>0.5</w:t>
                  </w:r>
                </w:p>
              </w:tc>
              <w:tc>
                <w:tcPr>
                  <w:tcW w:w="461" w:type="pct"/>
                  <w:shd w:val="clear" w:color="auto" w:fill="auto"/>
                  <w:vAlign w:val="bottom"/>
                </w:tcPr>
                <w:p w:rsidR="00745FEA" w:rsidRDefault="00745FEA" w:rsidP="00745FEA">
                  <w:pPr>
                    <w:pStyle w:val="TableBodyText"/>
                    <w:ind w:right="57"/>
                  </w:pPr>
                  <w:r w:rsidRPr="00AA2EEE">
                    <w:t>1.4</w:t>
                  </w:r>
                </w:p>
              </w:tc>
            </w:tr>
            <w:tr w:rsidR="00745FEA" w:rsidTr="00745FEA">
              <w:tc>
                <w:tcPr>
                  <w:tcW w:w="2217" w:type="pct"/>
                  <w:shd w:val="clear" w:color="auto" w:fill="auto"/>
                  <w:vAlign w:val="bottom"/>
                </w:tcPr>
                <w:p w:rsidR="00745FEA" w:rsidRPr="007B3D99" w:rsidRDefault="00745FEA" w:rsidP="00745FEA">
                  <w:pPr>
                    <w:spacing w:before="40"/>
                    <w:ind w:left="113"/>
                    <w:rPr>
                      <w:rFonts w:ascii="Arial" w:hAnsi="Arial" w:cs="Arial"/>
                      <w:i/>
                      <w:color w:val="000000"/>
                      <w:sz w:val="18"/>
                      <w:szCs w:val="18"/>
                    </w:rPr>
                  </w:pPr>
                  <w:r w:rsidRPr="007B3D99">
                    <w:rPr>
                      <w:rFonts w:ascii="Arial" w:hAnsi="Arial" w:cs="Arial"/>
                      <w:i/>
                      <w:color w:val="000000"/>
                      <w:sz w:val="18"/>
                      <w:szCs w:val="18"/>
                    </w:rPr>
                    <w:t>Rural R&amp;D measures</w:t>
                  </w:r>
                </w:p>
              </w:tc>
              <w:tc>
                <w:tcPr>
                  <w:tcW w:w="465" w:type="pct"/>
                  <w:vAlign w:val="bottom"/>
                </w:tcPr>
                <w:p w:rsidR="00745FEA" w:rsidRPr="007B3D99" w:rsidRDefault="00745FEA" w:rsidP="00745FEA">
                  <w:pPr>
                    <w:pStyle w:val="TableBodyText"/>
                    <w:ind w:right="57"/>
                    <w:rPr>
                      <w:rFonts w:cs="Arial"/>
                      <w:szCs w:val="18"/>
                    </w:rPr>
                  </w:pPr>
                </w:p>
              </w:tc>
              <w:tc>
                <w:tcPr>
                  <w:tcW w:w="464" w:type="pct"/>
                  <w:vAlign w:val="bottom"/>
                </w:tcPr>
                <w:p w:rsidR="00745FEA" w:rsidRPr="007B3D99" w:rsidRDefault="00745FEA" w:rsidP="00745FEA">
                  <w:pPr>
                    <w:pStyle w:val="TableBodyText"/>
                    <w:ind w:right="57"/>
                    <w:rPr>
                      <w:rFonts w:cs="Arial"/>
                      <w:szCs w:val="18"/>
                    </w:rPr>
                  </w:pPr>
                </w:p>
              </w:tc>
              <w:tc>
                <w:tcPr>
                  <w:tcW w:w="464" w:type="pct"/>
                  <w:vAlign w:val="bottom"/>
                </w:tcPr>
                <w:p w:rsidR="00745FEA" w:rsidRPr="007B3D99" w:rsidRDefault="00745FEA" w:rsidP="00745FEA">
                  <w:pPr>
                    <w:pStyle w:val="TableBodyText"/>
                    <w:ind w:right="57"/>
                    <w:rPr>
                      <w:rFonts w:cs="Arial"/>
                      <w:szCs w:val="18"/>
                    </w:rPr>
                  </w:pPr>
                </w:p>
              </w:tc>
              <w:tc>
                <w:tcPr>
                  <w:tcW w:w="464" w:type="pct"/>
                  <w:vAlign w:val="bottom"/>
                </w:tcPr>
                <w:p w:rsidR="00745FEA" w:rsidRPr="007B3D99" w:rsidRDefault="00745FEA" w:rsidP="00745FEA">
                  <w:pPr>
                    <w:pStyle w:val="TableBodyText"/>
                    <w:ind w:right="57"/>
                    <w:rPr>
                      <w:rFonts w:cs="Arial"/>
                      <w:szCs w:val="18"/>
                    </w:rPr>
                  </w:pPr>
                </w:p>
              </w:tc>
              <w:tc>
                <w:tcPr>
                  <w:tcW w:w="464" w:type="pct"/>
                  <w:shd w:val="clear" w:color="auto" w:fill="auto"/>
                  <w:vAlign w:val="bottom"/>
                </w:tcPr>
                <w:p w:rsidR="00745FEA" w:rsidRPr="007B3D99" w:rsidRDefault="00745FEA" w:rsidP="00745FEA">
                  <w:pPr>
                    <w:pStyle w:val="TableBodyText"/>
                    <w:ind w:right="57"/>
                    <w:rPr>
                      <w:rFonts w:cs="Arial"/>
                      <w:szCs w:val="18"/>
                    </w:rPr>
                  </w:pPr>
                </w:p>
              </w:tc>
              <w:tc>
                <w:tcPr>
                  <w:tcW w:w="461" w:type="pct"/>
                  <w:shd w:val="clear" w:color="auto" w:fill="auto"/>
                  <w:vAlign w:val="bottom"/>
                </w:tcPr>
                <w:p w:rsidR="00745FEA" w:rsidRPr="007B3D99" w:rsidRDefault="00745FEA" w:rsidP="00745FEA">
                  <w:pPr>
                    <w:pStyle w:val="TableBodyText"/>
                    <w:ind w:right="57"/>
                    <w:rPr>
                      <w:rFonts w:cs="Arial"/>
                      <w:szCs w:val="18"/>
                    </w:rPr>
                  </w:pPr>
                </w:p>
              </w:tc>
            </w:tr>
            <w:tr w:rsidR="00745FEA" w:rsidTr="00745FEA">
              <w:tc>
                <w:tcPr>
                  <w:tcW w:w="2217" w:type="pct"/>
                  <w:shd w:val="clear" w:color="auto" w:fill="auto"/>
                </w:tcPr>
                <w:p w:rsidR="00745FEA" w:rsidRPr="00DE3B6F" w:rsidRDefault="00745FEA" w:rsidP="00745FEA">
                  <w:pPr>
                    <w:pStyle w:val="TableBodyText"/>
                    <w:spacing w:after="0"/>
                    <w:ind w:left="227" w:right="0"/>
                    <w:jc w:val="left"/>
                  </w:pPr>
                  <w:r w:rsidRPr="00DE3B6F">
                    <w:t xml:space="preserve">Dairy </w:t>
                  </w:r>
                  <w:r>
                    <w:t>Australia R&amp;D</w:t>
                  </w:r>
                </w:p>
              </w:tc>
              <w:tc>
                <w:tcPr>
                  <w:tcW w:w="465" w:type="pct"/>
                  <w:vAlign w:val="bottom"/>
                </w:tcPr>
                <w:p w:rsidR="00745FEA" w:rsidRPr="00E150A6" w:rsidRDefault="00745FEA" w:rsidP="00745FEA">
                  <w:pPr>
                    <w:pStyle w:val="TableBodyText"/>
                    <w:ind w:right="57"/>
                  </w:pPr>
                  <w:r w:rsidRPr="00E150A6">
                    <w:t>18.6</w:t>
                  </w:r>
                </w:p>
              </w:tc>
              <w:tc>
                <w:tcPr>
                  <w:tcW w:w="464" w:type="pct"/>
                  <w:vAlign w:val="bottom"/>
                </w:tcPr>
                <w:p w:rsidR="00745FEA" w:rsidRPr="00E150A6" w:rsidRDefault="00745FEA" w:rsidP="00745FEA">
                  <w:pPr>
                    <w:pStyle w:val="TableBodyText"/>
                    <w:ind w:right="57"/>
                  </w:pPr>
                  <w:r w:rsidRPr="00E150A6">
                    <w:t>19.3</w:t>
                  </w:r>
                </w:p>
              </w:tc>
              <w:tc>
                <w:tcPr>
                  <w:tcW w:w="464" w:type="pct"/>
                  <w:vAlign w:val="bottom"/>
                </w:tcPr>
                <w:p w:rsidR="00745FEA" w:rsidRPr="00E150A6" w:rsidRDefault="00745FEA" w:rsidP="00745FEA">
                  <w:pPr>
                    <w:pStyle w:val="TableBodyText"/>
                    <w:ind w:right="57"/>
                  </w:pPr>
                  <w:r w:rsidRPr="00E150A6">
                    <w:t>20.4</w:t>
                  </w:r>
                </w:p>
              </w:tc>
              <w:tc>
                <w:tcPr>
                  <w:tcW w:w="464" w:type="pct"/>
                  <w:vAlign w:val="bottom"/>
                </w:tcPr>
                <w:p w:rsidR="00745FEA" w:rsidRPr="00E150A6" w:rsidRDefault="00745FEA" w:rsidP="00745FEA">
                  <w:pPr>
                    <w:pStyle w:val="TableBodyText"/>
                    <w:ind w:right="57"/>
                  </w:pPr>
                  <w:r w:rsidRPr="00E150A6">
                    <w:t>21.0</w:t>
                  </w:r>
                </w:p>
              </w:tc>
              <w:tc>
                <w:tcPr>
                  <w:tcW w:w="464" w:type="pct"/>
                  <w:shd w:val="clear" w:color="auto" w:fill="auto"/>
                  <w:vAlign w:val="bottom"/>
                </w:tcPr>
                <w:p w:rsidR="00745FEA" w:rsidRPr="00E150A6" w:rsidRDefault="00745FEA" w:rsidP="00745FEA">
                  <w:pPr>
                    <w:pStyle w:val="TableBodyText"/>
                    <w:ind w:right="57"/>
                  </w:pPr>
                  <w:r w:rsidRPr="00E150A6">
                    <w:t>22.7</w:t>
                  </w:r>
                </w:p>
              </w:tc>
              <w:tc>
                <w:tcPr>
                  <w:tcW w:w="461" w:type="pct"/>
                  <w:shd w:val="clear" w:color="auto" w:fill="auto"/>
                  <w:vAlign w:val="bottom"/>
                </w:tcPr>
                <w:p w:rsidR="00745FEA" w:rsidRDefault="00745FEA" w:rsidP="00745FEA">
                  <w:pPr>
                    <w:pStyle w:val="TableBodyText"/>
                    <w:ind w:right="57"/>
                  </w:pPr>
                  <w:r w:rsidRPr="00E150A6">
                    <w:t>21.6</w:t>
                  </w:r>
                </w:p>
              </w:tc>
            </w:tr>
            <w:tr w:rsidR="00745FEA" w:rsidTr="00745FEA">
              <w:tc>
                <w:tcPr>
                  <w:tcW w:w="2217" w:type="pct"/>
                </w:tcPr>
                <w:p w:rsidR="00745FEA" w:rsidRPr="00CF25D7" w:rsidRDefault="00745FEA" w:rsidP="00745FEA">
                  <w:pPr>
                    <w:pStyle w:val="TableUnitsRow"/>
                    <w:spacing w:after="0"/>
                    <w:ind w:left="113"/>
                    <w:jc w:val="left"/>
                    <w:rPr>
                      <w:i/>
                    </w:rPr>
                  </w:pPr>
                  <w:r w:rsidRPr="00CF25D7">
                    <w:rPr>
                      <w:i/>
                    </w:rPr>
                    <w:t>General export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1" w:type="pct"/>
                  <w:vAlign w:val="bottom"/>
                </w:tcPr>
                <w:p w:rsidR="00745FEA" w:rsidRDefault="00745FEA" w:rsidP="00745FEA">
                  <w:pPr>
                    <w:pStyle w:val="TableBodyText"/>
                    <w:ind w:right="57"/>
                  </w:pPr>
                </w:p>
              </w:tc>
            </w:tr>
            <w:tr w:rsidR="00745FEA" w:rsidTr="00745FEA">
              <w:tc>
                <w:tcPr>
                  <w:tcW w:w="2217" w:type="pct"/>
                </w:tcPr>
                <w:p w:rsidR="00745FEA" w:rsidRPr="007F0DA4" w:rsidRDefault="00745FEA" w:rsidP="00745FEA">
                  <w:pPr>
                    <w:pStyle w:val="TableBodyText"/>
                    <w:spacing w:after="0"/>
                    <w:ind w:left="227" w:right="0"/>
                    <w:jc w:val="left"/>
                  </w:pPr>
                  <w:r w:rsidRPr="007F0DA4">
                    <w:t>Export Market Development Grants Scheme</w:t>
                  </w:r>
                </w:p>
              </w:tc>
              <w:tc>
                <w:tcPr>
                  <w:tcW w:w="465" w:type="pct"/>
                  <w:vAlign w:val="bottom"/>
                </w:tcPr>
                <w:p w:rsidR="00745FEA" w:rsidRPr="000C28E4" w:rsidRDefault="00745FEA" w:rsidP="00745FEA">
                  <w:pPr>
                    <w:pStyle w:val="TableBodyText"/>
                    <w:ind w:right="57"/>
                  </w:pPr>
                  <w:r w:rsidRPr="000C28E4">
                    <w:t>–</w:t>
                  </w:r>
                </w:p>
              </w:tc>
              <w:tc>
                <w:tcPr>
                  <w:tcW w:w="464" w:type="pct"/>
                  <w:vAlign w:val="bottom"/>
                </w:tcPr>
                <w:p w:rsidR="00745FEA" w:rsidRPr="000C28E4" w:rsidRDefault="00745FEA" w:rsidP="00745FEA">
                  <w:pPr>
                    <w:pStyle w:val="TableBodyText"/>
                    <w:ind w:right="57"/>
                  </w:pPr>
                  <w:r w:rsidRPr="000C28E4">
                    <w:t>–</w:t>
                  </w:r>
                </w:p>
              </w:tc>
              <w:tc>
                <w:tcPr>
                  <w:tcW w:w="464" w:type="pct"/>
                  <w:vAlign w:val="bottom"/>
                </w:tcPr>
                <w:p w:rsidR="00745FEA" w:rsidRPr="000C28E4" w:rsidRDefault="00745FEA" w:rsidP="00745FEA">
                  <w:pPr>
                    <w:pStyle w:val="TableBodyText"/>
                    <w:ind w:right="57"/>
                  </w:pPr>
                  <w:r w:rsidRPr="000C28E4">
                    <w:t>0.1</w:t>
                  </w:r>
                </w:p>
              </w:tc>
              <w:tc>
                <w:tcPr>
                  <w:tcW w:w="464" w:type="pct"/>
                  <w:vAlign w:val="bottom"/>
                </w:tcPr>
                <w:p w:rsidR="00745FEA" w:rsidRPr="000C28E4" w:rsidRDefault="00745FEA" w:rsidP="00745FEA">
                  <w:pPr>
                    <w:pStyle w:val="TableBodyText"/>
                    <w:ind w:right="57"/>
                  </w:pPr>
                  <w:r w:rsidRPr="000C28E4">
                    <w:t>0.1</w:t>
                  </w:r>
                </w:p>
              </w:tc>
              <w:tc>
                <w:tcPr>
                  <w:tcW w:w="464" w:type="pct"/>
                  <w:vAlign w:val="bottom"/>
                </w:tcPr>
                <w:p w:rsidR="00745FEA" w:rsidRPr="000C28E4" w:rsidRDefault="00745FEA" w:rsidP="00745FEA">
                  <w:pPr>
                    <w:pStyle w:val="TableBodyText"/>
                    <w:ind w:right="57"/>
                  </w:pPr>
                  <w:r w:rsidRPr="000C28E4">
                    <w:t>0.1</w:t>
                  </w:r>
                </w:p>
              </w:tc>
              <w:tc>
                <w:tcPr>
                  <w:tcW w:w="461" w:type="pct"/>
                  <w:vAlign w:val="bottom"/>
                </w:tcPr>
                <w:p w:rsidR="00745FEA" w:rsidRPr="000C28E4" w:rsidRDefault="00745FEA" w:rsidP="00745FEA">
                  <w:pPr>
                    <w:pStyle w:val="TableBodyText"/>
                    <w:ind w:right="57"/>
                  </w:pPr>
                  <w:r w:rsidRPr="000C28E4">
                    <w:t>0.1</w:t>
                  </w:r>
                </w:p>
              </w:tc>
            </w:tr>
            <w:tr w:rsidR="00745FEA" w:rsidTr="00745FEA">
              <w:tc>
                <w:tcPr>
                  <w:tcW w:w="2217" w:type="pct"/>
                  <w:shd w:val="clear" w:color="auto" w:fill="auto"/>
                </w:tcPr>
                <w:p w:rsidR="00745FEA" w:rsidRPr="007F0DA4" w:rsidRDefault="00745FEA" w:rsidP="00745FEA">
                  <w:pPr>
                    <w:pStyle w:val="TableBodyText"/>
                    <w:spacing w:after="0"/>
                    <w:ind w:left="227" w:right="0"/>
                    <w:jc w:val="left"/>
                  </w:pPr>
                  <w:r w:rsidRPr="007F0DA4">
                    <w:t>TRADEX</w:t>
                  </w:r>
                </w:p>
              </w:tc>
              <w:tc>
                <w:tcPr>
                  <w:tcW w:w="465" w:type="pct"/>
                  <w:vAlign w:val="bottom"/>
                </w:tcPr>
                <w:p w:rsidR="00745FEA" w:rsidRPr="000C28E4" w:rsidRDefault="00745FEA" w:rsidP="00745FEA">
                  <w:pPr>
                    <w:pStyle w:val="TableBodyText"/>
                    <w:ind w:right="57"/>
                  </w:pPr>
                  <w:r w:rsidRPr="000C28E4">
                    <w:t>0.3</w:t>
                  </w:r>
                </w:p>
              </w:tc>
              <w:tc>
                <w:tcPr>
                  <w:tcW w:w="464" w:type="pct"/>
                  <w:vAlign w:val="bottom"/>
                </w:tcPr>
                <w:p w:rsidR="00745FEA" w:rsidRPr="000C28E4" w:rsidRDefault="00745FEA" w:rsidP="00745FEA">
                  <w:pPr>
                    <w:pStyle w:val="TableBodyText"/>
                    <w:ind w:right="57"/>
                  </w:pPr>
                  <w:r w:rsidRPr="000C28E4">
                    <w:t>0.4</w:t>
                  </w:r>
                </w:p>
              </w:tc>
              <w:tc>
                <w:tcPr>
                  <w:tcW w:w="464" w:type="pct"/>
                  <w:vAlign w:val="bottom"/>
                </w:tcPr>
                <w:p w:rsidR="00745FEA" w:rsidRPr="000C28E4" w:rsidRDefault="00745FEA" w:rsidP="00745FEA">
                  <w:pPr>
                    <w:pStyle w:val="TableBodyText"/>
                    <w:ind w:right="57"/>
                  </w:pPr>
                  <w:r w:rsidRPr="000C28E4">
                    <w:t>0.4</w:t>
                  </w:r>
                </w:p>
              </w:tc>
              <w:tc>
                <w:tcPr>
                  <w:tcW w:w="464" w:type="pct"/>
                  <w:vAlign w:val="bottom"/>
                </w:tcPr>
                <w:p w:rsidR="00745FEA" w:rsidRPr="000C28E4" w:rsidRDefault="00745FEA" w:rsidP="00745FEA">
                  <w:pPr>
                    <w:pStyle w:val="TableBodyText"/>
                    <w:ind w:right="57"/>
                  </w:pPr>
                  <w:r w:rsidRPr="000C28E4">
                    <w:t>0.4</w:t>
                  </w:r>
                </w:p>
              </w:tc>
              <w:tc>
                <w:tcPr>
                  <w:tcW w:w="464" w:type="pct"/>
                  <w:shd w:val="clear" w:color="auto" w:fill="auto"/>
                  <w:vAlign w:val="bottom"/>
                </w:tcPr>
                <w:p w:rsidR="00745FEA" w:rsidRPr="000C28E4" w:rsidRDefault="00745FEA" w:rsidP="00745FEA">
                  <w:pPr>
                    <w:pStyle w:val="TableBodyText"/>
                    <w:ind w:right="57"/>
                  </w:pPr>
                  <w:r w:rsidRPr="000C28E4">
                    <w:t>0.4</w:t>
                  </w:r>
                </w:p>
              </w:tc>
              <w:tc>
                <w:tcPr>
                  <w:tcW w:w="461" w:type="pct"/>
                  <w:shd w:val="clear" w:color="auto" w:fill="auto"/>
                  <w:vAlign w:val="bottom"/>
                </w:tcPr>
                <w:p w:rsidR="00745FEA" w:rsidRDefault="00745FEA" w:rsidP="00745FEA">
                  <w:pPr>
                    <w:pStyle w:val="TableBodyText"/>
                    <w:ind w:right="57"/>
                  </w:pPr>
                  <w:r w:rsidRPr="000C28E4">
                    <w:t>0.4</w:t>
                  </w:r>
                </w:p>
              </w:tc>
            </w:tr>
            <w:tr w:rsidR="00745FEA" w:rsidTr="00745FEA">
              <w:tc>
                <w:tcPr>
                  <w:tcW w:w="2217" w:type="pct"/>
                  <w:shd w:val="clear" w:color="auto" w:fill="auto"/>
                </w:tcPr>
                <w:p w:rsidR="00745FEA" w:rsidRPr="00CF25D7" w:rsidRDefault="00745FEA" w:rsidP="00745FEA">
                  <w:pPr>
                    <w:pStyle w:val="TableBodyText"/>
                    <w:spacing w:before="40" w:after="0"/>
                    <w:ind w:left="113"/>
                    <w:jc w:val="left"/>
                    <w:rPr>
                      <w:i/>
                    </w:rPr>
                  </w:pPr>
                  <w:r w:rsidRPr="00CF25D7">
                    <w:rPr>
                      <w:i/>
                    </w:rPr>
                    <w:t>General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1"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9F6C28" w:rsidRDefault="00745FEA" w:rsidP="00745FEA">
                  <w:pPr>
                    <w:pStyle w:val="TableBodyText"/>
                    <w:spacing w:after="0"/>
                    <w:ind w:left="227" w:right="0"/>
                    <w:jc w:val="left"/>
                  </w:pPr>
                  <w:r w:rsidRPr="009F6C28">
                    <w:t>Cooperative Research Centres</w:t>
                  </w:r>
                </w:p>
              </w:tc>
              <w:tc>
                <w:tcPr>
                  <w:tcW w:w="465" w:type="pct"/>
                  <w:vAlign w:val="bottom"/>
                </w:tcPr>
                <w:p w:rsidR="00745FEA" w:rsidRPr="009572AD" w:rsidRDefault="00745FEA" w:rsidP="00745FEA">
                  <w:pPr>
                    <w:pStyle w:val="TableBodyText"/>
                    <w:ind w:right="57"/>
                  </w:pPr>
                  <w:r w:rsidRPr="009572AD">
                    <w:t>4.8</w:t>
                  </w:r>
                </w:p>
              </w:tc>
              <w:tc>
                <w:tcPr>
                  <w:tcW w:w="464" w:type="pct"/>
                  <w:vAlign w:val="bottom"/>
                </w:tcPr>
                <w:p w:rsidR="00745FEA" w:rsidRPr="009572AD" w:rsidRDefault="00745FEA" w:rsidP="00745FEA">
                  <w:pPr>
                    <w:pStyle w:val="TableBodyText"/>
                    <w:ind w:right="57"/>
                  </w:pPr>
                  <w:r w:rsidRPr="009572AD">
                    <w:t>4.8</w:t>
                  </w:r>
                </w:p>
              </w:tc>
              <w:tc>
                <w:tcPr>
                  <w:tcW w:w="464" w:type="pct"/>
                  <w:vAlign w:val="bottom"/>
                </w:tcPr>
                <w:p w:rsidR="00745FEA" w:rsidRPr="009572AD" w:rsidRDefault="00745FEA" w:rsidP="00745FEA">
                  <w:pPr>
                    <w:pStyle w:val="TableBodyText"/>
                    <w:ind w:right="57"/>
                  </w:pPr>
                  <w:r w:rsidRPr="009572AD">
                    <w:t>4.8</w:t>
                  </w:r>
                </w:p>
              </w:tc>
              <w:tc>
                <w:tcPr>
                  <w:tcW w:w="464" w:type="pct"/>
                  <w:vAlign w:val="bottom"/>
                </w:tcPr>
                <w:p w:rsidR="00745FEA" w:rsidRPr="009572AD" w:rsidRDefault="00745FEA" w:rsidP="00745FEA">
                  <w:pPr>
                    <w:pStyle w:val="TableBodyText"/>
                    <w:ind w:right="57"/>
                  </w:pPr>
                  <w:r w:rsidRPr="009572AD">
                    <w:t>4.0</w:t>
                  </w:r>
                </w:p>
              </w:tc>
              <w:tc>
                <w:tcPr>
                  <w:tcW w:w="464" w:type="pct"/>
                  <w:shd w:val="clear" w:color="auto" w:fill="auto"/>
                  <w:vAlign w:val="bottom"/>
                </w:tcPr>
                <w:p w:rsidR="00745FEA" w:rsidRPr="009572AD" w:rsidRDefault="00745FEA" w:rsidP="00745FEA">
                  <w:pPr>
                    <w:pStyle w:val="TableBodyText"/>
                    <w:ind w:right="57"/>
                  </w:pPr>
                  <w:r w:rsidRPr="009572AD">
                    <w:t>1.6</w:t>
                  </w:r>
                </w:p>
              </w:tc>
              <w:tc>
                <w:tcPr>
                  <w:tcW w:w="461" w:type="pct"/>
                  <w:shd w:val="clear" w:color="auto" w:fill="auto"/>
                  <w:vAlign w:val="bottom"/>
                </w:tcPr>
                <w:p w:rsidR="00745FEA" w:rsidRPr="009572AD" w:rsidRDefault="00745FEA" w:rsidP="00745FEA">
                  <w:pPr>
                    <w:pStyle w:val="TableBodyText"/>
                    <w:ind w:right="57"/>
                  </w:pPr>
                  <w:r w:rsidRPr="009572AD">
                    <w:t>–</w:t>
                  </w:r>
                </w:p>
              </w:tc>
            </w:tr>
            <w:tr w:rsidR="00745FEA" w:rsidTr="00745FEA">
              <w:tc>
                <w:tcPr>
                  <w:tcW w:w="2217" w:type="pct"/>
                  <w:shd w:val="clear" w:color="auto" w:fill="auto"/>
                </w:tcPr>
                <w:p w:rsidR="00745FEA" w:rsidRPr="009F6C28" w:rsidRDefault="00745FEA" w:rsidP="00745FEA">
                  <w:pPr>
                    <w:pStyle w:val="TableBodyText"/>
                    <w:spacing w:after="0"/>
                    <w:ind w:left="227" w:right="0"/>
                    <w:jc w:val="left"/>
                  </w:pPr>
                  <w:r w:rsidRPr="009F6C28">
                    <w:t>CSIRO</w:t>
                  </w:r>
                </w:p>
              </w:tc>
              <w:tc>
                <w:tcPr>
                  <w:tcW w:w="465" w:type="pct"/>
                  <w:vAlign w:val="bottom"/>
                </w:tcPr>
                <w:p w:rsidR="00745FEA" w:rsidRPr="009572AD" w:rsidRDefault="00745FEA" w:rsidP="00745FEA">
                  <w:pPr>
                    <w:pStyle w:val="TableBodyText"/>
                    <w:ind w:right="57"/>
                  </w:pPr>
                  <w:r w:rsidRPr="009572AD">
                    <w:t>10.7</w:t>
                  </w:r>
                </w:p>
              </w:tc>
              <w:tc>
                <w:tcPr>
                  <w:tcW w:w="464" w:type="pct"/>
                  <w:vAlign w:val="bottom"/>
                </w:tcPr>
                <w:p w:rsidR="00745FEA" w:rsidRPr="009572AD" w:rsidRDefault="00745FEA" w:rsidP="00745FEA">
                  <w:pPr>
                    <w:pStyle w:val="TableBodyText"/>
                    <w:ind w:right="57"/>
                  </w:pPr>
                  <w:r w:rsidRPr="009572AD">
                    <w:t>1.8</w:t>
                  </w:r>
                </w:p>
              </w:tc>
              <w:tc>
                <w:tcPr>
                  <w:tcW w:w="464" w:type="pct"/>
                  <w:vAlign w:val="bottom"/>
                </w:tcPr>
                <w:p w:rsidR="00745FEA" w:rsidRPr="009572AD" w:rsidRDefault="00745FEA" w:rsidP="00745FEA">
                  <w:pPr>
                    <w:pStyle w:val="TableBodyText"/>
                    <w:ind w:right="57"/>
                  </w:pPr>
                  <w:r w:rsidRPr="009572AD">
                    <w:t>1.7</w:t>
                  </w:r>
                </w:p>
              </w:tc>
              <w:tc>
                <w:tcPr>
                  <w:tcW w:w="464" w:type="pct"/>
                  <w:vAlign w:val="bottom"/>
                </w:tcPr>
                <w:p w:rsidR="00745FEA" w:rsidRPr="009572AD" w:rsidRDefault="00745FEA" w:rsidP="00745FEA">
                  <w:pPr>
                    <w:pStyle w:val="TableBodyText"/>
                    <w:ind w:right="57"/>
                  </w:pPr>
                  <w:r w:rsidRPr="009572AD">
                    <w:t>4.1</w:t>
                  </w:r>
                </w:p>
              </w:tc>
              <w:tc>
                <w:tcPr>
                  <w:tcW w:w="464" w:type="pct"/>
                  <w:shd w:val="clear" w:color="auto" w:fill="auto"/>
                  <w:vAlign w:val="bottom"/>
                </w:tcPr>
                <w:p w:rsidR="00745FEA" w:rsidRPr="009572AD" w:rsidRDefault="00745FEA" w:rsidP="00745FEA">
                  <w:pPr>
                    <w:pStyle w:val="TableBodyText"/>
                    <w:ind w:right="57"/>
                  </w:pPr>
                  <w:r w:rsidRPr="009572AD">
                    <w:t>4.1</w:t>
                  </w:r>
                </w:p>
              </w:tc>
              <w:tc>
                <w:tcPr>
                  <w:tcW w:w="461" w:type="pct"/>
                  <w:shd w:val="clear" w:color="auto" w:fill="auto"/>
                  <w:vAlign w:val="bottom"/>
                </w:tcPr>
                <w:p w:rsidR="00745FEA" w:rsidRPr="009572AD" w:rsidRDefault="00745FEA" w:rsidP="00745FEA">
                  <w:pPr>
                    <w:pStyle w:val="TableBodyText"/>
                    <w:ind w:right="57"/>
                  </w:pPr>
                  <w:r w:rsidRPr="009572AD">
                    <w:t>2.6</w:t>
                  </w:r>
                </w:p>
              </w:tc>
            </w:tr>
            <w:tr w:rsidR="00745FEA" w:rsidTr="00745FEA">
              <w:tc>
                <w:tcPr>
                  <w:tcW w:w="2217" w:type="pct"/>
                  <w:shd w:val="clear" w:color="auto" w:fill="auto"/>
                </w:tcPr>
                <w:p w:rsidR="00745FEA" w:rsidRPr="009F6C28" w:rsidRDefault="00745FEA" w:rsidP="00745FEA">
                  <w:pPr>
                    <w:pStyle w:val="TableBodyText"/>
                    <w:spacing w:after="0"/>
                    <w:ind w:left="227" w:right="0"/>
                    <w:jc w:val="left"/>
                  </w:pPr>
                  <w:r w:rsidRPr="00F20F54">
                    <w:t>R&amp;D Tax Incentive - refundable tax offset</w:t>
                  </w:r>
                </w:p>
              </w:tc>
              <w:tc>
                <w:tcPr>
                  <w:tcW w:w="465" w:type="pct"/>
                  <w:vAlign w:val="bottom"/>
                </w:tcPr>
                <w:p w:rsidR="00745FEA" w:rsidRPr="009572AD" w:rsidRDefault="00745FEA" w:rsidP="00745FEA">
                  <w:pPr>
                    <w:pStyle w:val="TableBodyText"/>
                    <w:ind w:right="57"/>
                  </w:pPr>
                  <w:r w:rsidRPr="009572AD">
                    <w:t>–</w:t>
                  </w:r>
                </w:p>
              </w:tc>
              <w:tc>
                <w:tcPr>
                  <w:tcW w:w="464" w:type="pct"/>
                  <w:vAlign w:val="bottom"/>
                </w:tcPr>
                <w:p w:rsidR="00745FEA" w:rsidRPr="009572AD" w:rsidRDefault="00745FEA" w:rsidP="00745FEA">
                  <w:pPr>
                    <w:pStyle w:val="TableBodyText"/>
                    <w:ind w:right="57"/>
                  </w:pPr>
                  <w:r w:rsidRPr="009572AD">
                    <w:t>0.4</w:t>
                  </w:r>
                </w:p>
              </w:tc>
              <w:tc>
                <w:tcPr>
                  <w:tcW w:w="464" w:type="pct"/>
                  <w:vAlign w:val="bottom"/>
                </w:tcPr>
                <w:p w:rsidR="00745FEA" w:rsidRPr="009572AD" w:rsidRDefault="00745FEA" w:rsidP="00745FEA">
                  <w:pPr>
                    <w:pStyle w:val="TableBodyText"/>
                    <w:ind w:right="57"/>
                  </w:pPr>
                  <w:r w:rsidRPr="009572AD">
                    <w:t>0.3</w:t>
                  </w:r>
                </w:p>
              </w:tc>
              <w:tc>
                <w:tcPr>
                  <w:tcW w:w="464" w:type="pct"/>
                  <w:vAlign w:val="bottom"/>
                </w:tcPr>
                <w:p w:rsidR="00745FEA" w:rsidRPr="009572AD" w:rsidRDefault="00745FEA" w:rsidP="00745FEA">
                  <w:pPr>
                    <w:pStyle w:val="TableBodyText"/>
                    <w:ind w:right="57"/>
                  </w:pPr>
                  <w:r w:rsidRPr="009572AD">
                    <w:t>0.5</w:t>
                  </w:r>
                </w:p>
              </w:tc>
              <w:tc>
                <w:tcPr>
                  <w:tcW w:w="464" w:type="pct"/>
                  <w:shd w:val="clear" w:color="auto" w:fill="auto"/>
                  <w:vAlign w:val="bottom"/>
                </w:tcPr>
                <w:p w:rsidR="00745FEA" w:rsidRPr="009572AD" w:rsidRDefault="00745FEA" w:rsidP="00745FEA">
                  <w:pPr>
                    <w:pStyle w:val="TableBodyText"/>
                    <w:ind w:right="57"/>
                  </w:pPr>
                  <w:r w:rsidRPr="009572AD">
                    <w:t>0.5</w:t>
                  </w:r>
                </w:p>
              </w:tc>
              <w:tc>
                <w:tcPr>
                  <w:tcW w:w="461" w:type="pct"/>
                  <w:shd w:val="clear" w:color="auto" w:fill="auto"/>
                  <w:vAlign w:val="bottom"/>
                </w:tcPr>
                <w:p w:rsidR="00745FEA" w:rsidRPr="009572AD" w:rsidRDefault="00745FEA" w:rsidP="00745FEA">
                  <w:pPr>
                    <w:pStyle w:val="TableBodyText"/>
                    <w:ind w:right="57"/>
                  </w:pPr>
                  <w:r w:rsidRPr="009572AD">
                    <w:t>0.6</w:t>
                  </w:r>
                </w:p>
              </w:tc>
            </w:tr>
            <w:tr w:rsidR="00745FEA" w:rsidTr="00745FEA">
              <w:tc>
                <w:tcPr>
                  <w:tcW w:w="2217" w:type="pct"/>
                  <w:shd w:val="clear" w:color="auto" w:fill="auto"/>
                </w:tcPr>
                <w:p w:rsidR="00745FEA" w:rsidRPr="009F6C28" w:rsidRDefault="00745FEA" w:rsidP="00745FEA">
                  <w:pPr>
                    <w:pStyle w:val="TableBodyText"/>
                    <w:spacing w:after="0"/>
                    <w:ind w:left="227" w:right="0"/>
                    <w:jc w:val="left"/>
                  </w:pPr>
                  <w:r w:rsidRPr="009F6C28">
                    <w:t>R&amp;D tax offsets - Refundable</w:t>
                  </w:r>
                </w:p>
              </w:tc>
              <w:tc>
                <w:tcPr>
                  <w:tcW w:w="465" w:type="pct"/>
                  <w:vAlign w:val="bottom"/>
                </w:tcPr>
                <w:p w:rsidR="00745FEA" w:rsidRPr="009572AD" w:rsidRDefault="00745FEA" w:rsidP="00745FEA">
                  <w:pPr>
                    <w:pStyle w:val="TableBodyText"/>
                    <w:ind w:right="57"/>
                  </w:pPr>
                  <w:r w:rsidRPr="009572AD">
                    <w:t>&lt;0.1</w:t>
                  </w:r>
                </w:p>
              </w:tc>
              <w:tc>
                <w:tcPr>
                  <w:tcW w:w="464" w:type="pct"/>
                  <w:vAlign w:val="bottom"/>
                </w:tcPr>
                <w:p w:rsidR="00745FEA" w:rsidRPr="009572AD" w:rsidRDefault="00745FEA" w:rsidP="00745FEA">
                  <w:pPr>
                    <w:pStyle w:val="TableBodyText"/>
                    <w:ind w:right="57"/>
                  </w:pPr>
                  <w:r w:rsidRPr="009572AD">
                    <w:t>–</w:t>
                  </w:r>
                </w:p>
              </w:tc>
              <w:tc>
                <w:tcPr>
                  <w:tcW w:w="464" w:type="pct"/>
                  <w:vAlign w:val="bottom"/>
                </w:tcPr>
                <w:p w:rsidR="00745FEA" w:rsidRPr="009572AD" w:rsidRDefault="00745FEA" w:rsidP="00745FEA">
                  <w:pPr>
                    <w:pStyle w:val="TableBodyText"/>
                    <w:ind w:right="57"/>
                  </w:pPr>
                  <w:r w:rsidRPr="009572AD">
                    <w:t>–</w:t>
                  </w:r>
                </w:p>
              </w:tc>
              <w:tc>
                <w:tcPr>
                  <w:tcW w:w="464" w:type="pct"/>
                  <w:vAlign w:val="bottom"/>
                </w:tcPr>
                <w:p w:rsidR="00745FEA" w:rsidRPr="009572AD" w:rsidRDefault="00745FEA" w:rsidP="00745FEA">
                  <w:pPr>
                    <w:pStyle w:val="TableBodyText"/>
                    <w:ind w:right="57"/>
                  </w:pPr>
                  <w:r w:rsidRPr="009572AD">
                    <w:t>–</w:t>
                  </w:r>
                </w:p>
              </w:tc>
              <w:tc>
                <w:tcPr>
                  <w:tcW w:w="464" w:type="pct"/>
                  <w:shd w:val="clear" w:color="auto" w:fill="auto"/>
                  <w:vAlign w:val="bottom"/>
                </w:tcPr>
                <w:p w:rsidR="00745FEA" w:rsidRPr="009572AD" w:rsidRDefault="00745FEA" w:rsidP="00745FEA">
                  <w:pPr>
                    <w:pStyle w:val="TableBodyText"/>
                    <w:ind w:right="57"/>
                  </w:pPr>
                  <w:r w:rsidRPr="009572AD">
                    <w:t>–</w:t>
                  </w:r>
                </w:p>
              </w:tc>
              <w:tc>
                <w:tcPr>
                  <w:tcW w:w="461" w:type="pct"/>
                  <w:shd w:val="clear" w:color="auto" w:fill="auto"/>
                  <w:vAlign w:val="bottom"/>
                </w:tcPr>
                <w:p w:rsidR="00745FEA" w:rsidRDefault="00745FEA" w:rsidP="00745FEA">
                  <w:pPr>
                    <w:pStyle w:val="TableBodyText"/>
                    <w:ind w:right="57"/>
                  </w:pPr>
                  <w:r w:rsidRPr="009572AD">
                    <w:t>–</w:t>
                  </w:r>
                </w:p>
              </w:tc>
            </w:tr>
            <w:tr w:rsidR="00745FEA" w:rsidTr="00745FEA">
              <w:tc>
                <w:tcPr>
                  <w:tcW w:w="2217" w:type="pct"/>
                  <w:shd w:val="clear" w:color="auto" w:fill="auto"/>
                </w:tcPr>
                <w:p w:rsidR="00745FEA" w:rsidRPr="00A53FD7" w:rsidRDefault="00745FEA" w:rsidP="00745FEA">
                  <w:pPr>
                    <w:pStyle w:val="TableBodyText"/>
                    <w:spacing w:before="40" w:after="0"/>
                    <w:ind w:left="113"/>
                    <w:jc w:val="left"/>
                    <w:rPr>
                      <w:i/>
                    </w:rPr>
                  </w:pPr>
                  <w:r w:rsidRPr="00A53FD7">
                    <w:rPr>
                      <w:i/>
                    </w:rPr>
                    <w:t>Other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1"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F20F54">
                    <w:t>Entrepreneurs’ Infrastructure Programme - Business Management Skills</w:t>
                  </w:r>
                </w:p>
              </w:tc>
              <w:tc>
                <w:tcPr>
                  <w:tcW w:w="465" w:type="pct"/>
                  <w:vAlign w:val="bottom"/>
                </w:tcPr>
                <w:p w:rsidR="00745FEA" w:rsidRPr="00EA3DBD" w:rsidRDefault="00745FEA" w:rsidP="00745FEA">
                  <w:pPr>
                    <w:pStyle w:val="TableBodyText"/>
                    <w:ind w:right="57"/>
                  </w:pPr>
                  <w:r w:rsidRPr="00EA3DBD">
                    <w:t>–</w:t>
                  </w:r>
                </w:p>
              </w:tc>
              <w:tc>
                <w:tcPr>
                  <w:tcW w:w="464" w:type="pct"/>
                  <w:vAlign w:val="bottom"/>
                </w:tcPr>
                <w:p w:rsidR="00745FEA" w:rsidRPr="00EA3DBD" w:rsidRDefault="00745FEA" w:rsidP="00745FEA">
                  <w:pPr>
                    <w:pStyle w:val="TableBodyText"/>
                    <w:ind w:right="57"/>
                  </w:pPr>
                  <w:r w:rsidRPr="00EA3DBD">
                    <w:t>–</w:t>
                  </w:r>
                </w:p>
              </w:tc>
              <w:tc>
                <w:tcPr>
                  <w:tcW w:w="464" w:type="pct"/>
                  <w:vAlign w:val="bottom"/>
                </w:tcPr>
                <w:p w:rsidR="00745FEA" w:rsidRPr="00EA3DBD" w:rsidRDefault="00745FEA" w:rsidP="00745FEA">
                  <w:pPr>
                    <w:pStyle w:val="TableBodyText"/>
                    <w:ind w:right="57"/>
                  </w:pPr>
                  <w:r w:rsidRPr="00EA3DBD">
                    <w:t>–</w:t>
                  </w:r>
                </w:p>
              </w:tc>
              <w:tc>
                <w:tcPr>
                  <w:tcW w:w="464" w:type="pct"/>
                  <w:vAlign w:val="bottom"/>
                </w:tcPr>
                <w:p w:rsidR="00745FEA" w:rsidRPr="00EA3DBD" w:rsidRDefault="00745FEA" w:rsidP="00745FEA">
                  <w:pPr>
                    <w:pStyle w:val="TableBodyText"/>
                    <w:ind w:right="57"/>
                  </w:pPr>
                  <w:r w:rsidRPr="00EA3DBD">
                    <w:t>–</w:t>
                  </w:r>
                </w:p>
              </w:tc>
              <w:tc>
                <w:tcPr>
                  <w:tcW w:w="464" w:type="pct"/>
                  <w:shd w:val="clear" w:color="auto" w:fill="auto"/>
                  <w:vAlign w:val="bottom"/>
                </w:tcPr>
                <w:p w:rsidR="00745FEA" w:rsidRPr="00EA3DBD" w:rsidRDefault="00745FEA" w:rsidP="00745FEA">
                  <w:pPr>
                    <w:pStyle w:val="TableBodyText"/>
                    <w:ind w:right="57"/>
                  </w:pPr>
                  <w:r w:rsidRPr="00EA3DBD">
                    <w:t>–</w:t>
                  </w:r>
                </w:p>
              </w:tc>
              <w:tc>
                <w:tcPr>
                  <w:tcW w:w="461" w:type="pct"/>
                  <w:shd w:val="clear" w:color="auto" w:fill="auto"/>
                  <w:vAlign w:val="bottom"/>
                </w:tcPr>
                <w:p w:rsidR="00745FEA" w:rsidRPr="00EA3DBD" w:rsidRDefault="00745FEA" w:rsidP="00745FEA">
                  <w:pPr>
                    <w:pStyle w:val="TableBodyText"/>
                    <w:ind w:right="57"/>
                  </w:pPr>
                  <w:r w:rsidRPr="00EA3DBD">
                    <w:t>&lt;0.1</w:t>
                  </w: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113EBC">
                    <w:t xml:space="preserve">Small business </w:t>
                  </w:r>
                  <w:r>
                    <w:t>capital gains tax</w:t>
                  </w:r>
                  <w:r w:rsidRPr="00113EBC">
                    <w:t xml:space="preserve"> rollover deferral</w:t>
                  </w:r>
                </w:p>
              </w:tc>
              <w:tc>
                <w:tcPr>
                  <w:tcW w:w="465" w:type="pct"/>
                  <w:vAlign w:val="bottom"/>
                </w:tcPr>
                <w:p w:rsidR="00745FEA" w:rsidRPr="00EA3DBD" w:rsidRDefault="00745FEA" w:rsidP="00745FEA">
                  <w:pPr>
                    <w:pStyle w:val="TableBodyText"/>
                    <w:ind w:right="57"/>
                  </w:pPr>
                  <w:r w:rsidRPr="00EA3DBD">
                    <w:t>0.4</w:t>
                  </w:r>
                </w:p>
              </w:tc>
              <w:tc>
                <w:tcPr>
                  <w:tcW w:w="464" w:type="pct"/>
                  <w:vAlign w:val="bottom"/>
                </w:tcPr>
                <w:p w:rsidR="00745FEA" w:rsidRPr="00EA3DBD" w:rsidRDefault="00745FEA" w:rsidP="00745FEA">
                  <w:pPr>
                    <w:pStyle w:val="TableBodyText"/>
                    <w:ind w:right="57"/>
                  </w:pPr>
                  <w:r w:rsidRPr="00EA3DBD">
                    <w:t>0.5</w:t>
                  </w:r>
                </w:p>
              </w:tc>
              <w:tc>
                <w:tcPr>
                  <w:tcW w:w="464" w:type="pct"/>
                  <w:vAlign w:val="bottom"/>
                </w:tcPr>
                <w:p w:rsidR="00745FEA" w:rsidRPr="00EA3DBD" w:rsidRDefault="00745FEA" w:rsidP="00745FEA">
                  <w:pPr>
                    <w:pStyle w:val="TableBodyText"/>
                    <w:ind w:right="57"/>
                  </w:pPr>
                  <w:r w:rsidRPr="00EA3DBD">
                    <w:t>0.5</w:t>
                  </w:r>
                </w:p>
              </w:tc>
              <w:tc>
                <w:tcPr>
                  <w:tcW w:w="464" w:type="pct"/>
                  <w:vAlign w:val="bottom"/>
                </w:tcPr>
                <w:p w:rsidR="00745FEA" w:rsidRPr="00EA3DBD" w:rsidRDefault="00745FEA" w:rsidP="00745FEA">
                  <w:pPr>
                    <w:pStyle w:val="TableBodyText"/>
                    <w:ind w:right="57"/>
                  </w:pPr>
                  <w:r w:rsidRPr="00EA3DBD">
                    <w:t>0.9</w:t>
                  </w:r>
                </w:p>
              </w:tc>
              <w:tc>
                <w:tcPr>
                  <w:tcW w:w="464" w:type="pct"/>
                  <w:shd w:val="clear" w:color="auto" w:fill="auto"/>
                  <w:vAlign w:val="bottom"/>
                </w:tcPr>
                <w:p w:rsidR="00745FEA" w:rsidRPr="00EA3DBD" w:rsidRDefault="00745FEA" w:rsidP="00745FEA">
                  <w:pPr>
                    <w:pStyle w:val="TableBodyText"/>
                    <w:ind w:right="57"/>
                  </w:pPr>
                  <w:r w:rsidRPr="00EA3DBD">
                    <w:t>0.8</w:t>
                  </w:r>
                </w:p>
              </w:tc>
              <w:tc>
                <w:tcPr>
                  <w:tcW w:w="461" w:type="pct"/>
                  <w:shd w:val="clear" w:color="auto" w:fill="auto"/>
                  <w:vAlign w:val="bottom"/>
                </w:tcPr>
                <w:p w:rsidR="00745FEA" w:rsidRPr="00EA3DBD" w:rsidRDefault="00745FEA" w:rsidP="00745FEA">
                  <w:pPr>
                    <w:pStyle w:val="TableBodyText"/>
                    <w:ind w:right="57"/>
                  </w:pPr>
                  <w:r w:rsidRPr="00EA3DBD">
                    <w:t>1.3</w:t>
                  </w: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113EBC">
                    <w:t>The Small Business and General Business Tax Break</w:t>
                  </w:r>
                </w:p>
              </w:tc>
              <w:tc>
                <w:tcPr>
                  <w:tcW w:w="465" w:type="pct"/>
                  <w:vAlign w:val="bottom"/>
                </w:tcPr>
                <w:p w:rsidR="00745FEA" w:rsidRPr="00EA3DBD" w:rsidRDefault="00745FEA" w:rsidP="00745FEA">
                  <w:pPr>
                    <w:pStyle w:val="TableBodyText"/>
                    <w:ind w:right="57"/>
                  </w:pPr>
                  <w:r w:rsidRPr="00EA3DBD">
                    <w:t>0.4</w:t>
                  </w:r>
                </w:p>
              </w:tc>
              <w:tc>
                <w:tcPr>
                  <w:tcW w:w="464" w:type="pct"/>
                  <w:vAlign w:val="bottom"/>
                </w:tcPr>
                <w:p w:rsidR="00745FEA" w:rsidRPr="00EA3DBD" w:rsidRDefault="00745FEA" w:rsidP="00745FEA">
                  <w:pPr>
                    <w:pStyle w:val="TableBodyText"/>
                    <w:ind w:right="57"/>
                  </w:pPr>
                  <w:r w:rsidRPr="00EA3DBD">
                    <w:t>0.1</w:t>
                  </w:r>
                </w:p>
              </w:tc>
              <w:tc>
                <w:tcPr>
                  <w:tcW w:w="464" w:type="pct"/>
                  <w:vAlign w:val="bottom"/>
                </w:tcPr>
                <w:p w:rsidR="00745FEA" w:rsidRPr="00EA3DBD" w:rsidRDefault="00745FEA" w:rsidP="00745FEA">
                  <w:pPr>
                    <w:pStyle w:val="TableBodyText"/>
                    <w:ind w:right="57"/>
                  </w:pPr>
                  <w:r w:rsidRPr="00EA3DBD">
                    <w:t>&lt;0.1</w:t>
                  </w:r>
                </w:p>
              </w:tc>
              <w:tc>
                <w:tcPr>
                  <w:tcW w:w="464" w:type="pct"/>
                  <w:vAlign w:val="bottom"/>
                </w:tcPr>
                <w:p w:rsidR="00745FEA" w:rsidRPr="00EA3DBD" w:rsidRDefault="00745FEA" w:rsidP="00745FEA">
                  <w:pPr>
                    <w:pStyle w:val="TableBodyText"/>
                    <w:ind w:right="57"/>
                  </w:pPr>
                  <w:r w:rsidRPr="00EA3DBD">
                    <w:t>–</w:t>
                  </w:r>
                </w:p>
              </w:tc>
              <w:tc>
                <w:tcPr>
                  <w:tcW w:w="464" w:type="pct"/>
                  <w:shd w:val="clear" w:color="auto" w:fill="auto"/>
                  <w:vAlign w:val="bottom"/>
                </w:tcPr>
                <w:p w:rsidR="00745FEA" w:rsidRPr="00EA3DBD" w:rsidRDefault="00745FEA" w:rsidP="00745FEA">
                  <w:pPr>
                    <w:pStyle w:val="TableBodyText"/>
                    <w:ind w:right="57"/>
                  </w:pPr>
                  <w:r w:rsidRPr="00EA3DBD">
                    <w:t>–</w:t>
                  </w:r>
                </w:p>
              </w:tc>
              <w:tc>
                <w:tcPr>
                  <w:tcW w:w="461" w:type="pct"/>
                  <w:shd w:val="clear" w:color="auto" w:fill="auto"/>
                  <w:vAlign w:val="bottom"/>
                </w:tcPr>
                <w:p w:rsidR="00745FEA" w:rsidRPr="00EA3DBD" w:rsidRDefault="00745FEA" w:rsidP="00745FEA">
                  <w:pPr>
                    <w:pStyle w:val="TableBodyText"/>
                    <w:ind w:right="57"/>
                  </w:pPr>
                  <w:r w:rsidRPr="00EA3DBD">
                    <w:t>–</w:t>
                  </w: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113EBC">
                    <w:t>Small Business - Simplified depreciation rules</w:t>
                  </w:r>
                </w:p>
              </w:tc>
              <w:tc>
                <w:tcPr>
                  <w:tcW w:w="465" w:type="pct"/>
                  <w:vAlign w:val="bottom"/>
                </w:tcPr>
                <w:p w:rsidR="00745FEA" w:rsidRPr="00EA3DBD" w:rsidRDefault="00745FEA" w:rsidP="00745FEA">
                  <w:pPr>
                    <w:pStyle w:val="TableBodyText"/>
                    <w:ind w:right="57"/>
                  </w:pPr>
                  <w:r w:rsidRPr="00EA3DBD">
                    <w:t>0.1</w:t>
                  </w:r>
                </w:p>
              </w:tc>
              <w:tc>
                <w:tcPr>
                  <w:tcW w:w="464" w:type="pct"/>
                  <w:vAlign w:val="bottom"/>
                </w:tcPr>
                <w:p w:rsidR="00745FEA" w:rsidRPr="00EA3DBD" w:rsidRDefault="00745FEA" w:rsidP="00745FEA">
                  <w:pPr>
                    <w:pStyle w:val="TableBodyText"/>
                    <w:ind w:right="57"/>
                  </w:pPr>
                  <w:r w:rsidRPr="00EA3DBD">
                    <w:t>-0.3</w:t>
                  </w:r>
                </w:p>
              </w:tc>
              <w:tc>
                <w:tcPr>
                  <w:tcW w:w="464" w:type="pct"/>
                  <w:vAlign w:val="bottom"/>
                </w:tcPr>
                <w:p w:rsidR="00745FEA" w:rsidRPr="00EA3DBD" w:rsidRDefault="00745FEA" w:rsidP="00745FEA">
                  <w:pPr>
                    <w:pStyle w:val="TableBodyText"/>
                    <w:ind w:right="57"/>
                  </w:pPr>
                  <w:r w:rsidRPr="00EA3DBD">
                    <w:t>1.1</w:t>
                  </w:r>
                </w:p>
              </w:tc>
              <w:tc>
                <w:tcPr>
                  <w:tcW w:w="464" w:type="pct"/>
                  <w:vAlign w:val="bottom"/>
                </w:tcPr>
                <w:p w:rsidR="00745FEA" w:rsidRPr="00EA3DBD" w:rsidRDefault="00745FEA" w:rsidP="00745FEA">
                  <w:pPr>
                    <w:pStyle w:val="TableBodyText"/>
                    <w:ind w:right="57"/>
                  </w:pPr>
                  <w:r w:rsidRPr="00EA3DBD">
                    <w:t>-0.5</w:t>
                  </w:r>
                </w:p>
              </w:tc>
              <w:tc>
                <w:tcPr>
                  <w:tcW w:w="464" w:type="pct"/>
                  <w:shd w:val="clear" w:color="auto" w:fill="auto"/>
                  <w:vAlign w:val="bottom"/>
                </w:tcPr>
                <w:p w:rsidR="00745FEA" w:rsidRPr="00EA3DBD" w:rsidRDefault="00745FEA" w:rsidP="00745FEA">
                  <w:pPr>
                    <w:pStyle w:val="TableBodyText"/>
                    <w:ind w:right="57"/>
                  </w:pPr>
                  <w:r w:rsidRPr="00EA3DBD">
                    <w:t>-1.0</w:t>
                  </w:r>
                </w:p>
              </w:tc>
              <w:tc>
                <w:tcPr>
                  <w:tcW w:w="461" w:type="pct"/>
                  <w:shd w:val="clear" w:color="auto" w:fill="auto"/>
                  <w:vAlign w:val="bottom"/>
                </w:tcPr>
                <w:p w:rsidR="00745FEA" w:rsidRPr="00EA3DBD" w:rsidRDefault="00745FEA" w:rsidP="00745FEA">
                  <w:pPr>
                    <w:pStyle w:val="TableBodyText"/>
                    <w:ind w:right="57"/>
                  </w:pPr>
                  <w:r w:rsidRPr="00EA3DBD">
                    <w:t>5.3</w:t>
                  </w: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113EBC">
                    <w:t xml:space="preserve">Small business </w:t>
                  </w:r>
                  <w:r>
                    <w:t>capital gains tax</w:t>
                  </w:r>
                  <w:r w:rsidRPr="00113EBC">
                    <w:t xml:space="preserve"> retirement exemption</w:t>
                  </w:r>
                </w:p>
              </w:tc>
              <w:tc>
                <w:tcPr>
                  <w:tcW w:w="465" w:type="pct"/>
                  <w:vAlign w:val="bottom"/>
                </w:tcPr>
                <w:p w:rsidR="00745FEA" w:rsidRPr="00EA3DBD" w:rsidRDefault="00745FEA" w:rsidP="00745FEA">
                  <w:pPr>
                    <w:pStyle w:val="TableBodyText"/>
                    <w:ind w:right="57"/>
                  </w:pPr>
                  <w:r w:rsidRPr="00EA3DBD">
                    <w:t>0.9</w:t>
                  </w:r>
                </w:p>
              </w:tc>
              <w:tc>
                <w:tcPr>
                  <w:tcW w:w="464" w:type="pct"/>
                  <w:vAlign w:val="bottom"/>
                </w:tcPr>
                <w:p w:rsidR="00745FEA" w:rsidRPr="00EA3DBD" w:rsidRDefault="00745FEA" w:rsidP="00745FEA">
                  <w:pPr>
                    <w:pStyle w:val="TableBodyText"/>
                    <w:ind w:right="57"/>
                  </w:pPr>
                  <w:r w:rsidRPr="00EA3DBD">
                    <w:t>1.0</w:t>
                  </w:r>
                </w:p>
              </w:tc>
              <w:tc>
                <w:tcPr>
                  <w:tcW w:w="464" w:type="pct"/>
                  <w:vAlign w:val="bottom"/>
                </w:tcPr>
                <w:p w:rsidR="00745FEA" w:rsidRPr="00EA3DBD" w:rsidRDefault="00745FEA" w:rsidP="00745FEA">
                  <w:pPr>
                    <w:pStyle w:val="TableBodyText"/>
                    <w:ind w:right="57"/>
                  </w:pPr>
                  <w:r w:rsidRPr="00EA3DBD">
                    <w:t>1.0</w:t>
                  </w:r>
                </w:p>
              </w:tc>
              <w:tc>
                <w:tcPr>
                  <w:tcW w:w="464" w:type="pct"/>
                  <w:vAlign w:val="bottom"/>
                </w:tcPr>
                <w:p w:rsidR="00745FEA" w:rsidRPr="00EA3DBD" w:rsidRDefault="00745FEA" w:rsidP="00745FEA">
                  <w:pPr>
                    <w:pStyle w:val="TableBodyText"/>
                    <w:ind w:right="57"/>
                  </w:pPr>
                  <w:r w:rsidRPr="00EA3DBD">
                    <w:t>1.7</w:t>
                  </w:r>
                </w:p>
              </w:tc>
              <w:tc>
                <w:tcPr>
                  <w:tcW w:w="464" w:type="pct"/>
                  <w:shd w:val="clear" w:color="auto" w:fill="auto"/>
                  <w:vAlign w:val="bottom"/>
                </w:tcPr>
                <w:p w:rsidR="00745FEA" w:rsidRPr="00EA3DBD" w:rsidRDefault="00745FEA" w:rsidP="00745FEA">
                  <w:pPr>
                    <w:pStyle w:val="TableBodyText"/>
                    <w:ind w:right="57"/>
                  </w:pPr>
                  <w:r w:rsidRPr="00EA3DBD">
                    <w:t>1.9</w:t>
                  </w:r>
                </w:p>
              </w:tc>
              <w:tc>
                <w:tcPr>
                  <w:tcW w:w="461" w:type="pct"/>
                  <w:shd w:val="clear" w:color="auto" w:fill="auto"/>
                  <w:vAlign w:val="bottom"/>
                </w:tcPr>
                <w:p w:rsidR="00745FEA" w:rsidRPr="00EA3DBD" w:rsidRDefault="00745FEA" w:rsidP="00745FEA">
                  <w:pPr>
                    <w:pStyle w:val="TableBodyText"/>
                    <w:ind w:right="57"/>
                  </w:pPr>
                  <w:r w:rsidRPr="00EA3DBD">
                    <w:t>1.7</w:t>
                  </w: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113EBC">
                    <w:t xml:space="preserve">Small business </w:t>
                  </w:r>
                  <w:r>
                    <w:t>capital gains tax</w:t>
                  </w:r>
                  <w:r w:rsidRPr="00113EBC">
                    <w:t xml:space="preserve"> 50 per cent reduction</w:t>
                  </w:r>
                </w:p>
              </w:tc>
              <w:tc>
                <w:tcPr>
                  <w:tcW w:w="465" w:type="pct"/>
                  <w:vAlign w:val="bottom"/>
                </w:tcPr>
                <w:p w:rsidR="00745FEA" w:rsidRPr="00EA3DBD" w:rsidRDefault="00745FEA" w:rsidP="00745FEA">
                  <w:pPr>
                    <w:pStyle w:val="TableBodyText"/>
                    <w:ind w:right="57"/>
                  </w:pPr>
                  <w:r w:rsidRPr="00EA3DBD">
                    <w:t>2.1</w:t>
                  </w:r>
                </w:p>
              </w:tc>
              <w:tc>
                <w:tcPr>
                  <w:tcW w:w="464" w:type="pct"/>
                  <w:vAlign w:val="bottom"/>
                </w:tcPr>
                <w:p w:rsidR="00745FEA" w:rsidRPr="00EA3DBD" w:rsidRDefault="00745FEA" w:rsidP="00745FEA">
                  <w:pPr>
                    <w:pStyle w:val="TableBodyText"/>
                    <w:ind w:right="57"/>
                  </w:pPr>
                  <w:r w:rsidRPr="00EA3DBD">
                    <w:t>2.2</w:t>
                  </w:r>
                </w:p>
              </w:tc>
              <w:tc>
                <w:tcPr>
                  <w:tcW w:w="464" w:type="pct"/>
                  <w:vAlign w:val="bottom"/>
                </w:tcPr>
                <w:p w:rsidR="00745FEA" w:rsidRPr="00EA3DBD" w:rsidRDefault="00745FEA" w:rsidP="00745FEA">
                  <w:pPr>
                    <w:pStyle w:val="TableBodyText"/>
                    <w:ind w:right="57"/>
                  </w:pPr>
                  <w:r w:rsidRPr="00EA3DBD">
                    <w:t>2.2</w:t>
                  </w:r>
                </w:p>
              </w:tc>
              <w:tc>
                <w:tcPr>
                  <w:tcW w:w="464" w:type="pct"/>
                  <w:vAlign w:val="bottom"/>
                </w:tcPr>
                <w:p w:rsidR="00745FEA" w:rsidRPr="00EA3DBD" w:rsidRDefault="00745FEA" w:rsidP="00745FEA">
                  <w:pPr>
                    <w:pStyle w:val="TableBodyText"/>
                    <w:ind w:right="57"/>
                  </w:pPr>
                  <w:r w:rsidRPr="00EA3DBD">
                    <w:t>3.9</w:t>
                  </w:r>
                </w:p>
              </w:tc>
              <w:tc>
                <w:tcPr>
                  <w:tcW w:w="464" w:type="pct"/>
                  <w:shd w:val="clear" w:color="auto" w:fill="auto"/>
                  <w:vAlign w:val="bottom"/>
                </w:tcPr>
                <w:p w:rsidR="00745FEA" w:rsidRPr="00EA3DBD" w:rsidRDefault="00745FEA" w:rsidP="00745FEA">
                  <w:pPr>
                    <w:pStyle w:val="TableBodyText"/>
                    <w:ind w:right="57"/>
                  </w:pPr>
                  <w:r w:rsidRPr="00EA3DBD">
                    <w:t>3.6</w:t>
                  </w:r>
                </w:p>
              </w:tc>
              <w:tc>
                <w:tcPr>
                  <w:tcW w:w="461" w:type="pct"/>
                  <w:shd w:val="clear" w:color="auto" w:fill="auto"/>
                  <w:vAlign w:val="bottom"/>
                </w:tcPr>
                <w:p w:rsidR="00745FEA" w:rsidRPr="00EA3DBD" w:rsidRDefault="00745FEA" w:rsidP="00745FEA">
                  <w:pPr>
                    <w:pStyle w:val="TableBodyText"/>
                    <w:ind w:right="57"/>
                  </w:pPr>
                  <w:r w:rsidRPr="00EA3DBD">
                    <w:t>4.6</w:t>
                  </w:r>
                </w:p>
              </w:tc>
            </w:tr>
            <w:tr w:rsidR="00745FEA" w:rsidTr="00745FEA">
              <w:tc>
                <w:tcPr>
                  <w:tcW w:w="2217" w:type="pct"/>
                  <w:shd w:val="clear" w:color="auto" w:fill="auto"/>
                </w:tcPr>
                <w:p w:rsidR="00745FEA" w:rsidRPr="00113EBC" w:rsidRDefault="00745FEA" w:rsidP="00745FEA">
                  <w:pPr>
                    <w:pStyle w:val="TableBodyText"/>
                    <w:spacing w:after="0"/>
                    <w:ind w:left="227" w:right="0"/>
                    <w:jc w:val="left"/>
                  </w:pPr>
                  <w:r w:rsidRPr="00113EBC">
                    <w:t>25 per cent entrepreneurs' tax offset</w:t>
                  </w:r>
                </w:p>
              </w:tc>
              <w:tc>
                <w:tcPr>
                  <w:tcW w:w="465" w:type="pct"/>
                  <w:vAlign w:val="bottom"/>
                </w:tcPr>
                <w:p w:rsidR="00745FEA" w:rsidRPr="00EA3DBD" w:rsidRDefault="00745FEA" w:rsidP="00745FEA">
                  <w:pPr>
                    <w:pStyle w:val="TableBodyText"/>
                    <w:ind w:right="57"/>
                  </w:pPr>
                  <w:r w:rsidRPr="00EA3DBD">
                    <w:t>0.2</w:t>
                  </w:r>
                </w:p>
              </w:tc>
              <w:tc>
                <w:tcPr>
                  <w:tcW w:w="464" w:type="pct"/>
                  <w:vAlign w:val="bottom"/>
                </w:tcPr>
                <w:p w:rsidR="00745FEA" w:rsidRPr="00EA3DBD" w:rsidRDefault="00745FEA" w:rsidP="00745FEA">
                  <w:pPr>
                    <w:pStyle w:val="TableBodyText"/>
                    <w:ind w:right="57"/>
                  </w:pPr>
                  <w:r w:rsidRPr="00EA3DBD">
                    <w:t>0.1</w:t>
                  </w:r>
                </w:p>
              </w:tc>
              <w:tc>
                <w:tcPr>
                  <w:tcW w:w="464" w:type="pct"/>
                  <w:vAlign w:val="bottom"/>
                </w:tcPr>
                <w:p w:rsidR="00745FEA" w:rsidRPr="00EA3DBD" w:rsidRDefault="00745FEA" w:rsidP="00745FEA">
                  <w:pPr>
                    <w:pStyle w:val="TableBodyText"/>
                    <w:ind w:right="57"/>
                  </w:pPr>
                  <w:r w:rsidRPr="00EA3DBD">
                    <w:t>–</w:t>
                  </w:r>
                </w:p>
              </w:tc>
              <w:tc>
                <w:tcPr>
                  <w:tcW w:w="464" w:type="pct"/>
                  <w:vAlign w:val="bottom"/>
                </w:tcPr>
                <w:p w:rsidR="00745FEA" w:rsidRPr="00EA3DBD" w:rsidRDefault="00745FEA" w:rsidP="00745FEA">
                  <w:pPr>
                    <w:pStyle w:val="TableBodyText"/>
                    <w:ind w:right="57"/>
                  </w:pPr>
                  <w:r w:rsidRPr="00EA3DBD">
                    <w:t>–</w:t>
                  </w:r>
                </w:p>
              </w:tc>
              <w:tc>
                <w:tcPr>
                  <w:tcW w:w="464" w:type="pct"/>
                  <w:shd w:val="clear" w:color="auto" w:fill="auto"/>
                  <w:vAlign w:val="bottom"/>
                </w:tcPr>
                <w:p w:rsidR="00745FEA" w:rsidRPr="00EA3DBD" w:rsidRDefault="00745FEA" w:rsidP="00745FEA">
                  <w:pPr>
                    <w:pStyle w:val="TableBodyText"/>
                    <w:ind w:right="57"/>
                  </w:pPr>
                  <w:r w:rsidRPr="00EA3DBD">
                    <w:t>–</w:t>
                  </w:r>
                </w:p>
              </w:tc>
              <w:tc>
                <w:tcPr>
                  <w:tcW w:w="461" w:type="pct"/>
                  <w:shd w:val="clear" w:color="auto" w:fill="auto"/>
                  <w:vAlign w:val="bottom"/>
                </w:tcPr>
                <w:p w:rsidR="00745FEA" w:rsidRDefault="00745FEA" w:rsidP="00745FEA">
                  <w:pPr>
                    <w:pStyle w:val="TableBodyText"/>
                    <w:ind w:right="57"/>
                  </w:pPr>
                  <w:r w:rsidRPr="00EA3DBD">
                    <w:t>–</w:t>
                  </w:r>
                </w:p>
              </w:tc>
            </w:tr>
            <w:tr w:rsidR="00745FEA" w:rsidTr="00745FEA">
              <w:tc>
                <w:tcPr>
                  <w:tcW w:w="2217" w:type="pct"/>
                  <w:tcBorders>
                    <w:bottom w:val="single" w:sz="6" w:space="0" w:color="BFBFBF"/>
                  </w:tcBorders>
                  <w:shd w:val="clear" w:color="auto" w:fill="auto"/>
                </w:tcPr>
                <w:p w:rsidR="00745FEA" w:rsidRPr="000578B9" w:rsidRDefault="00745FEA" w:rsidP="00745FEA">
                  <w:pPr>
                    <w:pStyle w:val="TableBodyText"/>
                    <w:spacing w:before="20"/>
                    <w:jc w:val="left"/>
                    <w:rPr>
                      <w:i/>
                    </w:rPr>
                  </w:pPr>
                  <w:r w:rsidRPr="000578B9">
                    <w:rPr>
                      <w:i/>
                    </w:rPr>
                    <w:t>Total</w:t>
                  </w:r>
                </w:p>
              </w:tc>
              <w:tc>
                <w:tcPr>
                  <w:tcW w:w="465" w:type="pct"/>
                  <w:tcBorders>
                    <w:bottom w:val="single" w:sz="6" w:space="0" w:color="BFBFBF"/>
                  </w:tcBorders>
                  <w:vAlign w:val="bottom"/>
                </w:tcPr>
                <w:p w:rsidR="00745FEA" w:rsidRPr="00831F73" w:rsidRDefault="00745FEA" w:rsidP="00745FEA">
                  <w:pPr>
                    <w:pStyle w:val="TableBodyText"/>
                    <w:spacing w:before="20"/>
                    <w:ind w:right="57"/>
                    <w:rPr>
                      <w:i/>
                    </w:rPr>
                  </w:pPr>
                  <w:r>
                    <w:rPr>
                      <w:i/>
                    </w:rPr>
                    <w:t>78.0</w:t>
                  </w:r>
                </w:p>
              </w:tc>
              <w:tc>
                <w:tcPr>
                  <w:tcW w:w="464" w:type="pct"/>
                  <w:tcBorders>
                    <w:bottom w:val="single" w:sz="6" w:space="0" w:color="BFBFBF"/>
                  </w:tcBorders>
                  <w:vAlign w:val="bottom"/>
                </w:tcPr>
                <w:p w:rsidR="00745FEA" w:rsidRPr="00831F73" w:rsidRDefault="00745FEA" w:rsidP="00745FEA">
                  <w:pPr>
                    <w:pStyle w:val="TableBodyText"/>
                    <w:spacing w:before="20"/>
                    <w:ind w:right="57"/>
                    <w:rPr>
                      <w:i/>
                    </w:rPr>
                  </w:pPr>
                  <w:r>
                    <w:rPr>
                      <w:i/>
                    </w:rPr>
                    <w:t>51.5</w:t>
                  </w:r>
                </w:p>
              </w:tc>
              <w:tc>
                <w:tcPr>
                  <w:tcW w:w="464" w:type="pct"/>
                  <w:tcBorders>
                    <w:bottom w:val="single" w:sz="6" w:space="0" w:color="BFBFBF"/>
                  </w:tcBorders>
                  <w:vAlign w:val="bottom"/>
                </w:tcPr>
                <w:p w:rsidR="00745FEA" w:rsidRPr="00831F73" w:rsidRDefault="00745FEA" w:rsidP="00745FEA">
                  <w:pPr>
                    <w:pStyle w:val="TableBodyText"/>
                    <w:spacing w:before="20"/>
                    <w:ind w:right="57"/>
                    <w:rPr>
                      <w:i/>
                    </w:rPr>
                  </w:pPr>
                  <w:r>
                    <w:rPr>
                      <w:i/>
                    </w:rPr>
                    <w:t>60.9</w:t>
                  </w:r>
                </w:p>
              </w:tc>
              <w:tc>
                <w:tcPr>
                  <w:tcW w:w="464" w:type="pct"/>
                  <w:tcBorders>
                    <w:bottom w:val="single" w:sz="6" w:space="0" w:color="BFBFBF"/>
                  </w:tcBorders>
                  <w:vAlign w:val="bottom"/>
                </w:tcPr>
                <w:p w:rsidR="00745FEA" w:rsidRPr="00831F73" w:rsidRDefault="00745FEA" w:rsidP="00745FEA">
                  <w:pPr>
                    <w:pStyle w:val="TableBodyText"/>
                    <w:spacing w:before="20"/>
                    <w:ind w:right="57"/>
                    <w:rPr>
                      <w:i/>
                    </w:rPr>
                  </w:pPr>
                  <w:r>
                    <w:rPr>
                      <w:i/>
                    </w:rPr>
                    <w:t>74.4</w:t>
                  </w:r>
                </w:p>
              </w:tc>
              <w:tc>
                <w:tcPr>
                  <w:tcW w:w="464" w:type="pct"/>
                  <w:tcBorders>
                    <w:bottom w:val="single" w:sz="6" w:space="0" w:color="BFBFBF"/>
                  </w:tcBorders>
                  <w:shd w:val="clear" w:color="auto" w:fill="auto"/>
                  <w:vAlign w:val="bottom"/>
                </w:tcPr>
                <w:p w:rsidR="00745FEA" w:rsidRPr="00831F73" w:rsidRDefault="00745FEA" w:rsidP="00745FEA">
                  <w:pPr>
                    <w:pStyle w:val="TableBodyText"/>
                    <w:spacing w:before="20"/>
                    <w:ind w:right="57"/>
                    <w:rPr>
                      <w:i/>
                    </w:rPr>
                  </w:pPr>
                  <w:r>
                    <w:rPr>
                      <w:i/>
                    </w:rPr>
                    <w:t>77.4</w:t>
                  </w:r>
                </w:p>
              </w:tc>
              <w:tc>
                <w:tcPr>
                  <w:tcW w:w="461" w:type="pct"/>
                  <w:tcBorders>
                    <w:bottom w:val="single" w:sz="6" w:space="0" w:color="BFBFBF"/>
                  </w:tcBorders>
                  <w:shd w:val="clear" w:color="auto" w:fill="auto"/>
                  <w:vAlign w:val="bottom"/>
                </w:tcPr>
                <w:p w:rsidR="00745FEA" w:rsidRPr="00831F73" w:rsidRDefault="00745FEA" w:rsidP="00745FEA">
                  <w:pPr>
                    <w:pStyle w:val="TableBodyText"/>
                    <w:spacing w:before="20"/>
                    <w:ind w:right="57"/>
                    <w:rPr>
                      <w:i/>
                    </w:rPr>
                  </w:pPr>
                  <w:r>
                    <w:rPr>
                      <w:i/>
                    </w:rPr>
                    <w:t>65.5</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spacing w:before="80" w:after="80"/>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6" w:type="dxa"/>
              <w:tblCellMar>
                <w:top w:w="28" w:type="dxa"/>
                <w:left w:w="0" w:type="dxa"/>
                <w:right w:w="0" w:type="dxa"/>
              </w:tblCellMar>
              <w:tblLook w:val="0000" w:firstRow="0" w:lastRow="0" w:firstColumn="0" w:lastColumn="0" w:noHBand="0" w:noVBand="0"/>
            </w:tblPr>
            <w:tblGrid>
              <w:gridCol w:w="3798"/>
              <w:gridCol w:w="797"/>
              <w:gridCol w:w="795"/>
              <w:gridCol w:w="795"/>
              <w:gridCol w:w="795"/>
              <w:gridCol w:w="795"/>
              <w:gridCol w:w="791"/>
            </w:tblGrid>
            <w:tr w:rsidR="00745FEA" w:rsidTr="00C719FB">
              <w:trPr>
                <w:trHeight w:val="227"/>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rPr>
                <w:trHeight w:val="113"/>
              </w:trPr>
              <w:tc>
                <w:tcPr>
                  <w:tcW w:w="2217" w:type="pct"/>
                  <w:shd w:val="clear" w:color="auto" w:fill="auto"/>
                </w:tcPr>
                <w:p w:rsidR="00745FEA" w:rsidRPr="000578B9" w:rsidRDefault="00745FEA" w:rsidP="00745FEA">
                  <w:pPr>
                    <w:pStyle w:val="TableBodyText"/>
                    <w:spacing w:before="20" w:after="20"/>
                    <w:jc w:val="left"/>
                    <w:rPr>
                      <w:b/>
                    </w:rPr>
                  </w:pPr>
                  <w:r w:rsidRPr="000578B9">
                    <w:rPr>
                      <w:b/>
                    </w:rPr>
                    <w:t>Other livestock farming</w:t>
                  </w:r>
                </w:p>
              </w:tc>
              <w:tc>
                <w:tcPr>
                  <w:tcW w:w="465" w:type="pct"/>
                  <w:vAlign w:val="bottom"/>
                </w:tcPr>
                <w:p w:rsidR="00745FEA" w:rsidRDefault="00745FEA" w:rsidP="00745FEA">
                  <w:pPr>
                    <w:pStyle w:val="TableBodyText"/>
                    <w:spacing w:before="20" w:after="20"/>
                    <w:ind w:right="57"/>
                  </w:pPr>
                </w:p>
              </w:tc>
              <w:tc>
                <w:tcPr>
                  <w:tcW w:w="464" w:type="pct"/>
                  <w:vAlign w:val="bottom"/>
                </w:tcPr>
                <w:p w:rsidR="00745FEA" w:rsidRDefault="00745FEA" w:rsidP="00745FEA">
                  <w:pPr>
                    <w:pStyle w:val="TableBodyText"/>
                    <w:spacing w:before="20" w:after="20"/>
                    <w:ind w:right="57"/>
                  </w:pPr>
                </w:p>
              </w:tc>
              <w:tc>
                <w:tcPr>
                  <w:tcW w:w="464" w:type="pct"/>
                  <w:vAlign w:val="bottom"/>
                </w:tcPr>
                <w:p w:rsidR="00745FEA" w:rsidRDefault="00745FEA" w:rsidP="00745FEA">
                  <w:pPr>
                    <w:pStyle w:val="TableBodyText"/>
                    <w:spacing w:before="20" w:after="20"/>
                    <w:ind w:right="57"/>
                  </w:pPr>
                </w:p>
              </w:tc>
              <w:tc>
                <w:tcPr>
                  <w:tcW w:w="464" w:type="pct"/>
                  <w:vAlign w:val="bottom"/>
                </w:tcPr>
                <w:p w:rsidR="00745FEA" w:rsidRDefault="00745FEA" w:rsidP="00745FEA">
                  <w:pPr>
                    <w:pStyle w:val="TableBodyText"/>
                    <w:spacing w:before="20" w:after="20"/>
                    <w:ind w:right="57"/>
                  </w:pPr>
                </w:p>
              </w:tc>
              <w:tc>
                <w:tcPr>
                  <w:tcW w:w="464" w:type="pct"/>
                  <w:shd w:val="clear" w:color="auto" w:fill="auto"/>
                  <w:vAlign w:val="bottom"/>
                </w:tcPr>
                <w:p w:rsidR="00745FEA" w:rsidRDefault="00745FEA" w:rsidP="00745FEA">
                  <w:pPr>
                    <w:pStyle w:val="TableBodyText"/>
                    <w:spacing w:before="20" w:after="20"/>
                    <w:ind w:right="57"/>
                  </w:pPr>
                </w:p>
              </w:tc>
              <w:tc>
                <w:tcPr>
                  <w:tcW w:w="462" w:type="pct"/>
                  <w:shd w:val="clear" w:color="auto" w:fill="auto"/>
                  <w:vAlign w:val="bottom"/>
                </w:tcPr>
                <w:p w:rsidR="00745FEA" w:rsidRDefault="00745FEA" w:rsidP="00745FEA">
                  <w:pPr>
                    <w:pStyle w:val="TableBodyText"/>
                    <w:spacing w:before="20" w:after="20"/>
                    <w:ind w:right="57"/>
                  </w:pPr>
                </w:p>
              </w:tc>
            </w:tr>
            <w:tr w:rsidR="00745FEA" w:rsidTr="00745FEA">
              <w:tc>
                <w:tcPr>
                  <w:tcW w:w="2217" w:type="pct"/>
                  <w:shd w:val="clear" w:color="auto" w:fill="auto"/>
                </w:tcPr>
                <w:p w:rsidR="00745FEA" w:rsidRPr="000578B9" w:rsidRDefault="00745FEA" w:rsidP="00745FEA">
                  <w:pPr>
                    <w:pStyle w:val="TableBodyText"/>
                    <w:spacing w:before="40" w:after="0"/>
                    <w:ind w:left="113"/>
                    <w:jc w:val="left"/>
                    <w:rPr>
                      <w:i/>
                    </w:rPr>
                  </w:pPr>
                  <w:r w:rsidRPr="000578B9">
                    <w:rPr>
                      <w:i/>
                    </w:rPr>
                    <w:t>Sector-specific measures</w:t>
                  </w: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Carbon Farming Futures</w:t>
                  </w:r>
                </w:p>
              </w:tc>
              <w:tc>
                <w:tcPr>
                  <w:tcW w:w="465" w:type="pct"/>
                  <w:vAlign w:val="bottom"/>
                </w:tcPr>
                <w:p w:rsidR="00745FEA" w:rsidRPr="00290D02" w:rsidRDefault="00745FEA" w:rsidP="00745FEA">
                  <w:pPr>
                    <w:pStyle w:val="TableBodyText"/>
                    <w:ind w:right="57"/>
                  </w:pPr>
                  <w:r w:rsidRPr="00290D02">
                    <w:t>6.6</w:t>
                  </w:r>
                </w:p>
              </w:tc>
              <w:tc>
                <w:tcPr>
                  <w:tcW w:w="464" w:type="pct"/>
                  <w:vAlign w:val="bottom"/>
                </w:tcPr>
                <w:p w:rsidR="00745FEA" w:rsidRPr="00290D02" w:rsidRDefault="00745FEA" w:rsidP="00745FEA">
                  <w:pPr>
                    <w:pStyle w:val="TableBodyText"/>
                    <w:ind w:right="57"/>
                  </w:pPr>
                  <w:r w:rsidRPr="00290D02">
                    <w:t>5.1</w:t>
                  </w:r>
                </w:p>
              </w:tc>
              <w:tc>
                <w:tcPr>
                  <w:tcW w:w="464" w:type="pct"/>
                  <w:vAlign w:val="bottom"/>
                </w:tcPr>
                <w:p w:rsidR="00745FEA" w:rsidRPr="00290D02" w:rsidRDefault="00745FEA" w:rsidP="00745FEA">
                  <w:pPr>
                    <w:pStyle w:val="TableBodyText"/>
                    <w:ind w:right="57"/>
                  </w:pPr>
                  <w:r w:rsidRPr="00290D02">
                    <w:t>1.1</w:t>
                  </w:r>
                </w:p>
              </w:tc>
              <w:tc>
                <w:tcPr>
                  <w:tcW w:w="464" w:type="pct"/>
                  <w:vAlign w:val="bottom"/>
                </w:tcPr>
                <w:p w:rsidR="00745FEA" w:rsidRPr="00290D02" w:rsidRDefault="00745FEA" w:rsidP="00745FEA">
                  <w:pPr>
                    <w:pStyle w:val="TableBodyText"/>
                    <w:ind w:right="57"/>
                  </w:pPr>
                  <w:r w:rsidRPr="00290D02">
                    <w:t>0.7</w:t>
                  </w:r>
                </w:p>
              </w:tc>
              <w:tc>
                <w:tcPr>
                  <w:tcW w:w="464" w:type="pct"/>
                  <w:shd w:val="clear" w:color="auto" w:fill="auto"/>
                  <w:vAlign w:val="bottom"/>
                </w:tcPr>
                <w:p w:rsidR="00745FEA" w:rsidRPr="00290D02" w:rsidRDefault="00745FEA" w:rsidP="00745FEA">
                  <w:pPr>
                    <w:pStyle w:val="TableBodyText"/>
                    <w:ind w:right="57"/>
                  </w:pPr>
                  <w:r w:rsidRPr="00290D02">
                    <w:t>0.6</w:t>
                  </w:r>
                </w:p>
              </w:tc>
              <w:tc>
                <w:tcPr>
                  <w:tcW w:w="462" w:type="pct"/>
                  <w:shd w:val="clear" w:color="auto" w:fill="auto"/>
                  <w:vAlign w:val="bottom"/>
                </w:tcPr>
                <w:p w:rsidR="00745FEA" w:rsidRPr="00290D02" w:rsidRDefault="00745FEA" w:rsidP="00745FEA">
                  <w:pPr>
                    <w:pStyle w:val="TableBodyText"/>
                    <w:ind w:right="57"/>
                  </w:pPr>
                  <w:r w:rsidRPr="00290D02">
                    <w:t>0.5</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 xml:space="preserve">Drought Assistance Package - </w:t>
                  </w:r>
                  <w:r>
                    <w:t>concessional</w:t>
                  </w:r>
                  <w:r w:rsidRPr="00955B3A">
                    <w:t xml:space="preserve"> loans</w:t>
                  </w:r>
                </w:p>
              </w:tc>
              <w:tc>
                <w:tcPr>
                  <w:tcW w:w="465"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&lt;0.1</w:t>
                  </w:r>
                </w:p>
              </w:tc>
              <w:tc>
                <w:tcPr>
                  <w:tcW w:w="464" w:type="pct"/>
                  <w:shd w:val="clear" w:color="auto" w:fill="auto"/>
                  <w:vAlign w:val="bottom"/>
                </w:tcPr>
                <w:p w:rsidR="00745FEA" w:rsidRPr="00290D02" w:rsidRDefault="00745FEA" w:rsidP="00745FEA">
                  <w:pPr>
                    <w:pStyle w:val="TableBodyText"/>
                    <w:ind w:right="57"/>
                  </w:pPr>
                  <w:r w:rsidRPr="00290D02">
                    <w:t>&lt;0.1</w:t>
                  </w:r>
                </w:p>
              </w:tc>
              <w:tc>
                <w:tcPr>
                  <w:tcW w:w="462" w:type="pct"/>
                  <w:shd w:val="clear" w:color="auto" w:fill="auto"/>
                  <w:vAlign w:val="bottom"/>
                </w:tcPr>
                <w:p w:rsidR="00745FEA" w:rsidRPr="00290D02" w:rsidRDefault="00745FEA" w:rsidP="00745FEA">
                  <w:pPr>
                    <w:pStyle w:val="TableBodyText"/>
                    <w:ind w:right="57"/>
                  </w:pPr>
                  <w:r w:rsidRPr="00290D02">
                    <w:t>&lt;0.1</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 xml:space="preserve">Exceptional Circumstances - interest rate </w:t>
                  </w:r>
                  <w:r>
                    <w:t>subsidies</w:t>
                  </w:r>
                </w:p>
              </w:tc>
              <w:tc>
                <w:tcPr>
                  <w:tcW w:w="465" w:type="pct"/>
                  <w:vAlign w:val="bottom"/>
                </w:tcPr>
                <w:p w:rsidR="00745FEA" w:rsidRPr="00290D02" w:rsidRDefault="00745FEA" w:rsidP="00745FEA">
                  <w:pPr>
                    <w:pStyle w:val="TableBodyText"/>
                    <w:ind w:right="57"/>
                  </w:pPr>
                  <w:r w:rsidRPr="00290D02">
                    <w:t>0.4</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shd w:val="clear" w:color="auto" w:fill="auto"/>
                  <w:vAlign w:val="bottom"/>
                </w:tcPr>
                <w:p w:rsidR="00745FEA" w:rsidRPr="00290D02" w:rsidRDefault="00745FEA" w:rsidP="00745FEA">
                  <w:pPr>
                    <w:pStyle w:val="TableBodyText"/>
                    <w:ind w:right="57"/>
                  </w:pPr>
                  <w:r w:rsidRPr="00290D02">
                    <w:t>–</w:t>
                  </w:r>
                </w:p>
              </w:tc>
              <w:tc>
                <w:tcPr>
                  <w:tcW w:w="462" w:type="pct"/>
                  <w:shd w:val="clear" w:color="auto" w:fill="auto"/>
                  <w:vAlign w:val="bottom"/>
                </w:tcPr>
                <w:p w:rsidR="00745FEA" w:rsidRPr="00290D02" w:rsidRDefault="00745FEA" w:rsidP="00745FEA">
                  <w:pPr>
                    <w:pStyle w:val="TableBodyText"/>
                    <w:ind w:right="57"/>
                  </w:pPr>
                  <w:r w:rsidRPr="00290D02">
                    <w:t>–</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Exceptional Circumstances - relief payments</w:t>
                  </w:r>
                </w:p>
              </w:tc>
              <w:tc>
                <w:tcPr>
                  <w:tcW w:w="465" w:type="pct"/>
                  <w:vAlign w:val="bottom"/>
                </w:tcPr>
                <w:p w:rsidR="00745FEA" w:rsidRPr="00290D02" w:rsidRDefault="00745FEA" w:rsidP="00745FEA">
                  <w:pPr>
                    <w:pStyle w:val="TableBodyText"/>
                    <w:ind w:right="57"/>
                  </w:pPr>
                  <w:r w:rsidRPr="00290D02">
                    <w:t>0.1</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shd w:val="clear" w:color="auto" w:fill="auto"/>
                  <w:vAlign w:val="bottom"/>
                </w:tcPr>
                <w:p w:rsidR="00745FEA" w:rsidRPr="00290D02" w:rsidRDefault="00745FEA" w:rsidP="00745FEA">
                  <w:pPr>
                    <w:pStyle w:val="TableBodyText"/>
                    <w:ind w:right="57"/>
                  </w:pPr>
                  <w:r w:rsidRPr="00290D02">
                    <w:t>–</w:t>
                  </w:r>
                </w:p>
              </w:tc>
              <w:tc>
                <w:tcPr>
                  <w:tcW w:w="462" w:type="pct"/>
                  <w:shd w:val="clear" w:color="auto" w:fill="auto"/>
                  <w:vAlign w:val="bottom"/>
                </w:tcPr>
                <w:p w:rsidR="00745FEA" w:rsidRPr="00290D02" w:rsidRDefault="00745FEA" w:rsidP="00745FEA">
                  <w:pPr>
                    <w:pStyle w:val="TableBodyText"/>
                    <w:ind w:right="57"/>
                  </w:pPr>
                  <w:r w:rsidRPr="00290D02">
                    <w:t>–</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Farm Finance - concessional loans</w:t>
                  </w:r>
                </w:p>
              </w:tc>
              <w:tc>
                <w:tcPr>
                  <w:tcW w:w="465"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0.1</w:t>
                  </w:r>
                </w:p>
              </w:tc>
              <w:tc>
                <w:tcPr>
                  <w:tcW w:w="464" w:type="pct"/>
                  <w:vAlign w:val="bottom"/>
                </w:tcPr>
                <w:p w:rsidR="00745FEA" w:rsidRPr="00290D02" w:rsidRDefault="00745FEA" w:rsidP="00745FEA">
                  <w:pPr>
                    <w:pStyle w:val="TableBodyText"/>
                    <w:ind w:right="57"/>
                  </w:pPr>
                  <w:r w:rsidRPr="00290D02">
                    <w:t>&lt;0.1</w:t>
                  </w:r>
                </w:p>
              </w:tc>
              <w:tc>
                <w:tcPr>
                  <w:tcW w:w="464" w:type="pct"/>
                  <w:shd w:val="clear" w:color="auto" w:fill="auto"/>
                  <w:vAlign w:val="bottom"/>
                </w:tcPr>
                <w:p w:rsidR="00745FEA" w:rsidRPr="00290D02" w:rsidRDefault="00745FEA" w:rsidP="00745FEA">
                  <w:pPr>
                    <w:pStyle w:val="TableBodyText"/>
                    <w:ind w:right="57"/>
                  </w:pPr>
                  <w:r w:rsidRPr="00290D02">
                    <w:t>&lt;0.1</w:t>
                  </w:r>
                </w:p>
              </w:tc>
              <w:tc>
                <w:tcPr>
                  <w:tcW w:w="462" w:type="pct"/>
                  <w:shd w:val="clear" w:color="auto" w:fill="auto"/>
                  <w:vAlign w:val="bottom"/>
                </w:tcPr>
                <w:p w:rsidR="00745FEA" w:rsidRPr="00290D02" w:rsidRDefault="00745FEA" w:rsidP="00745FEA">
                  <w:pPr>
                    <w:pStyle w:val="TableBodyText"/>
                    <w:ind w:right="57"/>
                  </w:pPr>
                  <w:r w:rsidRPr="00290D02">
                    <w:t>&lt;0.1</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5C1A11">
                    <w:t>Improved Access to Agricultural and Veterinary Chemicals</w:t>
                  </w:r>
                </w:p>
              </w:tc>
              <w:tc>
                <w:tcPr>
                  <w:tcW w:w="465"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shd w:val="clear" w:color="auto" w:fill="auto"/>
                  <w:vAlign w:val="bottom"/>
                </w:tcPr>
                <w:p w:rsidR="00745FEA" w:rsidRPr="00290D02" w:rsidRDefault="00745FEA" w:rsidP="00745FEA">
                  <w:pPr>
                    <w:pStyle w:val="TableBodyText"/>
                    <w:ind w:right="57"/>
                  </w:pPr>
                  <w:r w:rsidRPr="00290D02">
                    <w:t>–</w:t>
                  </w:r>
                </w:p>
              </w:tc>
              <w:tc>
                <w:tcPr>
                  <w:tcW w:w="462" w:type="pct"/>
                  <w:shd w:val="clear" w:color="auto" w:fill="auto"/>
                  <w:vAlign w:val="bottom"/>
                </w:tcPr>
                <w:p w:rsidR="00745FEA" w:rsidRPr="00290D02" w:rsidRDefault="00745FEA" w:rsidP="00745FEA">
                  <w:pPr>
                    <w:pStyle w:val="TableBodyText"/>
                    <w:ind w:right="57"/>
                  </w:pPr>
                  <w:r w:rsidRPr="00290D02">
                    <w:t>0.1</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Interim Income Support</w:t>
                  </w:r>
                </w:p>
              </w:tc>
              <w:tc>
                <w:tcPr>
                  <w:tcW w:w="465" w:type="pct"/>
                  <w:vAlign w:val="bottom"/>
                </w:tcPr>
                <w:p w:rsidR="00745FEA" w:rsidRPr="00290D02" w:rsidRDefault="00745FEA" w:rsidP="00745FEA">
                  <w:pPr>
                    <w:pStyle w:val="TableBodyText"/>
                    <w:ind w:right="57"/>
                  </w:pPr>
                  <w:r w:rsidRPr="00290D02">
                    <w:t>&lt;0.1</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vAlign w:val="bottom"/>
                </w:tcPr>
                <w:p w:rsidR="00745FEA" w:rsidRPr="00290D02" w:rsidRDefault="00745FEA" w:rsidP="00745FEA">
                  <w:pPr>
                    <w:pStyle w:val="TableBodyText"/>
                    <w:ind w:right="57"/>
                  </w:pPr>
                  <w:r w:rsidRPr="00290D02">
                    <w:t>–</w:t>
                  </w:r>
                </w:p>
              </w:tc>
              <w:tc>
                <w:tcPr>
                  <w:tcW w:w="464" w:type="pct"/>
                  <w:shd w:val="clear" w:color="auto" w:fill="auto"/>
                  <w:vAlign w:val="bottom"/>
                </w:tcPr>
                <w:p w:rsidR="00745FEA" w:rsidRPr="00290D02" w:rsidRDefault="00745FEA" w:rsidP="00745FEA">
                  <w:pPr>
                    <w:pStyle w:val="TableBodyText"/>
                    <w:ind w:right="57"/>
                  </w:pPr>
                  <w:r w:rsidRPr="00290D02">
                    <w:t>–</w:t>
                  </w:r>
                </w:p>
              </w:tc>
              <w:tc>
                <w:tcPr>
                  <w:tcW w:w="462" w:type="pct"/>
                  <w:shd w:val="clear" w:color="auto" w:fill="auto"/>
                  <w:vAlign w:val="bottom"/>
                </w:tcPr>
                <w:p w:rsidR="00745FEA" w:rsidRPr="00290D02" w:rsidRDefault="00745FEA" w:rsidP="00745FEA">
                  <w:pPr>
                    <w:pStyle w:val="TableBodyText"/>
                    <w:ind w:right="57"/>
                  </w:pPr>
                  <w:r w:rsidRPr="00290D02">
                    <w:t>–</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Rural Financial Counselling Service</w:t>
                  </w:r>
                </w:p>
              </w:tc>
              <w:tc>
                <w:tcPr>
                  <w:tcW w:w="465" w:type="pct"/>
                  <w:vAlign w:val="bottom"/>
                </w:tcPr>
                <w:p w:rsidR="00745FEA" w:rsidRPr="00290D02" w:rsidRDefault="00745FEA" w:rsidP="00745FEA">
                  <w:pPr>
                    <w:pStyle w:val="TableBodyText"/>
                    <w:ind w:right="57"/>
                  </w:pPr>
                  <w:r w:rsidRPr="00290D02">
                    <w:t>0.3</w:t>
                  </w:r>
                </w:p>
              </w:tc>
              <w:tc>
                <w:tcPr>
                  <w:tcW w:w="464" w:type="pct"/>
                  <w:vAlign w:val="bottom"/>
                </w:tcPr>
                <w:p w:rsidR="00745FEA" w:rsidRPr="00290D02" w:rsidRDefault="00745FEA" w:rsidP="00745FEA">
                  <w:pPr>
                    <w:pStyle w:val="TableBodyText"/>
                    <w:ind w:right="57"/>
                  </w:pPr>
                  <w:r w:rsidRPr="00290D02">
                    <w:t>0.7</w:t>
                  </w:r>
                </w:p>
              </w:tc>
              <w:tc>
                <w:tcPr>
                  <w:tcW w:w="464" w:type="pct"/>
                  <w:vAlign w:val="bottom"/>
                </w:tcPr>
                <w:p w:rsidR="00745FEA" w:rsidRPr="00290D02" w:rsidRDefault="00745FEA" w:rsidP="00745FEA">
                  <w:pPr>
                    <w:pStyle w:val="TableBodyText"/>
                    <w:ind w:right="57"/>
                  </w:pPr>
                  <w:r w:rsidRPr="00290D02">
                    <w:t>0.8</w:t>
                  </w:r>
                </w:p>
              </w:tc>
              <w:tc>
                <w:tcPr>
                  <w:tcW w:w="464" w:type="pct"/>
                  <w:vAlign w:val="bottom"/>
                </w:tcPr>
                <w:p w:rsidR="00745FEA" w:rsidRPr="00290D02" w:rsidRDefault="00745FEA" w:rsidP="00745FEA">
                  <w:pPr>
                    <w:pStyle w:val="TableBodyText"/>
                    <w:ind w:right="57"/>
                  </w:pPr>
                  <w:r w:rsidRPr="00290D02">
                    <w:t>0.5</w:t>
                  </w:r>
                </w:p>
              </w:tc>
              <w:tc>
                <w:tcPr>
                  <w:tcW w:w="464" w:type="pct"/>
                  <w:shd w:val="clear" w:color="auto" w:fill="auto"/>
                  <w:vAlign w:val="bottom"/>
                </w:tcPr>
                <w:p w:rsidR="00745FEA" w:rsidRPr="00290D02" w:rsidRDefault="00745FEA" w:rsidP="00745FEA">
                  <w:pPr>
                    <w:pStyle w:val="TableBodyText"/>
                    <w:ind w:right="57"/>
                  </w:pPr>
                  <w:r w:rsidRPr="00290D02">
                    <w:t>0.4</w:t>
                  </w:r>
                </w:p>
              </w:tc>
              <w:tc>
                <w:tcPr>
                  <w:tcW w:w="462" w:type="pct"/>
                  <w:shd w:val="clear" w:color="auto" w:fill="auto"/>
                  <w:vAlign w:val="bottom"/>
                </w:tcPr>
                <w:p w:rsidR="00745FEA" w:rsidRPr="00290D02" w:rsidRDefault="00745FEA" w:rsidP="00745FEA">
                  <w:pPr>
                    <w:pStyle w:val="TableBodyText"/>
                    <w:ind w:right="57"/>
                  </w:pPr>
                  <w:r w:rsidRPr="00290D02">
                    <w:t>0.3</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Farm Management Deposits Scheme</w:t>
                  </w:r>
                </w:p>
              </w:tc>
              <w:tc>
                <w:tcPr>
                  <w:tcW w:w="465" w:type="pct"/>
                  <w:vAlign w:val="bottom"/>
                </w:tcPr>
                <w:p w:rsidR="00745FEA" w:rsidRPr="00290D02" w:rsidRDefault="00745FEA" w:rsidP="00745FEA">
                  <w:pPr>
                    <w:pStyle w:val="TableBodyText"/>
                    <w:ind w:right="57"/>
                  </w:pPr>
                  <w:r w:rsidRPr="00290D02">
                    <w:t>12.3</w:t>
                  </w:r>
                </w:p>
              </w:tc>
              <w:tc>
                <w:tcPr>
                  <w:tcW w:w="464" w:type="pct"/>
                  <w:vAlign w:val="bottom"/>
                </w:tcPr>
                <w:p w:rsidR="00745FEA" w:rsidRPr="00290D02" w:rsidRDefault="00745FEA" w:rsidP="00745FEA">
                  <w:pPr>
                    <w:pStyle w:val="TableBodyText"/>
                    <w:ind w:right="57"/>
                  </w:pPr>
                  <w:r w:rsidRPr="00290D02">
                    <w:t>4.8</w:t>
                  </w:r>
                </w:p>
              </w:tc>
              <w:tc>
                <w:tcPr>
                  <w:tcW w:w="464" w:type="pct"/>
                  <w:vAlign w:val="bottom"/>
                </w:tcPr>
                <w:p w:rsidR="00745FEA" w:rsidRPr="00290D02" w:rsidRDefault="00745FEA" w:rsidP="00745FEA">
                  <w:pPr>
                    <w:pStyle w:val="TableBodyText"/>
                    <w:ind w:right="57"/>
                  </w:pPr>
                  <w:r w:rsidRPr="00290D02">
                    <w:t>4.2</w:t>
                  </w:r>
                </w:p>
              </w:tc>
              <w:tc>
                <w:tcPr>
                  <w:tcW w:w="464" w:type="pct"/>
                  <w:vAlign w:val="bottom"/>
                </w:tcPr>
                <w:p w:rsidR="00745FEA" w:rsidRPr="00290D02" w:rsidRDefault="00745FEA" w:rsidP="00745FEA">
                  <w:pPr>
                    <w:pStyle w:val="TableBodyText"/>
                    <w:ind w:right="57"/>
                  </w:pPr>
                  <w:r w:rsidRPr="00290D02">
                    <w:t>4.4</w:t>
                  </w:r>
                </w:p>
              </w:tc>
              <w:tc>
                <w:tcPr>
                  <w:tcW w:w="464" w:type="pct"/>
                  <w:shd w:val="clear" w:color="auto" w:fill="auto"/>
                  <w:vAlign w:val="bottom"/>
                </w:tcPr>
                <w:p w:rsidR="00745FEA" w:rsidRPr="00290D02" w:rsidRDefault="00745FEA" w:rsidP="00745FEA">
                  <w:pPr>
                    <w:pStyle w:val="TableBodyText"/>
                    <w:ind w:right="57"/>
                  </w:pPr>
                  <w:r w:rsidRPr="00290D02">
                    <w:t>6.5</w:t>
                  </w:r>
                </w:p>
              </w:tc>
              <w:tc>
                <w:tcPr>
                  <w:tcW w:w="462" w:type="pct"/>
                  <w:shd w:val="clear" w:color="auto" w:fill="auto"/>
                  <w:vAlign w:val="bottom"/>
                </w:tcPr>
                <w:p w:rsidR="00745FEA" w:rsidRPr="00290D02" w:rsidRDefault="00745FEA" w:rsidP="00745FEA">
                  <w:pPr>
                    <w:pStyle w:val="TableBodyText"/>
                    <w:ind w:right="57"/>
                  </w:pPr>
                  <w:r w:rsidRPr="00290D02">
                    <w:t>6.3</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Income tax averaging provisions</w:t>
                  </w:r>
                </w:p>
              </w:tc>
              <w:tc>
                <w:tcPr>
                  <w:tcW w:w="465" w:type="pct"/>
                  <w:vAlign w:val="bottom"/>
                </w:tcPr>
                <w:p w:rsidR="00745FEA" w:rsidRPr="00290D02" w:rsidRDefault="00745FEA" w:rsidP="00745FEA">
                  <w:pPr>
                    <w:pStyle w:val="TableBodyText"/>
                    <w:ind w:right="57"/>
                  </w:pPr>
                  <w:r w:rsidRPr="00290D02">
                    <w:t>4.9</w:t>
                  </w:r>
                </w:p>
              </w:tc>
              <w:tc>
                <w:tcPr>
                  <w:tcW w:w="464" w:type="pct"/>
                  <w:vAlign w:val="bottom"/>
                </w:tcPr>
                <w:p w:rsidR="00745FEA" w:rsidRPr="00290D02" w:rsidRDefault="00745FEA" w:rsidP="00745FEA">
                  <w:pPr>
                    <w:pStyle w:val="TableBodyText"/>
                    <w:ind w:right="57"/>
                  </w:pPr>
                  <w:r w:rsidRPr="00290D02">
                    <w:t>4.2</w:t>
                  </w:r>
                </w:p>
              </w:tc>
              <w:tc>
                <w:tcPr>
                  <w:tcW w:w="464" w:type="pct"/>
                  <w:vAlign w:val="bottom"/>
                </w:tcPr>
                <w:p w:rsidR="00745FEA" w:rsidRPr="00290D02" w:rsidRDefault="00745FEA" w:rsidP="00745FEA">
                  <w:pPr>
                    <w:pStyle w:val="TableBodyText"/>
                    <w:ind w:right="57"/>
                  </w:pPr>
                  <w:r w:rsidRPr="00290D02">
                    <w:t>5.3</w:t>
                  </w:r>
                </w:p>
              </w:tc>
              <w:tc>
                <w:tcPr>
                  <w:tcW w:w="464" w:type="pct"/>
                  <w:vAlign w:val="bottom"/>
                </w:tcPr>
                <w:p w:rsidR="00745FEA" w:rsidRPr="00290D02" w:rsidRDefault="00745FEA" w:rsidP="00745FEA">
                  <w:pPr>
                    <w:pStyle w:val="TableBodyText"/>
                    <w:ind w:right="57"/>
                  </w:pPr>
                  <w:r w:rsidRPr="00290D02">
                    <w:t>7.0</w:t>
                  </w:r>
                </w:p>
              </w:tc>
              <w:tc>
                <w:tcPr>
                  <w:tcW w:w="464" w:type="pct"/>
                  <w:shd w:val="clear" w:color="auto" w:fill="auto"/>
                  <w:vAlign w:val="bottom"/>
                </w:tcPr>
                <w:p w:rsidR="00745FEA" w:rsidRPr="00290D02" w:rsidRDefault="00745FEA" w:rsidP="00745FEA">
                  <w:pPr>
                    <w:pStyle w:val="TableBodyText"/>
                    <w:ind w:right="57"/>
                  </w:pPr>
                  <w:r w:rsidRPr="00290D02">
                    <w:t>7.3</w:t>
                  </w:r>
                </w:p>
              </w:tc>
              <w:tc>
                <w:tcPr>
                  <w:tcW w:w="462" w:type="pct"/>
                  <w:shd w:val="clear" w:color="auto" w:fill="auto"/>
                  <w:vAlign w:val="bottom"/>
                </w:tcPr>
                <w:p w:rsidR="00745FEA" w:rsidRPr="00290D02" w:rsidRDefault="00745FEA" w:rsidP="00745FEA">
                  <w:pPr>
                    <w:pStyle w:val="TableBodyText"/>
                    <w:ind w:right="57"/>
                  </w:pPr>
                  <w:r w:rsidRPr="00290D02">
                    <w:t>7.6</w:t>
                  </w:r>
                </w:p>
              </w:tc>
            </w:tr>
            <w:tr w:rsidR="00745FEA" w:rsidTr="00745FEA">
              <w:tc>
                <w:tcPr>
                  <w:tcW w:w="2217" w:type="pct"/>
                  <w:shd w:val="clear" w:color="auto" w:fill="auto"/>
                </w:tcPr>
                <w:p w:rsidR="00745FEA" w:rsidRPr="00955B3A" w:rsidRDefault="00745FEA" w:rsidP="00745FEA">
                  <w:pPr>
                    <w:pStyle w:val="TableBodyText"/>
                    <w:spacing w:after="0"/>
                    <w:ind w:left="227" w:right="0"/>
                    <w:jc w:val="left"/>
                  </w:pPr>
                  <w:r w:rsidRPr="00955B3A">
                    <w:t>Tax deduction for conserving or conveying water</w:t>
                  </w:r>
                </w:p>
              </w:tc>
              <w:tc>
                <w:tcPr>
                  <w:tcW w:w="465" w:type="pct"/>
                  <w:vAlign w:val="bottom"/>
                </w:tcPr>
                <w:p w:rsidR="00745FEA" w:rsidRPr="00290D02" w:rsidRDefault="00745FEA" w:rsidP="00745FEA">
                  <w:pPr>
                    <w:pStyle w:val="TableBodyText"/>
                    <w:ind w:right="57"/>
                  </w:pPr>
                  <w:r w:rsidRPr="00290D02">
                    <w:t>1.1</w:t>
                  </w:r>
                </w:p>
              </w:tc>
              <w:tc>
                <w:tcPr>
                  <w:tcW w:w="464" w:type="pct"/>
                  <w:vAlign w:val="bottom"/>
                </w:tcPr>
                <w:p w:rsidR="00745FEA" w:rsidRPr="00290D02" w:rsidRDefault="00745FEA" w:rsidP="00745FEA">
                  <w:pPr>
                    <w:pStyle w:val="TableBodyText"/>
                    <w:ind w:right="57"/>
                  </w:pPr>
                  <w:r w:rsidRPr="00290D02">
                    <w:t>1.0</w:t>
                  </w:r>
                </w:p>
              </w:tc>
              <w:tc>
                <w:tcPr>
                  <w:tcW w:w="464" w:type="pct"/>
                  <w:vAlign w:val="bottom"/>
                </w:tcPr>
                <w:p w:rsidR="00745FEA" w:rsidRPr="00290D02" w:rsidRDefault="00745FEA" w:rsidP="00745FEA">
                  <w:pPr>
                    <w:pStyle w:val="TableBodyText"/>
                    <w:ind w:right="57"/>
                  </w:pPr>
                  <w:r w:rsidRPr="00290D02">
                    <w:t>0.8</w:t>
                  </w:r>
                </w:p>
              </w:tc>
              <w:tc>
                <w:tcPr>
                  <w:tcW w:w="464" w:type="pct"/>
                  <w:vAlign w:val="bottom"/>
                </w:tcPr>
                <w:p w:rsidR="00745FEA" w:rsidRPr="00290D02" w:rsidRDefault="00745FEA" w:rsidP="00745FEA">
                  <w:pPr>
                    <w:pStyle w:val="TableBodyText"/>
                    <w:ind w:right="57"/>
                  </w:pPr>
                  <w:r w:rsidRPr="00290D02">
                    <w:t>0.1</w:t>
                  </w:r>
                </w:p>
              </w:tc>
              <w:tc>
                <w:tcPr>
                  <w:tcW w:w="464" w:type="pct"/>
                  <w:shd w:val="clear" w:color="auto" w:fill="auto"/>
                  <w:vAlign w:val="bottom"/>
                </w:tcPr>
                <w:p w:rsidR="00745FEA" w:rsidRPr="00290D02" w:rsidRDefault="00745FEA" w:rsidP="00745FEA">
                  <w:pPr>
                    <w:pStyle w:val="TableBodyText"/>
                    <w:ind w:right="57"/>
                  </w:pPr>
                  <w:r w:rsidRPr="00290D02">
                    <w:t>0.7</w:t>
                  </w:r>
                </w:p>
              </w:tc>
              <w:tc>
                <w:tcPr>
                  <w:tcW w:w="462" w:type="pct"/>
                  <w:shd w:val="clear" w:color="auto" w:fill="auto"/>
                  <w:vAlign w:val="bottom"/>
                </w:tcPr>
                <w:p w:rsidR="00745FEA" w:rsidRDefault="00745FEA" w:rsidP="00745FEA">
                  <w:pPr>
                    <w:pStyle w:val="TableBodyText"/>
                    <w:ind w:right="57"/>
                  </w:pPr>
                  <w:r w:rsidRPr="00290D02">
                    <w:t>1.3</w:t>
                  </w:r>
                </w:p>
              </w:tc>
            </w:tr>
            <w:tr w:rsidR="00745FEA" w:rsidTr="00745FEA">
              <w:tc>
                <w:tcPr>
                  <w:tcW w:w="2217" w:type="pct"/>
                  <w:shd w:val="clear" w:color="auto" w:fill="auto"/>
                </w:tcPr>
                <w:p w:rsidR="00745FEA" w:rsidRPr="000578B9" w:rsidRDefault="00745FEA" w:rsidP="00745FEA">
                  <w:pPr>
                    <w:pStyle w:val="TableBodyText"/>
                    <w:spacing w:before="40" w:after="0"/>
                    <w:ind w:left="113"/>
                    <w:jc w:val="left"/>
                    <w:rPr>
                      <w:i/>
                    </w:rPr>
                  </w:pPr>
                  <w:r w:rsidRPr="000578B9">
                    <w:rPr>
                      <w:i/>
                    </w:rPr>
                    <w:t>Rural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84367A" w:rsidRDefault="00745FEA" w:rsidP="00745FEA">
                  <w:pPr>
                    <w:pStyle w:val="TableBodyText"/>
                    <w:spacing w:after="0"/>
                    <w:ind w:left="227" w:right="0"/>
                    <w:jc w:val="left"/>
                  </w:pPr>
                  <w:r w:rsidRPr="0084367A">
                    <w:t>Egg Research and Development</w:t>
                  </w:r>
                </w:p>
              </w:tc>
              <w:tc>
                <w:tcPr>
                  <w:tcW w:w="465" w:type="pct"/>
                  <w:vAlign w:val="bottom"/>
                </w:tcPr>
                <w:p w:rsidR="00745FEA" w:rsidRPr="007E6D2A" w:rsidRDefault="00745FEA" w:rsidP="00745FEA">
                  <w:pPr>
                    <w:pStyle w:val="TableBodyText"/>
                    <w:ind w:right="57"/>
                  </w:pPr>
                  <w:r w:rsidRPr="007E6D2A">
                    <w:t>1.9</w:t>
                  </w:r>
                </w:p>
              </w:tc>
              <w:tc>
                <w:tcPr>
                  <w:tcW w:w="464" w:type="pct"/>
                  <w:vAlign w:val="bottom"/>
                </w:tcPr>
                <w:p w:rsidR="00745FEA" w:rsidRPr="007E6D2A" w:rsidRDefault="00745FEA" w:rsidP="00745FEA">
                  <w:pPr>
                    <w:pStyle w:val="TableBodyText"/>
                    <w:ind w:right="57"/>
                  </w:pPr>
                  <w:r w:rsidRPr="007E6D2A">
                    <w:t>1.8</w:t>
                  </w:r>
                </w:p>
              </w:tc>
              <w:tc>
                <w:tcPr>
                  <w:tcW w:w="464" w:type="pct"/>
                  <w:vAlign w:val="bottom"/>
                </w:tcPr>
                <w:p w:rsidR="00745FEA" w:rsidRPr="007E6D2A" w:rsidRDefault="00745FEA" w:rsidP="00745FEA">
                  <w:pPr>
                    <w:pStyle w:val="TableBodyText"/>
                    <w:ind w:right="57"/>
                  </w:pPr>
                  <w:r w:rsidRPr="007E6D2A">
                    <w:t>1.9</w:t>
                  </w:r>
                </w:p>
              </w:tc>
              <w:tc>
                <w:tcPr>
                  <w:tcW w:w="464" w:type="pct"/>
                  <w:vAlign w:val="bottom"/>
                </w:tcPr>
                <w:p w:rsidR="00745FEA" w:rsidRPr="007E6D2A" w:rsidRDefault="00745FEA" w:rsidP="00745FEA">
                  <w:pPr>
                    <w:pStyle w:val="TableBodyText"/>
                    <w:ind w:right="57"/>
                  </w:pPr>
                  <w:r w:rsidRPr="007E6D2A">
                    <w:t>1.5</w:t>
                  </w:r>
                </w:p>
              </w:tc>
              <w:tc>
                <w:tcPr>
                  <w:tcW w:w="464" w:type="pct"/>
                  <w:shd w:val="clear" w:color="auto" w:fill="auto"/>
                  <w:vAlign w:val="bottom"/>
                </w:tcPr>
                <w:p w:rsidR="00745FEA" w:rsidRPr="007E6D2A" w:rsidRDefault="00745FEA" w:rsidP="00745FEA">
                  <w:pPr>
                    <w:pStyle w:val="TableBodyText"/>
                    <w:ind w:right="57"/>
                  </w:pPr>
                  <w:r w:rsidRPr="007E6D2A">
                    <w:t>1.7</w:t>
                  </w:r>
                </w:p>
              </w:tc>
              <w:tc>
                <w:tcPr>
                  <w:tcW w:w="462" w:type="pct"/>
                  <w:shd w:val="clear" w:color="auto" w:fill="auto"/>
                  <w:vAlign w:val="bottom"/>
                </w:tcPr>
                <w:p w:rsidR="00745FEA" w:rsidRPr="007E6D2A" w:rsidRDefault="00745FEA" w:rsidP="00745FEA">
                  <w:pPr>
                    <w:pStyle w:val="TableBodyText"/>
                    <w:ind w:right="57"/>
                  </w:pPr>
                  <w:r w:rsidRPr="007E6D2A">
                    <w:t>1.9</w:t>
                  </w:r>
                </w:p>
              </w:tc>
            </w:tr>
            <w:tr w:rsidR="00745FEA" w:rsidTr="00745FEA">
              <w:tc>
                <w:tcPr>
                  <w:tcW w:w="2217" w:type="pct"/>
                  <w:shd w:val="clear" w:color="auto" w:fill="auto"/>
                </w:tcPr>
                <w:p w:rsidR="00745FEA" w:rsidRPr="0084367A" w:rsidRDefault="00745FEA" w:rsidP="00745FEA">
                  <w:pPr>
                    <w:pStyle w:val="TableBodyText"/>
                    <w:spacing w:after="0"/>
                    <w:ind w:left="227" w:right="0"/>
                    <w:jc w:val="left"/>
                  </w:pPr>
                  <w:r w:rsidRPr="0084367A">
                    <w:t>Pig Research and Development</w:t>
                  </w:r>
                </w:p>
              </w:tc>
              <w:tc>
                <w:tcPr>
                  <w:tcW w:w="465" w:type="pct"/>
                  <w:vAlign w:val="bottom"/>
                </w:tcPr>
                <w:p w:rsidR="00745FEA" w:rsidRPr="007E6D2A" w:rsidRDefault="00745FEA" w:rsidP="00745FEA">
                  <w:pPr>
                    <w:pStyle w:val="TableBodyText"/>
                    <w:ind w:right="57"/>
                  </w:pPr>
                  <w:r w:rsidRPr="007E6D2A">
                    <w:t>4.6</w:t>
                  </w:r>
                </w:p>
              </w:tc>
              <w:tc>
                <w:tcPr>
                  <w:tcW w:w="464" w:type="pct"/>
                  <w:vAlign w:val="bottom"/>
                </w:tcPr>
                <w:p w:rsidR="00745FEA" w:rsidRPr="007E6D2A" w:rsidRDefault="00745FEA" w:rsidP="00745FEA">
                  <w:pPr>
                    <w:pStyle w:val="TableBodyText"/>
                    <w:ind w:right="57"/>
                  </w:pPr>
                  <w:r w:rsidRPr="007E6D2A">
                    <w:t>4.5</w:t>
                  </w:r>
                </w:p>
              </w:tc>
              <w:tc>
                <w:tcPr>
                  <w:tcW w:w="464" w:type="pct"/>
                  <w:vAlign w:val="bottom"/>
                </w:tcPr>
                <w:p w:rsidR="00745FEA" w:rsidRPr="007E6D2A" w:rsidRDefault="00745FEA" w:rsidP="00745FEA">
                  <w:pPr>
                    <w:pStyle w:val="TableBodyText"/>
                    <w:ind w:right="57"/>
                  </w:pPr>
                  <w:r w:rsidRPr="007E6D2A">
                    <w:t>4.8</w:t>
                  </w:r>
                </w:p>
              </w:tc>
              <w:tc>
                <w:tcPr>
                  <w:tcW w:w="464" w:type="pct"/>
                  <w:vAlign w:val="bottom"/>
                </w:tcPr>
                <w:p w:rsidR="00745FEA" w:rsidRPr="007E6D2A" w:rsidRDefault="00745FEA" w:rsidP="00745FEA">
                  <w:pPr>
                    <w:pStyle w:val="TableBodyText"/>
                    <w:ind w:right="57"/>
                  </w:pPr>
                  <w:r w:rsidRPr="007E6D2A">
                    <w:t>4.9</w:t>
                  </w:r>
                </w:p>
              </w:tc>
              <w:tc>
                <w:tcPr>
                  <w:tcW w:w="464" w:type="pct"/>
                  <w:shd w:val="clear" w:color="auto" w:fill="auto"/>
                  <w:vAlign w:val="bottom"/>
                </w:tcPr>
                <w:p w:rsidR="00745FEA" w:rsidRPr="007E6D2A" w:rsidRDefault="00745FEA" w:rsidP="00745FEA">
                  <w:pPr>
                    <w:pStyle w:val="TableBodyText"/>
                    <w:ind w:right="57"/>
                  </w:pPr>
                  <w:r w:rsidRPr="007E6D2A">
                    <w:t>5.3</w:t>
                  </w:r>
                </w:p>
              </w:tc>
              <w:tc>
                <w:tcPr>
                  <w:tcW w:w="462" w:type="pct"/>
                  <w:shd w:val="clear" w:color="auto" w:fill="auto"/>
                  <w:vAlign w:val="bottom"/>
                </w:tcPr>
                <w:p w:rsidR="00745FEA" w:rsidRPr="007E6D2A" w:rsidRDefault="00745FEA" w:rsidP="00745FEA">
                  <w:pPr>
                    <w:pStyle w:val="TableBodyText"/>
                    <w:ind w:right="57"/>
                  </w:pPr>
                  <w:r w:rsidRPr="007E6D2A">
                    <w:t>5.1</w:t>
                  </w:r>
                </w:p>
              </w:tc>
            </w:tr>
            <w:tr w:rsidR="00745FEA" w:rsidTr="00745FEA">
              <w:tc>
                <w:tcPr>
                  <w:tcW w:w="2217" w:type="pct"/>
                  <w:shd w:val="clear" w:color="auto" w:fill="auto"/>
                </w:tcPr>
                <w:p w:rsidR="00745FEA" w:rsidRPr="0084367A" w:rsidRDefault="00745FEA" w:rsidP="00745FEA">
                  <w:pPr>
                    <w:pStyle w:val="TableBodyText"/>
                    <w:spacing w:after="0"/>
                    <w:ind w:left="227" w:right="0"/>
                    <w:jc w:val="left"/>
                  </w:pPr>
                  <w:r w:rsidRPr="0084367A">
                    <w:t xml:space="preserve">Rural Industries </w:t>
                  </w:r>
                  <w:r>
                    <w:t>R&amp;D Corporation</w:t>
                  </w:r>
                </w:p>
              </w:tc>
              <w:tc>
                <w:tcPr>
                  <w:tcW w:w="465" w:type="pct"/>
                  <w:vAlign w:val="bottom"/>
                </w:tcPr>
                <w:p w:rsidR="00745FEA" w:rsidRPr="007E6D2A" w:rsidRDefault="00745FEA" w:rsidP="00745FEA">
                  <w:pPr>
                    <w:pStyle w:val="TableBodyText"/>
                    <w:ind w:right="57"/>
                  </w:pPr>
                  <w:r w:rsidRPr="007E6D2A">
                    <w:t>4.4</w:t>
                  </w:r>
                </w:p>
              </w:tc>
              <w:tc>
                <w:tcPr>
                  <w:tcW w:w="464" w:type="pct"/>
                  <w:vAlign w:val="bottom"/>
                </w:tcPr>
                <w:p w:rsidR="00745FEA" w:rsidRPr="007E6D2A" w:rsidRDefault="00745FEA" w:rsidP="00745FEA">
                  <w:pPr>
                    <w:pStyle w:val="TableBodyText"/>
                    <w:ind w:right="57"/>
                  </w:pPr>
                  <w:r w:rsidRPr="007E6D2A">
                    <w:t>4.8</w:t>
                  </w:r>
                </w:p>
              </w:tc>
              <w:tc>
                <w:tcPr>
                  <w:tcW w:w="464" w:type="pct"/>
                  <w:vAlign w:val="bottom"/>
                </w:tcPr>
                <w:p w:rsidR="00745FEA" w:rsidRPr="007E6D2A" w:rsidRDefault="00745FEA" w:rsidP="00745FEA">
                  <w:pPr>
                    <w:pStyle w:val="TableBodyText"/>
                    <w:ind w:right="57"/>
                  </w:pPr>
                  <w:r w:rsidRPr="007E6D2A">
                    <w:t>3.8</w:t>
                  </w:r>
                </w:p>
              </w:tc>
              <w:tc>
                <w:tcPr>
                  <w:tcW w:w="464" w:type="pct"/>
                  <w:vAlign w:val="bottom"/>
                </w:tcPr>
                <w:p w:rsidR="00745FEA" w:rsidRPr="007E6D2A" w:rsidRDefault="00745FEA" w:rsidP="00745FEA">
                  <w:pPr>
                    <w:pStyle w:val="TableBodyText"/>
                    <w:ind w:right="57"/>
                  </w:pPr>
                  <w:r w:rsidRPr="007E6D2A">
                    <w:t>3.1</w:t>
                  </w:r>
                </w:p>
              </w:tc>
              <w:tc>
                <w:tcPr>
                  <w:tcW w:w="464" w:type="pct"/>
                  <w:shd w:val="clear" w:color="auto" w:fill="auto"/>
                  <w:vAlign w:val="bottom"/>
                </w:tcPr>
                <w:p w:rsidR="00745FEA" w:rsidRPr="007E6D2A" w:rsidRDefault="00745FEA" w:rsidP="00745FEA">
                  <w:pPr>
                    <w:pStyle w:val="TableBodyText"/>
                    <w:ind w:right="57"/>
                  </w:pPr>
                  <w:r w:rsidRPr="007E6D2A">
                    <w:t>3.2</w:t>
                  </w:r>
                </w:p>
              </w:tc>
              <w:tc>
                <w:tcPr>
                  <w:tcW w:w="462" w:type="pct"/>
                  <w:shd w:val="clear" w:color="auto" w:fill="auto"/>
                  <w:vAlign w:val="bottom"/>
                </w:tcPr>
                <w:p w:rsidR="00745FEA" w:rsidRDefault="00745FEA" w:rsidP="00745FEA">
                  <w:pPr>
                    <w:pStyle w:val="TableBodyText"/>
                    <w:ind w:right="57"/>
                  </w:pPr>
                  <w:r w:rsidRPr="007E6D2A">
                    <w:t>3.8</w:t>
                  </w:r>
                </w:p>
              </w:tc>
            </w:tr>
            <w:tr w:rsidR="00745FEA" w:rsidTr="00745FEA">
              <w:tc>
                <w:tcPr>
                  <w:tcW w:w="2217" w:type="pct"/>
                </w:tcPr>
                <w:p w:rsidR="00745FEA" w:rsidRPr="009B7716" w:rsidRDefault="00745FEA" w:rsidP="00745FEA">
                  <w:pPr>
                    <w:pStyle w:val="TableUnitsRow"/>
                    <w:spacing w:after="0"/>
                    <w:ind w:left="113"/>
                    <w:jc w:val="left"/>
                    <w:rPr>
                      <w:i/>
                    </w:rPr>
                  </w:pPr>
                  <w:r w:rsidRPr="009B7716">
                    <w:rPr>
                      <w:i/>
                    </w:rPr>
                    <w:t>General export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vAlign w:val="bottom"/>
                </w:tcPr>
                <w:p w:rsidR="00745FEA" w:rsidRDefault="00745FEA" w:rsidP="00745FEA">
                  <w:pPr>
                    <w:pStyle w:val="TableBodyText"/>
                    <w:ind w:right="57"/>
                  </w:pPr>
                </w:p>
              </w:tc>
            </w:tr>
            <w:tr w:rsidR="00745FEA" w:rsidTr="00745FEA">
              <w:tc>
                <w:tcPr>
                  <w:tcW w:w="2217" w:type="pct"/>
                </w:tcPr>
                <w:p w:rsidR="00745FEA" w:rsidRPr="0034009E" w:rsidRDefault="00745FEA" w:rsidP="00745FEA">
                  <w:pPr>
                    <w:pStyle w:val="TableBodyText"/>
                    <w:spacing w:after="0"/>
                    <w:ind w:left="227" w:right="0"/>
                    <w:jc w:val="left"/>
                  </w:pPr>
                  <w:r w:rsidRPr="0034009E">
                    <w:t>Export Market Development Grants Scheme</w:t>
                  </w:r>
                </w:p>
              </w:tc>
              <w:tc>
                <w:tcPr>
                  <w:tcW w:w="465" w:type="pct"/>
                  <w:vAlign w:val="bottom"/>
                </w:tcPr>
                <w:p w:rsidR="00745FEA" w:rsidRPr="000D0B84" w:rsidRDefault="00745FEA" w:rsidP="00745FEA">
                  <w:pPr>
                    <w:pStyle w:val="TableBodyText"/>
                    <w:ind w:right="57"/>
                  </w:pPr>
                  <w:r w:rsidRPr="000D0B84">
                    <w:t>0.2</w:t>
                  </w:r>
                </w:p>
              </w:tc>
              <w:tc>
                <w:tcPr>
                  <w:tcW w:w="464" w:type="pct"/>
                  <w:vAlign w:val="bottom"/>
                </w:tcPr>
                <w:p w:rsidR="00745FEA" w:rsidRPr="000D0B84" w:rsidRDefault="00745FEA" w:rsidP="00745FEA">
                  <w:pPr>
                    <w:pStyle w:val="TableBodyText"/>
                    <w:ind w:right="57"/>
                  </w:pPr>
                  <w:r w:rsidRPr="000D0B84">
                    <w:t>0.6</w:t>
                  </w:r>
                </w:p>
              </w:tc>
              <w:tc>
                <w:tcPr>
                  <w:tcW w:w="464" w:type="pct"/>
                  <w:vAlign w:val="bottom"/>
                </w:tcPr>
                <w:p w:rsidR="00745FEA" w:rsidRPr="000D0B84" w:rsidRDefault="00745FEA" w:rsidP="00745FEA">
                  <w:pPr>
                    <w:pStyle w:val="TableBodyText"/>
                    <w:ind w:right="57"/>
                  </w:pPr>
                  <w:r w:rsidRPr="000D0B84">
                    <w:t>0.4</w:t>
                  </w:r>
                </w:p>
              </w:tc>
              <w:tc>
                <w:tcPr>
                  <w:tcW w:w="464" w:type="pct"/>
                  <w:vAlign w:val="bottom"/>
                </w:tcPr>
                <w:p w:rsidR="00745FEA" w:rsidRPr="000D0B84" w:rsidRDefault="00745FEA" w:rsidP="00745FEA">
                  <w:pPr>
                    <w:pStyle w:val="TableBodyText"/>
                    <w:ind w:right="57"/>
                  </w:pPr>
                  <w:r w:rsidRPr="000D0B84">
                    <w:t>0.3</w:t>
                  </w:r>
                </w:p>
              </w:tc>
              <w:tc>
                <w:tcPr>
                  <w:tcW w:w="464" w:type="pct"/>
                  <w:vAlign w:val="bottom"/>
                </w:tcPr>
                <w:p w:rsidR="00745FEA" w:rsidRPr="000D0B84" w:rsidRDefault="00745FEA" w:rsidP="00745FEA">
                  <w:pPr>
                    <w:pStyle w:val="TableBodyText"/>
                    <w:ind w:right="57"/>
                  </w:pPr>
                  <w:r w:rsidRPr="000D0B84">
                    <w:t>0.3</w:t>
                  </w:r>
                </w:p>
              </w:tc>
              <w:tc>
                <w:tcPr>
                  <w:tcW w:w="462" w:type="pct"/>
                  <w:vAlign w:val="bottom"/>
                </w:tcPr>
                <w:p w:rsidR="00745FEA" w:rsidRDefault="00745FEA" w:rsidP="00745FEA">
                  <w:pPr>
                    <w:pStyle w:val="TableBodyText"/>
                    <w:ind w:right="57"/>
                  </w:pPr>
                  <w:r w:rsidRPr="000D0B84">
                    <w:t>0.3</w:t>
                  </w:r>
                </w:p>
              </w:tc>
            </w:tr>
            <w:tr w:rsidR="00745FEA" w:rsidTr="00745FEA">
              <w:tc>
                <w:tcPr>
                  <w:tcW w:w="2217" w:type="pct"/>
                  <w:shd w:val="clear" w:color="auto" w:fill="auto"/>
                </w:tcPr>
                <w:p w:rsidR="00745FEA" w:rsidRPr="009B7716" w:rsidRDefault="00745FEA" w:rsidP="00745FEA">
                  <w:pPr>
                    <w:pStyle w:val="TableBodyText"/>
                    <w:spacing w:before="40" w:after="0"/>
                    <w:ind w:left="113"/>
                    <w:jc w:val="left"/>
                    <w:rPr>
                      <w:i/>
                    </w:rPr>
                  </w:pPr>
                  <w:r w:rsidRPr="009B7716">
                    <w:rPr>
                      <w:i/>
                    </w:rPr>
                    <w:t>General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5031DE" w:rsidRDefault="00745FEA" w:rsidP="00745FEA">
                  <w:pPr>
                    <w:pStyle w:val="TableBodyText"/>
                    <w:spacing w:after="0"/>
                    <w:ind w:left="227" w:right="0"/>
                    <w:jc w:val="left"/>
                  </w:pPr>
                  <w:r w:rsidRPr="005031DE">
                    <w:t>Cooperative Research Centres</w:t>
                  </w:r>
                </w:p>
              </w:tc>
              <w:tc>
                <w:tcPr>
                  <w:tcW w:w="465" w:type="pct"/>
                  <w:vAlign w:val="bottom"/>
                </w:tcPr>
                <w:p w:rsidR="00745FEA" w:rsidRPr="00CB11B8" w:rsidRDefault="00745FEA" w:rsidP="00745FEA">
                  <w:pPr>
                    <w:pStyle w:val="TableBodyText"/>
                    <w:ind w:right="57"/>
                  </w:pPr>
                  <w:r w:rsidRPr="00CB11B8">
                    <w:t>6.8</w:t>
                  </w:r>
                </w:p>
              </w:tc>
              <w:tc>
                <w:tcPr>
                  <w:tcW w:w="464" w:type="pct"/>
                  <w:vAlign w:val="bottom"/>
                </w:tcPr>
                <w:p w:rsidR="00745FEA" w:rsidRPr="00CB11B8" w:rsidRDefault="00745FEA" w:rsidP="00745FEA">
                  <w:pPr>
                    <w:pStyle w:val="TableBodyText"/>
                    <w:ind w:right="57"/>
                  </w:pPr>
                  <w:r w:rsidRPr="00CB11B8">
                    <w:t>7.2</w:t>
                  </w:r>
                </w:p>
              </w:tc>
              <w:tc>
                <w:tcPr>
                  <w:tcW w:w="464" w:type="pct"/>
                  <w:vAlign w:val="bottom"/>
                </w:tcPr>
                <w:p w:rsidR="00745FEA" w:rsidRPr="00CB11B8" w:rsidRDefault="00745FEA" w:rsidP="00745FEA">
                  <w:pPr>
                    <w:pStyle w:val="TableBodyText"/>
                    <w:ind w:right="57"/>
                  </w:pPr>
                  <w:r w:rsidRPr="00CB11B8">
                    <w:t>7.0</w:t>
                  </w:r>
                </w:p>
              </w:tc>
              <w:tc>
                <w:tcPr>
                  <w:tcW w:w="464" w:type="pct"/>
                  <w:vAlign w:val="bottom"/>
                </w:tcPr>
                <w:p w:rsidR="00745FEA" w:rsidRPr="00CB11B8" w:rsidRDefault="00745FEA" w:rsidP="00745FEA">
                  <w:pPr>
                    <w:pStyle w:val="TableBodyText"/>
                    <w:ind w:right="57"/>
                  </w:pPr>
                  <w:r w:rsidRPr="00CB11B8">
                    <w:t>6.6</w:t>
                  </w:r>
                </w:p>
              </w:tc>
              <w:tc>
                <w:tcPr>
                  <w:tcW w:w="464" w:type="pct"/>
                  <w:shd w:val="clear" w:color="auto" w:fill="auto"/>
                  <w:vAlign w:val="bottom"/>
                </w:tcPr>
                <w:p w:rsidR="00745FEA" w:rsidRPr="00CB11B8" w:rsidRDefault="00745FEA" w:rsidP="00745FEA">
                  <w:pPr>
                    <w:pStyle w:val="TableBodyText"/>
                    <w:ind w:right="57"/>
                  </w:pPr>
                  <w:r w:rsidRPr="00CB11B8">
                    <w:t>6.6</w:t>
                  </w:r>
                </w:p>
              </w:tc>
              <w:tc>
                <w:tcPr>
                  <w:tcW w:w="462" w:type="pct"/>
                  <w:shd w:val="clear" w:color="auto" w:fill="auto"/>
                  <w:vAlign w:val="bottom"/>
                </w:tcPr>
                <w:p w:rsidR="00745FEA" w:rsidRPr="00CB11B8" w:rsidRDefault="00745FEA" w:rsidP="00745FEA">
                  <w:pPr>
                    <w:pStyle w:val="TableBodyText"/>
                    <w:ind w:right="57"/>
                  </w:pPr>
                  <w:r w:rsidRPr="00CB11B8">
                    <w:t>5.1</w:t>
                  </w:r>
                </w:p>
              </w:tc>
            </w:tr>
            <w:tr w:rsidR="00745FEA" w:rsidTr="00745FEA">
              <w:tc>
                <w:tcPr>
                  <w:tcW w:w="2217" w:type="pct"/>
                  <w:shd w:val="clear" w:color="auto" w:fill="auto"/>
                </w:tcPr>
                <w:p w:rsidR="00745FEA" w:rsidRPr="005031DE" w:rsidRDefault="00745FEA" w:rsidP="00745FEA">
                  <w:pPr>
                    <w:pStyle w:val="TableBodyText"/>
                    <w:spacing w:after="0"/>
                    <w:ind w:left="227" w:right="0"/>
                    <w:jc w:val="left"/>
                  </w:pPr>
                  <w:r w:rsidRPr="005031DE">
                    <w:t>CSIRO</w:t>
                  </w:r>
                </w:p>
              </w:tc>
              <w:tc>
                <w:tcPr>
                  <w:tcW w:w="465" w:type="pct"/>
                  <w:vAlign w:val="bottom"/>
                </w:tcPr>
                <w:p w:rsidR="00745FEA" w:rsidRPr="00CB11B8" w:rsidRDefault="00745FEA" w:rsidP="00745FEA">
                  <w:pPr>
                    <w:pStyle w:val="TableBodyText"/>
                    <w:ind w:right="57"/>
                  </w:pPr>
                  <w:r w:rsidRPr="00CB11B8">
                    <w:t>15.3</w:t>
                  </w:r>
                </w:p>
              </w:tc>
              <w:tc>
                <w:tcPr>
                  <w:tcW w:w="464" w:type="pct"/>
                  <w:vAlign w:val="bottom"/>
                </w:tcPr>
                <w:p w:rsidR="00745FEA" w:rsidRPr="00CB11B8" w:rsidRDefault="00745FEA" w:rsidP="00745FEA">
                  <w:pPr>
                    <w:pStyle w:val="TableBodyText"/>
                    <w:ind w:right="57"/>
                  </w:pPr>
                  <w:r w:rsidRPr="00CB11B8">
                    <w:t>3.1</w:t>
                  </w:r>
                </w:p>
              </w:tc>
              <w:tc>
                <w:tcPr>
                  <w:tcW w:w="464" w:type="pct"/>
                  <w:vAlign w:val="bottom"/>
                </w:tcPr>
                <w:p w:rsidR="00745FEA" w:rsidRPr="00CB11B8" w:rsidRDefault="00745FEA" w:rsidP="00745FEA">
                  <w:pPr>
                    <w:pStyle w:val="TableBodyText"/>
                    <w:ind w:right="57"/>
                  </w:pPr>
                  <w:r w:rsidRPr="00CB11B8">
                    <w:t>3.0</w:t>
                  </w:r>
                </w:p>
              </w:tc>
              <w:tc>
                <w:tcPr>
                  <w:tcW w:w="464" w:type="pct"/>
                  <w:vAlign w:val="bottom"/>
                </w:tcPr>
                <w:p w:rsidR="00745FEA" w:rsidRPr="00CB11B8" w:rsidRDefault="00745FEA" w:rsidP="00745FEA">
                  <w:pPr>
                    <w:pStyle w:val="TableBodyText"/>
                    <w:ind w:right="57"/>
                  </w:pPr>
                  <w:r w:rsidRPr="00CB11B8">
                    <w:t>12.4</w:t>
                  </w:r>
                </w:p>
              </w:tc>
              <w:tc>
                <w:tcPr>
                  <w:tcW w:w="464" w:type="pct"/>
                  <w:shd w:val="clear" w:color="auto" w:fill="auto"/>
                  <w:vAlign w:val="bottom"/>
                </w:tcPr>
                <w:p w:rsidR="00745FEA" w:rsidRPr="00CB11B8" w:rsidRDefault="00745FEA" w:rsidP="00745FEA">
                  <w:pPr>
                    <w:pStyle w:val="TableBodyText"/>
                    <w:ind w:right="57"/>
                  </w:pPr>
                  <w:r w:rsidRPr="00CB11B8">
                    <w:t>14.6</w:t>
                  </w:r>
                </w:p>
              </w:tc>
              <w:tc>
                <w:tcPr>
                  <w:tcW w:w="462" w:type="pct"/>
                  <w:shd w:val="clear" w:color="auto" w:fill="auto"/>
                  <w:vAlign w:val="bottom"/>
                </w:tcPr>
                <w:p w:rsidR="00745FEA" w:rsidRPr="00CB11B8" w:rsidRDefault="00745FEA" w:rsidP="00745FEA">
                  <w:pPr>
                    <w:pStyle w:val="TableBodyText"/>
                    <w:ind w:right="57"/>
                  </w:pPr>
                  <w:r w:rsidRPr="00CB11B8">
                    <w:t>13.1</w:t>
                  </w:r>
                </w:p>
              </w:tc>
            </w:tr>
            <w:tr w:rsidR="00745FEA" w:rsidTr="00745FEA">
              <w:tc>
                <w:tcPr>
                  <w:tcW w:w="2217" w:type="pct"/>
                  <w:shd w:val="clear" w:color="auto" w:fill="auto"/>
                </w:tcPr>
                <w:p w:rsidR="00745FEA" w:rsidRPr="005031DE" w:rsidRDefault="00745FEA" w:rsidP="00745FEA">
                  <w:pPr>
                    <w:pStyle w:val="TableBodyText"/>
                    <w:spacing w:after="0"/>
                    <w:ind w:left="227" w:right="0"/>
                    <w:jc w:val="left"/>
                  </w:pPr>
                  <w:r w:rsidRPr="005031DE">
                    <w:t>R&amp;D Tax Incentive - refundable tax offset</w:t>
                  </w:r>
                </w:p>
              </w:tc>
              <w:tc>
                <w:tcPr>
                  <w:tcW w:w="465" w:type="pct"/>
                  <w:vAlign w:val="bottom"/>
                </w:tcPr>
                <w:p w:rsidR="00745FEA" w:rsidRPr="00CB11B8" w:rsidRDefault="00745FEA" w:rsidP="00745FEA">
                  <w:pPr>
                    <w:pStyle w:val="TableBodyText"/>
                    <w:ind w:right="57"/>
                  </w:pPr>
                  <w:r w:rsidRPr="00CB11B8">
                    <w:t>–</w:t>
                  </w:r>
                </w:p>
              </w:tc>
              <w:tc>
                <w:tcPr>
                  <w:tcW w:w="464" w:type="pct"/>
                  <w:vAlign w:val="bottom"/>
                </w:tcPr>
                <w:p w:rsidR="00745FEA" w:rsidRPr="00CB11B8" w:rsidRDefault="00745FEA" w:rsidP="00745FEA">
                  <w:pPr>
                    <w:pStyle w:val="TableBodyText"/>
                    <w:ind w:right="57"/>
                  </w:pPr>
                  <w:r w:rsidRPr="00CB11B8">
                    <w:t>4.7</w:t>
                  </w:r>
                </w:p>
              </w:tc>
              <w:tc>
                <w:tcPr>
                  <w:tcW w:w="464" w:type="pct"/>
                  <w:vAlign w:val="bottom"/>
                </w:tcPr>
                <w:p w:rsidR="00745FEA" w:rsidRPr="00CB11B8" w:rsidRDefault="00745FEA" w:rsidP="00745FEA">
                  <w:pPr>
                    <w:pStyle w:val="TableBodyText"/>
                    <w:ind w:right="57"/>
                  </w:pPr>
                  <w:r w:rsidRPr="00CB11B8">
                    <w:t>4.5</w:t>
                  </w:r>
                </w:p>
              </w:tc>
              <w:tc>
                <w:tcPr>
                  <w:tcW w:w="464" w:type="pct"/>
                  <w:vAlign w:val="bottom"/>
                </w:tcPr>
                <w:p w:rsidR="00745FEA" w:rsidRPr="00CB11B8" w:rsidRDefault="00745FEA" w:rsidP="00745FEA">
                  <w:pPr>
                    <w:pStyle w:val="TableBodyText"/>
                    <w:ind w:right="57"/>
                  </w:pPr>
                  <w:r w:rsidRPr="00CB11B8">
                    <w:t>6.1</w:t>
                  </w:r>
                </w:p>
              </w:tc>
              <w:tc>
                <w:tcPr>
                  <w:tcW w:w="464" w:type="pct"/>
                  <w:shd w:val="clear" w:color="auto" w:fill="auto"/>
                  <w:vAlign w:val="bottom"/>
                </w:tcPr>
                <w:p w:rsidR="00745FEA" w:rsidRPr="00CB11B8" w:rsidRDefault="00745FEA" w:rsidP="00745FEA">
                  <w:pPr>
                    <w:pStyle w:val="TableBodyText"/>
                    <w:ind w:right="57"/>
                  </w:pPr>
                  <w:r w:rsidRPr="00CB11B8">
                    <w:t>6.5</w:t>
                  </w:r>
                </w:p>
              </w:tc>
              <w:tc>
                <w:tcPr>
                  <w:tcW w:w="462" w:type="pct"/>
                  <w:shd w:val="clear" w:color="auto" w:fill="auto"/>
                  <w:vAlign w:val="bottom"/>
                </w:tcPr>
                <w:p w:rsidR="00745FEA" w:rsidRPr="00CB11B8" w:rsidRDefault="00745FEA" w:rsidP="00745FEA">
                  <w:pPr>
                    <w:pStyle w:val="TableBodyText"/>
                    <w:ind w:right="57"/>
                  </w:pPr>
                  <w:r w:rsidRPr="00CB11B8">
                    <w:t>7.8</w:t>
                  </w:r>
                </w:p>
              </w:tc>
            </w:tr>
            <w:tr w:rsidR="00745FEA" w:rsidTr="00745FEA">
              <w:tc>
                <w:tcPr>
                  <w:tcW w:w="2217" w:type="pct"/>
                  <w:shd w:val="clear" w:color="auto" w:fill="auto"/>
                </w:tcPr>
                <w:p w:rsidR="00745FEA" w:rsidRPr="005031DE" w:rsidRDefault="00745FEA" w:rsidP="00745FEA">
                  <w:pPr>
                    <w:pStyle w:val="TableBodyText"/>
                    <w:spacing w:after="0"/>
                    <w:ind w:left="227" w:right="0"/>
                    <w:jc w:val="left"/>
                  </w:pPr>
                  <w:r w:rsidRPr="005031DE">
                    <w:t>R&amp;D tax offsets - Refundable</w:t>
                  </w:r>
                </w:p>
              </w:tc>
              <w:tc>
                <w:tcPr>
                  <w:tcW w:w="465" w:type="pct"/>
                  <w:vAlign w:val="bottom"/>
                </w:tcPr>
                <w:p w:rsidR="00745FEA" w:rsidRPr="00CB11B8" w:rsidRDefault="00745FEA" w:rsidP="00745FEA">
                  <w:pPr>
                    <w:pStyle w:val="TableBodyText"/>
                    <w:ind w:right="57"/>
                  </w:pPr>
                  <w:r w:rsidRPr="00CB11B8">
                    <w:t>0.7</w:t>
                  </w:r>
                </w:p>
              </w:tc>
              <w:tc>
                <w:tcPr>
                  <w:tcW w:w="464" w:type="pct"/>
                  <w:vAlign w:val="bottom"/>
                </w:tcPr>
                <w:p w:rsidR="00745FEA" w:rsidRPr="00CB11B8" w:rsidRDefault="00745FEA" w:rsidP="00745FEA">
                  <w:pPr>
                    <w:pStyle w:val="TableBodyText"/>
                    <w:ind w:right="57"/>
                  </w:pPr>
                  <w:r w:rsidRPr="00CB11B8">
                    <w:t>–</w:t>
                  </w:r>
                </w:p>
              </w:tc>
              <w:tc>
                <w:tcPr>
                  <w:tcW w:w="464" w:type="pct"/>
                  <w:vAlign w:val="bottom"/>
                </w:tcPr>
                <w:p w:rsidR="00745FEA" w:rsidRPr="00CB11B8" w:rsidRDefault="00745FEA" w:rsidP="00745FEA">
                  <w:pPr>
                    <w:pStyle w:val="TableBodyText"/>
                    <w:ind w:right="57"/>
                  </w:pPr>
                  <w:r w:rsidRPr="00CB11B8">
                    <w:t>–</w:t>
                  </w:r>
                </w:p>
              </w:tc>
              <w:tc>
                <w:tcPr>
                  <w:tcW w:w="464" w:type="pct"/>
                  <w:vAlign w:val="bottom"/>
                </w:tcPr>
                <w:p w:rsidR="00745FEA" w:rsidRPr="00CB11B8" w:rsidRDefault="00745FEA" w:rsidP="00745FEA">
                  <w:pPr>
                    <w:pStyle w:val="TableBodyText"/>
                    <w:ind w:right="57"/>
                  </w:pPr>
                  <w:r w:rsidRPr="00CB11B8">
                    <w:t>–</w:t>
                  </w:r>
                </w:p>
              </w:tc>
              <w:tc>
                <w:tcPr>
                  <w:tcW w:w="464" w:type="pct"/>
                  <w:shd w:val="clear" w:color="auto" w:fill="auto"/>
                  <w:vAlign w:val="bottom"/>
                </w:tcPr>
                <w:p w:rsidR="00745FEA" w:rsidRPr="00CB11B8" w:rsidRDefault="00745FEA" w:rsidP="00745FEA">
                  <w:pPr>
                    <w:pStyle w:val="TableBodyText"/>
                    <w:ind w:right="57"/>
                  </w:pPr>
                  <w:r w:rsidRPr="00CB11B8">
                    <w:t>–</w:t>
                  </w:r>
                </w:p>
              </w:tc>
              <w:tc>
                <w:tcPr>
                  <w:tcW w:w="462" w:type="pct"/>
                  <w:shd w:val="clear" w:color="auto" w:fill="auto"/>
                  <w:vAlign w:val="bottom"/>
                </w:tcPr>
                <w:p w:rsidR="00745FEA" w:rsidRPr="00CB11B8" w:rsidRDefault="00745FEA" w:rsidP="00745FEA">
                  <w:pPr>
                    <w:pStyle w:val="TableBodyText"/>
                    <w:ind w:right="57"/>
                  </w:pPr>
                  <w:r w:rsidRPr="00CB11B8">
                    <w:t>–</w:t>
                  </w:r>
                </w:p>
              </w:tc>
            </w:tr>
            <w:tr w:rsidR="00745FEA" w:rsidTr="00745FEA">
              <w:tc>
                <w:tcPr>
                  <w:tcW w:w="2217" w:type="pct"/>
                  <w:shd w:val="clear" w:color="auto" w:fill="auto"/>
                </w:tcPr>
                <w:p w:rsidR="00745FEA" w:rsidRPr="005031DE" w:rsidRDefault="00745FEA" w:rsidP="00745FEA">
                  <w:pPr>
                    <w:pStyle w:val="TableBodyText"/>
                    <w:spacing w:after="0"/>
                    <w:ind w:left="227" w:right="0"/>
                    <w:jc w:val="left"/>
                  </w:pPr>
                  <w:r w:rsidRPr="005031DE">
                    <w:t>R&amp;D tax concession</w:t>
                  </w:r>
                </w:p>
              </w:tc>
              <w:tc>
                <w:tcPr>
                  <w:tcW w:w="465" w:type="pct"/>
                  <w:vAlign w:val="bottom"/>
                </w:tcPr>
                <w:p w:rsidR="00745FEA" w:rsidRPr="00CB11B8" w:rsidRDefault="00745FEA" w:rsidP="00745FEA">
                  <w:pPr>
                    <w:pStyle w:val="TableBodyText"/>
                    <w:ind w:right="57"/>
                  </w:pPr>
                  <w:r w:rsidRPr="00CB11B8">
                    <w:t>4.1</w:t>
                  </w:r>
                </w:p>
              </w:tc>
              <w:tc>
                <w:tcPr>
                  <w:tcW w:w="464" w:type="pct"/>
                  <w:vAlign w:val="bottom"/>
                </w:tcPr>
                <w:p w:rsidR="00745FEA" w:rsidRPr="00CB11B8" w:rsidRDefault="00745FEA" w:rsidP="00745FEA">
                  <w:pPr>
                    <w:pStyle w:val="TableBodyText"/>
                    <w:ind w:right="57"/>
                  </w:pPr>
                  <w:r w:rsidRPr="00CB11B8">
                    <w:t>1.8</w:t>
                  </w:r>
                </w:p>
              </w:tc>
              <w:tc>
                <w:tcPr>
                  <w:tcW w:w="464" w:type="pct"/>
                  <w:vAlign w:val="bottom"/>
                </w:tcPr>
                <w:p w:rsidR="00745FEA" w:rsidRPr="00CB11B8" w:rsidRDefault="00745FEA" w:rsidP="00745FEA">
                  <w:pPr>
                    <w:pStyle w:val="TableBodyText"/>
                    <w:ind w:right="57"/>
                  </w:pPr>
                  <w:r w:rsidRPr="00CB11B8">
                    <w:t>0.6</w:t>
                  </w:r>
                </w:p>
              </w:tc>
              <w:tc>
                <w:tcPr>
                  <w:tcW w:w="464" w:type="pct"/>
                  <w:vAlign w:val="bottom"/>
                </w:tcPr>
                <w:p w:rsidR="00745FEA" w:rsidRPr="00CB11B8" w:rsidRDefault="00745FEA" w:rsidP="00745FEA">
                  <w:pPr>
                    <w:pStyle w:val="TableBodyText"/>
                    <w:ind w:right="57"/>
                  </w:pPr>
                  <w:r w:rsidRPr="00CB11B8">
                    <w:t>0.1</w:t>
                  </w:r>
                </w:p>
              </w:tc>
              <w:tc>
                <w:tcPr>
                  <w:tcW w:w="464" w:type="pct"/>
                  <w:shd w:val="clear" w:color="auto" w:fill="auto"/>
                  <w:vAlign w:val="bottom"/>
                </w:tcPr>
                <w:p w:rsidR="00745FEA" w:rsidRPr="00CB11B8" w:rsidRDefault="00745FEA" w:rsidP="00745FEA">
                  <w:pPr>
                    <w:pStyle w:val="TableBodyText"/>
                    <w:ind w:right="57"/>
                  </w:pPr>
                  <w:r w:rsidRPr="00CB11B8">
                    <w:t>–</w:t>
                  </w:r>
                </w:p>
              </w:tc>
              <w:tc>
                <w:tcPr>
                  <w:tcW w:w="462" w:type="pct"/>
                  <w:shd w:val="clear" w:color="auto" w:fill="auto"/>
                  <w:vAlign w:val="bottom"/>
                </w:tcPr>
                <w:p w:rsidR="00745FEA" w:rsidRPr="00CB11B8" w:rsidRDefault="00745FEA" w:rsidP="00745FEA">
                  <w:pPr>
                    <w:pStyle w:val="TableBodyText"/>
                    <w:ind w:right="57"/>
                  </w:pPr>
                  <w:r w:rsidRPr="00CB11B8">
                    <w:t>–</w:t>
                  </w:r>
                </w:p>
              </w:tc>
            </w:tr>
            <w:tr w:rsidR="00745FEA" w:rsidTr="00745FEA">
              <w:tc>
                <w:tcPr>
                  <w:tcW w:w="2217" w:type="pct"/>
                  <w:shd w:val="clear" w:color="auto" w:fill="auto"/>
                </w:tcPr>
                <w:p w:rsidR="00745FEA" w:rsidRPr="005031DE" w:rsidRDefault="00745FEA" w:rsidP="00745FEA">
                  <w:pPr>
                    <w:pStyle w:val="TableBodyText"/>
                    <w:spacing w:after="0"/>
                    <w:ind w:left="227" w:right="0"/>
                    <w:jc w:val="left"/>
                  </w:pPr>
                  <w:r w:rsidRPr="005031DE">
                    <w:t>R&amp;D Tax Incentive - non-refundable tax offset</w:t>
                  </w:r>
                </w:p>
              </w:tc>
              <w:tc>
                <w:tcPr>
                  <w:tcW w:w="465" w:type="pct"/>
                  <w:vAlign w:val="bottom"/>
                </w:tcPr>
                <w:p w:rsidR="00745FEA" w:rsidRPr="00CB11B8" w:rsidRDefault="00745FEA" w:rsidP="00745FEA">
                  <w:pPr>
                    <w:pStyle w:val="TableBodyText"/>
                    <w:ind w:right="57"/>
                  </w:pPr>
                  <w:r w:rsidRPr="00CB11B8">
                    <w:t>–</w:t>
                  </w:r>
                </w:p>
              </w:tc>
              <w:tc>
                <w:tcPr>
                  <w:tcW w:w="464" w:type="pct"/>
                  <w:vAlign w:val="bottom"/>
                </w:tcPr>
                <w:p w:rsidR="00745FEA" w:rsidRPr="00CB11B8" w:rsidRDefault="00745FEA" w:rsidP="00745FEA">
                  <w:pPr>
                    <w:pStyle w:val="TableBodyText"/>
                    <w:ind w:right="57"/>
                  </w:pPr>
                  <w:r w:rsidRPr="00CB11B8">
                    <w:t>0.1</w:t>
                  </w:r>
                </w:p>
              </w:tc>
              <w:tc>
                <w:tcPr>
                  <w:tcW w:w="464" w:type="pct"/>
                  <w:vAlign w:val="bottom"/>
                </w:tcPr>
                <w:p w:rsidR="00745FEA" w:rsidRPr="00CB11B8" w:rsidRDefault="00745FEA" w:rsidP="00745FEA">
                  <w:pPr>
                    <w:pStyle w:val="TableBodyText"/>
                    <w:ind w:right="57"/>
                  </w:pPr>
                  <w:r w:rsidRPr="00CB11B8">
                    <w:t>1.4</w:t>
                  </w:r>
                </w:p>
              </w:tc>
              <w:tc>
                <w:tcPr>
                  <w:tcW w:w="464" w:type="pct"/>
                  <w:vAlign w:val="bottom"/>
                </w:tcPr>
                <w:p w:rsidR="00745FEA" w:rsidRPr="00CB11B8" w:rsidRDefault="00745FEA" w:rsidP="00745FEA">
                  <w:pPr>
                    <w:pStyle w:val="TableBodyText"/>
                    <w:ind w:right="57"/>
                  </w:pPr>
                  <w:r w:rsidRPr="00CB11B8">
                    <w:t>0.5</w:t>
                  </w:r>
                </w:p>
              </w:tc>
              <w:tc>
                <w:tcPr>
                  <w:tcW w:w="464" w:type="pct"/>
                  <w:shd w:val="clear" w:color="auto" w:fill="auto"/>
                  <w:vAlign w:val="bottom"/>
                </w:tcPr>
                <w:p w:rsidR="00745FEA" w:rsidRPr="00CB11B8" w:rsidRDefault="00745FEA" w:rsidP="00745FEA">
                  <w:pPr>
                    <w:pStyle w:val="TableBodyText"/>
                    <w:ind w:right="57"/>
                  </w:pPr>
                  <w:r w:rsidRPr="00CB11B8">
                    <w:t>1.1</w:t>
                  </w:r>
                </w:p>
              </w:tc>
              <w:tc>
                <w:tcPr>
                  <w:tcW w:w="462" w:type="pct"/>
                  <w:shd w:val="clear" w:color="auto" w:fill="auto"/>
                  <w:vAlign w:val="bottom"/>
                </w:tcPr>
                <w:p w:rsidR="00745FEA" w:rsidRDefault="00745FEA" w:rsidP="00745FEA">
                  <w:pPr>
                    <w:pStyle w:val="TableBodyText"/>
                    <w:ind w:right="57"/>
                  </w:pPr>
                  <w:r w:rsidRPr="00CB11B8">
                    <w:t>1.4</w:t>
                  </w:r>
                </w:p>
              </w:tc>
            </w:tr>
            <w:tr w:rsidR="00745FEA" w:rsidTr="00745FEA">
              <w:tc>
                <w:tcPr>
                  <w:tcW w:w="2217" w:type="pct"/>
                  <w:shd w:val="clear" w:color="auto" w:fill="auto"/>
                </w:tcPr>
                <w:p w:rsidR="00745FEA" w:rsidRPr="009B7716" w:rsidRDefault="00745FEA" w:rsidP="00745FEA">
                  <w:pPr>
                    <w:pStyle w:val="TableBodyText"/>
                    <w:tabs>
                      <w:tab w:val="left" w:pos="1088"/>
                    </w:tabs>
                    <w:spacing w:before="40" w:after="0"/>
                    <w:ind w:left="113"/>
                    <w:jc w:val="left"/>
                    <w:rPr>
                      <w:i/>
                    </w:rPr>
                  </w:pPr>
                  <w:r w:rsidRPr="009B7716">
                    <w:rPr>
                      <w:i/>
                    </w:rPr>
                    <w:t>Other measures</w:t>
                  </w:r>
                  <w:r w:rsidRPr="009B7716">
                    <w:rPr>
                      <w:i/>
                    </w:rPr>
                    <w:tab/>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Australian Government Innovation and Investment Fund - Tasmania</w:t>
                  </w:r>
                </w:p>
              </w:tc>
              <w:tc>
                <w:tcPr>
                  <w:tcW w:w="465"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0.1</w:t>
                  </w:r>
                </w:p>
              </w:tc>
              <w:tc>
                <w:tcPr>
                  <w:tcW w:w="464" w:type="pct"/>
                  <w:shd w:val="clear" w:color="auto" w:fill="auto"/>
                  <w:vAlign w:val="bottom"/>
                </w:tcPr>
                <w:p w:rsidR="00745FEA" w:rsidRPr="006334D9" w:rsidRDefault="00745FEA" w:rsidP="00745FEA">
                  <w:pPr>
                    <w:pStyle w:val="TableBodyText"/>
                    <w:ind w:right="57"/>
                  </w:pPr>
                  <w:r w:rsidRPr="006334D9">
                    <w:t>0.2</w:t>
                  </w:r>
                </w:p>
              </w:tc>
              <w:tc>
                <w:tcPr>
                  <w:tcW w:w="462" w:type="pct"/>
                  <w:shd w:val="clear" w:color="auto" w:fill="auto"/>
                  <w:vAlign w:val="bottom"/>
                </w:tcPr>
                <w:p w:rsidR="00745FEA" w:rsidRPr="006334D9" w:rsidRDefault="00745FEA" w:rsidP="00745FEA">
                  <w:pPr>
                    <w:pStyle w:val="TableBodyText"/>
                    <w:ind w:right="57"/>
                  </w:pPr>
                  <w:r w:rsidRPr="006334D9">
                    <w:t>0.1</w:t>
                  </w: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Enterprise Connect Innovation Centres</w:t>
                  </w:r>
                </w:p>
              </w:tc>
              <w:tc>
                <w:tcPr>
                  <w:tcW w:w="465"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&lt;0.1</w:t>
                  </w:r>
                </w:p>
              </w:tc>
              <w:tc>
                <w:tcPr>
                  <w:tcW w:w="464"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shd w:val="clear" w:color="auto" w:fill="auto"/>
                  <w:vAlign w:val="bottom"/>
                </w:tcPr>
                <w:p w:rsidR="00745FEA" w:rsidRPr="006334D9" w:rsidRDefault="00745FEA" w:rsidP="00745FEA">
                  <w:pPr>
                    <w:pStyle w:val="TableBodyText"/>
                    <w:ind w:right="57"/>
                  </w:pPr>
                  <w:r w:rsidRPr="006334D9">
                    <w:t>–</w:t>
                  </w:r>
                </w:p>
              </w:tc>
              <w:tc>
                <w:tcPr>
                  <w:tcW w:w="462" w:type="pct"/>
                  <w:shd w:val="clear" w:color="auto" w:fill="auto"/>
                  <w:vAlign w:val="bottom"/>
                </w:tcPr>
                <w:p w:rsidR="00745FEA" w:rsidRPr="006334D9" w:rsidRDefault="00745FEA" w:rsidP="00745FEA">
                  <w:pPr>
                    <w:pStyle w:val="TableBodyText"/>
                    <w:ind w:right="57"/>
                  </w:pPr>
                  <w:r w:rsidRPr="006334D9">
                    <w:t>–</w:t>
                  </w: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5C1A11">
                    <w:t>Entrepreneurs’ Infrastructure Programme - Business Management Skills</w:t>
                  </w:r>
                </w:p>
              </w:tc>
              <w:tc>
                <w:tcPr>
                  <w:tcW w:w="465"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shd w:val="clear" w:color="auto" w:fill="auto"/>
                  <w:vAlign w:val="bottom"/>
                </w:tcPr>
                <w:p w:rsidR="00745FEA" w:rsidRPr="006334D9" w:rsidRDefault="00745FEA" w:rsidP="00745FEA">
                  <w:pPr>
                    <w:pStyle w:val="TableBodyText"/>
                    <w:ind w:right="57"/>
                  </w:pPr>
                  <w:r w:rsidRPr="006334D9">
                    <w:t>–</w:t>
                  </w:r>
                </w:p>
              </w:tc>
              <w:tc>
                <w:tcPr>
                  <w:tcW w:w="462" w:type="pct"/>
                  <w:shd w:val="clear" w:color="auto" w:fill="auto"/>
                  <w:vAlign w:val="bottom"/>
                </w:tcPr>
                <w:p w:rsidR="00745FEA" w:rsidRPr="006334D9" w:rsidRDefault="00745FEA" w:rsidP="00745FEA">
                  <w:pPr>
                    <w:pStyle w:val="TableBodyText"/>
                    <w:ind w:right="57"/>
                  </w:pPr>
                  <w:r w:rsidRPr="006334D9">
                    <w:t>&lt;0.1</w:t>
                  </w: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 xml:space="preserve">Small business </w:t>
                  </w:r>
                  <w:r>
                    <w:t>capital gains tax</w:t>
                  </w:r>
                  <w:r w:rsidRPr="00495752">
                    <w:t xml:space="preserve"> rollover deferral</w:t>
                  </w:r>
                </w:p>
              </w:tc>
              <w:tc>
                <w:tcPr>
                  <w:tcW w:w="465" w:type="pct"/>
                  <w:vAlign w:val="bottom"/>
                </w:tcPr>
                <w:p w:rsidR="00745FEA" w:rsidRPr="006334D9" w:rsidRDefault="00745FEA" w:rsidP="00745FEA">
                  <w:pPr>
                    <w:pStyle w:val="TableBodyText"/>
                    <w:ind w:right="57"/>
                  </w:pPr>
                  <w:r w:rsidRPr="006334D9">
                    <w:t>0.2</w:t>
                  </w:r>
                </w:p>
              </w:tc>
              <w:tc>
                <w:tcPr>
                  <w:tcW w:w="464" w:type="pct"/>
                  <w:vAlign w:val="bottom"/>
                </w:tcPr>
                <w:p w:rsidR="00745FEA" w:rsidRPr="006334D9" w:rsidRDefault="00745FEA" w:rsidP="00745FEA">
                  <w:pPr>
                    <w:pStyle w:val="TableBodyText"/>
                    <w:ind w:right="57"/>
                  </w:pPr>
                  <w:r w:rsidRPr="006334D9">
                    <w:t>0.2</w:t>
                  </w:r>
                </w:p>
              </w:tc>
              <w:tc>
                <w:tcPr>
                  <w:tcW w:w="464" w:type="pct"/>
                  <w:vAlign w:val="bottom"/>
                </w:tcPr>
                <w:p w:rsidR="00745FEA" w:rsidRPr="006334D9" w:rsidRDefault="00745FEA" w:rsidP="00745FEA">
                  <w:pPr>
                    <w:pStyle w:val="TableBodyText"/>
                    <w:ind w:right="57"/>
                  </w:pPr>
                  <w:r w:rsidRPr="006334D9">
                    <w:t>0.2</w:t>
                  </w:r>
                </w:p>
              </w:tc>
              <w:tc>
                <w:tcPr>
                  <w:tcW w:w="464" w:type="pct"/>
                  <w:vAlign w:val="bottom"/>
                </w:tcPr>
                <w:p w:rsidR="00745FEA" w:rsidRPr="006334D9" w:rsidRDefault="00745FEA" w:rsidP="00745FEA">
                  <w:pPr>
                    <w:pStyle w:val="TableBodyText"/>
                    <w:ind w:right="57"/>
                  </w:pPr>
                  <w:r w:rsidRPr="006334D9">
                    <w:t>0.4</w:t>
                  </w:r>
                </w:p>
              </w:tc>
              <w:tc>
                <w:tcPr>
                  <w:tcW w:w="464" w:type="pct"/>
                  <w:shd w:val="clear" w:color="auto" w:fill="auto"/>
                  <w:vAlign w:val="bottom"/>
                </w:tcPr>
                <w:p w:rsidR="00745FEA" w:rsidRPr="006334D9" w:rsidRDefault="00745FEA" w:rsidP="00745FEA">
                  <w:pPr>
                    <w:pStyle w:val="TableBodyText"/>
                    <w:ind w:right="57"/>
                  </w:pPr>
                  <w:r w:rsidRPr="006334D9">
                    <w:t>0.4</w:t>
                  </w:r>
                </w:p>
              </w:tc>
              <w:tc>
                <w:tcPr>
                  <w:tcW w:w="462" w:type="pct"/>
                  <w:shd w:val="clear" w:color="auto" w:fill="auto"/>
                  <w:vAlign w:val="bottom"/>
                </w:tcPr>
                <w:p w:rsidR="00745FEA" w:rsidRPr="006334D9" w:rsidRDefault="00745FEA" w:rsidP="00745FEA">
                  <w:pPr>
                    <w:pStyle w:val="TableBodyText"/>
                    <w:ind w:right="57"/>
                  </w:pPr>
                  <w:r w:rsidRPr="006334D9">
                    <w:t>0.6</w:t>
                  </w: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The Small Business and General Business Tax Break</w:t>
                  </w:r>
                </w:p>
              </w:tc>
              <w:tc>
                <w:tcPr>
                  <w:tcW w:w="465" w:type="pct"/>
                  <w:vAlign w:val="bottom"/>
                </w:tcPr>
                <w:p w:rsidR="00745FEA" w:rsidRPr="006334D9" w:rsidRDefault="00745FEA" w:rsidP="00745FEA">
                  <w:pPr>
                    <w:pStyle w:val="TableBodyText"/>
                    <w:ind w:right="57"/>
                  </w:pPr>
                  <w:r w:rsidRPr="006334D9">
                    <w:t>0.6</w:t>
                  </w:r>
                </w:p>
              </w:tc>
              <w:tc>
                <w:tcPr>
                  <w:tcW w:w="464" w:type="pct"/>
                  <w:vAlign w:val="bottom"/>
                </w:tcPr>
                <w:p w:rsidR="00745FEA" w:rsidRPr="006334D9" w:rsidRDefault="00745FEA" w:rsidP="00745FEA">
                  <w:pPr>
                    <w:pStyle w:val="TableBodyText"/>
                    <w:ind w:right="57"/>
                  </w:pPr>
                  <w:r w:rsidRPr="006334D9">
                    <w:t>0.2</w:t>
                  </w:r>
                </w:p>
              </w:tc>
              <w:tc>
                <w:tcPr>
                  <w:tcW w:w="464" w:type="pct"/>
                  <w:vAlign w:val="bottom"/>
                </w:tcPr>
                <w:p w:rsidR="00745FEA" w:rsidRPr="006334D9" w:rsidRDefault="00745FEA" w:rsidP="00745FEA">
                  <w:pPr>
                    <w:pStyle w:val="TableBodyText"/>
                    <w:ind w:right="57"/>
                  </w:pPr>
                  <w:r w:rsidRPr="006334D9">
                    <w:t>&lt;0.1</w:t>
                  </w:r>
                </w:p>
              </w:tc>
              <w:tc>
                <w:tcPr>
                  <w:tcW w:w="464" w:type="pct"/>
                  <w:vAlign w:val="bottom"/>
                </w:tcPr>
                <w:p w:rsidR="00745FEA" w:rsidRPr="006334D9" w:rsidRDefault="00745FEA" w:rsidP="00745FEA">
                  <w:pPr>
                    <w:pStyle w:val="TableBodyText"/>
                    <w:ind w:right="57"/>
                  </w:pPr>
                  <w:r w:rsidRPr="006334D9">
                    <w:t>–</w:t>
                  </w:r>
                </w:p>
              </w:tc>
              <w:tc>
                <w:tcPr>
                  <w:tcW w:w="464" w:type="pct"/>
                  <w:shd w:val="clear" w:color="auto" w:fill="auto"/>
                  <w:vAlign w:val="bottom"/>
                </w:tcPr>
                <w:p w:rsidR="00745FEA" w:rsidRPr="006334D9" w:rsidRDefault="00745FEA" w:rsidP="00745FEA">
                  <w:pPr>
                    <w:pStyle w:val="TableBodyText"/>
                    <w:ind w:right="57"/>
                  </w:pPr>
                  <w:r w:rsidRPr="006334D9">
                    <w:t>–</w:t>
                  </w:r>
                </w:p>
              </w:tc>
              <w:tc>
                <w:tcPr>
                  <w:tcW w:w="462" w:type="pct"/>
                  <w:shd w:val="clear" w:color="auto" w:fill="auto"/>
                  <w:vAlign w:val="bottom"/>
                </w:tcPr>
                <w:p w:rsidR="00745FEA" w:rsidRPr="006334D9" w:rsidRDefault="00745FEA" w:rsidP="00745FEA">
                  <w:pPr>
                    <w:pStyle w:val="TableBodyText"/>
                    <w:ind w:right="57"/>
                  </w:pPr>
                  <w:r w:rsidRPr="006334D9">
                    <w:t>–</w:t>
                  </w: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Small Business - Simplified depreciation rules</w:t>
                  </w:r>
                </w:p>
              </w:tc>
              <w:tc>
                <w:tcPr>
                  <w:tcW w:w="465" w:type="pct"/>
                  <w:vAlign w:val="bottom"/>
                </w:tcPr>
                <w:p w:rsidR="00745FEA" w:rsidRPr="006334D9" w:rsidRDefault="00745FEA" w:rsidP="00745FEA">
                  <w:pPr>
                    <w:pStyle w:val="TableBodyText"/>
                    <w:ind w:right="57"/>
                  </w:pPr>
                  <w:r w:rsidRPr="006334D9">
                    <w:t>&lt;0.1</w:t>
                  </w:r>
                </w:p>
              </w:tc>
              <w:tc>
                <w:tcPr>
                  <w:tcW w:w="464" w:type="pct"/>
                  <w:vAlign w:val="bottom"/>
                </w:tcPr>
                <w:p w:rsidR="00745FEA" w:rsidRPr="006334D9" w:rsidRDefault="00745FEA" w:rsidP="00745FEA">
                  <w:pPr>
                    <w:pStyle w:val="TableBodyText"/>
                    <w:ind w:right="57"/>
                  </w:pPr>
                  <w:r w:rsidRPr="006334D9">
                    <w:t>-0.3</w:t>
                  </w:r>
                </w:p>
              </w:tc>
              <w:tc>
                <w:tcPr>
                  <w:tcW w:w="464" w:type="pct"/>
                  <w:vAlign w:val="bottom"/>
                </w:tcPr>
                <w:p w:rsidR="00745FEA" w:rsidRPr="006334D9" w:rsidRDefault="00745FEA" w:rsidP="00745FEA">
                  <w:pPr>
                    <w:pStyle w:val="TableBodyText"/>
                    <w:ind w:right="57"/>
                  </w:pPr>
                  <w:r w:rsidRPr="006334D9">
                    <w:t>0.9</w:t>
                  </w:r>
                </w:p>
              </w:tc>
              <w:tc>
                <w:tcPr>
                  <w:tcW w:w="464" w:type="pct"/>
                  <w:vAlign w:val="bottom"/>
                </w:tcPr>
                <w:p w:rsidR="00745FEA" w:rsidRPr="006334D9" w:rsidRDefault="00745FEA" w:rsidP="00745FEA">
                  <w:pPr>
                    <w:pStyle w:val="TableBodyText"/>
                    <w:ind w:right="57"/>
                  </w:pPr>
                  <w:r w:rsidRPr="006334D9">
                    <w:t>-0.4</w:t>
                  </w:r>
                </w:p>
              </w:tc>
              <w:tc>
                <w:tcPr>
                  <w:tcW w:w="464" w:type="pct"/>
                  <w:shd w:val="clear" w:color="auto" w:fill="auto"/>
                  <w:vAlign w:val="bottom"/>
                </w:tcPr>
                <w:p w:rsidR="00745FEA" w:rsidRPr="006334D9" w:rsidRDefault="00745FEA" w:rsidP="00745FEA">
                  <w:pPr>
                    <w:pStyle w:val="TableBodyText"/>
                    <w:ind w:right="57"/>
                  </w:pPr>
                  <w:r w:rsidRPr="006334D9">
                    <w:t>-0.8</w:t>
                  </w:r>
                </w:p>
              </w:tc>
              <w:tc>
                <w:tcPr>
                  <w:tcW w:w="462" w:type="pct"/>
                  <w:shd w:val="clear" w:color="auto" w:fill="auto"/>
                  <w:vAlign w:val="bottom"/>
                </w:tcPr>
                <w:p w:rsidR="00745FEA" w:rsidRPr="006334D9" w:rsidRDefault="00745FEA" w:rsidP="00745FEA">
                  <w:pPr>
                    <w:pStyle w:val="TableBodyText"/>
                    <w:ind w:right="57"/>
                  </w:pPr>
                  <w:r w:rsidRPr="006334D9">
                    <w:t>4.4</w:t>
                  </w:r>
                </w:p>
              </w:tc>
            </w:tr>
            <w:tr w:rsidR="00745FEA" w:rsidTr="00745FEA">
              <w:tc>
                <w:tcPr>
                  <w:tcW w:w="2217" w:type="pct"/>
                  <w:tcBorders>
                    <w:bottom w:val="single" w:sz="6" w:space="0" w:color="BFBFBF"/>
                  </w:tcBorders>
                  <w:shd w:val="clear" w:color="auto" w:fill="auto"/>
                </w:tcPr>
                <w:p w:rsidR="00745FEA" w:rsidRPr="00495752" w:rsidRDefault="00745FEA" w:rsidP="00745FEA">
                  <w:pPr>
                    <w:pStyle w:val="TableBodyText"/>
                    <w:spacing w:after="0"/>
                    <w:ind w:left="227" w:right="0"/>
                    <w:jc w:val="left"/>
                  </w:pPr>
                  <w:r w:rsidRPr="00495752">
                    <w:t xml:space="preserve">Small business </w:t>
                  </w:r>
                  <w:r>
                    <w:t>capital gains tax</w:t>
                  </w:r>
                  <w:r w:rsidRPr="00495752">
                    <w:t xml:space="preserve"> retirement exemption</w:t>
                  </w:r>
                </w:p>
              </w:tc>
              <w:tc>
                <w:tcPr>
                  <w:tcW w:w="465" w:type="pct"/>
                  <w:tcBorders>
                    <w:bottom w:val="single" w:sz="6" w:space="0" w:color="BFBFBF"/>
                  </w:tcBorders>
                  <w:vAlign w:val="bottom"/>
                </w:tcPr>
                <w:p w:rsidR="00745FEA" w:rsidRPr="006334D9" w:rsidRDefault="00745FEA" w:rsidP="00745FEA">
                  <w:pPr>
                    <w:pStyle w:val="TableBodyText"/>
                    <w:ind w:right="57"/>
                  </w:pPr>
                  <w:r w:rsidRPr="006334D9">
                    <w:t>0.7</w:t>
                  </w:r>
                </w:p>
              </w:tc>
              <w:tc>
                <w:tcPr>
                  <w:tcW w:w="464" w:type="pct"/>
                  <w:tcBorders>
                    <w:bottom w:val="single" w:sz="6" w:space="0" w:color="BFBFBF"/>
                  </w:tcBorders>
                  <w:vAlign w:val="bottom"/>
                </w:tcPr>
                <w:p w:rsidR="00745FEA" w:rsidRPr="006334D9" w:rsidRDefault="00745FEA" w:rsidP="00745FEA">
                  <w:pPr>
                    <w:pStyle w:val="TableBodyText"/>
                    <w:ind w:right="57"/>
                  </w:pPr>
                  <w:r w:rsidRPr="006334D9">
                    <w:t>0.7</w:t>
                  </w:r>
                </w:p>
              </w:tc>
              <w:tc>
                <w:tcPr>
                  <w:tcW w:w="464" w:type="pct"/>
                  <w:tcBorders>
                    <w:bottom w:val="single" w:sz="6" w:space="0" w:color="BFBFBF"/>
                  </w:tcBorders>
                  <w:vAlign w:val="bottom"/>
                </w:tcPr>
                <w:p w:rsidR="00745FEA" w:rsidRPr="006334D9" w:rsidRDefault="00745FEA" w:rsidP="00745FEA">
                  <w:pPr>
                    <w:pStyle w:val="TableBodyText"/>
                    <w:ind w:right="57"/>
                  </w:pPr>
                  <w:r w:rsidRPr="006334D9">
                    <w:t>0.8</w:t>
                  </w:r>
                </w:p>
              </w:tc>
              <w:tc>
                <w:tcPr>
                  <w:tcW w:w="464" w:type="pct"/>
                  <w:tcBorders>
                    <w:bottom w:val="single" w:sz="6" w:space="0" w:color="BFBFBF"/>
                  </w:tcBorders>
                  <w:vAlign w:val="bottom"/>
                </w:tcPr>
                <w:p w:rsidR="00745FEA" w:rsidRPr="006334D9" w:rsidRDefault="00745FEA" w:rsidP="00745FEA">
                  <w:pPr>
                    <w:pStyle w:val="TableBodyText"/>
                    <w:ind w:right="57"/>
                  </w:pPr>
                  <w:r w:rsidRPr="006334D9">
                    <w:t>1.3</w:t>
                  </w:r>
                </w:p>
              </w:tc>
              <w:tc>
                <w:tcPr>
                  <w:tcW w:w="464" w:type="pct"/>
                  <w:tcBorders>
                    <w:bottom w:val="single" w:sz="6" w:space="0" w:color="BFBFBF"/>
                  </w:tcBorders>
                  <w:shd w:val="clear" w:color="auto" w:fill="auto"/>
                  <w:vAlign w:val="bottom"/>
                </w:tcPr>
                <w:p w:rsidR="00745FEA" w:rsidRPr="006334D9" w:rsidRDefault="00745FEA" w:rsidP="00745FEA">
                  <w:pPr>
                    <w:pStyle w:val="TableBodyText"/>
                    <w:ind w:right="57"/>
                  </w:pPr>
                  <w:r w:rsidRPr="006334D9">
                    <w:t>1.5</w:t>
                  </w:r>
                </w:p>
              </w:tc>
              <w:tc>
                <w:tcPr>
                  <w:tcW w:w="462" w:type="pct"/>
                  <w:tcBorders>
                    <w:bottom w:val="single" w:sz="6" w:space="0" w:color="BFBFBF"/>
                  </w:tcBorders>
                  <w:shd w:val="clear" w:color="auto" w:fill="auto"/>
                  <w:vAlign w:val="bottom"/>
                </w:tcPr>
                <w:p w:rsidR="00745FEA" w:rsidRPr="006334D9" w:rsidRDefault="00745FEA" w:rsidP="00745FEA">
                  <w:pPr>
                    <w:pStyle w:val="TableBodyText"/>
                    <w:ind w:right="57"/>
                  </w:pPr>
                  <w:r w:rsidRPr="006334D9">
                    <w:t>1.3</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6" w:type="dxa"/>
              <w:tblCellMar>
                <w:top w:w="28" w:type="dxa"/>
                <w:left w:w="0" w:type="dxa"/>
                <w:right w:w="0" w:type="dxa"/>
              </w:tblCellMar>
              <w:tblLook w:val="0000" w:firstRow="0" w:lastRow="0" w:firstColumn="0" w:lastColumn="0" w:noHBand="0" w:noVBand="0"/>
            </w:tblPr>
            <w:tblGrid>
              <w:gridCol w:w="3798"/>
              <w:gridCol w:w="797"/>
              <w:gridCol w:w="795"/>
              <w:gridCol w:w="795"/>
              <w:gridCol w:w="795"/>
              <w:gridCol w:w="795"/>
              <w:gridCol w:w="791"/>
            </w:tblGrid>
            <w:tr w:rsidR="00745FEA" w:rsidTr="00C719FB">
              <w:trPr>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7" w:type="pct"/>
                  <w:shd w:val="clear" w:color="auto" w:fill="auto"/>
                </w:tcPr>
                <w:p w:rsidR="00745FEA" w:rsidRPr="009B7716" w:rsidRDefault="00745FEA" w:rsidP="00745FEA">
                  <w:pPr>
                    <w:pStyle w:val="TableBodyText"/>
                    <w:tabs>
                      <w:tab w:val="left" w:pos="1088"/>
                    </w:tabs>
                    <w:spacing w:before="40" w:after="0"/>
                    <w:ind w:left="113"/>
                    <w:jc w:val="left"/>
                    <w:rPr>
                      <w:i/>
                    </w:rPr>
                  </w:pPr>
                  <w:r>
                    <w:rPr>
                      <w:i/>
                    </w:rPr>
                    <w:t>Other measures (continued)</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 xml:space="preserve">Small business </w:t>
                  </w:r>
                  <w:r>
                    <w:t>capital gains tax</w:t>
                  </w:r>
                  <w:r w:rsidRPr="00495752">
                    <w:t xml:space="preserve"> 50 per cent reduction</w:t>
                  </w:r>
                </w:p>
              </w:tc>
              <w:tc>
                <w:tcPr>
                  <w:tcW w:w="465" w:type="pct"/>
                  <w:vAlign w:val="bottom"/>
                </w:tcPr>
                <w:p w:rsidR="00745FEA" w:rsidRPr="006334D9" w:rsidRDefault="00745FEA" w:rsidP="00745FEA">
                  <w:pPr>
                    <w:pStyle w:val="TableBodyText"/>
                    <w:ind w:right="57"/>
                  </w:pPr>
                  <w:r w:rsidRPr="006334D9">
                    <w:t>1.0</w:t>
                  </w:r>
                </w:p>
              </w:tc>
              <w:tc>
                <w:tcPr>
                  <w:tcW w:w="464" w:type="pct"/>
                  <w:vAlign w:val="bottom"/>
                </w:tcPr>
                <w:p w:rsidR="00745FEA" w:rsidRPr="006334D9" w:rsidRDefault="00745FEA" w:rsidP="00745FEA">
                  <w:pPr>
                    <w:pStyle w:val="TableBodyText"/>
                    <w:ind w:right="57"/>
                  </w:pPr>
                  <w:r w:rsidRPr="006334D9">
                    <w:t>1.0</w:t>
                  </w:r>
                </w:p>
              </w:tc>
              <w:tc>
                <w:tcPr>
                  <w:tcW w:w="464" w:type="pct"/>
                  <w:vAlign w:val="bottom"/>
                </w:tcPr>
                <w:p w:rsidR="00745FEA" w:rsidRPr="006334D9" w:rsidRDefault="00745FEA" w:rsidP="00745FEA">
                  <w:pPr>
                    <w:pStyle w:val="TableBodyText"/>
                    <w:ind w:right="57"/>
                  </w:pPr>
                  <w:r w:rsidRPr="006334D9">
                    <w:t>1.0</w:t>
                  </w:r>
                </w:p>
              </w:tc>
              <w:tc>
                <w:tcPr>
                  <w:tcW w:w="464" w:type="pct"/>
                  <w:vAlign w:val="bottom"/>
                </w:tcPr>
                <w:p w:rsidR="00745FEA" w:rsidRPr="006334D9" w:rsidRDefault="00745FEA" w:rsidP="00745FEA">
                  <w:pPr>
                    <w:pStyle w:val="TableBodyText"/>
                    <w:ind w:right="57"/>
                  </w:pPr>
                  <w:r w:rsidRPr="006334D9">
                    <w:t>1.7</w:t>
                  </w:r>
                </w:p>
              </w:tc>
              <w:tc>
                <w:tcPr>
                  <w:tcW w:w="464" w:type="pct"/>
                  <w:shd w:val="clear" w:color="auto" w:fill="auto"/>
                  <w:vAlign w:val="bottom"/>
                </w:tcPr>
                <w:p w:rsidR="00745FEA" w:rsidRPr="006334D9" w:rsidRDefault="00745FEA" w:rsidP="00745FEA">
                  <w:pPr>
                    <w:pStyle w:val="TableBodyText"/>
                    <w:ind w:right="57"/>
                  </w:pPr>
                  <w:r w:rsidRPr="006334D9">
                    <w:t>1.6</w:t>
                  </w:r>
                </w:p>
              </w:tc>
              <w:tc>
                <w:tcPr>
                  <w:tcW w:w="462" w:type="pct"/>
                  <w:shd w:val="clear" w:color="auto" w:fill="auto"/>
                  <w:vAlign w:val="bottom"/>
                </w:tcPr>
                <w:p w:rsidR="00745FEA" w:rsidRPr="006334D9" w:rsidRDefault="00745FEA" w:rsidP="00745FEA">
                  <w:pPr>
                    <w:pStyle w:val="TableBodyText"/>
                    <w:ind w:right="57"/>
                  </w:pPr>
                  <w:r w:rsidRPr="006334D9">
                    <w:t>2.1</w:t>
                  </w:r>
                </w:p>
              </w:tc>
            </w:tr>
            <w:tr w:rsidR="00745FEA" w:rsidTr="00745FEA">
              <w:tc>
                <w:tcPr>
                  <w:tcW w:w="2217" w:type="pct"/>
                  <w:shd w:val="clear" w:color="auto" w:fill="auto"/>
                </w:tcPr>
                <w:p w:rsidR="00745FEA" w:rsidRPr="00495752" w:rsidRDefault="00745FEA" w:rsidP="00745FEA">
                  <w:pPr>
                    <w:pStyle w:val="TableBodyText"/>
                    <w:spacing w:after="0"/>
                    <w:ind w:left="227" w:right="0"/>
                    <w:jc w:val="left"/>
                  </w:pPr>
                  <w:r w:rsidRPr="00495752">
                    <w:t>25 per cent entrepreneurs' tax offset</w:t>
                  </w:r>
                </w:p>
              </w:tc>
              <w:tc>
                <w:tcPr>
                  <w:tcW w:w="465" w:type="pct"/>
                  <w:vAlign w:val="bottom"/>
                </w:tcPr>
                <w:p w:rsidR="00745FEA" w:rsidRPr="006334D9" w:rsidRDefault="00745FEA" w:rsidP="00745FEA">
                  <w:pPr>
                    <w:pStyle w:val="TableBodyText"/>
                    <w:ind w:right="57"/>
                  </w:pPr>
                  <w:r w:rsidRPr="006334D9">
                    <w:t>0.2</w:t>
                  </w:r>
                </w:p>
              </w:tc>
              <w:tc>
                <w:tcPr>
                  <w:tcW w:w="464" w:type="pct"/>
                  <w:vAlign w:val="bottom"/>
                </w:tcPr>
                <w:p w:rsidR="00745FEA" w:rsidRPr="006334D9" w:rsidRDefault="00745FEA" w:rsidP="00745FEA">
                  <w:pPr>
                    <w:pStyle w:val="TableBodyText"/>
                    <w:ind w:right="57"/>
                  </w:pPr>
                  <w:r w:rsidRPr="006334D9">
                    <w:t>0.3</w:t>
                  </w:r>
                </w:p>
              </w:tc>
              <w:tc>
                <w:tcPr>
                  <w:tcW w:w="464" w:type="pct"/>
                  <w:vAlign w:val="bottom"/>
                </w:tcPr>
                <w:p w:rsidR="00745FEA" w:rsidRPr="006334D9" w:rsidRDefault="00745FEA" w:rsidP="00745FEA">
                  <w:pPr>
                    <w:pStyle w:val="TableBodyText"/>
                    <w:ind w:right="57"/>
                  </w:pPr>
                  <w:r w:rsidRPr="006334D9">
                    <w:t>–</w:t>
                  </w:r>
                </w:p>
              </w:tc>
              <w:tc>
                <w:tcPr>
                  <w:tcW w:w="464" w:type="pct"/>
                  <w:vAlign w:val="bottom"/>
                </w:tcPr>
                <w:p w:rsidR="00745FEA" w:rsidRPr="006334D9" w:rsidRDefault="00745FEA" w:rsidP="00745FEA">
                  <w:pPr>
                    <w:pStyle w:val="TableBodyText"/>
                    <w:ind w:right="57"/>
                  </w:pPr>
                  <w:r w:rsidRPr="006334D9">
                    <w:t>–</w:t>
                  </w:r>
                </w:p>
              </w:tc>
              <w:tc>
                <w:tcPr>
                  <w:tcW w:w="464" w:type="pct"/>
                  <w:shd w:val="clear" w:color="auto" w:fill="auto"/>
                  <w:vAlign w:val="bottom"/>
                </w:tcPr>
                <w:p w:rsidR="00745FEA" w:rsidRPr="006334D9" w:rsidRDefault="00745FEA" w:rsidP="00745FEA">
                  <w:pPr>
                    <w:pStyle w:val="TableBodyText"/>
                    <w:ind w:right="57"/>
                  </w:pPr>
                  <w:r w:rsidRPr="006334D9">
                    <w:t>–</w:t>
                  </w:r>
                </w:p>
              </w:tc>
              <w:tc>
                <w:tcPr>
                  <w:tcW w:w="462" w:type="pct"/>
                  <w:shd w:val="clear" w:color="auto" w:fill="auto"/>
                  <w:vAlign w:val="bottom"/>
                </w:tcPr>
                <w:p w:rsidR="00745FEA" w:rsidRDefault="00745FEA" w:rsidP="00745FEA">
                  <w:pPr>
                    <w:pStyle w:val="TableBodyText"/>
                    <w:ind w:right="57"/>
                  </w:pPr>
                  <w:r w:rsidRPr="006334D9">
                    <w:t>–</w:t>
                  </w:r>
                </w:p>
              </w:tc>
            </w:tr>
            <w:tr w:rsidR="00745FEA" w:rsidTr="00745FEA">
              <w:tc>
                <w:tcPr>
                  <w:tcW w:w="2217" w:type="pct"/>
                  <w:shd w:val="clear" w:color="auto" w:fill="auto"/>
                </w:tcPr>
                <w:p w:rsidR="00745FEA" w:rsidRPr="009B7716" w:rsidRDefault="00745FEA" w:rsidP="00745FEA">
                  <w:pPr>
                    <w:pStyle w:val="TableBodyText"/>
                    <w:spacing w:before="20"/>
                    <w:jc w:val="left"/>
                    <w:rPr>
                      <w:i/>
                    </w:rPr>
                  </w:pPr>
                  <w:r w:rsidRPr="009B7716">
                    <w:rPr>
                      <w:i/>
                    </w:rPr>
                    <w:t>Total</w:t>
                  </w:r>
                </w:p>
              </w:tc>
              <w:tc>
                <w:tcPr>
                  <w:tcW w:w="465" w:type="pct"/>
                  <w:vAlign w:val="bottom"/>
                </w:tcPr>
                <w:p w:rsidR="00745FEA" w:rsidRPr="004817A9" w:rsidRDefault="00745FEA" w:rsidP="00745FEA">
                  <w:pPr>
                    <w:pStyle w:val="TableBodyText"/>
                    <w:spacing w:before="20"/>
                    <w:ind w:right="57"/>
                    <w:rPr>
                      <w:i/>
                    </w:rPr>
                  </w:pPr>
                  <w:r>
                    <w:rPr>
                      <w:i/>
                    </w:rPr>
                    <w:t>66.2</w:t>
                  </w:r>
                </w:p>
              </w:tc>
              <w:tc>
                <w:tcPr>
                  <w:tcW w:w="464" w:type="pct"/>
                  <w:vAlign w:val="bottom"/>
                </w:tcPr>
                <w:p w:rsidR="00745FEA" w:rsidRPr="004817A9" w:rsidRDefault="00745FEA" w:rsidP="00745FEA">
                  <w:pPr>
                    <w:pStyle w:val="TableBodyText"/>
                    <w:spacing w:before="20"/>
                    <w:ind w:right="57"/>
                    <w:rPr>
                      <w:i/>
                    </w:rPr>
                  </w:pPr>
                  <w:r>
                    <w:rPr>
                      <w:i/>
                    </w:rPr>
                    <w:t>46.4</w:t>
                  </w:r>
                </w:p>
              </w:tc>
              <w:tc>
                <w:tcPr>
                  <w:tcW w:w="464" w:type="pct"/>
                </w:tcPr>
                <w:p w:rsidR="00745FEA" w:rsidRPr="00150E2C" w:rsidRDefault="00745FEA" w:rsidP="00745FEA">
                  <w:pPr>
                    <w:pStyle w:val="TableBodyText"/>
                    <w:spacing w:before="20"/>
                    <w:ind w:right="57"/>
                    <w:rPr>
                      <w:i/>
                    </w:rPr>
                  </w:pPr>
                  <w:r>
                    <w:rPr>
                      <w:i/>
                    </w:rPr>
                    <w:t>42.6</w:t>
                  </w:r>
                </w:p>
              </w:tc>
              <w:tc>
                <w:tcPr>
                  <w:tcW w:w="464" w:type="pct"/>
                </w:tcPr>
                <w:p w:rsidR="00745FEA" w:rsidRPr="00150E2C" w:rsidRDefault="00745FEA" w:rsidP="00745FEA">
                  <w:pPr>
                    <w:pStyle w:val="TableBodyText"/>
                    <w:spacing w:before="20"/>
                    <w:ind w:right="57"/>
                    <w:rPr>
                      <w:i/>
                    </w:rPr>
                  </w:pPr>
                  <w:r>
                    <w:rPr>
                      <w:i/>
                    </w:rPr>
                    <w:t>51.5</w:t>
                  </w:r>
                </w:p>
              </w:tc>
              <w:tc>
                <w:tcPr>
                  <w:tcW w:w="464" w:type="pct"/>
                  <w:shd w:val="clear" w:color="auto" w:fill="auto"/>
                </w:tcPr>
                <w:p w:rsidR="00745FEA" w:rsidRPr="00150E2C" w:rsidRDefault="00745FEA" w:rsidP="00745FEA">
                  <w:pPr>
                    <w:pStyle w:val="TableBodyText"/>
                    <w:spacing w:before="20"/>
                    <w:ind w:right="57"/>
                    <w:rPr>
                      <w:i/>
                    </w:rPr>
                  </w:pPr>
                  <w:r>
                    <w:rPr>
                      <w:i/>
                    </w:rPr>
                    <w:t>57.5</w:t>
                  </w:r>
                </w:p>
              </w:tc>
              <w:tc>
                <w:tcPr>
                  <w:tcW w:w="462" w:type="pct"/>
                  <w:shd w:val="clear" w:color="auto" w:fill="auto"/>
                </w:tcPr>
                <w:p w:rsidR="00745FEA" w:rsidRPr="00150E2C" w:rsidRDefault="00745FEA" w:rsidP="00745FEA">
                  <w:pPr>
                    <w:pStyle w:val="TableBodyText"/>
                    <w:spacing w:before="20"/>
                    <w:ind w:right="57"/>
                    <w:rPr>
                      <w:i/>
                    </w:rPr>
                  </w:pPr>
                  <w:r>
                    <w:rPr>
                      <w:i/>
                    </w:rPr>
                    <w:t>63.1</w:t>
                  </w:r>
                </w:p>
              </w:tc>
            </w:tr>
            <w:tr w:rsidR="00745FEA" w:rsidTr="00745FEA">
              <w:tc>
                <w:tcPr>
                  <w:tcW w:w="2217" w:type="pct"/>
                  <w:shd w:val="clear" w:color="auto" w:fill="auto"/>
                </w:tcPr>
                <w:p w:rsidR="00745FEA" w:rsidRPr="009B7716" w:rsidRDefault="00745FEA" w:rsidP="00745FEA">
                  <w:pPr>
                    <w:pStyle w:val="TableBodyText"/>
                    <w:spacing w:before="40"/>
                    <w:jc w:val="left"/>
                    <w:rPr>
                      <w:b/>
                    </w:rPr>
                  </w:pPr>
                  <w:r w:rsidRPr="009B7716">
                    <w:rPr>
                      <w:b/>
                    </w:rPr>
                    <w:t>Aquaculture and fishing</w:t>
                  </w:r>
                </w:p>
              </w:tc>
              <w:tc>
                <w:tcPr>
                  <w:tcW w:w="465"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c>
                <w:tcPr>
                  <w:tcW w:w="462" w:type="pct"/>
                  <w:shd w:val="clear" w:color="auto" w:fill="auto"/>
                  <w:vAlign w:val="bottom"/>
                </w:tcPr>
                <w:p w:rsidR="00745FEA" w:rsidRDefault="00745FEA" w:rsidP="00745FEA">
                  <w:pPr>
                    <w:pStyle w:val="TableBodyText"/>
                    <w:spacing w:before="40"/>
                    <w:ind w:right="57"/>
                  </w:pPr>
                </w:p>
              </w:tc>
            </w:tr>
            <w:tr w:rsidR="00745FEA" w:rsidTr="00745FEA">
              <w:tc>
                <w:tcPr>
                  <w:tcW w:w="2217" w:type="pct"/>
                  <w:shd w:val="clear" w:color="auto" w:fill="auto"/>
                </w:tcPr>
                <w:p w:rsidR="00745FEA" w:rsidRPr="009B7716" w:rsidRDefault="00745FEA" w:rsidP="00745FEA">
                  <w:pPr>
                    <w:pStyle w:val="TableBodyText"/>
                    <w:spacing w:before="40" w:after="0"/>
                    <w:ind w:left="113"/>
                    <w:jc w:val="left"/>
                    <w:rPr>
                      <w:i/>
                    </w:rPr>
                  </w:pPr>
                  <w:r w:rsidRPr="009B7716">
                    <w:rPr>
                      <w:i/>
                    </w:rPr>
                    <w:t>Sector-specific measures</w:t>
                  </w: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A54DE9" w:rsidRDefault="00745FEA" w:rsidP="00745FEA">
                  <w:pPr>
                    <w:pStyle w:val="TableBodyText"/>
                    <w:spacing w:after="0"/>
                    <w:ind w:left="227" w:right="0"/>
                    <w:jc w:val="left"/>
                  </w:pPr>
                  <w:r w:rsidRPr="00A54DE9">
                    <w:t xml:space="preserve">Exceptional Circumstances - interest rate </w:t>
                  </w:r>
                  <w:r>
                    <w:t>subsidies</w:t>
                  </w:r>
                </w:p>
              </w:tc>
              <w:tc>
                <w:tcPr>
                  <w:tcW w:w="465" w:type="pct"/>
                  <w:vAlign w:val="bottom"/>
                </w:tcPr>
                <w:p w:rsidR="00745FEA" w:rsidRPr="000F4363" w:rsidRDefault="00745FEA" w:rsidP="00745FEA">
                  <w:pPr>
                    <w:pStyle w:val="TableBodyText"/>
                    <w:ind w:right="57"/>
                  </w:pPr>
                  <w:r w:rsidRPr="000F4363">
                    <w:t>&lt;0.1</w:t>
                  </w:r>
                </w:p>
              </w:tc>
              <w:tc>
                <w:tcPr>
                  <w:tcW w:w="464" w:type="pct"/>
                  <w:vAlign w:val="bottom"/>
                </w:tcPr>
                <w:p w:rsidR="00745FEA" w:rsidRPr="000F4363" w:rsidRDefault="00745FEA" w:rsidP="00745FEA">
                  <w:pPr>
                    <w:pStyle w:val="TableBodyText"/>
                    <w:ind w:right="57"/>
                  </w:pPr>
                  <w:r w:rsidRPr="000F4363">
                    <w:t>–</w:t>
                  </w:r>
                </w:p>
              </w:tc>
              <w:tc>
                <w:tcPr>
                  <w:tcW w:w="464" w:type="pct"/>
                  <w:vAlign w:val="bottom"/>
                </w:tcPr>
                <w:p w:rsidR="00745FEA" w:rsidRPr="000F4363" w:rsidRDefault="00745FEA" w:rsidP="00745FEA">
                  <w:pPr>
                    <w:pStyle w:val="TableBodyText"/>
                    <w:ind w:right="57"/>
                  </w:pPr>
                  <w:r w:rsidRPr="000F4363">
                    <w:t>–</w:t>
                  </w:r>
                </w:p>
              </w:tc>
              <w:tc>
                <w:tcPr>
                  <w:tcW w:w="464" w:type="pct"/>
                  <w:vAlign w:val="bottom"/>
                </w:tcPr>
                <w:p w:rsidR="00745FEA" w:rsidRPr="000F4363" w:rsidRDefault="00745FEA" w:rsidP="00745FEA">
                  <w:pPr>
                    <w:pStyle w:val="TableBodyText"/>
                    <w:ind w:right="57"/>
                  </w:pPr>
                  <w:r w:rsidRPr="000F4363">
                    <w:t>–</w:t>
                  </w:r>
                </w:p>
              </w:tc>
              <w:tc>
                <w:tcPr>
                  <w:tcW w:w="464" w:type="pct"/>
                  <w:shd w:val="clear" w:color="auto" w:fill="auto"/>
                  <w:vAlign w:val="bottom"/>
                </w:tcPr>
                <w:p w:rsidR="00745FEA" w:rsidRPr="000F4363" w:rsidRDefault="00745FEA" w:rsidP="00745FEA">
                  <w:pPr>
                    <w:pStyle w:val="TableBodyText"/>
                    <w:ind w:right="57"/>
                  </w:pPr>
                  <w:r w:rsidRPr="000F4363">
                    <w:t>–</w:t>
                  </w:r>
                </w:p>
              </w:tc>
              <w:tc>
                <w:tcPr>
                  <w:tcW w:w="462" w:type="pct"/>
                  <w:shd w:val="clear" w:color="auto" w:fill="auto"/>
                  <w:vAlign w:val="bottom"/>
                </w:tcPr>
                <w:p w:rsidR="00745FEA" w:rsidRPr="000F4363" w:rsidRDefault="00745FEA" w:rsidP="00745FEA">
                  <w:pPr>
                    <w:pStyle w:val="TableBodyText"/>
                    <w:ind w:right="57"/>
                  </w:pPr>
                  <w:r w:rsidRPr="000F4363">
                    <w:t>–</w:t>
                  </w:r>
                </w:p>
              </w:tc>
            </w:tr>
            <w:tr w:rsidR="00745FEA" w:rsidTr="00745FEA">
              <w:tc>
                <w:tcPr>
                  <w:tcW w:w="2217" w:type="pct"/>
                  <w:shd w:val="clear" w:color="auto" w:fill="auto"/>
                </w:tcPr>
                <w:p w:rsidR="00745FEA" w:rsidRPr="00A54DE9" w:rsidRDefault="00745FEA" w:rsidP="00745FEA">
                  <w:pPr>
                    <w:pStyle w:val="TableBodyText"/>
                    <w:spacing w:after="0"/>
                    <w:ind w:left="227" w:right="0"/>
                    <w:jc w:val="left"/>
                  </w:pPr>
                  <w:r w:rsidRPr="00A54DE9">
                    <w:t>Exceptional Circumstances - relief payments</w:t>
                  </w:r>
                </w:p>
              </w:tc>
              <w:tc>
                <w:tcPr>
                  <w:tcW w:w="465" w:type="pct"/>
                  <w:vAlign w:val="bottom"/>
                </w:tcPr>
                <w:p w:rsidR="00745FEA" w:rsidRPr="000F4363" w:rsidRDefault="00745FEA" w:rsidP="00745FEA">
                  <w:pPr>
                    <w:pStyle w:val="TableBodyText"/>
                    <w:ind w:right="57"/>
                  </w:pPr>
                  <w:r w:rsidRPr="000F4363">
                    <w:t>&lt;0.1</w:t>
                  </w:r>
                </w:p>
              </w:tc>
              <w:tc>
                <w:tcPr>
                  <w:tcW w:w="464" w:type="pct"/>
                  <w:vAlign w:val="bottom"/>
                </w:tcPr>
                <w:p w:rsidR="00745FEA" w:rsidRPr="000F4363" w:rsidRDefault="00745FEA" w:rsidP="00745FEA">
                  <w:pPr>
                    <w:pStyle w:val="TableBodyText"/>
                    <w:ind w:right="57"/>
                  </w:pPr>
                  <w:r w:rsidRPr="000F4363">
                    <w:t>–</w:t>
                  </w:r>
                </w:p>
              </w:tc>
              <w:tc>
                <w:tcPr>
                  <w:tcW w:w="464" w:type="pct"/>
                  <w:vAlign w:val="bottom"/>
                </w:tcPr>
                <w:p w:rsidR="00745FEA" w:rsidRPr="000F4363" w:rsidRDefault="00745FEA" w:rsidP="00745FEA">
                  <w:pPr>
                    <w:pStyle w:val="TableBodyText"/>
                    <w:ind w:right="57"/>
                  </w:pPr>
                  <w:r w:rsidRPr="000F4363">
                    <w:t>–</w:t>
                  </w:r>
                </w:p>
              </w:tc>
              <w:tc>
                <w:tcPr>
                  <w:tcW w:w="464" w:type="pct"/>
                  <w:vAlign w:val="bottom"/>
                </w:tcPr>
                <w:p w:rsidR="00745FEA" w:rsidRPr="000F4363" w:rsidRDefault="00745FEA" w:rsidP="00745FEA">
                  <w:pPr>
                    <w:pStyle w:val="TableBodyText"/>
                    <w:ind w:right="57"/>
                  </w:pPr>
                  <w:r w:rsidRPr="000F4363">
                    <w:t>–</w:t>
                  </w:r>
                </w:p>
              </w:tc>
              <w:tc>
                <w:tcPr>
                  <w:tcW w:w="464" w:type="pct"/>
                  <w:shd w:val="clear" w:color="auto" w:fill="auto"/>
                  <w:vAlign w:val="bottom"/>
                </w:tcPr>
                <w:p w:rsidR="00745FEA" w:rsidRPr="000F4363" w:rsidRDefault="00745FEA" w:rsidP="00745FEA">
                  <w:pPr>
                    <w:pStyle w:val="TableBodyText"/>
                    <w:ind w:right="57"/>
                  </w:pPr>
                  <w:r w:rsidRPr="000F4363">
                    <w:t>–</w:t>
                  </w:r>
                </w:p>
              </w:tc>
              <w:tc>
                <w:tcPr>
                  <w:tcW w:w="462" w:type="pct"/>
                  <w:shd w:val="clear" w:color="auto" w:fill="auto"/>
                  <w:vAlign w:val="bottom"/>
                </w:tcPr>
                <w:p w:rsidR="00745FEA" w:rsidRPr="000F4363" w:rsidRDefault="00745FEA" w:rsidP="00745FEA">
                  <w:pPr>
                    <w:pStyle w:val="TableBodyText"/>
                    <w:ind w:right="57"/>
                  </w:pPr>
                  <w:r w:rsidRPr="000F4363">
                    <w:t>–</w:t>
                  </w:r>
                </w:p>
              </w:tc>
            </w:tr>
            <w:tr w:rsidR="00745FEA" w:rsidTr="00745FEA">
              <w:tc>
                <w:tcPr>
                  <w:tcW w:w="2217" w:type="pct"/>
                  <w:shd w:val="clear" w:color="auto" w:fill="auto"/>
                </w:tcPr>
                <w:p w:rsidR="00745FEA" w:rsidRPr="00A54DE9" w:rsidRDefault="00745FEA" w:rsidP="00745FEA">
                  <w:pPr>
                    <w:pStyle w:val="TableBodyText"/>
                    <w:spacing w:after="0"/>
                    <w:ind w:left="227" w:right="0"/>
                    <w:jc w:val="left"/>
                  </w:pPr>
                  <w:r w:rsidRPr="00A54DE9">
                    <w:t>Interim Income Support</w:t>
                  </w:r>
                </w:p>
              </w:tc>
              <w:tc>
                <w:tcPr>
                  <w:tcW w:w="465" w:type="pct"/>
                  <w:vAlign w:val="bottom"/>
                </w:tcPr>
                <w:p w:rsidR="00745FEA" w:rsidRPr="000F4363" w:rsidRDefault="00745FEA" w:rsidP="00745FEA">
                  <w:pPr>
                    <w:pStyle w:val="TableBodyText"/>
                    <w:ind w:right="57"/>
                  </w:pPr>
                  <w:r w:rsidRPr="000F4363">
                    <w:t>&lt;0.1</w:t>
                  </w:r>
                </w:p>
              </w:tc>
              <w:tc>
                <w:tcPr>
                  <w:tcW w:w="464" w:type="pct"/>
                  <w:vAlign w:val="bottom"/>
                </w:tcPr>
                <w:p w:rsidR="00745FEA" w:rsidRPr="000F4363" w:rsidRDefault="00745FEA" w:rsidP="00745FEA">
                  <w:pPr>
                    <w:pStyle w:val="TableBodyText"/>
                    <w:ind w:right="57"/>
                  </w:pPr>
                  <w:r w:rsidRPr="000F4363">
                    <w:t>–</w:t>
                  </w:r>
                </w:p>
              </w:tc>
              <w:tc>
                <w:tcPr>
                  <w:tcW w:w="464" w:type="pct"/>
                  <w:vAlign w:val="bottom"/>
                </w:tcPr>
                <w:p w:rsidR="00745FEA" w:rsidRPr="000F4363" w:rsidRDefault="00745FEA" w:rsidP="00745FEA">
                  <w:pPr>
                    <w:pStyle w:val="TableBodyText"/>
                    <w:ind w:right="57"/>
                  </w:pPr>
                  <w:r w:rsidRPr="000F4363">
                    <w:t>–</w:t>
                  </w:r>
                </w:p>
              </w:tc>
              <w:tc>
                <w:tcPr>
                  <w:tcW w:w="464" w:type="pct"/>
                  <w:vAlign w:val="bottom"/>
                </w:tcPr>
                <w:p w:rsidR="00745FEA" w:rsidRPr="000F4363" w:rsidRDefault="00745FEA" w:rsidP="00745FEA">
                  <w:pPr>
                    <w:pStyle w:val="TableBodyText"/>
                    <w:ind w:right="57"/>
                  </w:pPr>
                  <w:r w:rsidRPr="000F4363">
                    <w:t>–</w:t>
                  </w:r>
                </w:p>
              </w:tc>
              <w:tc>
                <w:tcPr>
                  <w:tcW w:w="464" w:type="pct"/>
                  <w:shd w:val="clear" w:color="auto" w:fill="auto"/>
                  <w:vAlign w:val="bottom"/>
                </w:tcPr>
                <w:p w:rsidR="00745FEA" w:rsidRPr="000F4363" w:rsidRDefault="00745FEA" w:rsidP="00745FEA">
                  <w:pPr>
                    <w:pStyle w:val="TableBodyText"/>
                    <w:ind w:right="57"/>
                  </w:pPr>
                  <w:r w:rsidRPr="000F4363">
                    <w:t>–</w:t>
                  </w:r>
                </w:p>
              </w:tc>
              <w:tc>
                <w:tcPr>
                  <w:tcW w:w="462" w:type="pct"/>
                  <w:shd w:val="clear" w:color="auto" w:fill="auto"/>
                  <w:vAlign w:val="bottom"/>
                </w:tcPr>
                <w:p w:rsidR="00745FEA" w:rsidRPr="000F4363" w:rsidRDefault="00745FEA" w:rsidP="00745FEA">
                  <w:pPr>
                    <w:pStyle w:val="TableBodyText"/>
                    <w:ind w:right="57"/>
                  </w:pPr>
                  <w:r w:rsidRPr="000F4363">
                    <w:t>–</w:t>
                  </w:r>
                </w:p>
              </w:tc>
            </w:tr>
            <w:tr w:rsidR="00745FEA" w:rsidTr="00745FEA">
              <w:tc>
                <w:tcPr>
                  <w:tcW w:w="2217" w:type="pct"/>
                  <w:shd w:val="clear" w:color="auto" w:fill="auto"/>
                </w:tcPr>
                <w:p w:rsidR="00745FEA" w:rsidRPr="00A54DE9" w:rsidRDefault="00745FEA" w:rsidP="00745FEA">
                  <w:pPr>
                    <w:pStyle w:val="TableBodyText"/>
                    <w:spacing w:after="0"/>
                    <w:ind w:left="227" w:right="0"/>
                    <w:jc w:val="left"/>
                  </w:pPr>
                  <w:r w:rsidRPr="00A54DE9">
                    <w:t>Rural Financial Counselling Service</w:t>
                  </w:r>
                </w:p>
              </w:tc>
              <w:tc>
                <w:tcPr>
                  <w:tcW w:w="465" w:type="pct"/>
                  <w:vAlign w:val="bottom"/>
                </w:tcPr>
                <w:p w:rsidR="00745FEA" w:rsidRPr="000F4363" w:rsidRDefault="00745FEA" w:rsidP="00745FEA">
                  <w:pPr>
                    <w:pStyle w:val="TableBodyText"/>
                    <w:ind w:right="57"/>
                  </w:pPr>
                  <w:r w:rsidRPr="000F4363">
                    <w:t>0.1</w:t>
                  </w:r>
                </w:p>
              </w:tc>
              <w:tc>
                <w:tcPr>
                  <w:tcW w:w="464" w:type="pct"/>
                  <w:vAlign w:val="bottom"/>
                </w:tcPr>
                <w:p w:rsidR="00745FEA" w:rsidRPr="000F4363" w:rsidRDefault="00745FEA" w:rsidP="00745FEA">
                  <w:pPr>
                    <w:pStyle w:val="TableBodyText"/>
                    <w:ind w:right="57"/>
                  </w:pPr>
                  <w:r w:rsidRPr="000F4363">
                    <w:t>0.1</w:t>
                  </w:r>
                </w:p>
              </w:tc>
              <w:tc>
                <w:tcPr>
                  <w:tcW w:w="464" w:type="pct"/>
                  <w:vAlign w:val="bottom"/>
                </w:tcPr>
                <w:p w:rsidR="00745FEA" w:rsidRPr="000F4363" w:rsidRDefault="00745FEA" w:rsidP="00745FEA">
                  <w:pPr>
                    <w:pStyle w:val="TableBodyText"/>
                    <w:ind w:right="57"/>
                  </w:pPr>
                  <w:r w:rsidRPr="000F4363">
                    <w:t>0.1</w:t>
                  </w:r>
                </w:p>
              </w:tc>
              <w:tc>
                <w:tcPr>
                  <w:tcW w:w="464" w:type="pct"/>
                  <w:vAlign w:val="bottom"/>
                </w:tcPr>
                <w:p w:rsidR="00745FEA" w:rsidRPr="000F4363" w:rsidRDefault="00745FEA" w:rsidP="00745FEA">
                  <w:pPr>
                    <w:pStyle w:val="TableBodyText"/>
                    <w:ind w:right="57"/>
                  </w:pPr>
                  <w:r w:rsidRPr="000F4363">
                    <w:t>0.1</w:t>
                  </w:r>
                </w:p>
              </w:tc>
              <w:tc>
                <w:tcPr>
                  <w:tcW w:w="464" w:type="pct"/>
                  <w:shd w:val="clear" w:color="auto" w:fill="auto"/>
                  <w:vAlign w:val="bottom"/>
                </w:tcPr>
                <w:p w:rsidR="00745FEA" w:rsidRPr="000F4363" w:rsidRDefault="00745FEA" w:rsidP="00745FEA">
                  <w:pPr>
                    <w:pStyle w:val="TableBodyText"/>
                    <w:ind w:right="57"/>
                  </w:pPr>
                  <w:r w:rsidRPr="000F4363">
                    <w:t>0.2</w:t>
                  </w:r>
                </w:p>
              </w:tc>
              <w:tc>
                <w:tcPr>
                  <w:tcW w:w="462" w:type="pct"/>
                  <w:shd w:val="clear" w:color="auto" w:fill="auto"/>
                  <w:vAlign w:val="bottom"/>
                </w:tcPr>
                <w:p w:rsidR="00745FEA" w:rsidRPr="000F4363" w:rsidRDefault="00745FEA" w:rsidP="00745FEA">
                  <w:pPr>
                    <w:pStyle w:val="TableBodyText"/>
                    <w:ind w:right="57"/>
                  </w:pPr>
                  <w:r w:rsidRPr="000F4363">
                    <w:t>0.4</w:t>
                  </w:r>
                </w:p>
              </w:tc>
            </w:tr>
            <w:tr w:rsidR="00745FEA" w:rsidTr="00745FEA">
              <w:tc>
                <w:tcPr>
                  <w:tcW w:w="2217" w:type="pct"/>
                  <w:shd w:val="clear" w:color="auto" w:fill="auto"/>
                </w:tcPr>
                <w:p w:rsidR="00745FEA" w:rsidRPr="00A54DE9" w:rsidRDefault="00745FEA" w:rsidP="00745FEA">
                  <w:pPr>
                    <w:pStyle w:val="TableBodyText"/>
                    <w:spacing w:after="0"/>
                    <w:ind w:left="227" w:right="0"/>
                    <w:jc w:val="left"/>
                  </w:pPr>
                  <w:r w:rsidRPr="00A54DE9">
                    <w:t>Income tax averaging provisions</w:t>
                  </w:r>
                </w:p>
              </w:tc>
              <w:tc>
                <w:tcPr>
                  <w:tcW w:w="465" w:type="pct"/>
                  <w:vAlign w:val="bottom"/>
                </w:tcPr>
                <w:p w:rsidR="00745FEA" w:rsidRPr="000F4363" w:rsidRDefault="00745FEA" w:rsidP="00745FEA">
                  <w:pPr>
                    <w:pStyle w:val="TableBodyText"/>
                    <w:ind w:right="57"/>
                  </w:pPr>
                  <w:r w:rsidRPr="000F4363">
                    <w:t>6.6</w:t>
                  </w:r>
                </w:p>
              </w:tc>
              <w:tc>
                <w:tcPr>
                  <w:tcW w:w="464" w:type="pct"/>
                  <w:vAlign w:val="bottom"/>
                </w:tcPr>
                <w:p w:rsidR="00745FEA" w:rsidRPr="000F4363" w:rsidRDefault="00745FEA" w:rsidP="00745FEA">
                  <w:pPr>
                    <w:pStyle w:val="TableBodyText"/>
                    <w:ind w:right="57"/>
                  </w:pPr>
                  <w:r w:rsidRPr="000F4363">
                    <w:t>7.0</w:t>
                  </w:r>
                </w:p>
              </w:tc>
              <w:tc>
                <w:tcPr>
                  <w:tcW w:w="464" w:type="pct"/>
                  <w:vAlign w:val="bottom"/>
                </w:tcPr>
                <w:p w:rsidR="00745FEA" w:rsidRPr="000F4363" w:rsidRDefault="00745FEA" w:rsidP="00745FEA">
                  <w:pPr>
                    <w:pStyle w:val="TableBodyText"/>
                    <w:ind w:right="57"/>
                  </w:pPr>
                  <w:r w:rsidRPr="000F4363">
                    <w:t>8.7</w:t>
                  </w:r>
                </w:p>
              </w:tc>
              <w:tc>
                <w:tcPr>
                  <w:tcW w:w="464" w:type="pct"/>
                  <w:vAlign w:val="bottom"/>
                </w:tcPr>
                <w:p w:rsidR="00745FEA" w:rsidRPr="000F4363" w:rsidRDefault="00745FEA" w:rsidP="00745FEA">
                  <w:pPr>
                    <w:pStyle w:val="TableBodyText"/>
                    <w:ind w:right="57"/>
                  </w:pPr>
                  <w:r w:rsidRPr="000F4363">
                    <w:t>13.8</w:t>
                  </w:r>
                </w:p>
              </w:tc>
              <w:tc>
                <w:tcPr>
                  <w:tcW w:w="464" w:type="pct"/>
                  <w:shd w:val="clear" w:color="auto" w:fill="auto"/>
                  <w:vAlign w:val="bottom"/>
                </w:tcPr>
                <w:p w:rsidR="00745FEA" w:rsidRPr="000F4363" w:rsidRDefault="00745FEA" w:rsidP="00745FEA">
                  <w:pPr>
                    <w:pStyle w:val="TableBodyText"/>
                    <w:ind w:right="57"/>
                  </w:pPr>
                  <w:r w:rsidRPr="000F4363">
                    <w:t>14.5</w:t>
                  </w:r>
                </w:p>
              </w:tc>
              <w:tc>
                <w:tcPr>
                  <w:tcW w:w="462" w:type="pct"/>
                  <w:shd w:val="clear" w:color="auto" w:fill="auto"/>
                  <w:vAlign w:val="bottom"/>
                </w:tcPr>
                <w:p w:rsidR="00745FEA" w:rsidRPr="000F4363" w:rsidRDefault="00745FEA" w:rsidP="00745FEA">
                  <w:pPr>
                    <w:pStyle w:val="TableBodyText"/>
                    <w:ind w:right="57"/>
                  </w:pPr>
                  <w:r w:rsidRPr="000F4363">
                    <w:t>9.9</w:t>
                  </w:r>
                </w:p>
              </w:tc>
            </w:tr>
            <w:tr w:rsidR="00745FEA" w:rsidTr="00745FEA">
              <w:tc>
                <w:tcPr>
                  <w:tcW w:w="2217" w:type="pct"/>
                  <w:shd w:val="clear" w:color="auto" w:fill="auto"/>
                </w:tcPr>
                <w:p w:rsidR="00745FEA" w:rsidRPr="00A54DE9" w:rsidRDefault="00745FEA" w:rsidP="00745FEA">
                  <w:pPr>
                    <w:pStyle w:val="TableBodyText"/>
                    <w:spacing w:after="0"/>
                    <w:ind w:left="227" w:right="0"/>
                    <w:jc w:val="left"/>
                  </w:pPr>
                  <w:r w:rsidRPr="00A54DE9">
                    <w:t>Tax deduction for conserving or conveying water</w:t>
                  </w:r>
                </w:p>
              </w:tc>
              <w:tc>
                <w:tcPr>
                  <w:tcW w:w="465" w:type="pct"/>
                  <w:vAlign w:val="bottom"/>
                </w:tcPr>
                <w:p w:rsidR="00745FEA" w:rsidRPr="000F4363" w:rsidRDefault="00745FEA" w:rsidP="00745FEA">
                  <w:pPr>
                    <w:pStyle w:val="TableBodyText"/>
                    <w:ind w:right="57"/>
                  </w:pPr>
                  <w:r w:rsidRPr="000F4363">
                    <w:t>0.6</w:t>
                  </w:r>
                </w:p>
              </w:tc>
              <w:tc>
                <w:tcPr>
                  <w:tcW w:w="464" w:type="pct"/>
                  <w:vAlign w:val="bottom"/>
                </w:tcPr>
                <w:p w:rsidR="00745FEA" w:rsidRPr="000F4363" w:rsidRDefault="00745FEA" w:rsidP="00745FEA">
                  <w:pPr>
                    <w:pStyle w:val="TableBodyText"/>
                    <w:ind w:right="57"/>
                  </w:pPr>
                  <w:r w:rsidRPr="000F4363">
                    <w:t>0.3</w:t>
                  </w:r>
                </w:p>
              </w:tc>
              <w:tc>
                <w:tcPr>
                  <w:tcW w:w="464" w:type="pct"/>
                  <w:vAlign w:val="bottom"/>
                </w:tcPr>
                <w:p w:rsidR="00745FEA" w:rsidRPr="000F4363" w:rsidRDefault="00745FEA" w:rsidP="00745FEA">
                  <w:pPr>
                    <w:pStyle w:val="TableBodyText"/>
                    <w:ind w:right="57"/>
                  </w:pPr>
                  <w:r w:rsidRPr="000F4363">
                    <w:t>0.3</w:t>
                  </w:r>
                </w:p>
              </w:tc>
              <w:tc>
                <w:tcPr>
                  <w:tcW w:w="464" w:type="pct"/>
                  <w:vAlign w:val="bottom"/>
                </w:tcPr>
                <w:p w:rsidR="00745FEA" w:rsidRPr="000F4363" w:rsidRDefault="00745FEA" w:rsidP="00745FEA">
                  <w:pPr>
                    <w:pStyle w:val="TableBodyText"/>
                    <w:ind w:right="57"/>
                  </w:pPr>
                  <w:r w:rsidRPr="000F4363">
                    <w:t>&lt;0.1</w:t>
                  </w:r>
                </w:p>
              </w:tc>
              <w:tc>
                <w:tcPr>
                  <w:tcW w:w="464" w:type="pct"/>
                  <w:shd w:val="clear" w:color="auto" w:fill="auto"/>
                  <w:vAlign w:val="bottom"/>
                </w:tcPr>
                <w:p w:rsidR="00745FEA" w:rsidRPr="000F4363" w:rsidRDefault="00745FEA" w:rsidP="00745FEA">
                  <w:pPr>
                    <w:pStyle w:val="TableBodyText"/>
                    <w:ind w:right="57"/>
                  </w:pPr>
                  <w:r w:rsidRPr="000F4363">
                    <w:t>&lt;0.1</w:t>
                  </w:r>
                </w:p>
              </w:tc>
              <w:tc>
                <w:tcPr>
                  <w:tcW w:w="462" w:type="pct"/>
                  <w:shd w:val="clear" w:color="auto" w:fill="auto"/>
                  <w:vAlign w:val="bottom"/>
                </w:tcPr>
                <w:p w:rsidR="00745FEA" w:rsidRDefault="00745FEA" w:rsidP="00745FEA">
                  <w:pPr>
                    <w:pStyle w:val="TableBodyText"/>
                    <w:ind w:right="57"/>
                  </w:pPr>
                  <w:r w:rsidRPr="000F4363">
                    <w:t>0.2</w:t>
                  </w:r>
                </w:p>
              </w:tc>
            </w:tr>
            <w:tr w:rsidR="00745FEA" w:rsidTr="00745FEA">
              <w:tc>
                <w:tcPr>
                  <w:tcW w:w="2217" w:type="pct"/>
                  <w:shd w:val="clear" w:color="auto" w:fill="auto"/>
                </w:tcPr>
                <w:p w:rsidR="00745FEA" w:rsidRPr="00A10F95" w:rsidRDefault="00745FEA" w:rsidP="00745FEA">
                  <w:pPr>
                    <w:pStyle w:val="TableBodyText"/>
                    <w:spacing w:before="40" w:after="0"/>
                    <w:ind w:left="113" w:hanging="6"/>
                    <w:jc w:val="left"/>
                    <w:rPr>
                      <w:i/>
                    </w:rPr>
                  </w:pPr>
                  <w:r w:rsidRPr="00A10F95">
                    <w:rPr>
                      <w:i/>
                    </w:rPr>
                    <w:t>Rural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C45D00" w:rsidRDefault="00745FEA" w:rsidP="00745FEA">
                  <w:pPr>
                    <w:pStyle w:val="TableBodyText"/>
                    <w:spacing w:after="0"/>
                    <w:ind w:left="227" w:right="0"/>
                    <w:jc w:val="left"/>
                  </w:pPr>
                  <w:r w:rsidRPr="00C45D00">
                    <w:t xml:space="preserve">Fisheries </w:t>
                  </w:r>
                  <w:r>
                    <w:t>R&amp;D Corporation</w:t>
                  </w:r>
                </w:p>
              </w:tc>
              <w:tc>
                <w:tcPr>
                  <w:tcW w:w="465" w:type="pct"/>
                  <w:vAlign w:val="bottom"/>
                </w:tcPr>
                <w:p w:rsidR="00745FEA" w:rsidRPr="00B60030" w:rsidRDefault="00745FEA" w:rsidP="00745FEA">
                  <w:pPr>
                    <w:pStyle w:val="TableBodyText"/>
                    <w:ind w:right="57"/>
                  </w:pPr>
                  <w:r w:rsidRPr="00B60030">
                    <w:t>16.6</w:t>
                  </w:r>
                </w:p>
              </w:tc>
              <w:tc>
                <w:tcPr>
                  <w:tcW w:w="464" w:type="pct"/>
                  <w:vAlign w:val="bottom"/>
                </w:tcPr>
                <w:p w:rsidR="00745FEA" w:rsidRPr="00B60030" w:rsidRDefault="00745FEA" w:rsidP="00745FEA">
                  <w:pPr>
                    <w:pStyle w:val="TableBodyText"/>
                    <w:ind w:right="57"/>
                  </w:pPr>
                  <w:r w:rsidRPr="00B60030">
                    <w:t>17.2</w:t>
                  </w:r>
                </w:p>
              </w:tc>
              <w:tc>
                <w:tcPr>
                  <w:tcW w:w="464" w:type="pct"/>
                  <w:vAlign w:val="bottom"/>
                </w:tcPr>
                <w:p w:rsidR="00745FEA" w:rsidRPr="00B60030" w:rsidRDefault="00745FEA" w:rsidP="00745FEA">
                  <w:pPr>
                    <w:pStyle w:val="TableBodyText"/>
                    <w:ind w:right="57"/>
                  </w:pPr>
                  <w:r w:rsidRPr="00B60030">
                    <w:t>17.9</w:t>
                  </w:r>
                </w:p>
              </w:tc>
              <w:tc>
                <w:tcPr>
                  <w:tcW w:w="464" w:type="pct"/>
                  <w:vAlign w:val="bottom"/>
                </w:tcPr>
                <w:p w:rsidR="00745FEA" w:rsidRPr="00B60030" w:rsidRDefault="00745FEA" w:rsidP="00745FEA">
                  <w:pPr>
                    <w:pStyle w:val="TableBodyText"/>
                    <w:ind w:right="57"/>
                  </w:pPr>
                  <w:r w:rsidRPr="00B60030">
                    <w:t>18.7</w:t>
                  </w:r>
                </w:p>
              </w:tc>
              <w:tc>
                <w:tcPr>
                  <w:tcW w:w="464" w:type="pct"/>
                  <w:shd w:val="clear" w:color="auto" w:fill="auto"/>
                  <w:vAlign w:val="bottom"/>
                </w:tcPr>
                <w:p w:rsidR="00745FEA" w:rsidRPr="00B60030" w:rsidRDefault="00745FEA" w:rsidP="00745FEA">
                  <w:pPr>
                    <w:pStyle w:val="TableBodyText"/>
                    <w:ind w:right="57"/>
                  </w:pPr>
                  <w:r w:rsidRPr="00B60030">
                    <w:t>20.0</w:t>
                  </w:r>
                </w:p>
              </w:tc>
              <w:tc>
                <w:tcPr>
                  <w:tcW w:w="462" w:type="pct"/>
                  <w:shd w:val="clear" w:color="auto" w:fill="auto"/>
                  <w:vAlign w:val="bottom"/>
                </w:tcPr>
                <w:p w:rsidR="00745FEA" w:rsidRPr="00B60030" w:rsidRDefault="00745FEA" w:rsidP="00745FEA">
                  <w:pPr>
                    <w:pStyle w:val="TableBodyText"/>
                    <w:ind w:right="57"/>
                  </w:pPr>
                  <w:r w:rsidRPr="00B60030">
                    <w:t>21.8</w:t>
                  </w:r>
                </w:p>
              </w:tc>
            </w:tr>
            <w:tr w:rsidR="00745FEA" w:rsidTr="00745FEA">
              <w:tc>
                <w:tcPr>
                  <w:tcW w:w="2217" w:type="pct"/>
                  <w:shd w:val="clear" w:color="auto" w:fill="auto"/>
                </w:tcPr>
                <w:p w:rsidR="00745FEA" w:rsidRPr="00C45D00" w:rsidRDefault="00745FEA" w:rsidP="00745FEA">
                  <w:pPr>
                    <w:pStyle w:val="TableBodyText"/>
                    <w:spacing w:after="0"/>
                    <w:ind w:left="227" w:right="0"/>
                    <w:jc w:val="left"/>
                  </w:pPr>
                  <w:r w:rsidRPr="00C45D00">
                    <w:t>Fisheries Resources Research Fund</w:t>
                  </w:r>
                </w:p>
              </w:tc>
              <w:tc>
                <w:tcPr>
                  <w:tcW w:w="465" w:type="pct"/>
                  <w:vAlign w:val="bottom"/>
                </w:tcPr>
                <w:p w:rsidR="00745FEA" w:rsidRPr="00B60030" w:rsidRDefault="00745FEA" w:rsidP="00745FEA">
                  <w:pPr>
                    <w:pStyle w:val="TableBodyText"/>
                    <w:ind w:right="57"/>
                  </w:pPr>
                  <w:r w:rsidRPr="00B60030">
                    <w:t>0.1</w:t>
                  </w:r>
                </w:p>
              </w:tc>
              <w:tc>
                <w:tcPr>
                  <w:tcW w:w="464" w:type="pct"/>
                  <w:vAlign w:val="bottom"/>
                </w:tcPr>
                <w:p w:rsidR="00745FEA" w:rsidRPr="00B60030" w:rsidRDefault="00745FEA" w:rsidP="00745FEA">
                  <w:pPr>
                    <w:pStyle w:val="TableBodyText"/>
                    <w:ind w:right="57"/>
                  </w:pPr>
                  <w:r w:rsidRPr="00B60030">
                    <w:t>2.1</w:t>
                  </w:r>
                </w:p>
              </w:tc>
              <w:tc>
                <w:tcPr>
                  <w:tcW w:w="464" w:type="pct"/>
                  <w:vAlign w:val="bottom"/>
                </w:tcPr>
                <w:p w:rsidR="00745FEA" w:rsidRPr="00B60030" w:rsidRDefault="00745FEA" w:rsidP="00745FEA">
                  <w:pPr>
                    <w:pStyle w:val="TableBodyText"/>
                    <w:ind w:right="57"/>
                  </w:pPr>
                  <w:r w:rsidRPr="00B60030">
                    <w:t>2.0</w:t>
                  </w:r>
                </w:p>
              </w:tc>
              <w:tc>
                <w:tcPr>
                  <w:tcW w:w="464" w:type="pct"/>
                  <w:vAlign w:val="bottom"/>
                </w:tcPr>
                <w:p w:rsidR="00745FEA" w:rsidRPr="00B60030" w:rsidRDefault="00745FEA" w:rsidP="00745FEA">
                  <w:pPr>
                    <w:pStyle w:val="TableBodyText"/>
                    <w:ind w:right="57"/>
                  </w:pPr>
                  <w:r w:rsidRPr="00B60030">
                    <w:t>0.3</w:t>
                  </w:r>
                </w:p>
              </w:tc>
              <w:tc>
                <w:tcPr>
                  <w:tcW w:w="464" w:type="pct"/>
                  <w:shd w:val="clear" w:color="auto" w:fill="auto"/>
                  <w:vAlign w:val="bottom"/>
                </w:tcPr>
                <w:p w:rsidR="00745FEA" w:rsidRPr="00B60030" w:rsidRDefault="00745FEA" w:rsidP="00745FEA">
                  <w:pPr>
                    <w:pStyle w:val="TableBodyText"/>
                    <w:ind w:right="57"/>
                  </w:pPr>
                  <w:r w:rsidRPr="00B60030">
                    <w:t>0.4</w:t>
                  </w:r>
                </w:p>
              </w:tc>
              <w:tc>
                <w:tcPr>
                  <w:tcW w:w="462" w:type="pct"/>
                  <w:shd w:val="clear" w:color="auto" w:fill="auto"/>
                  <w:vAlign w:val="bottom"/>
                </w:tcPr>
                <w:p w:rsidR="00745FEA" w:rsidRDefault="00745FEA" w:rsidP="00745FEA">
                  <w:pPr>
                    <w:pStyle w:val="TableBodyText"/>
                    <w:ind w:right="57"/>
                  </w:pPr>
                  <w:r w:rsidRPr="00B60030">
                    <w:t>1.0</w:t>
                  </w:r>
                </w:p>
              </w:tc>
            </w:tr>
            <w:tr w:rsidR="00745FEA" w:rsidTr="00745FEA">
              <w:trPr>
                <w:trHeight w:val="114"/>
              </w:trPr>
              <w:tc>
                <w:tcPr>
                  <w:tcW w:w="2217" w:type="pct"/>
                  <w:shd w:val="clear" w:color="auto" w:fill="auto"/>
                </w:tcPr>
                <w:p w:rsidR="00745FEA" w:rsidRPr="00A10F95" w:rsidRDefault="00745FEA" w:rsidP="00745FEA">
                  <w:pPr>
                    <w:pStyle w:val="TableBodyText"/>
                    <w:spacing w:before="40" w:after="0"/>
                    <w:ind w:left="113"/>
                    <w:jc w:val="left"/>
                    <w:rPr>
                      <w:i/>
                    </w:rPr>
                  </w:pPr>
                  <w:r w:rsidRPr="00A10F95">
                    <w:rPr>
                      <w:i/>
                    </w:rPr>
                    <w:t>General export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CC30B9" w:rsidRDefault="00745FEA" w:rsidP="00745FEA">
                  <w:pPr>
                    <w:pStyle w:val="TableBodyText"/>
                    <w:spacing w:after="0"/>
                    <w:ind w:left="227" w:right="0"/>
                    <w:jc w:val="left"/>
                  </w:pPr>
                  <w:r w:rsidRPr="00CC30B9">
                    <w:t>Export Market Development Grants Scheme</w:t>
                  </w:r>
                </w:p>
              </w:tc>
              <w:tc>
                <w:tcPr>
                  <w:tcW w:w="465" w:type="pct"/>
                  <w:vAlign w:val="bottom"/>
                </w:tcPr>
                <w:p w:rsidR="00745FEA" w:rsidRPr="0030750F" w:rsidRDefault="00745FEA" w:rsidP="00745FEA">
                  <w:pPr>
                    <w:pStyle w:val="TableBodyText"/>
                    <w:ind w:right="57"/>
                  </w:pPr>
                  <w:r w:rsidRPr="0030750F">
                    <w:t>0.4</w:t>
                  </w:r>
                </w:p>
              </w:tc>
              <w:tc>
                <w:tcPr>
                  <w:tcW w:w="464" w:type="pct"/>
                  <w:vAlign w:val="bottom"/>
                </w:tcPr>
                <w:p w:rsidR="00745FEA" w:rsidRPr="0030750F" w:rsidRDefault="00745FEA" w:rsidP="00745FEA">
                  <w:pPr>
                    <w:pStyle w:val="TableBodyText"/>
                    <w:ind w:right="57"/>
                  </w:pPr>
                  <w:r w:rsidRPr="0030750F">
                    <w:t>0.4</w:t>
                  </w:r>
                </w:p>
              </w:tc>
              <w:tc>
                <w:tcPr>
                  <w:tcW w:w="464" w:type="pct"/>
                  <w:vAlign w:val="bottom"/>
                </w:tcPr>
                <w:p w:rsidR="00745FEA" w:rsidRPr="0030750F" w:rsidRDefault="00745FEA" w:rsidP="00745FEA">
                  <w:pPr>
                    <w:pStyle w:val="TableBodyText"/>
                    <w:ind w:right="57"/>
                  </w:pPr>
                  <w:r w:rsidRPr="0030750F">
                    <w:t>0.3</w:t>
                  </w:r>
                </w:p>
              </w:tc>
              <w:tc>
                <w:tcPr>
                  <w:tcW w:w="464" w:type="pct"/>
                  <w:vAlign w:val="bottom"/>
                </w:tcPr>
                <w:p w:rsidR="00745FEA" w:rsidRPr="0030750F" w:rsidRDefault="00745FEA" w:rsidP="00745FEA">
                  <w:pPr>
                    <w:pStyle w:val="TableBodyText"/>
                    <w:ind w:right="57"/>
                  </w:pPr>
                  <w:r w:rsidRPr="0030750F">
                    <w:t>0.3</w:t>
                  </w:r>
                </w:p>
              </w:tc>
              <w:tc>
                <w:tcPr>
                  <w:tcW w:w="464" w:type="pct"/>
                  <w:shd w:val="clear" w:color="auto" w:fill="auto"/>
                  <w:vAlign w:val="bottom"/>
                </w:tcPr>
                <w:p w:rsidR="00745FEA" w:rsidRPr="0030750F" w:rsidRDefault="00745FEA" w:rsidP="00745FEA">
                  <w:pPr>
                    <w:pStyle w:val="TableBodyText"/>
                    <w:ind w:right="57"/>
                  </w:pPr>
                  <w:r w:rsidRPr="0030750F">
                    <w:t>0.2</w:t>
                  </w:r>
                </w:p>
              </w:tc>
              <w:tc>
                <w:tcPr>
                  <w:tcW w:w="462" w:type="pct"/>
                  <w:shd w:val="clear" w:color="auto" w:fill="auto"/>
                  <w:vAlign w:val="bottom"/>
                </w:tcPr>
                <w:p w:rsidR="00745FEA" w:rsidRDefault="00745FEA" w:rsidP="00745FEA">
                  <w:pPr>
                    <w:pStyle w:val="TableBodyText"/>
                    <w:ind w:right="57"/>
                  </w:pPr>
                  <w:r w:rsidRPr="0030750F">
                    <w:t>0.6</w:t>
                  </w:r>
                </w:p>
              </w:tc>
            </w:tr>
            <w:tr w:rsidR="00745FEA" w:rsidTr="00745FEA">
              <w:tc>
                <w:tcPr>
                  <w:tcW w:w="2217" w:type="pct"/>
                  <w:shd w:val="clear" w:color="auto" w:fill="auto"/>
                </w:tcPr>
                <w:p w:rsidR="00745FEA" w:rsidRPr="00CC30B9" w:rsidRDefault="00745FEA" w:rsidP="00745FEA">
                  <w:pPr>
                    <w:pStyle w:val="TableBodyText"/>
                    <w:spacing w:after="0"/>
                    <w:ind w:left="227" w:right="0"/>
                    <w:jc w:val="left"/>
                  </w:pPr>
                  <w:r w:rsidRPr="00CC30B9">
                    <w:t>TRADEX</w:t>
                  </w:r>
                </w:p>
              </w:tc>
              <w:tc>
                <w:tcPr>
                  <w:tcW w:w="465" w:type="pct"/>
                  <w:vAlign w:val="bottom"/>
                </w:tcPr>
                <w:p w:rsidR="00745FEA" w:rsidRPr="009170D7" w:rsidRDefault="00745FEA" w:rsidP="00745FEA">
                  <w:pPr>
                    <w:pStyle w:val="TableBodyText"/>
                    <w:ind w:right="57"/>
                  </w:pPr>
                  <w:r w:rsidRPr="009170D7">
                    <w:t>&lt;0.1</w:t>
                  </w:r>
                </w:p>
              </w:tc>
              <w:tc>
                <w:tcPr>
                  <w:tcW w:w="464" w:type="pct"/>
                  <w:vAlign w:val="bottom"/>
                </w:tcPr>
                <w:p w:rsidR="00745FEA" w:rsidRPr="009170D7" w:rsidRDefault="00745FEA" w:rsidP="00745FEA">
                  <w:pPr>
                    <w:pStyle w:val="TableBodyText"/>
                    <w:ind w:right="57"/>
                  </w:pPr>
                  <w:r w:rsidRPr="009170D7">
                    <w:t>&lt;0.1</w:t>
                  </w:r>
                </w:p>
              </w:tc>
              <w:tc>
                <w:tcPr>
                  <w:tcW w:w="464" w:type="pct"/>
                  <w:vAlign w:val="bottom"/>
                </w:tcPr>
                <w:p w:rsidR="00745FEA" w:rsidRPr="009170D7" w:rsidRDefault="00745FEA" w:rsidP="00745FEA">
                  <w:pPr>
                    <w:pStyle w:val="TableBodyText"/>
                    <w:ind w:right="57"/>
                  </w:pPr>
                  <w:r w:rsidRPr="009170D7">
                    <w:t>&lt;0.1</w:t>
                  </w:r>
                </w:p>
              </w:tc>
              <w:tc>
                <w:tcPr>
                  <w:tcW w:w="464" w:type="pct"/>
                  <w:vAlign w:val="bottom"/>
                </w:tcPr>
                <w:p w:rsidR="00745FEA" w:rsidRPr="009170D7" w:rsidRDefault="00745FEA" w:rsidP="00745FEA">
                  <w:pPr>
                    <w:pStyle w:val="TableBodyText"/>
                    <w:ind w:right="57"/>
                  </w:pPr>
                  <w:r w:rsidRPr="009170D7">
                    <w:t>&lt;0.1</w:t>
                  </w:r>
                </w:p>
              </w:tc>
              <w:tc>
                <w:tcPr>
                  <w:tcW w:w="464" w:type="pct"/>
                  <w:shd w:val="clear" w:color="auto" w:fill="auto"/>
                  <w:vAlign w:val="bottom"/>
                </w:tcPr>
                <w:p w:rsidR="00745FEA" w:rsidRPr="009170D7" w:rsidRDefault="00745FEA" w:rsidP="00745FEA">
                  <w:pPr>
                    <w:pStyle w:val="TableBodyText"/>
                    <w:ind w:right="57"/>
                  </w:pPr>
                  <w:r w:rsidRPr="009170D7">
                    <w:t>&lt;0.1</w:t>
                  </w:r>
                </w:p>
              </w:tc>
              <w:tc>
                <w:tcPr>
                  <w:tcW w:w="462" w:type="pct"/>
                  <w:shd w:val="clear" w:color="auto" w:fill="auto"/>
                  <w:vAlign w:val="bottom"/>
                </w:tcPr>
                <w:p w:rsidR="00745FEA" w:rsidRDefault="00745FEA" w:rsidP="00745FEA">
                  <w:pPr>
                    <w:pStyle w:val="TableBodyText"/>
                    <w:ind w:right="57"/>
                  </w:pPr>
                  <w:r w:rsidRPr="009170D7">
                    <w:t>&lt;0.1</w:t>
                  </w:r>
                </w:p>
              </w:tc>
            </w:tr>
            <w:tr w:rsidR="00745FEA" w:rsidTr="00745FEA">
              <w:tc>
                <w:tcPr>
                  <w:tcW w:w="2217" w:type="pct"/>
                </w:tcPr>
                <w:p w:rsidR="00745FEA" w:rsidRPr="00CB4D08" w:rsidRDefault="00745FEA" w:rsidP="00745FEA">
                  <w:pPr>
                    <w:pStyle w:val="TableUnitsRow"/>
                    <w:spacing w:after="0"/>
                    <w:ind w:left="113"/>
                    <w:jc w:val="left"/>
                    <w:rPr>
                      <w:i/>
                    </w:rPr>
                  </w:pPr>
                  <w:r w:rsidRPr="00CB4D08">
                    <w:rPr>
                      <w:i/>
                    </w:rPr>
                    <w:t>General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vAlign w:val="bottom"/>
                </w:tcPr>
                <w:p w:rsidR="00745FEA" w:rsidRDefault="00745FEA" w:rsidP="00745FEA">
                  <w:pPr>
                    <w:pStyle w:val="TableBodyText"/>
                    <w:ind w:right="57"/>
                  </w:pPr>
                </w:p>
              </w:tc>
            </w:tr>
            <w:tr w:rsidR="00745FEA" w:rsidTr="00745FEA">
              <w:tc>
                <w:tcPr>
                  <w:tcW w:w="2217" w:type="pct"/>
                </w:tcPr>
                <w:p w:rsidR="00745FEA" w:rsidRPr="008B2F3E" w:rsidRDefault="00745FEA" w:rsidP="00745FEA">
                  <w:pPr>
                    <w:pStyle w:val="TableBodyText"/>
                    <w:spacing w:after="0"/>
                    <w:ind w:left="227" w:right="0"/>
                    <w:jc w:val="left"/>
                  </w:pPr>
                  <w:r w:rsidRPr="008B2F3E">
                    <w:t>Commercialisation Australia</w:t>
                  </w:r>
                </w:p>
              </w:tc>
              <w:tc>
                <w:tcPr>
                  <w:tcW w:w="465" w:type="pct"/>
                  <w:vAlign w:val="bottom"/>
                </w:tcPr>
                <w:p w:rsidR="00745FEA" w:rsidRPr="00D37496" w:rsidRDefault="00745FEA" w:rsidP="00745FEA">
                  <w:pPr>
                    <w:pStyle w:val="TableBodyText"/>
                    <w:ind w:right="57"/>
                  </w:pPr>
                  <w:r w:rsidRPr="00D37496">
                    <w:t>1.1</w:t>
                  </w:r>
                </w:p>
              </w:tc>
              <w:tc>
                <w:tcPr>
                  <w:tcW w:w="464" w:type="pct"/>
                  <w:vAlign w:val="bottom"/>
                </w:tcPr>
                <w:p w:rsidR="00745FEA" w:rsidRPr="00D37496" w:rsidRDefault="00745FEA" w:rsidP="00745FEA">
                  <w:pPr>
                    <w:pStyle w:val="TableBodyText"/>
                    <w:ind w:right="57"/>
                  </w:pPr>
                  <w:r w:rsidRPr="00D37496">
                    <w:t>1.7</w:t>
                  </w:r>
                </w:p>
              </w:tc>
              <w:tc>
                <w:tcPr>
                  <w:tcW w:w="464" w:type="pct"/>
                  <w:vAlign w:val="bottom"/>
                </w:tcPr>
                <w:p w:rsidR="00745FEA" w:rsidRPr="00D37496" w:rsidRDefault="00745FEA" w:rsidP="00745FEA">
                  <w:pPr>
                    <w:pStyle w:val="TableBodyText"/>
                    <w:ind w:right="57"/>
                  </w:pPr>
                  <w:r w:rsidRPr="00D37496">
                    <w:t>2.1</w:t>
                  </w:r>
                </w:p>
              </w:tc>
              <w:tc>
                <w:tcPr>
                  <w:tcW w:w="464" w:type="pct"/>
                  <w:vAlign w:val="bottom"/>
                </w:tcPr>
                <w:p w:rsidR="00745FEA" w:rsidRPr="00D37496" w:rsidRDefault="00745FEA" w:rsidP="00745FEA">
                  <w:pPr>
                    <w:pStyle w:val="TableBodyText"/>
                    <w:ind w:right="57"/>
                  </w:pPr>
                  <w:r w:rsidRPr="00D37496">
                    <w:t>0.7</w:t>
                  </w:r>
                </w:p>
              </w:tc>
              <w:tc>
                <w:tcPr>
                  <w:tcW w:w="464" w:type="pct"/>
                  <w:vAlign w:val="bottom"/>
                </w:tcPr>
                <w:p w:rsidR="00745FEA" w:rsidRPr="00D37496" w:rsidRDefault="00745FEA" w:rsidP="00745FEA">
                  <w:pPr>
                    <w:pStyle w:val="TableBodyText"/>
                    <w:ind w:right="57"/>
                  </w:pPr>
                  <w:r w:rsidRPr="00D37496">
                    <w:t>&lt;0.1</w:t>
                  </w:r>
                </w:p>
              </w:tc>
              <w:tc>
                <w:tcPr>
                  <w:tcW w:w="462" w:type="pct"/>
                  <w:vAlign w:val="bottom"/>
                </w:tcPr>
                <w:p w:rsidR="00745FEA" w:rsidRPr="00D37496" w:rsidRDefault="00745FEA" w:rsidP="00745FEA">
                  <w:pPr>
                    <w:pStyle w:val="TableBodyText"/>
                    <w:ind w:right="57"/>
                  </w:pPr>
                  <w:r w:rsidRPr="00D37496">
                    <w:t>–</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Commercial Ready Program</w:t>
                  </w:r>
                </w:p>
              </w:tc>
              <w:tc>
                <w:tcPr>
                  <w:tcW w:w="465" w:type="pct"/>
                  <w:vAlign w:val="bottom"/>
                </w:tcPr>
                <w:p w:rsidR="00745FEA" w:rsidRPr="00D37496" w:rsidRDefault="00745FEA" w:rsidP="00745FEA">
                  <w:pPr>
                    <w:pStyle w:val="TableBodyText"/>
                    <w:ind w:right="57"/>
                  </w:pPr>
                  <w:r w:rsidRPr="00D37496">
                    <w:t>&lt;0.1</w:t>
                  </w:r>
                </w:p>
              </w:tc>
              <w:tc>
                <w:tcPr>
                  <w:tcW w:w="464" w:type="pct"/>
                  <w:vAlign w:val="bottom"/>
                </w:tcPr>
                <w:p w:rsidR="00745FEA" w:rsidRPr="00D37496" w:rsidRDefault="00745FEA" w:rsidP="00745FEA">
                  <w:pPr>
                    <w:pStyle w:val="TableBodyText"/>
                    <w:ind w:right="57"/>
                  </w:pPr>
                  <w:r w:rsidRPr="00D37496">
                    <w:t>–</w:t>
                  </w:r>
                </w:p>
              </w:tc>
              <w:tc>
                <w:tcPr>
                  <w:tcW w:w="464" w:type="pct"/>
                  <w:vAlign w:val="bottom"/>
                </w:tcPr>
                <w:p w:rsidR="00745FEA" w:rsidRPr="00D37496" w:rsidRDefault="00745FEA" w:rsidP="00745FEA">
                  <w:pPr>
                    <w:pStyle w:val="TableBodyText"/>
                    <w:ind w:right="57"/>
                  </w:pPr>
                  <w:r w:rsidRPr="00D37496">
                    <w:t>–</w:t>
                  </w:r>
                </w:p>
              </w:tc>
              <w:tc>
                <w:tcPr>
                  <w:tcW w:w="464" w:type="pct"/>
                  <w:vAlign w:val="bottom"/>
                </w:tcPr>
                <w:p w:rsidR="00745FEA" w:rsidRPr="00D37496" w:rsidRDefault="00745FEA" w:rsidP="00745FEA">
                  <w:pPr>
                    <w:pStyle w:val="TableBodyText"/>
                    <w:ind w:right="57"/>
                  </w:pPr>
                  <w:r w:rsidRPr="00D37496">
                    <w:t>–</w:t>
                  </w:r>
                </w:p>
              </w:tc>
              <w:tc>
                <w:tcPr>
                  <w:tcW w:w="464" w:type="pct"/>
                  <w:shd w:val="clear" w:color="auto" w:fill="auto"/>
                  <w:vAlign w:val="bottom"/>
                </w:tcPr>
                <w:p w:rsidR="00745FEA" w:rsidRPr="00D37496" w:rsidRDefault="00745FEA" w:rsidP="00745FEA">
                  <w:pPr>
                    <w:pStyle w:val="TableBodyText"/>
                    <w:ind w:right="57"/>
                  </w:pPr>
                  <w:r w:rsidRPr="00D37496">
                    <w:t>–</w:t>
                  </w:r>
                </w:p>
              </w:tc>
              <w:tc>
                <w:tcPr>
                  <w:tcW w:w="462" w:type="pct"/>
                  <w:shd w:val="clear" w:color="auto" w:fill="auto"/>
                  <w:vAlign w:val="bottom"/>
                </w:tcPr>
                <w:p w:rsidR="00745FEA" w:rsidRPr="00D37496" w:rsidRDefault="00745FEA" w:rsidP="00745FEA">
                  <w:pPr>
                    <w:pStyle w:val="TableBodyText"/>
                    <w:ind w:right="57"/>
                  </w:pPr>
                  <w:r w:rsidRPr="00D37496">
                    <w:t>–</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Cooperative Research Centres</w:t>
                  </w:r>
                </w:p>
              </w:tc>
              <w:tc>
                <w:tcPr>
                  <w:tcW w:w="465" w:type="pct"/>
                  <w:vAlign w:val="bottom"/>
                </w:tcPr>
                <w:p w:rsidR="00745FEA" w:rsidRPr="00D37496" w:rsidRDefault="00745FEA" w:rsidP="00745FEA">
                  <w:pPr>
                    <w:pStyle w:val="TableBodyText"/>
                    <w:ind w:right="57"/>
                  </w:pPr>
                  <w:r w:rsidRPr="00D37496">
                    <w:t>5.4</w:t>
                  </w:r>
                </w:p>
              </w:tc>
              <w:tc>
                <w:tcPr>
                  <w:tcW w:w="464" w:type="pct"/>
                  <w:vAlign w:val="bottom"/>
                </w:tcPr>
                <w:p w:rsidR="00745FEA" w:rsidRPr="00D37496" w:rsidRDefault="00745FEA" w:rsidP="00745FEA">
                  <w:pPr>
                    <w:pStyle w:val="TableBodyText"/>
                    <w:ind w:right="57"/>
                  </w:pPr>
                  <w:r w:rsidRPr="00D37496">
                    <w:t>5.1</w:t>
                  </w:r>
                </w:p>
              </w:tc>
              <w:tc>
                <w:tcPr>
                  <w:tcW w:w="464" w:type="pct"/>
                  <w:vAlign w:val="bottom"/>
                </w:tcPr>
                <w:p w:rsidR="00745FEA" w:rsidRPr="00D37496" w:rsidRDefault="00745FEA" w:rsidP="00745FEA">
                  <w:pPr>
                    <w:pStyle w:val="TableBodyText"/>
                    <w:ind w:right="57"/>
                  </w:pPr>
                  <w:r w:rsidRPr="00D37496">
                    <w:t>4.8</w:t>
                  </w:r>
                </w:p>
              </w:tc>
              <w:tc>
                <w:tcPr>
                  <w:tcW w:w="464" w:type="pct"/>
                  <w:vAlign w:val="bottom"/>
                </w:tcPr>
                <w:p w:rsidR="00745FEA" w:rsidRPr="00D37496" w:rsidRDefault="00745FEA" w:rsidP="00745FEA">
                  <w:pPr>
                    <w:pStyle w:val="TableBodyText"/>
                    <w:ind w:right="57"/>
                  </w:pPr>
                  <w:r w:rsidRPr="00D37496">
                    <w:t>–</w:t>
                  </w:r>
                </w:p>
              </w:tc>
              <w:tc>
                <w:tcPr>
                  <w:tcW w:w="464" w:type="pct"/>
                  <w:shd w:val="clear" w:color="auto" w:fill="auto"/>
                  <w:vAlign w:val="bottom"/>
                </w:tcPr>
                <w:p w:rsidR="00745FEA" w:rsidRPr="00D37496" w:rsidRDefault="00745FEA" w:rsidP="00745FEA">
                  <w:pPr>
                    <w:pStyle w:val="TableBodyText"/>
                    <w:ind w:right="57"/>
                  </w:pPr>
                  <w:r w:rsidRPr="00D37496">
                    <w:t>–</w:t>
                  </w:r>
                </w:p>
              </w:tc>
              <w:tc>
                <w:tcPr>
                  <w:tcW w:w="462" w:type="pct"/>
                  <w:shd w:val="clear" w:color="auto" w:fill="auto"/>
                  <w:vAlign w:val="bottom"/>
                </w:tcPr>
                <w:p w:rsidR="00745FEA" w:rsidRPr="00D37496" w:rsidRDefault="00745FEA" w:rsidP="00745FEA">
                  <w:pPr>
                    <w:pStyle w:val="TableBodyText"/>
                    <w:ind w:right="57"/>
                  </w:pPr>
                  <w:r w:rsidRPr="00D37496">
                    <w:t>–</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CSIRO</w:t>
                  </w:r>
                </w:p>
              </w:tc>
              <w:tc>
                <w:tcPr>
                  <w:tcW w:w="465" w:type="pct"/>
                  <w:vAlign w:val="bottom"/>
                </w:tcPr>
                <w:p w:rsidR="00745FEA" w:rsidRPr="00D37496" w:rsidRDefault="00745FEA" w:rsidP="00745FEA">
                  <w:pPr>
                    <w:pStyle w:val="TableBodyText"/>
                    <w:ind w:right="57"/>
                  </w:pPr>
                  <w:r w:rsidRPr="00D37496">
                    <w:t>21.0</w:t>
                  </w:r>
                </w:p>
              </w:tc>
              <w:tc>
                <w:tcPr>
                  <w:tcW w:w="464" w:type="pct"/>
                  <w:vAlign w:val="bottom"/>
                </w:tcPr>
                <w:p w:rsidR="00745FEA" w:rsidRPr="00D37496" w:rsidRDefault="00745FEA" w:rsidP="00745FEA">
                  <w:pPr>
                    <w:pStyle w:val="TableBodyText"/>
                    <w:ind w:right="57"/>
                  </w:pPr>
                  <w:r w:rsidRPr="00D37496">
                    <w:t>13.9</w:t>
                  </w:r>
                </w:p>
              </w:tc>
              <w:tc>
                <w:tcPr>
                  <w:tcW w:w="464" w:type="pct"/>
                  <w:vAlign w:val="bottom"/>
                </w:tcPr>
                <w:p w:rsidR="00745FEA" w:rsidRPr="00D37496" w:rsidRDefault="00745FEA" w:rsidP="00745FEA">
                  <w:pPr>
                    <w:pStyle w:val="TableBodyText"/>
                    <w:ind w:right="57"/>
                  </w:pPr>
                  <w:r w:rsidRPr="00D37496">
                    <w:t>15.0</w:t>
                  </w:r>
                </w:p>
              </w:tc>
              <w:tc>
                <w:tcPr>
                  <w:tcW w:w="464" w:type="pct"/>
                  <w:vAlign w:val="bottom"/>
                </w:tcPr>
                <w:p w:rsidR="00745FEA" w:rsidRPr="00D37496" w:rsidRDefault="00745FEA" w:rsidP="00745FEA">
                  <w:pPr>
                    <w:pStyle w:val="TableBodyText"/>
                    <w:ind w:right="57"/>
                  </w:pPr>
                  <w:r w:rsidRPr="00D37496">
                    <w:t>22.3</w:t>
                  </w:r>
                </w:p>
              </w:tc>
              <w:tc>
                <w:tcPr>
                  <w:tcW w:w="464" w:type="pct"/>
                  <w:shd w:val="clear" w:color="auto" w:fill="auto"/>
                  <w:vAlign w:val="bottom"/>
                </w:tcPr>
                <w:p w:rsidR="00745FEA" w:rsidRPr="00D37496" w:rsidRDefault="00745FEA" w:rsidP="00745FEA">
                  <w:pPr>
                    <w:pStyle w:val="TableBodyText"/>
                    <w:ind w:right="57"/>
                  </w:pPr>
                  <w:r w:rsidRPr="00D37496">
                    <w:t>24.4</w:t>
                  </w:r>
                </w:p>
              </w:tc>
              <w:tc>
                <w:tcPr>
                  <w:tcW w:w="462" w:type="pct"/>
                  <w:shd w:val="clear" w:color="auto" w:fill="auto"/>
                  <w:vAlign w:val="bottom"/>
                </w:tcPr>
                <w:p w:rsidR="00745FEA" w:rsidRPr="00D37496" w:rsidRDefault="00745FEA" w:rsidP="00745FEA">
                  <w:pPr>
                    <w:pStyle w:val="TableBodyText"/>
                    <w:ind w:right="57"/>
                  </w:pPr>
                  <w:r w:rsidRPr="00D37496">
                    <w:t>22.8</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R&amp;D Tax Incentive - refundable tax offset</w:t>
                  </w:r>
                </w:p>
              </w:tc>
              <w:tc>
                <w:tcPr>
                  <w:tcW w:w="465" w:type="pct"/>
                  <w:vAlign w:val="bottom"/>
                </w:tcPr>
                <w:p w:rsidR="00745FEA" w:rsidRPr="00D37496" w:rsidRDefault="00745FEA" w:rsidP="00745FEA">
                  <w:pPr>
                    <w:pStyle w:val="TableBodyText"/>
                    <w:ind w:right="57"/>
                  </w:pPr>
                  <w:r w:rsidRPr="00D37496">
                    <w:t>–</w:t>
                  </w:r>
                </w:p>
              </w:tc>
              <w:tc>
                <w:tcPr>
                  <w:tcW w:w="464" w:type="pct"/>
                  <w:vAlign w:val="bottom"/>
                </w:tcPr>
                <w:p w:rsidR="00745FEA" w:rsidRPr="00D37496" w:rsidRDefault="00745FEA" w:rsidP="00745FEA">
                  <w:pPr>
                    <w:pStyle w:val="TableBodyText"/>
                    <w:ind w:right="57"/>
                  </w:pPr>
                  <w:r w:rsidRPr="00D37496">
                    <w:t>14.4</w:t>
                  </w:r>
                </w:p>
              </w:tc>
              <w:tc>
                <w:tcPr>
                  <w:tcW w:w="464" w:type="pct"/>
                  <w:vAlign w:val="bottom"/>
                </w:tcPr>
                <w:p w:rsidR="00745FEA" w:rsidRPr="00D37496" w:rsidRDefault="00745FEA" w:rsidP="00745FEA">
                  <w:pPr>
                    <w:pStyle w:val="TableBodyText"/>
                    <w:ind w:right="57"/>
                  </w:pPr>
                  <w:r w:rsidRPr="00D37496">
                    <w:t>13.9</w:t>
                  </w:r>
                </w:p>
              </w:tc>
              <w:tc>
                <w:tcPr>
                  <w:tcW w:w="464" w:type="pct"/>
                  <w:vAlign w:val="bottom"/>
                </w:tcPr>
                <w:p w:rsidR="00745FEA" w:rsidRPr="00D37496" w:rsidRDefault="00745FEA" w:rsidP="00745FEA">
                  <w:pPr>
                    <w:pStyle w:val="TableBodyText"/>
                    <w:ind w:right="57"/>
                  </w:pPr>
                  <w:r w:rsidRPr="00D37496">
                    <w:t>18.6</w:t>
                  </w:r>
                </w:p>
              </w:tc>
              <w:tc>
                <w:tcPr>
                  <w:tcW w:w="464" w:type="pct"/>
                  <w:shd w:val="clear" w:color="auto" w:fill="auto"/>
                  <w:vAlign w:val="bottom"/>
                </w:tcPr>
                <w:p w:rsidR="00745FEA" w:rsidRPr="00D37496" w:rsidRDefault="00745FEA" w:rsidP="00745FEA">
                  <w:pPr>
                    <w:pStyle w:val="TableBodyText"/>
                    <w:ind w:right="57"/>
                  </w:pPr>
                  <w:r w:rsidRPr="00D37496">
                    <w:t>19.8</w:t>
                  </w:r>
                </w:p>
              </w:tc>
              <w:tc>
                <w:tcPr>
                  <w:tcW w:w="462" w:type="pct"/>
                  <w:shd w:val="clear" w:color="auto" w:fill="auto"/>
                  <w:vAlign w:val="bottom"/>
                </w:tcPr>
                <w:p w:rsidR="00745FEA" w:rsidRPr="00D37496" w:rsidRDefault="00745FEA" w:rsidP="00745FEA">
                  <w:pPr>
                    <w:pStyle w:val="TableBodyText"/>
                    <w:ind w:right="57"/>
                  </w:pPr>
                  <w:r w:rsidRPr="00D37496">
                    <w:t>24.0</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R&amp;D tax offsets - Refundable</w:t>
                  </w:r>
                </w:p>
              </w:tc>
              <w:tc>
                <w:tcPr>
                  <w:tcW w:w="465" w:type="pct"/>
                  <w:vAlign w:val="bottom"/>
                </w:tcPr>
                <w:p w:rsidR="00745FEA" w:rsidRPr="00D37496" w:rsidRDefault="00745FEA" w:rsidP="00745FEA">
                  <w:pPr>
                    <w:pStyle w:val="TableBodyText"/>
                    <w:ind w:right="57"/>
                  </w:pPr>
                  <w:r w:rsidRPr="00D37496">
                    <w:t>4.1</w:t>
                  </w:r>
                </w:p>
              </w:tc>
              <w:tc>
                <w:tcPr>
                  <w:tcW w:w="464" w:type="pct"/>
                  <w:vAlign w:val="bottom"/>
                </w:tcPr>
                <w:p w:rsidR="00745FEA" w:rsidRPr="00D37496" w:rsidRDefault="00745FEA" w:rsidP="00745FEA">
                  <w:pPr>
                    <w:pStyle w:val="TableBodyText"/>
                    <w:ind w:right="57"/>
                  </w:pPr>
                  <w:r w:rsidRPr="00D37496">
                    <w:t>–</w:t>
                  </w:r>
                </w:p>
              </w:tc>
              <w:tc>
                <w:tcPr>
                  <w:tcW w:w="464" w:type="pct"/>
                  <w:vAlign w:val="bottom"/>
                </w:tcPr>
                <w:p w:rsidR="00745FEA" w:rsidRPr="00D37496" w:rsidRDefault="00745FEA" w:rsidP="00745FEA">
                  <w:pPr>
                    <w:pStyle w:val="TableBodyText"/>
                    <w:ind w:right="57"/>
                  </w:pPr>
                  <w:r w:rsidRPr="00D37496">
                    <w:t>–</w:t>
                  </w:r>
                </w:p>
              </w:tc>
              <w:tc>
                <w:tcPr>
                  <w:tcW w:w="464" w:type="pct"/>
                  <w:vAlign w:val="bottom"/>
                </w:tcPr>
                <w:p w:rsidR="00745FEA" w:rsidRPr="00D37496" w:rsidRDefault="00745FEA" w:rsidP="00745FEA">
                  <w:pPr>
                    <w:pStyle w:val="TableBodyText"/>
                    <w:ind w:right="57"/>
                  </w:pPr>
                  <w:r w:rsidRPr="00D37496">
                    <w:t>–</w:t>
                  </w:r>
                </w:p>
              </w:tc>
              <w:tc>
                <w:tcPr>
                  <w:tcW w:w="464" w:type="pct"/>
                  <w:shd w:val="clear" w:color="auto" w:fill="auto"/>
                  <w:vAlign w:val="bottom"/>
                </w:tcPr>
                <w:p w:rsidR="00745FEA" w:rsidRPr="00D37496" w:rsidRDefault="00745FEA" w:rsidP="00745FEA">
                  <w:pPr>
                    <w:pStyle w:val="TableBodyText"/>
                    <w:ind w:right="57"/>
                  </w:pPr>
                  <w:r w:rsidRPr="00D37496">
                    <w:t>–</w:t>
                  </w:r>
                </w:p>
              </w:tc>
              <w:tc>
                <w:tcPr>
                  <w:tcW w:w="462" w:type="pct"/>
                  <w:shd w:val="clear" w:color="auto" w:fill="auto"/>
                  <w:vAlign w:val="bottom"/>
                </w:tcPr>
                <w:p w:rsidR="00745FEA" w:rsidRPr="00D37496" w:rsidRDefault="00745FEA" w:rsidP="00745FEA">
                  <w:pPr>
                    <w:pStyle w:val="TableBodyText"/>
                    <w:ind w:right="57"/>
                  </w:pPr>
                  <w:r w:rsidRPr="00D37496">
                    <w:t>–</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Premium R&amp;D tax concession</w:t>
                  </w:r>
                </w:p>
              </w:tc>
              <w:tc>
                <w:tcPr>
                  <w:tcW w:w="465" w:type="pct"/>
                  <w:vAlign w:val="bottom"/>
                </w:tcPr>
                <w:p w:rsidR="00745FEA" w:rsidRPr="00D37496" w:rsidRDefault="00745FEA" w:rsidP="00745FEA">
                  <w:pPr>
                    <w:pStyle w:val="TableBodyText"/>
                    <w:ind w:right="57"/>
                  </w:pPr>
                  <w:r w:rsidRPr="00D37496">
                    <w:t>1.5</w:t>
                  </w:r>
                </w:p>
              </w:tc>
              <w:tc>
                <w:tcPr>
                  <w:tcW w:w="464" w:type="pct"/>
                  <w:vAlign w:val="bottom"/>
                </w:tcPr>
                <w:p w:rsidR="00745FEA" w:rsidRPr="00D37496" w:rsidRDefault="00745FEA" w:rsidP="00745FEA">
                  <w:pPr>
                    <w:pStyle w:val="TableBodyText"/>
                    <w:ind w:right="57"/>
                  </w:pPr>
                  <w:r w:rsidRPr="00D37496">
                    <w:t>0.4</w:t>
                  </w:r>
                </w:p>
              </w:tc>
              <w:tc>
                <w:tcPr>
                  <w:tcW w:w="464" w:type="pct"/>
                  <w:vAlign w:val="bottom"/>
                </w:tcPr>
                <w:p w:rsidR="00745FEA" w:rsidRPr="00D37496" w:rsidRDefault="00745FEA" w:rsidP="00745FEA">
                  <w:pPr>
                    <w:pStyle w:val="TableBodyText"/>
                    <w:ind w:right="57"/>
                  </w:pPr>
                  <w:r w:rsidRPr="00D37496">
                    <w:t>0.2</w:t>
                  </w:r>
                </w:p>
              </w:tc>
              <w:tc>
                <w:tcPr>
                  <w:tcW w:w="464" w:type="pct"/>
                  <w:vAlign w:val="bottom"/>
                </w:tcPr>
                <w:p w:rsidR="00745FEA" w:rsidRPr="00D37496" w:rsidRDefault="00745FEA" w:rsidP="00745FEA">
                  <w:pPr>
                    <w:pStyle w:val="TableBodyText"/>
                    <w:ind w:right="57"/>
                  </w:pPr>
                  <w:r w:rsidRPr="00D37496">
                    <w:t>–</w:t>
                  </w:r>
                </w:p>
              </w:tc>
              <w:tc>
                <w:tcPr>
                  <w:tcW w:w="464" w:type="pct"/>
                  <w:shd w:val="clear" w:color="auto" w:fill="auto"/>
                  <w:vAlign w:val="bottom"/>
                </w:tcPr>
                <w:p w:rsidR="00745FEA" w:rsidRPr="00D37496" w:rsidRDefault="00745FEA" w:rsidP="00745FEA">
                  <w:pPr>
                    <w:pStyle w:val="TableBodyText"/>
                    <w:ind w:right="57"/>
                  </w:pPr>
                  <w:r w:rsidRPr="00D37496">
                    <w:t>–</w:t>
                  </w:r>
                </w:p>
              </w:tc>
              <w:tc>
                <w:tcPr>
                  <w:tcW w:w="462" w:type="pct"/>
                  <w:shd w:val="clear" w:color="auto" w:fill="auto"/>
                  <w:vAlign w:val="bottom"/>
                </w:tcPr>
                <w:p w:rsidR="00745FEA" w:rsidRPr="00D37496" w:rsidRDefault="00745FEA" w:rsidP="00745FEA">
                  <w:pPr>
                    <w:pStyle w:val="TableBodyText"/>
                    <w:ind w:right="57"/>
                  </w:pPr>
                  <w:r w:rsidRPr="00D37496">
                    <w:t>–</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R&amp;D tax concession</w:t>
                  </w:r>
                </w:p>
              </w:tc>
              <w:tc>
                <w:tcPr>
                  <w:tcW w:w="465" w:type="pct"/>
                  <w:vAlign w:val="bottom"/>
                </w:tcPr>
                <w:p w:rsidR="00745FEA" w:rsidRPr="00D37496" w:rsidRDefault="00745FEA" w:rsidP="00745FEA">
                  <w:pPr>
                    <w:pStyle w:val="TableBodyText"/>
                    <w:ind w:right="57"/>
                  </w:pPr>
                  <w:r w:rsidRPr="00D37496">
                    <w:t>2.8</w:t>
                  </w:r>
                </w:p>
              </w:tc>
              <w:tc>
                <w:tcPr>
                  <w:tcW w:w="464" w:type="pct"/>
                  <w:vAlign w:val="bottom"/>
                </w:tcPr>
                <w:p w:rsidR="00745FEA" w:rsidRPr="00D37496" w:rsidRDefault="00745FEA" w:rsidP="00745FEA">
                  <w:pPr>
                    <w:pStyle w:val="TableBodyText"/>
                    <w:ind w:right="57"/>
                  </w:pPr>
                  <w:r w:rsidRPr="00D37496">
                    <w:t>1.3</w:t>
                  </w:r>
                </w:p>
              </w:tc>
              <w:tc>
                <w:tcPr>
                  <w:tcW w:w="464" w:type="pct"/>
                  <w:vAlign w:val="bottom"/>
                </w:tcPr>
                <w:p w:rsidR="00745FEA" w:rsidRPr="00D37496" w:rsidRDefault="00745FEA" w:rsidP="00745FEA">
                  <w:pPr>
                    <w:pStyle w:val="TableBodyText"/>
                    <w:ind w:right="57"/>
                  </w:pPr>
                  <w:r w:rsidRPr="00D37496">
                    <w:t>0.4</w:t>
                  </w:r>
                </w:p>
              </w:tc>
              <w:tc>
                <w:tcPr>
                  <w:tcW w:w="464" w:type="pct"/>
                  <w:vAlign w:val="bottom"/>
                </w:tcPr>
                <w:p w:rsidR="00745FEA" w:rsidRPr="00D37496" w:rsidRDefault="00745FEA" w:rsidP="00745FEA">
                  <w:pPr>
                    <w:pStyle w:val="TableBodyText"/>
                    <w:ind w:right="57"/>
                  </w:pPr>
                  <w:r w:rsidRPr="00D37496">
                    <w:t>0.1</w:t>
                  </w:r>
                </w:p>
              </w:tc>
              <w:tc>
                <w:tcPr>
                  <w:tcW w:w="464" w:type="pct"/>
                  <w:shd w:val="clear" w:color="auto" w:fill="auto"/>
                  <w:vAlign w:val="bottom"/>
                </w:tcPr>
                <w:p w:rsidR="00745FEA" w:rsidRPr="00D37496" w:rsidRDefault="00745FEA" w:rsidP="00745FEA">
                  <w:pPr>
                    <w:pStyle w:val="TableBodyText"/>
                    <w:ind w:right="57"/>
                  </w:pPr>
                  <w:r w:rsidRPr="00D37496">
                    <w:t>–</w:t>
                  </w:r>
                </w:p>
              </w:tc>
              <w:tc>
                <w:tcPr>
                  <w:tcW w:w="462" w:type="pct"/>
                  <w:shd w:val="clear" w:color="auto" w:fill="auto"/>
                  <w:vAlign w:val="bottom"/>
                </w:tcPr>
                <w:p w:rsidR="00745FEA" w:rsidRPr="00D37496" w:rsidRDefault="00745FEA" w:rsidP="00745FEA">
                  <w:pPr>
                    <w:pStyle w:val="TableBodyText"/>
                    <w:ind w:right="57"/>
                  </w:pPr>
                  <w:r w:rsidRPr="00D37496">
                    <w:t>–</w:t>
                  </w:r>
                </w:p>
              </w:tc>
            </w:tr>
            <w:tr w:rsidR="00745FEA" w:rsidTr="00745FEA">
              <w:tc>
                <w:tcPr>
                  <w:tcW w:w="2217" w:type="pct"/>
                  <w:shd w:val="clear" w:color="auto" w:fill="auto"/>
                </w:tcPr>
                <w:p w:rsidR="00745FEA" w:rsidRPr="008B2F3E" w:rsidRDefault="00745FEA" w:rsidP="00745FEA">
                  <w:pPr>
                    <w:pStyle w:val="TableBodyText"/>
                    <w:spacing w:after="0"/>
                    <w:ind w:left="227" w:right="0"/>
                    <w:jc w:val="left"/>
                  </w:pPr>
                  <w:r w:rsidRPr="008B2F3E">
                    <w:t>R&amp;D Tax Incentive - non-refundable tax offset</w:t>
                  </w:r>
                </w:p>
              </w:tc>
              <w:tc>
                <w:tcPr>
                  <w:tcW w:w="465" w:type="pct"/>
                  <w:vAlign w:val="bottom"/>
                </w:tcPr>
                <w:p w:rsidR="00745FEA" w:rsidRPr="00D37496" w:rsidRDefault="00745FEA" w:rsidP="00745FEA">
                  <w:pPr>
                    <w:pStyle w:val="TableBodyText"/>
                    <w:ind w:right="57"/>
                  </w:pPr>
                  <w:r w:rsidRPr="00D37496">
                    <w:t>–</w:t>
                  </w:r>
                </w:p>
              </w:tc>
              <w:tc>
                <w:tcPr>
                  <w:tcW w:w="464" w:type="pct"/>
                  <w:vAlign w:val="bottom"/>
                </w:tcPr>
                <w:p w:rsidR="00745FEA" w:rsidRPr="00D37496" w:rsidRDefault="00745FEA" w:rsidP="00745FEA">
                  <w:pPr>
                    <w:pStyle w:val="TableBodyText"/>
                    <w:ind w:right="57"/>
                  </w:pPr>
                  <w:r w:rsidRPr="00D37496">
                    <w:t>0.2</w:t>
                  </w:r>
                </w:p>
              </w:tc>
              <w:tc>
                <w:tcPr>
                  <w:tcW w:w="464" w:type="pct"/>
                  <w:vAlign w:val="bottom"/>
                </w:tcPr>
                <w:p w:rsidR="00745FEA" w:rsidRPr="00D37496" w:rsidRDefault="00745FEA" w:rsidP="00745FEA">
                  <w:pPr>
                    <w:pStyle w:val="TableBodyText"/>
                    <w:ind w:right="57"/>
                  </w:pPr>
                  <w:r w:rsidRPr="00D37496">
                    <w:t>0.5</w:t>
                  </w:r>
                </w:p>
              </w:tc>
              <w:tc>
                <w:tcPr>
                  <w:tcW w:w="464" w:type="pct"/>
                  <w:vAlign w:val="bottom"/>
                </w:tcPr>
                <w:p w:rsidR="00745FEA" w:rsidRPr="00D37496" w:rsidRDefault="00745FEA" w:rsidP="00745FEA">
                  <w:pPr>
                    <w:pStyle w:val="TableBodyText"/>
                    <w:ind w:right="57"/>
                  </w:pPr>
                  <w:r w:rsidRPr="00D37496">
                    <w:t>2.6</w:t>
                  </w:r>
                </w:p>
              </w:tc>
              <w:tc>
                <w:tcPr>
                  <w:tcW w:w="464" w:type="pct"/>
                  <w:shd w:val="clear" w:color="auto" w:fill="auto"/>
                  <w:vAlign w:val="bottom"/>
                </w:tcPr>
                <w:p w:rsidR="00745FEA" w:rsidRPr="00D37496" w:rsidRDefault="00745FEA" w:rsidP="00745FEA">
                  <w:pPr>
                    <w:pStyle w:val="TableBodyText"/>
                    <w:ind w:right="57"/>
                  </w:pPr>
                  <w:r w:rsidRPr="00D37496">
                    <w:t>0.8</w:t>
                  </w:r>
                </w:p>
              </w:tc>
              <w:tc>
                <w:tcPr>
                  <w:tcW w:w="462" w:type="pct"/>
                  <w:shd w:val="clear" w:color="auto" w:fill="auto"/>
                  <w:vAlign w:val="bottom"/>
                </w:tcPr>
                <w:p w:rsidR="00745FEA" w:rsidRDefault="00745FEA" w:rsidP="00745FEA">
                  <w:pPr>
                    <w:pStyle w:val="TableBodyText"/>
                    <w:ind w:right="57"/>
                  </w:pPr>
                  <w:r w:rsidRPr="00D37496">
                    <w:t>2.6</w:t>
                  </w:r>
                </w:p>
              </w:tc>
            </w:tr>
            <w:tr w:rsidR="00745FEA" w:rsidTr="00745FEA">
              <w:tc>
                <w:tcPr>
                  <w:tcW w:w="2217" w:type="pct"/>
                  <w:shd w:val="clear" w:color="auto" w:fill="auto"/>
                </w:tcPr>
                <w:p w:rsidR="00745FEA" w:rsidRPr="00CB4D08" w:rsidRDefault="00745FEA" w:rsidP="00745FEA">
                  <w:pPr>
                    <w:pStyle w:val="TableBodyText"/>
                    <w:spacing w:before="40" w:after="0"/>
                    <w:ind w:left="113"/>
                    <w:jc w:val="left"/>
                    <w:rPr>
                      <w:i/>
                    </w:rPr>
                  </w:pPr>
                  <w:r w:rsidRPr="00CB4D08">
                    <w:rPr>
                      <w:i/>
                    </w:rPr>
                    <w:t>Other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E94C11" w:rsidRDefault="00745FEA" w:rsidP="00745FEA">
                  <w:pPr>
                    <w:pStyle w:val="TableBodyText"/>
                    <w:spacing w:after="0"/>
                    <w:ind w:left="227" w:right="0"/>
                    <w:jc w:val="left"/>
                  </w:pPr>
                  <w:r w:rsidRPr="00E94C11">
                    <w:t>Australian Government Innovation and Investment Fund - Tasmania</w:t>
                  </w:r>
                </w:p>
              </w:tc>
              <w:tc>
                <w:tcPr>
                  <w:tcW w:w="465"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0.3</w:t>
                  </w:r>
                </w:p>
              </w:tc>
              <w:tc>
                <w:tcPr>
                  <w:tcW w:w="464" w:type="pct"/>
                  <w:shd w:val="clear" w:color="auto" w:fill="auto"/>
                  <w:vAlign w:val="bottom"/>
                </w:tcPr>
                <w:p w:rsidR="00745FEA" w:rsidRPr="004D57AD" w:rsidRDefault="00745FEA" w:rsidP="00745FEA">
                  <w:pPr>
                    <w:pStyle w:val="TableBodyText"/>
                    <w:ind w:right="57"/>
                  </w:pPr>
                  <w:r w:rsidRPr="004D57AD">
                    <w:t>0.3</w:t>
                  </w:r>
                </w:p>
              </w:tc>
              <w:tc>
                <w:tcPr>
                  <w:tcW w:w="462" w:type="pct"/>
                  <w:shd w:val="clear" w:color="auto" w:fill="auto"/>
                  <w:vAlign w:val="bottom"/>
                </w:tcPr>
                <w:p w:rsidR="00745FEA" w:rsidRPr="004D57AD" w:rsidRDefault="00745FEA" w:rsidP="00745FEA">
                  <w:pPr>
                    <w:pStyle w:val="TableBodyText"/>
                    <w:ind w:right="57"/>
                  </w:pPr>
                  <w:r w:rsidRPr="004D57AD">
                    <w:t>0.5</w:t>
                  </w:r>
                </w:p>
              </w:tc>
            </w:tr>
            <w:tr w:rsidR="00745FEA" w:rsidTr="00745FEA">
              <w:tc>
                <w:tcPr>
                  <w:tcW w:w="2217" w:type="pct"/>
                  <w:shd w:val="clear" w:color="auto" w:fill="auto"/>
                </w:tcPr>
                <w:p w:rsidR="00745FEA" w:rsidRPr="00E94C11" w:rsidRDefault="00745FEA" w:rsidP="00745FEA">
                  <w:pPr>
                    <w:pStyle w:val="TableBodyText"/>
                    <w:spacing w:after="0"/>
                    <w:ind w:left="227" w:right="0"/>
                    <w:jc w:val="left"/>
                  </w:pPr>
                  <w:r w:rsidRPr="00E94C11">
                    <w:t>Enterprise Connect Innovation Centres</w:t>
                  </w:r>
                </w:p>
              </w:tc>
              <w:tc>
                <w:tcPr>
                  <w:tcW w:w="465" w:type="pct"/>
                  <w:vAlign w:val="bottom"/>
                </w:tcPr>
                <w:p w:rsidR="00745FEA" w:rsidRPr="004D57AD" w:rsidRDefault="00745FEA" w:rsidP="00745FEA">
                  <w:pPr>
                    <w:pStyle w:val="TableBodyText"/>
                    <w:ind w:right="57"/>
                  </w:pPr>
                  <w:r w:rsidRPr="004D57AD">
                    <w:t>&lt;0.1</w:t>
                  </w:r>
                </w:p>
              </w:tc>
              <w:tc>
                <w:tcPr>
                  <w:tcW w:w="464" w:type="pct"/>
                  <w:vAlign w:val="bottom"/>
                </w:tcPr>
                <w:p w:rsidR="00745FEA" w:rsidRPr="004D57AD" w:rsidRDefault="00745FEA" w:rsidP="00745FEA">
                  <w:pPr>
                    <w:pStyle w:val="TableBodyText"/>
                    <w:ind w:right="57"/>
                  </w:pPr>
                  <w:r w:rsidRPr="004D57AD">
                    <w:t>&lt;0.1</w:t>
                  </w:r>
                </w:p>
              </w:tc>
              <w:tc>
                <w:tcPr>
                  <w:tcW w:w="464" w:type="pct"/>
                  <w:vAlign w:val="bottom"/>
                </w:tcPr>
                <w:p w:rsidR="00745FEA" w:rsidRPr="004D57AD" w:rsidRDefault="00745FEA" w:rsidP="00745FEA">
                  <w:pPr>
                    <w:pStyle w:val="TableBodyText"/>
                    <w:ind w:right="57"/>
                  </w:pPr>
                  <w:r w:rsidRPr="004D57AD">
                    <w:t>&lt;0.1</w:t>
                  </w:r>
                </w:p>
              </w:tc>
              <w:tc>
                <w:tcPr>
                  <w:tcW w:w="464" w:type="pct"/>
                  <w:vAlign w:val="bottom"/>
                </w:tcPr>
                <w:p w:rsidR="00745FEA" w:rsidRPr="004D57AD" w:rsidRDefault="00745FEA" w:rsidP="00745FEA">
                  <w:pPr>
                    <w:pStyle w:val="TableBodyText"/>
                    <w:ind w:right="57"/>
                  </w:pPr>
                  <w:r w:rsidRPr="004D57AD">
                    <w:t>&lt;0.1</w:t>
                  </w:r>
                </w:p>
              </w:tc>
              <w:tc>
                <w:tcPr>
                  <w:tcW w:w="464" w:type="pct"/>
                  <w:shd w:val="clear" w:color="auto" w:fill="auto"/>
                  <w:vAlign w:val="bottom"/>
                </w:tcPr>
                <w:p w:rsidR="00745FEA" w:rsidRPr="004D57AD" w:rsidRDefault="00745FEA" w:rsidP="00745FEA">
                  <w:pPr>
                    <w:pStyle w:val="TableBodyText"/>
                    <w:ind w:right="57"/>
                  </w:pPr>
                  <w:r w:rsidRPr="004D57AD">
                    <w:t>–</w:t>
                  </w:r>
                </w:p>
              </w:tc>
              <w:tc>
                <w:tcPr>
                  <w:tcW w:w="462" w:type="pct"/>
                  <w:shd w:val="clear" w:color="auto" w:fill="auto"/>
                  <w:vAlign w:val="bottom"/>
                </w:tcPr>
                <w:p w:rsidR="00745FEA" w:rsidRPr="004D57AD" w:rsidRDefault="00745FEA" w:rsidP="00745FEA">
                  <w:pPr>
                    <w:pStyle w:val="TableBodyText"/>
                    <w:ind w:right="57"/>
                  </w:pPr>
                  <w:r w:rsidRPr="004D57AD">
                    <w:t>–</w:t>
                  </w:r>
                </w:p>
              </w:tc>
            </w:tr>
            <w:tr w:rsidR="00745FEA" w:rsidTr="00745FEA">
              <w:tc>
                <w:tcPr>
                  <w:tcW w:w="2217" w:type="pct"/>
                  <w:shd w:val="clear" w:color="auto" w:fill="auto"/>
                </w:tcPr>
                <w:p w:rsidR="00745FEA" w:rsidRPr="00E94C11" w:rsidRDefault="00745FEA" w:rsidP="00745FEA">
                  <w:pPr>
                    <w:pStyle w:val="TableBodyText"/>
                    <w:spacing w:after="0"/>
                    <w:ind w:left="227" w:right="0"/>
                    <w:jc w:val="left"/>
                  </w:pPr>
                  <w:r w:rsidRPr="00E94C11">
                    <w:t>Entrepreneurs’ Infrastructure Programme - Accelerating Commercialisation</w:t>
                  </w:r>
                </w:p>
              </w:tc>
              <w:tc>
                <w:tcPr>
                  <w:tcW w:w="465"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&lt;0.1</w:t>
                  </w:r>
                </w:p>
              </w:tc>
              <w:tc>
                <w:tcPr>
                  <w:tcW w:w="464" w:type="pct"/>
                  <w:shd w:val="clear" w:color="auto" w:fill="auto"/>
                  <w:vAlign w:val="bottom"/>
                </w:tcPr>
                <w:p w:rsidR="00745FEA" w:rsidRPr="004D57AD" w:rsidRDefault="00745FEA" w:rsidP="00745FEA">
                  <w:pPr>
                    <w:pStyle w:val="TableBodyText"/>
                    <w:ind w:right="57"/>
                  </w:pPr>
                  <w:r w:rsidRPr="004D57AD">
                    <w:t>0.4</w:t>
                  </w:r>
                </w:p>
              </w:tc>
              <w:tc>
                <w:tcPr>
                  <w:tcW w:w="462" w:type="pct"/>
                  <w:shd w:val="clear" w:color="auto" w:fill="auto"/>
                  <w:vAlign w:val="bottom"/>
                </w:tcPr>
                <w:p w:rsidR="00745FEA" w:rsidRPr="004D57AD" w:rsidRDefault="00745FEA" w:rsidP="00745FEA">
                  <w:pPr>
                    <w:pStyle w:val="TableBodyText"/>
                    <w:ind w:right="57"/>
                  </w:pPr>
                  <w:r w:rsidRPr="004D57AD">
                    <w:t>0.8</w:t>
                  </w:r>
                </w:p>
              </w:tc>
            </w:tr>
            <w:tr w:rsidR="00745FEA" w:rsidTr="00745FEA">
              <w:tc>
                <w:tcPr>
                  <w:tcW w:w="2217" w:type="pct"/>
                  <w:shd w:val="clear" w:color="auto" w:fill="auto"/>
                </w:tcPr>
                <w:p w:rsidR="00745FEA" w:rsidRPr="00E94C11" w:rsidRDefault="00745FEA" w:rsidP="00745FEA">
                  <w:pPr>
                    <w:pStyle w:val="TableBodyText"/>
                    <w:spacing w:after="0"/>
                    <w:ind w:left="227" w:right="0"/>
                    <w:jc w:val="left"/>
                  </w:pPr>
                  <w:r w:rsidRPr="00E94C11">
                    <w:t>Entrepreneurs’ Infrastructure Programme - Business Management Skills</w:t>
                  </w:r>
                </w:p>
              </w:tc>
              <w:tc>
                <w:tcPr>
                  <w:tcW w:w="465"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w:t>
                  </w:r>
                </w:p>
              </w:tc>
              <w:tc>
                <w:tcPr>
                  <w:tcW w:w="464" w:type="pct"/>
                  <w:vAlign w:val="bottom"/>
                </w:tcPr>
                <w:p w:rsidR="00745FEA" w:rsidRPr="004D57AD" w:rsidRDefault="00745FEA" w:rsidP="00745FEA">
                  <w:pPr>
                    <w:pStyle w:val="TableBodyText"/>
                    <w:ind w:right="57"/>
                  </w:pPr>
                  <w:r w:rsidRPr="004D57AD">
                    <w:t>&lt;0.1</w:t>
                  </w:r>
                </w:p>
              </w:tc>
              <w:tc>
                <w:tcPr>
                  <w:tcW w:w="464" w:type="pct"/>
                  <w:shd w:val="clear" w:color="auto" w:fill="auto"/>
                  <w:vAlign w:val="bottom"/>
                </w:tcPr>
                <w:p w:rsidR="00745FEA" w:rsidRPr="004D57AD" w:rsidRDefault="00745FEA" w:rsidP="00745FEA">
                  <w:pPr>
                    <w:pStyle w:val="TableBodyText"/>
                    <w:ind w:right="57"/>
                  </w:pPr>
                  <w:r w:rsidRPr="004D57AD">
                    <w:t>0.1</w:t>
                  </w:r>
                </w:p>
              </w:tc>
              <w:tc>
                <w:tcPr>
                  <w:tcW w:w="462" w:type="pct"/>
                  <w:shd w:val="clear" w:color="auto" w:fill="auto"/>
                  <w:vAlign w:val="bottom"/>
                </w:tcPr>
                <w:p w:rsidR="00745FEA" w:rsidRPr="004D57AD" w:rsidRDefault="00745FEA" w:rsidP="00745FEA">
                  <w:pPr>
                    <w:pStyle w:val="TableBodyText"/>
                    <w:ind w:right="57"/>
                  </w:pPr>
                  <w:r w:rsidRPr="004D57AD">
                    <w:t>&lt;0.1</w:t>
                  </w:r>
                </w:p>
              </w:tc>
            </w:tr>
            <w:tr w:rsidR="00745FEA" w:rsidTr="00745FEA">
              <w:tc>
                <w:tcPr>
                  <w:tcW w:w="2217" w:type="pct"/>
                  <w:tcBorders>
                    <w:bottom w:val="single" w:sz="6" w:space="0" w:color="BFBFBF"/>
                  </w:tcBorders>
                  <w:shd w:val="clear" w:color="auto" w:fill="auto"/>
                </w:tcPr>
                <w:p w:rsidR="00745FEA" w:rsidRPr="00E94C11" w:rsidRDefault="00745FEA" w:rsidP="00745FEA">
                  <w:pPr>
                    <w:pStyle w:val="TableBodyText"/>
                    <w:ind w:left="227" w:right="0"/>
                    <w:jc w:val="left"/>
                  </w:pPr>
                  <w:r w:rsidRPr="00E94C11">
                    <w:t>South East South Australia Innovation and Investment Fund</w:t>
                  </w:r>
                </w:p>
              </w:tc>
              <w:tc>
                <w:tcPr>
                  <w:tcW w:w="465" w:type="pct"/>
                  <w:tcBorders>
                    <w:bottom w:val="single" w:sz="6" w:space="0" w:color="BFBFBF"/>
                  </w:tcBorders>
                  <w:vAlign w:val="bottom"/>
                </w:tcPr>
                <w:p w:rsidR="00745FEA" w:rsidRPr="004D57AD" w:rsidRDefault="00745FEA" w:rsidP="00745FEA">
                  <w:pPr>
                    <w:pStyle w:val="TableBodyText"/>
                    <w:ind w:right="57"/>
                  </w:pPr>
                  <w:r w:rsidRPr="004D57AD">
                    <w:t>0.1</w:t>
                  </w:r>
                </w:p>
              </w:tc>
              <w:tc>
                <w:tcPr>
                  <w:tcW w:w="464" w:type="pct"/>
                  <w:tcBorders>
                    <w:bottom w:val="single" w:sz="6" w:space="0" w:color="BFBFBF"/>
                  </w:tcBorders>
                  <w:vAlign w:val="bottom"/>
                </w:tcPr>
                <w:p w:rsidR="00745FEA" w:rsidRPr="004D57AD" w:rsidRDefault="00745FEA" w:rsidP="00745FEA">
                  <w:pPr>
                    <w:pStyle w:val="TableBodyText"/>
                    <w:ind w:right="57"/>
                  </w:pPr>
                  <w:r w:rsidRPr="004D57AD">
                    <w:t>–</w:t>
                  </w:r>
                </w:p>
              </w:tc>
              <w:tc>
                <w:tcPr>
                  <w:tcW w:w="464" w:type="pct"/>
                  <w:tcBorders>
                    <w:bottom w:val="single" w:sz="6" w:space="0" w:color="BFBFBF"/>
                  </w:tcBorders>
                  <w:vAlign w:val="bottom"/>
                </w:tcPr>
                <w:p w:rsidR="00745FEA" w:rsidRPr="004D57AD" w:rsidRDefault="00745FEA" w:rsidP="00745FEA">
                  <w:pPr>
                    <w:pStyle w:val="TableBodyText"/>
                    <w:ind w:right="57"/>
                  </w:pPr>
                  <w:r w:rsidRPr="004D57AD">
                    <w:t>–</w:t>
                  </w:r>
                </w:p>
              </w:tc>
              <w:tc>
                <w:tcPr>
                  <w:tcW w:w="464" w:type="pct"/>
                  <w:tcBorders>
                    <w:bottom w:val="single" w:sz="6" w:space="0" w:color="BFBFBF"/>
                  </w:tcBorders>
                  <w:vAlign w:val="bottom"/>
                </w:tcPr>
                <w:p w:rsidR="00745FEA" w:rsidRPr="004D57AD" w:rsidRDefault="00745FEA" w:rsidP="00745FEA">
                  <w:pPr>
                    <w:pStyle w:val="TableBodyText"/>
                    <w:ind w:right="57"/>
                  </w:pPr>
                  <w:r w:rsidRPr="004D57AD">
                    <w:t>–</w:t>
                  </w:r>
                </w:p>
              </w:tc>
              <w:tc>
                <w:tcPr>
                  <w:tcW w:w="464" w:type="pct"/>
                  <w:tcBorders>
                    <w:bottom w:val="single" w:sz="6" w:space="0" w:color="BFBFBF"/>
                  </w:tcBorders>
                  <w:shd w:val="clear" w:color="auto" w:fill="auto"/>
                  <w:vAlign w:val="bottom"/>
                </w:tcPr>
                <w:p w:rsidR="00745FEA" w:rsidRPr="004D57AD" w:rsidRDefault="00745FEA" w:rsidP="00745FEA">
                  <w:pPr>
                    <w:pStyle w:val="TableBodyText"/>
                    <w:ind w:right="57"/>
                  </w:pPr>
                  <w:r w:rsidRPr="004D57AD">
                    <w:t>–</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4D57AD">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rsidRPr="00C84A42">
              <w:rPr>
                <w:sz w:val="20"/>
                <w:szCs w:val="20"/>
              </w:rPr>
              <w:tab/>
            </w:r>
            <w:r w:rsidR="00891DB9" w:rsidRPr="00891DB9">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6" w:type="dxa"/>
              <w:tblCellMar>
                <w:top w:w="28" w:type="dxa"/>
                <w:left w:w="0" w:type="dxa"/>
                <w:right w:w="0" w:type="dxa"/>
              </w:tblCellMar>
              <w:tblLook w:val="0000" w:firstRow="0" w:lastRow="0" w:firstColumn="0" w:lastColumn="0" w:noHBand="0" w:noVBand="0"/>
            </w:tblPr>
            <w:tblGrid>
              <w:gridCol w:w="3798"/>
              <w:gridCol w:w="797"/>
              <w:gridCol w:w="795"/>
              <w:gridCol w:w="795"/>
              <w:gridCol w:w="795"/>
              <w:gridCol w:w="795"/>
              <w:gridCol w:w="791"/>
            </w:tblGrid>
            <w:tr w:rsidR="00745FEA" w:rsidTr="00C719FB">
              <w:trPr>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7" w:type="pct"/>
                  <w:tcBorders>
                    <w:top w:val="single" w:sz="6" w:space="0" w:color="BFBFBF"/>
                  </w:tcBorders>
                </w:tcPr>
                <w:p w:rsidR="00745FEA" w:rsidRPr="00056DB7" w:rsidRDefault="00745FEA" w:rsidP="00745FEA">
                  <w:pPr>
                    <w:pStyle w:val="TableUnitsRow"/>
                    <w:spacing w:after="0"/>
                    <w:ind w:left="113"/>
                    <w:jc w:val="left"/>
                    <w:rPr>
                      <w:i/>
                    </w:rPr>
                  </w:pPr>
                  <w:r w:rsidRPr="00AD4C85">
                    <w:rPr>
                      <w:i/>
                    </w:rPr>
                    <w:t>Other measures</w:t>
                  </w:r>
                  <w:r>
                    <w:rPr>
                      <w:i/>
                    </w:rPr>
                    <w:t xml:space="preserve"> (continued)</w:t>
                  </w:r>
                </w:p>
              </w:tc>
              <w:tc>
                <w:tcPr>
                  <w:tcW w:w="465"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Temporary Assistance for Tasmanian Exporters</w:t>
                  </w:r>
                </w:p>
              </w:tc>
              <w:tc>
                <w:tcPr>
                  <w:tcW w:w="465" w:type="pct"/>
                  <w:vAlign w:val="bottom"/>
                </w:tcPr>
                <w:p w:rsidR="00745FEA" w:rsidRPr="006A6705" w:rsidRDefault="00745FEA" w:rsidP="00745FEA">
                  <w:pPr>
                    <w:pStyle w:val="TableBodyText"/>
                    <w:ind w:right="57"/>
                  </w:pPr>
                  <w:r w:rsidRPr="006A6705">
                    <w:t>0.5</w:t>
                  </w:r>
                </w:p>
              </w:tc>
              <w:tc>
                <w:tcPr>
                  <w:tcW w:w="464" w:type="pct"/>
                  <w:vAlign w:val="bottom"/>
                </w:tcPr>
                <w:p w:rsidR="00745FEA" w:rsidRPr="006A6705" w:rsidRDefault="00745FEA" w:rsidP="00745FEA">
                  <w:pPr>
                    <w:pStyle w:val="TableBodyText"/>
                    <w:ind w:right="57"/>
                  </w:pPr>
                  <w:r w:rsidRPr="006A6705">
                    <w:t>–</w:t>
                  </w:r>
                </w:p>
              </w:tc>
              <w:tc>
                <w:tcPr>
                  <w:tcW w:w="464" w:type="pct"/>
                  <w:vAlign w:val="bottom"/>
                </w:tcPr>
                <w:p w:rsidR="00745FEA" w:rsidRPr="006A6705" w:rsidRDefault="00745FEA" w:rsidP="00745FEA">
                  <w:pPr>
                    <w:pStyle w:val="TableBodyText"/>
                    <w:ind w:right="57"/>
                  </w:pPr>
                  <w:r w:rsidRPr="006A6705">
                    <w:t>–</w:t>
                  </w:r>
                </w:p>
              </w:tc>
              <w:tc>
                <w:tcPr>
                  <w:tcW w:w="464" w:type="pct"/>
                  <w:vAlign w:val="bottom"/>
                </w:tcPr>
                <w:p w:rsidR="00745FEA" w:rsidRPr="006A6705" w:rsidRDefault="00745FEA" w:rsidP="00745FEA">
                  <w:pPr>
                    <w:pStyle w:val="TableBodyText"/>
                    <w:ind w:right="57"/>
                  </w:pPr>
                  <w:r w:rsidRPr="006A6705">
                    <w:t>–</w:t>
                  </w:r>
                </w:p>
              </w:tc>
              <w:tc>
                <w:tcPr>
                  <w:tcW w:w="464" w:type="pct"/>
                  <w:shd w:val="clear" w:color="auto" w:fill="auto"/>
                  <w:vAlign w:val="bottom"/>
                </w:tcPr>
                <w:p w:rsidR="00745FEA" w:rsidRPr="006A6705" w:rsidRDefault="00745FEA" w:rsidP="00745FEA">
                  <w:pPr>
                    <w:pStyle w:val="TableBodyText"/>
                    <w:ind w:right="57"/>
                  </w:pPr>
                  <w:r w:rsidRPr="006A6705">
                    <w:t>–</w:t>
                  </w:r>
                </w:p>
              </w:tc>
              <w:tc>
                <w:tcPr>
                  <w:tcW w:w="462" w:type="pct"/>
                  <w:shd w:val="clear" w:color="auto" w:fill="auto"/>
                  <w:vAlign w:val="bottom"/>
                </w:tcPr>
                <w:p w:rsidR="00745FEA" w:rsidRPr="006A6705" w:rsidRDefault="00745FEA" w:rsidP="00745FEA">
                  <w:pPr>
                    <w:pStyle w:val="TableBodyText"/>
                    <w:ind w:right="57"/>
                  </w:pPr>
                  <w:r w:rsidRPr="006A6705">
                    <w:t>–</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Tasmanian Freight Equalisation Scheme</w:t>
                  </w:r>
                </w:p>
              </w:tc>
              <w:tc>
                <w:tcPr>
                  <w:tcW w:w="465" w:type="pct"/>
                  <w:vAlign w:val="bottom"/>
                </w:tcPr>
                <w:p w:rsidR="00745FEA" w:rsidRPr="006A6705" w:rsidRDefault="00745FEA" w:rsidP="00745FEA">
                  <w:pPr>
                    <w:pStyle w:val="TableBodyText"/>
                    <w:ind w:right="57"/>
                  </w:pPr>
                  <w:r w:rsidRPr="006A6705">
                    <w:t>3.5</w:t>
                  </w:r>
                </w:p>
              </w:tc>
              <w:tc>
                <w:tcPr>
                  <w:tcW w:w="464" w:type="pct"/>
                  <w:vAlign w:val="bottom"/>
                </w:tcPr>
                <w:p w:rsidR="00745FEA" w:rsidRPr="006A6705" w:rsidRDefault="00745FEA" w:rsidP="00745FEA">
                  <w:pPr>
                    <w:pStyle w:val="TableBodyText"/>
                    <w:ind w:right="57"/>
                  </w:pPr>
                  <w:r w:rsidRPr="006A6705">
                    <w:t>4.1</w:t>
                  </w:r>
                </w:p>
              </w:tc>
              <w:tc>
                <w:tcPr>
                  <w:tcW w:w="464" w:type="pct"/>
                  <w:vAlign w:val="bottom"/>
                </w:tcPr>
                <w:p w:rsidR="00745FEA" w:rsidRPr="006A6705" w:rsidRDefault="00745FEA" w:rsidP="00745FEA">
                  <w:pPr>
                    <w:pStyle w:val="TableBodyText"/>
                    <w:ind w:right="57"/>
                  </w:pPr>
                  <w:r w:rsidRPr="006A6705">
                    <w:t>3.8</w:t>
                  </w:r>
                </w:p>
              </w:tc>
              <w:tc>
                <w:tcPr>
                  <w:tcW w:w="464" w:type="pct"/>
                  <w:vAlign w:val="bottom"/>
                </w:tcPr>
                <w:p w:rsidR="00745FEA" w:rsidRPr="006A6705" w:rsidRDefault="00745FEA" w:rsidP="00745FEA">
                  <w:pPr>
                    <w:pStyle w:val="TableBodyText"/>
                    <w:ind w:right="57"/>
                  </w:pPr>
                  <w:r w:rsidRPr="006A6705">
                    <w:t>4.1</w:t>
                  </w:r>
                </w:p>
              </w:tc>
              <w:tc>
                <w:tcPr>
                  <w:tcW w:w="464" w:type="pct"/>
                  <w:shd w:val="clear" w:color="auto" w:fill="auto"/>
                  <w:vAlign w:val="bottom"/>
                </w:tcPr>
                <w:p w:rsidR="00745FEA" w:rsidRPr="006A6705" w:rsidRDefault="00745FEA" w:rsidP="00745FEA">
                  <w:pPr>
                    <w:pStyle w:val="TableBodyText"/>
                    <w:ind w:right="57"/>
                  </w:pPr>
                  <w:r w:rsidRPr="006A6705">
                    <w:t>4.8</w:t>
                  </w:r>
                </w:p>
              </w:tc>
              <w:tc>
                <w:tcPr>
                  <w:tcW w:w="462" w:type="pct"/>
                  <w:shd w:val="clear" w:color="auto" w:fill="auto"/>
                  <w:vAlign w:val="bottom"/>
                </w:tcPr>
                <w:p w:rsidR="00745FEA" w:rsidRPr="006A6705" w:rsidRDefault="00745FEA" w:rsidP="00745FEA">
                  <w:pPr>
                    <w:pStyle w:val="TableBodyText"/>
                    <w:ind w:right="57"/>
                  </w:pPr>
                  <w:r w:rsidRPr="006A6705">
                    <w:t>5.1</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Tasmanian Innovation and Investment Fund</w:t>
                  </w:r>
                </w:p>
              </w:tc>
              <w:tc>
                <w:tcPr>
                  <w:tcW w:w="465" w:type="pct"/>
                  <w:vAlign w:val="bottom"/>
                </w:tcPr>
                <w:p w:rsidR="00745FEA" w:rsidRPr="006A6705" w:rsidRDefault="00745FEA" w:rsidP="00745FEA">
                  <w:pPr>
                    <w:pStyle w:val="TableBodyText"/>
                    <w:ind w:right="57"/>
                  </w:pPr>
                  <w:r w:rsidRPr="006A6705">
                    <w:t>0.8</w:t>
                  </w:r>
                </w:p>
              </w:tc>
              <w:tc>
                <w:tcPr>
                  <w:tcW w:w="464" w:type="pct"/>
                  <w:vAlign w:val="bottom"/>
                </w:tcPr>
                <w:p w:rsidR="00745FEA" w:rsidRPr="006A6705" w:rsidRDefault="00745FEA" w:rsidP="00745FEA">
                  <w:pPr>
                    <w:pStyle w:val="TableBodyText"/>
                    <w:ind w:right="57"/>
                  </w:pPr>
                  <w:r w:rsidRPr="006A6705">
                    <w:t>0.7</w:t>
                  </w:r>
                </w:p>
              </w:tc>
              <w:tc>
                <w:tcPr>
                  <w:tcW w:w="464" w:type="pct"/>
                  <w:vAlign w:val="bottom"/>
                </w:tcPr>
                <w:p w:rsidR="00745FEA" w:rsidRPr="006A6705" w:rsidRDefault="00745FEA" w:rsidP="00745FEA">
                  <w:pPr>
                    <w:pStyle w:val="TableBodyText"/>
                    <w:ind w:right="57"/>
                  </w:pPr>
                  <w:r w:rsidRPr="006A6705">
                    <w:t>0.2</w:t>
                  </w:r>
                </w:p>
              </w:tc>
              <w:tc>
                <w:tcPr>
                  <w:tcW w:w="464" w:type="pct"/>
                  <w:vAlign w:val="bottom"/>
                </w:tcPr>
                <w:p w:rsidR="00745FEA" w:rsidRPr="006A6705" w:rsidRDefault="00745FEA" w:rsidP="00745FEA">
                  <w:pPr>
                    <w:pStyle w:val="TableBodyText"/>
                    <w:ind w:right="57"/>
                  </w:pPr>
                  <w:r w:rsidRPr="006A6705">
                    <w:t>–</w:t>
                  </w:r>
                </w:p>
              </w:tc>
              <w:tc>
                <w:tcPr>
                  <w:tcW w:w="464" w:type="pct"/>
                  <w:shd w:val="clear" w:color="auto" w:fill="auto"/>
                  <w:vAlign w:val="bottom"/>
                </w:tcPr>
                <w:p w:rsidR="00745FEA" w:rsidRPr="006A6705" w:rsidRDefault="00745FEA" w:rsidP="00745FEA">
                  <w:pPr>
                    <w:pStyle w:val="TableBodyText"/>
                    <w:ind w:right="57"/>
                  </w:pPr>
                  <w:r w:rsidRPr="006A6705">
                    <w:t>–</w:t>
                  </w:r>
                </w:p>
              </w:tc>
              <w:tc>
                <w:tcPr>
                  <w:tcW w:w="462" w:type="pct"/>
                  <w:shd w:val="clear" w:color="auto" w:fill="auto"/>
                  <w:vAlign w:val="bottom"/>
                </w:tcPr>
                <w:p w:rsidR="00745FEA" w:rsidRPr="006A6705" w:rsidRDefault="00745FEA" w:rsidP="00745FEA">
                  <w:pPr>
                    <w:pStyle w:val="TableBodyText"/>
                    <w:ind w:right="57"/>
                  </w:pPr>
                  <w:r w:rsidRPr="006A6705">
                    <w:t>–</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Tasmanian Jobs and Investment Fund</w:t>
                  </w:r>
                </w:p>
              </w:tc>
              <w:tc>
                <w:tcPr>
                  <w:tcW w:w="465" w:type="pct"/>
                  <w:vAlign w:val="bottom"/>
                </w:tcPr>
                <w:p w:rsidR="00745FEA" w:rsidRPr="006A6705" w:rsidRDefault="00745FEA" w:rsidP="00745FEA">
                  <w:pPr>
                    <w:pStyle w:val="TableBodyText"/>
                    <w:ind w:right="57"/>
                  </w:pPr>
                  <w:r w:rsidRPr="006A6705">
                    <w:t>–</w:t>
                  </w:r>
                </w:p>
              </w:tc>
              <w:tc>
                <w:tcPr>
                  <w:tcW w:w="464" w:type="pct"/>
                  <w:vAlign w:val="bottom"/>
                </w:tcPr>
                <w:p w:rsidR="00745FEA" w:rsidRPr="006A6705" w:rsidRDefault="00745FEA" w:rsidP="00745FEA">
                  <w:pPr>
                    <w:pStyle w:val="TableBodyText"/>
                    <w:ind w:right="57"/>
                  </w:pPr>
                  <w:r w:rsidRPr="006A6705">
                    <w:t>–</w:t>
                  </w:r>
                </w:p>
              </w:tc>
              <w:tc>
                <w:tcPr>
                  <w:tcW w:w="464" w:type="pct"/>
                  <w:vAlign w:val="bottom"/>
                </w:tcPr>
                <w:p w:rsidR="00745FEA" w:rsidRPr="006A6705" w:rsidRDefault="00745FEA" w:rsidP="00745FEA">
                  <w:pPr>
                    <w:pStyle w:val="TableBodyText"/>
                    <w:ind w:right="57"/>
                  </w:pPr>
                  <w:r w:rsidRPr="006A6705">
                    <w:t>–</w:t>
                  </w:r>
                </w:p>
              </w:tc>
              <w:tc>
                <w:tcPr>
                  <w:tcW w:w="464" w:type="pct"/>
                  <w:vAlign w:val="bottom"/>
                </w:tcPr>
                <w:p w:rsidR="00745FEA" w:rsidRPr="006A6705" w:rsidRDefault="00745FEA" w:rsidP="00745FEA">
                  <w:pPr>
                    <w:pStyle w:val="TableBodyText"/>
                    <w:ind w:right="57"/>
                  </w:pPr>
                  <w:r w:rsidRPr="006A6705">
                    <w:t>–</w:t>
                  </w:r>
                </w:p>
              </w:tc>
              <w:tc>
                <w:tcPr>
                  <w:tcW w:w="464" w:type="pct"/>
                  <w:shd w:val="clear" w:color="auto" w:fill="auto"/>
                  <w:vAlign w:val="bottom"/>
                </w:tcPr>
                <w:p w:rsidR="00745FEA" w:rsidRPr="006A6705" w:rsidRDefault="00745FEA" w:rsidP="00745FEA">
                  <w:pPr>
                    <w:pStyle w:val="TableBodyText"/>
                    <w:ind w:right="57"/>
                  </w:pPr>
                  <w:r w:rsidRPr="006A6705">
                    <w:t>0.3</w:t>
                  </w:r>
                </w:p>
              </w:tc>
              <w:tc>
                <w:tcPr>
                  <w:tcW w:w="462" w:type="pct"/>
                  <w:shd w:val="clear" w:color="auto" w:fill="auto"/>
                  <w:vAlign w:val="bottom"/>
                </w:tcPr>
                <w:p w:rsidR="00745FEA" w:rsidRPr="006A6705" w:rsidRDefault="00745FEA" w:rsidP="00745FEA">
                  <w:pPr>
                    <w:pStyle w:val="TableBodyText"/>
                    <w:ind w:right="57"/>
                  </w:pPr>
                  <w:r w:rsidRPr="006A6705">
                    <w:t>0.6</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 xml:space="preserve">Small business </w:t>
                  </w:r>
                  <w:r>
                    <w:t>capital gains tax</w:t>
                  </w:r>
                  <w:r w:rsidRPr="00976C85">
                    <w:t xml:space="preserve"> rollover deferral</w:t>
                  </w:r>
                </w:p>
              </w:tc>
              <w:tc>
                <w:tcPr>
                  <w:tcW w:w="465" w:type="pct"/>
                  <w:vAlign w:val="bottom"/>
                </w:tcPr>
                <w:p w:rsidR="00745FEA" w:rsidRPr="006A6705" w:rsidRDefault="00745FEA" w:rsidP="00745FEA">
                  <w:pPr>
                    <w:pStyle w:val="TableBodyText"/>
                    <w:ind w:right="57"/>
                  </w:pPr>
                  <w:r w:rsidRPr="006A6705">
                    <w:t>0.2</w:t>
                  </w:r>
                </w:p>
              </w:tc>
              <w:tc>
                <w:tcPr>
                  <w:tcW w:w="464" w:type="pct"/>
                  <w:vAlign w:val="bottom"/>
                </w:tcPr>
                <w:p w:rsidR="00745FEA" w:rsidRPr="006A6705" w:rsidRDefault="00745FEA" w:rsidP="00745FEA">
                  <w:pPr>
                    <w:pStyle w:val="TableBodyText"/>
                    <w:ind w:right="57"/>
                  </w:pPr>
                  <w:r w:rsidRPr="006A6705">
                    <w:t>0.2</w:t>
                  </w:r>
                </w:p>
              </w:tc>
              <w:tc>
                <w:tcPr>
                  <w:tcW w:w="464" w:type="pct"/>
                  <w:vAlign w:val="bottom"/>
                </w:tcPr>
                <w:p w:rsidR="00745FEA" w:rsidRPr="006A6705" w:rsidRDefault="00745FEA" w:rsidP="00745FEA">
                  <w:pPr>
                    <w:pStyle w:val="TableBodyText"/>
                    <w:ind w:right="57"/>
                  </w:pPr>
                  <w:r w:rsidRPr="006A6705">
                    <w:t>0.2</w:t>
                  </w:r>
                </w:p>
              </w:tc>
              <w:tc>
                <w:tcPr>
                  <w:tcW w:w="464" w:type="pct"/>
                  <w:vAlign w:val="bottom"/>
                </w:tcPr>
                <w:p w:rsidR="00745FEA" w:rsidRPr="006A6705" w:rsidRDefault="00745FEA" w:rsidP="00745FEA">
                  <w:pPr>
                    <w:pStyle w:val="TableBodyText"/>
                    <w:ind w:right="57"/>
                  </w:pPr>
                  <w:r w:rsidRPr="006A6705">
                    <w:t>0.3</w:t>
                  </w:r>
                </w:p>
              </w:tc>
              <w:tc>
                <w:tcPr>
                  <w:tcW w:w="464" w:type="pct"/>
                  <w:shd w:val="clear" w:color="auto" w:fill="auto"/>
                  <w:vAlign w:val="bottom"/>
                </w:tcPr>
                <w:p w:rsidR="00745FEA" w:rsidRPr="006A6705" w:rsidRDefault="00745FEA" w:rsidP="00745FEA">
                  <w:pPr>
                    <w:pStyle w:val="TableBodyText"/>
                    <w:ind w:right="57"/>
                  </w:pPr>
                  <w:r w:rsidRPr="006A6705">
                    <w:t>0.3</w:t>
                  </w:r>
                </w:p>
              </w:tc>
              <w:tc>
                <w:tcPr>
                  <w:tcW w:w="462" w:type="pct"/>
                  <w:shd w:val="clear" w:color="auto" w:fill="auto"/>
                  <w:vAlign w:val="bottom"/>
                </w:tcPr>
                <w:p w:rsidR="00745FEA" w:rsidRPr="006A6705" w:rsidRDefault="00745FEA" w:rsidP="00745FEA">
                  <w:pPr>
                    <w:pStyle w:val="TableBodyText"/>
                    <w:ind w:right="57"/>
                  </w:pPr>
                  <w:r w:rsidRPr="006A6705">
                    <w:t>0.5</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Small Business - Simplified depreciation rules</w:t>
                  </w:r>
                </w:p>
              </w:tc>
              <w:tc>
                <w:tcPr>
                  <w:tcW w:w="465" w:type="pct"/>
                  <w:vAlign w:val="bottom"/>
                </w:tcPr>
                <w:p w:rsidR="00745FEA" w:rsidRPr="006A6705" w:rsidRDefault="00745FEA" w:rsidP="00745FEA">
                  <w:pPr>
                    <w:pStyle w:val="TableBodyText"/>
                    <w:ind w:right="57"/>
                  </w:pPr>
                  <w:r w:rsidRPr="006A6705">
                    <w:t>&lt;0.1</w:t>
                  </w:r>
                </w:p>
              </w:tc>
              <w:tc>
                <w:tcPr>
                  <w:tcW w:w="464" w:type="pct"/>
                  <w:vAlign w:val="bottom"/>
                </w:tcPr>
                <w:p w:rsidR="00745FEA" w:rsidRPr="006A6705" w:rsidRDefault="00745FEA" w:rsidP="00745FEA">
                  <w:pPr>
                    <w:pStyle w:val="TableBodyText"/>
                    <w:ind w:right="57"/>
                  </w:pPr>
                  <w:r w:rsidRPr="006A6705">
                    <w:t>-0.2</w:t>
                  </w:r>
                </w:p>
              </w:tc>
              <w:tc>
                <w:tcPr>
                  <w:tcW w:w="464" w:type="pct"/>
                  <w:vAlign w:val="bottom"/>
                </w:tcPr>
                <w:p w:rsidR="00745FEA" w:rsidRPr="006A6705" w:rsidRDefault="00745FEA" w:rsidP="00745FEA">
                  <w:pPr>
                    <w:pStyle w:val="TableBodyText"/>
                    <w:ind w:right="57"/>
                  </w:pPr>
                  <w:r w:rsidRPr="006A6705">
                    <w:t>0.7</w:t>
                  </w:r>
                </w:p>
              </w:tc>
              <w:tc>
                <w:tcPr>
                  <w:tcW w:w="464" w:type="pct"/>
                  <w:vAlign w:val="bottom"/>
                </w:tcPr>
                <w:p w:rsidR="00745FEA" w:rsidRPr="006A6705" w:rsidRDefault="00745FEA" w:rsidP="00745FEA">
                  <w:pPr>
                    <w:pStyle w:val="TableBodyText"/>
                    <w:ind w:right="57"/>
                  </w:pPr>
                  <w:r w:rsidRPr="006A6705">
                    <w:t>-0.3</w:t>
                  </w:r>
                </w:p>
              </w:tc>
              <w:tc>
                <w:tcPr>
                  <w:tcW w:w="464" w:type="pct"/>
                  <w:shd w:val="clear" w:color="auto" w:fill="auto"/>
                  <w:vAlign w:val="bottom"/>
                </w:tcPr>
                <w:p w:rsidR="00745FEA" w:rsidRPr="006A6705" w:rsidRDefault="00745FEA" w:rsidP="00745FEA">
                  <w:pPr>
                    <w:pStyle w:val="TableBodyText"/>
                    <w:ind w:right="57"/>
                  </w:pPr>
                  <w:r w:rsidRPr="006A6705">
                    <w:t>-0.7</w:t>
                  </w:r>
                </w:p>
              </w:tc>
              <w:tc>
                <w:tcPr>
                  <w:tcW w:w="462" w:type="pct"/>
                  <w:shd w:val="clear" w:color="auto" w:fill="auto"/>
                  <w:vAlign w:val="bottom"/>
                </w:tcPr>
                <w:p w:rsidR="00745FEA" w:rsidRPr="006A6705" w:rsidRDefault="00745FEA" w:rsidP="00745FEA">
                  <w:pPr>
                    <w:pStyle w:val="TableBodyText"/>
                    <w:ind w:right="57"/>
                  </w:pPr>
                  <w:r w:rsidRPr="006A6705">
                    <w:t>3.4</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 xml:space="preserve">Small business </w:t>
                  </w:r>
                  <w:r>
                    <w:t>capital gains tax</w:t>
                  </w:r>
                  <w:r w:rsidRPr="00976C85">
                    <w:t xml:space="preserve"> retirement exemption</w:t>
                  </w:r>
                </w:p>
              </w:tc>
              <w:tc>
                <w:tcPr>
                  <w:tcW w:w="465" w:type="pct"/>
                  <w:vAlign w:val="bottom"/>
                </w:tcPr>
                <w:p w:rsidR="00745FEA" w:rsidRPr="006A6705" w:rsidRDefault="00745FEA" w:rsidP="00745FEA">
                  <w:pPr>
                    <w:pStyle w:val="TableBodyText"/>
                    <w:ind w:right="57"/>
                  </w:pPr>
                  <w:r w:rsidRPr="006A6705">
                    <w:t>0.1</w:t>
                  </w:r>
                </w:p>
              </w:tc>
              <w:tc>
                <w:tcPr>
                  <w:tcW w:w="464" w:type="pct"/>
                  <w:vAlign w:val="bottom"/>
                </w:tcPr>
                <w:p w:rsidR="00745FEA" w:rsidRPr="006A6705" w:rsidRDefault="00745FEA" w:rsidP="00745FEA">
                  <w:pPr>
                    <w:pStyle w:val="TableBodyText"/>
                    <w:ind w:right="57"/>
                  </w:pPr>
                  <w:r w:rsidRPr="006A6705">
                    <w:t>0.1</w:t>
                  </w:r>
                </w:p>
              </w:tc>
              <w:tc>
                <w:tcPr>
                  <w:tcW w:w="464" w:type="pct"/>
                  <w:vAlign w:val="bottom"/>
                </w:tcPr>
                <w:p w:rsidR="00745FEA" w:rsidRPr="006A6705" w:rsidRDefault="00745FEA" w:rsidP="00745FEA">
                  <w:pPr>
                    <w:pStyle w:val="TableBodyText"/>
                    <w:ind w:right="57"/>
                  </w:pPr>
                  <w:r w:rsidRPr="006A6705">
                    <w:t>0.2</w:t>
                  </w:r>
                </w:p>
              </w:tc>
              <w:tc>
                <w:tcPr>
                  <w:tcW w:w="464" w:type="pct"/>
                  <w:vAlign w:val="bottom"/>
                </w:tcPr>
                <w:p w:rsidR="00745FEA" w:rsidRPr="006A6705" w:rsidRDefault="00745FEA" w:rsidP="00745FEA">
                  <w:pPr>
                    <w:pStyle w:val="TableBodyText"/>
                    <w:ind w:right="57"/>
                  </w:pPr>
                  <w:r w:rsidRPr="006A6705">
                    <w:t>0.3</w:t>
                  </w:r>
                </w:p>
              </w:tc>
              <w:tc>
                <w:tcPr>
                  <w:tcW w:w="464" w:type="pct"/>
                  <w:shd w:val="clear" w:color="auto" w:fill="auto"/>
                  <w:vAlign w:val="bottom"/>
                </w:tcPr>
                <w:p w:rsidR="00745FEA" w:rsidRPr="006A6705" w:rsidRDefault="00745FEA" w:rsidP="00745FEA">
                  <w:pPr>
                    <w:pStyle w:val="TableBodyText"/>
                    <w:ind w:right="57"/>
                  </w:pPr>
                  <w:r w:rsidRPr="006A6705">
                    <w:t>0.3</w:t>
                  </w:r>
                </w:p>
              </w:tc>
              <w:tc>
                <w:tcPr>
                  <w:tcW w:w="462" w:type="pct"/>
                  <w:shd w:val="clear" w:color="auto" w:fill="auto"/>
                  <w:vAlign w:val="bottom"/>
                </w:tcPr>
                <w:p w:rsidR="00745FEA" w:rsidRPr="006A6705" w:rsidRDefault="00745FEA" w:rsidP="00745FEA">
                  <w:pPr>
                    <w:pStyle w:val="TableBodyText"/>
                    <w:ind w:right="57"/>
                  </w:pPr>
                  <w:r w:rsidRPr="006A6705">
                    <w:t>0.3</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 xml:space="preserve">Small business </w:t>
                  </w:r>
                  <w:r>
                    <w:t>capital gains tax</w:t>
                  </w:r>
                  <w:r w:rsidRPr="00976C85">
                    <w:t xml:space="preserve"> 50 per cent reduction</w:t>
                  </w:r>
                </w:p>
              </w:tc>
              <w:tc>
                <w:tcPr>
                  <w:tcW w:w="465" w:type="pct"/>
                  <w:vAlign w:val="bottom"/>
                </w:tcPr>
                <w:p w:rsidR="00745FEA" w:rsidRPr="006A6705" w:rsidRDefault="00745FEA" w:rsidP="00745FEA">
                  <w:pPr>
                    <w:pStyle w:val="TableBodyText"/>
                    <w:ind w:right="57"/>
                  </w:pPr>
                  <w:r w:rsidRPr="006A6705">
                    <w:t>0.8</w:t>
                  </w:r>
                </w:p>
              </w:tc>
              <w:tc>
                <w:tcPr>
                  <w:tcW w:w="464" w:type="pct"/>
                  <w:vAlign w:val="bottom"/>
                </w:tcPr>
                <w:p w:rsidR="00745FEA" w:rsidRPr="006A6705" w:rsidRDefault="00745FEA" w:rsidP="00745FEA">
                  <w:pPr>
                    <w:pStyle w:val="TableBodyText"/>
                    <w:ind w:right="57"/>
                  </w:pPr>
                  <w:r w:rsidRPr="006A6705">
                    <w:t>0.8</w:t>
                  </w:r>
                </w:p>
              </w:tc>
              <w:tc>
                <w:tcPr>
                  <w:tcW w:w="464" w:type="pct"/>
                  <w:vAlign w:val="bottom"/>
                </w:tcPr>
                <w:p w:rsidR="00745FEA" w:rsidRPr="006A6705" w:rsidRDefault="00745FEA" w:rsidP="00745FEA">
                  <w:pPr>
                    <w:pStyle w:val="TableBodyText"/>
                    <w:ind w:right="57"/>
                  </w:pPr>
                  <w:r w:rsidRPr="006A6705">
                    <w:t>0.8</w:t>
                  </w:r>
                </w:p>
              </w:tc>
              <w:tc>
                <w:tcPr>
                  <w:tcW w:w="464" w:type="pct"/>
                  <w:vAlign w:val="bottom"/>
                </w:tcPr>
                <w:p w:rsidR="00745FEA" w:rsidRPr="006A6705" w:rsidRDefault="00745FEA" w:rsidP="00745FEA">
                  <w:pPr>
                    <w:pStyle w:val="TableBodyText"/>
                    <w:ind w:right="57"/>
                  </w:pPr>
                  <w:r w:rsidRPr="006A6705">
                    <w:t>1.5</w:t>
                  </w:r>
                </w:p>
              </w:tc>
              <w:tc>
                <w:tcPr>
                  <w:tcW w:w="464" w:type="pct"/>
                  <w:shd w:val="clear" w:color="auto" w:fill="auto"/>
                  <w:vAlign w:val="bottom"/>
                </w:tcPr>
                <w:p w:rsidR="00745FEA" w:rsidRPr="006A6705" w:rsidRDefault="00745FEA" w:rsidP="00745FEA">
                  <w:pPr>
                    <w:pStyle w:val="TableBodyText"/>
                    <w:ind w:right="57"/>
                  </w:pPr>
                  <w:r w:rsidRPr="006A6705">
                    <w:t>1.3</w:t>
                  </w:r>
                </w:p>
              </w:tc>
              <w:tc>
                <w:tcPr>
                  <w:tcW w:w="462" w:type="pct"/>
                  <w:shd w:val="clear" w:color="auto" w:fill="auto"/>
                  <w:vAlign w:val="bottom"/>
                </w:tcPr>
                <w:p w:rsidR="00745FEA" w:rsidRPr="006A6705" w:rsidRDefault="00745FEA" w:rsidP="00745FEA">
                  <w:pPr>
                    <w:pStyle w:val="TableBodyText"/>
                    <w:ind w:right="57"/>
                  </w:pPr>
                  <w:r w:rsidRPr="006A6705">
                    <w:t>1.7</w:t>
                  </w:r>
                </w:p>
              </w:tc>
            </w:tr>
            <w:tr w:rsidR="00745FEA" w:rsidTr="00745FEA">
              <w:tc>
                <w:tcPr>
                  <w:tcW w:w="2217" w:type="pct"/>
                  <w:shd w:val="clear" w:color="auto" w:fill="auto"/>
                </w:tcPr>
                <w:p w:rsidR="00745FEA" w:rsidRPr="00976C85" w:rsidRDefault="00745FEA" w:rsidP="00745FEA">
                  <w:pPr>
                    <w:pStyle w:val="TableBodyText"/>
                    <w:spacing w:after="0"/>
                    <w:ind w:left="227" w:right="0"/>
                    <w:jc w:val="left"/>
                  </w:pPr>
                  <w:r w:rsidRPr="00976C85">
                    <w:t>25 per cent entrepreneurs' tax offset</w:t>
                  </w:r>
                </w:p>
              </w:tc>
              <w:tc>
                <w:tcPr>
                  <w:tcW w:w="465" w:type="pct"/>
                  <w:vAlign w:val="bottom"/>
                </w:tcPr>
                <w:p w:rsidR="00745FEA" w:rsidRPr="006A6705" w:rsidRDefault="00745FEA" w:rsidP="00745FEA">
                  <w:pPr>
                    <w:pStyle w:val="TableBodyText"/>
                    <w:ind w:right="57"/>
                  </w:pPr>
                  <w:r w:rsidRPr="006A6705">
                    <w:t>0.7</w:t>
                  </w:r>
                </w:p>
              </w:tc>
              <w:tc>
                <w:tcPr>
                  <w:tcW w:w="464" w:type="pct"/>
                  <w:vAlign w:val="bottom"/>
                </w:tcPr>
                <w:p w:rsidR="00745FEA" w:rsidRPr="006A6705" w:rsidRDefault="00745FEA" w:rsidP="00745FEA">
                  <w:pPr>
                    <w:pStyle w:val="TableBodyText"/>
                    <w:ind w:right="57"/>
                  </w:pPr>
                  <w:r w:rsidRPr="006A6705">
                    <w:t>0.7</w:t>
                  </w:r>
                </w:p>
              </w:tc>
              <w:tc>
                <w:tcPr>
                  <w:tcW w:w="464" w:type="pct"/>
                  <w:vAlign w:val="bottom"/>
                </w:tcPr>
                <w:p w:rsidR="00745FEA" w:rsidRPr="006A6705" w:rsidRDefault="00745FEA" w:rsidP="00745FEA">
                  <w:pPr>
                    <w:pStyle w:val="TableBodyText"/>
                    <w:ind w:right="57"/>
                  </w:pPr>
                  <w:r w:rsidRPr="006A6705">
                    <w:t>–</w:t>
                  </w:r>
                </w:p>
              </w:tc>
              <w:tc>
                <w:tcPr>
                  <w:tcW w:w="464" w:type="pct"/>
                  <w:vAlign w:val="bottom"/>
                </w:tcPr>
                <w:p w:rsidR="00745FEA" w:rsidRPr="006A6705" w:rsidRDefault="00745FEA" w:rsidP="00745FEA">
                  <w:pPr>
                    <w:pStyle w:val="TableBodyText"/>
                    <w:ind w:right="57"/>
                  </w:pPr>
                  <w:r w:rsidRPr="006A6705">
                    <w:t>–</w:t>
                  </w:r>
                </w:p>
              </w:tc>
              <w:tc>
                <w:tcPr>
                  <w:tcW w:w="464" w:type="pct"/>
                  <w:shd w:val="clear" w:color="auto" w:fill="auto"/>
                  <w:vAlign w:val="bottom"/>
                </w:tcPr>
                <w:p w:rsidR="00745FEA" w:rsidRPr="006A6705" w:rsidRDefault="00745FEA" w:rsidP="00745FEA">
                  <w:pPr>
                    <w:pStyle w:val="TableBodyText"/>
                    <w:ind w:right="57"/>
                  </w:pPr>
                  <w:r w:rsidRPr="006A6705">
                    <w:t>–</w:t>
                  </w:r>
                </w:p>
              </w:tc>
              <w:tc>
                <w:tcPr>
                  <w:tcW w:w="462" w:type="pct"/>
                  <w:shd w:val="clear" w:color="auto" w:fill="auto"/>
                  <w:vAlign w:val="bottom"/>
                </w:tcPr>
                <w:p w:rsidR="00745FEA" w:rsidRDefault="00745FEA" w:rsidP="00745FEA">
                  <w:pPr>
                    <w:pStyle w:val="TableBodyText"/>
                    <w:ind w:right="57"/>
                  </w:pPr>
                  <w:r w:rsidRPr="006A6705">
                    <w:t>–</w:t>
                  </w:r>
                </w:p>
              </w:tc>
            </w:tr>
            <w:tr w:rsidR="00745FEA" w:rsidTr="00745FEA">
              <w:tc>
                <w:tcPr>
                  <w:tcW w:w="2217" w:type="pct"/>
                  <w:shd w:val="clear" w:color="auto" w:fill="auto"/>
                </w:tcPr>
                <w:p w:rsidR="00745FEA" w:rsidRPr="00CB4D08" w:rsidRDefault="00745FEA" w:rsidP="00745FEA">
                  <w:pPr>
                    <w:pStyle w:val="TableBodyText"/>
                    <w:spacing w:before="20" w:after="20"/>
                    <w:jc w:val="left"/>
                    <w:rPr>
                      <w:i/>
                    </w:rPr>
                  </w:pPr>
                  <w:r w:rsidRPr="00CB4D08">
                    <w:rPr>
                      <w:i/>
                    </w:rPr>
                    <w:t>Total</w:t>
                  </w:r>
                </w:p>
              </w:tc>
              <w:tc>
                <w:tcPr>
                  <w:tcW w:w="465" w:type="pct"/>
                  <w:vAlign w:val="bottom"/>
                </w:tcPr>
                <w:p w:rsidR="00745FEA" w:rsidRPr="00CE2005" w:rsidRDefault="00745FEA" w:rsidP="00745FEA">
                  <w:pPr>
                    <w:pStyle w:val="TableBodyText"/>
                    <w:spacing w:before="20" w:after="20"/>
                    <w:ind w:right="57"/>
                    <w:rPr>
                      <w:i/>
                    </w:rPr>
                  </w:pPr>
                  <w:r>
                    <w:rPr>
                      <w:i/>
                    </w:rPr>
                    <w:t>67.2</w:t>
                  </w:r>
                </w:p>
              </w:tc>
              <w:tc>
                <w:tcPr>
                  <w:tcW w:w="464" w:type="pct"/>
                  <w:vAlign w:val="bottom"/>
                </w:tcPr>
                <w:p w:rsidR="00745FEA" w:rsidRPr="00CE2005" w:rsidRDefault="00745FEA" w:rsidP="00745FEA">
                  <w:pPr>
                    <w:pStyle w:val="TableBodyText"/>
                    <w:spacing w:before="20" w:after="20"/>
                    <w:ind w:right="57"/>
                    <w:rPr>
                      <w:i/>
                    </w:rPr>
                  </w:pPr>
                  <w:r>
                    <w:rPr>
                      <w:i/>
                    </w:rPr>
                    <w:t>70.4</w:t>
                  </w:r>
                </w:p>
              </w:tc>
              <w:tc>
                <w:tcPr>
                  <w:tcW w:w="464" w:type="pct"/>
                </w:tcPr>
                <w:p w:rsidR="00745FEA" w:rsidRPr="00536636" w:rsidRDefault="00745FEA" w:rsidP="00745FEA">
                  <w:pPr>
                    <w:pStyle w:val="TableBodyText"/>
                    <w:spacing w:before="20" w:after="20"/>
                    <w:ind w:right="57"/>
                    <w:rPr>
                      <w:i/>
                    </w:rPr>
                  </w:pPr>
                  <w:r>
                    <w:rPr>
                      <w:i/>
                    </w:rPr>
                    <w:t>72.1</w:t>
                  </w:r>
                </w:p>
              </w:tc>
              <w:tc>
                <w:tcPr>
                  <w:tcW w:w="464" w:type="pct"/>
                </w:tcPr>
                <w:p w:rsidR="00745FEA" w:rsidRPr="00536636" w:rsidRDefault="00745FEA" w:rsidP="00745FEA">
                  <w:pPr>
                    <w:pStyle w:val="TableBodyText"/>
                    <w:spacing w:before="20" w:after="20"/>
                    <w:ind w:right="57"/>
                    <w:rPr>
                      <w:i/>
                    </w:rPr>
                  </w:pPr>
                  <w:r>
                    <w:rPr>
                      <w:i/>
                    </w:rPr>
                    <w:t>83.8</w:t>
                  </w:r>
                </w:p>
              </w:tc>
              <w:tc>
                <w:tcPr>
                  <w:tcW w:w="464" w:type="pct"/>
                  <w:shd w:val="clear" w:color="auto" w:fill="auto"/>
                </w:tcPr>
                <w:p w:rsidR="00745FEA" w:rsidRPr="00536636" w:rsidRDefault="00745FEA" w:rsidP="00745FEA">
                  <w:pPr>
                    <w:pStyle w:val="TableBodyText"/>
                    <w:spacing w:before="20" w:after="20"/>
                    <w:ind w:right="57"/>
                    <w:rPr>
                      <w:i/>
                    </w:rPr>
                  </w:pPr>
                  <w:r>
                    <w:rPr>
                      <w:i/>
                    </w:rPr>
                    <w:t>87.5</w:t>
                  </w:r>
                </w:p>
              </w:tc>
              <w:tc>
                <w:tcPr>
                  <w:tcW w:w="462" w:type="pct"/>
                  <w:shd w:val="clear" w:color="auto" w:fill="auto"/>
                </w:tcPr>
                <w:p w:rsidR="00745FEA" w:rsidRPr="00536636" w:rsidRDefault="00745FEA" w:rsidP="00745FEA">
                  <w:pPr>
                    <w:pStyle w:val="TableBodyText"/>
                    <w:spacing w:before="20" w:after="20"/>
                    <w:ind w:right="57"/>
                    <w:rPr>
                      <w:i/>
                    </w:rPr>
                  </w:pPr>
                  <w:r>
                    <w:rPr>
                      <w:i/>
                    </w:rPr>
                    <w:t>96.1</w:t>
                  </w:r>
                </w:p>
              </w:tc>
            </w:tr>
            <w:tr w:rsidR="00745FEA" w:rsidTr="00745FEA">
              <w:tc>
                <w:tcPr>
                  <w:tcW w:w="2217" w:type="pct"/>
                  <w:shd w:val="clear" w:color="auto" w:fill="auto"/>
                </w:tcPr>
                <w:p w:rsidR="00745FEA" w:rsidRPr="00CB4D08" w:rsidRDefault="00745FEA" w:rsidP="00745FEA">
                  <w:pPr>
                    <w:pStyle w:val="TableBodyText"/>
                    <w:spacing w:before="40"/>
                    <w:jc w:val="left"/>
                    <w:rPr>
                      <w:b/>
                    </w:rPr>
                  </w:pPr>
                  <w:r w:rsidRPr="00CB4D08">
                    <w:rPr>
                      <w:b/>
                    </w:rPr>
                    <w:t>Forestry and logging</w:t>
                  </w:r>
                </w:p>
              </w:tc>
              <w:tc>
                <w:tcPr>
                  <w:tcW w:w="465"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c>
                <w:tcPr>
                  <w:tcW w:w="462" w:type="pct"/>
                  <w:shd w:val="clear" w:color="auto" w:fill="auto"/>
                  <w:vAlign w:val="bottom"/>
                </w:tcPr>
                <w:p w:rsidR="00745FEA" w:rsidRDefault="00745FEA" w:rsidP="00745FEA">
                  <w:pPr>
                    <w:pStyle w:val="TableBodyText"/>
                    <w:spacing w:before="40"/>
                    <w:ind w:right="57"/>
                  </w:pPr>
                </w:p>
              </w:tc>
            </w:tr>
            <w:tr w:rsidR="00745FEA" w:rsidTr="00745FEA">
              <w:tc>
                <w:tcPr>
                  <w:tcW w:w="2217" w:type="pct"/>
                  <w:shd w:val="clear" w:color="auto" w:fill="auto"/>
                </w:tcPr>
                <w:p w:rsidR="00745FEA" w:rsidRPr="00CB4D08" w:rsidRDefault="00745FEA" w:rsidP="00745FEA">
                  <w:pPr>
                    <w:pStyle w:val="TableBodyText"/>
                    <w:spacing w:before="40" w:after="0"/>
                    <w:ind w:left="113"/>
                    <w:jc w:val="left"/>
                    <w:rPr>
                      <w:i/>
                    </w:rPr>
                  </w:pPr>
                  <w:r w:rsidRPr="00CB4D08">
                    <w:rPr>
                      <w:i/>
                    </w:rPr>
                    <w:t>Industry-specific measures</w:t>
                  </w: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9A45ED" w:rsidRDefault="00745FEA" w:rsidP="00745FEA">
                  <w:pPr>
                    <w:pStyle w:val="TableBodyText"/>
                    <w:spacing w:after="0"/>
                    <w:ind w:left="227" w:right="0"/>
                    <w:jc w:val="left"/>
                  </w:pPr>
                  <w:r w:rsidRPr="009A45ED">
                    <w:t>Tasmanian Forests Agreement - Implementation Package</w:t>
                  </w:r>
                </w:p>
              </w:tc>
              <w:tc>
                <w:tcPr>
                  <w:tcW w:w="465" w:type="pct"/>
                  <w:vAlign w:val="bottom"/>
                </w:tcPr>
                <w:p w:rsidR="00745FEA" w:rsidRPr="00A84CEE" w:rsidRDefault="00745FEA" w:rsidP="00745FEA">
                  <w:pPr>
                    <w:pStyle w:val="TableBodyText"/>
                    <w:ind w:right="57"/>
                  </w:pPr>
                  <w:r w:rsidRPr="00A84CEE">
                    <w:t>–</w:t>
                  </w:r>
                </w:p>
              </w:tc>
              <w:tc>
                <w:tcPr>
                  <w:tcW w:w="464" w:type="pct"/>
                  <w:vAlign w:val="bottom"/>
                </w:tcPr>
                <w:p w:rsidR="00745FEA" w:rsidRPr="00A84CEE" w:rsidRDefault="00745FEA" w:rsidP="00745FEA">
                  <w:pPr>
                    <w:pStyle w:val="TableBodyText"/>
                    <w:ind w:right="57"/>
                  </w:pPr>
                  <w:r w:rsidRPr="00A84CEE">
                    <w:t>20.3</w:t>
                  </w:r>
                </w:p>
              </w:tc>
              <w:tc>
                <w:tcPr>
                  <w:tcW w:w="464" w:type="pct"/>
                  <w:vAlign w:val="bottom"/>
                </w:tcPr>
                <w:p w:rsidR="00745FEA" w:rsidRPr="00A84CEE" w:rsidRDefault="00745FEA" w:rsidP="00745FEA">
                  <w:pPr>
                    <w:pStyle w:val="TableBodyText"/>
                    <w:ind w:right="57"/>
                  </w:pPr>
                  <w:r w:rsidRPr="00A84CEE">
                    <w:t>–</w:t>
                  </w:r>
                </w:p>
              </w:tc>
              <w:tc>
                <w:tcPr>
                  <w:tcW w:w="464" w:type="pct"/>
                  <w:vAlign w:val="bottom"/>
                </w:tcPr>
                <w:p w:rsidR="00745FEA" w:rsidRPr="00A84CEE" w:rsidRDefault="00745FEA" w:rsidP="00745FEA">
                  <w:pPr>
                    <w:pStyle w:val="TableBodyText"/>
                    <w:ind w:right="57"/>
                  </w:pPr>
                  <w:r w:rsidRPr="00A84CEE">
                    <w:t>–</w:t>
                  </w:r>
                </w:p>
              </w:tc>
              <w:tc>
                <w:tcPr>
                  <w:tcW w:w="464" w:type="pct"/>
                  <w:shd w:val="clear" w:color="auto" w:fill="auto"/>
                  <w:vAlign w:val="bottom"/>
                </w:tcPr>
                <w:p w:rsidR="00745FEA" w:rsidRPr="00A84CEE" w:rsidRDefault="00745FEA" w:rsidP="00745FEA">
                  <w:pPr>
                    <w:pStyle w:val="TableBodyText"/>
                    <w:ind w:right="57"/>
                  </w:pPr>
                  <w:r w:rsidRPr="00A84CEE">
                    <w:t>–</w:t>
                  </w:r>
                </w:p>
              </w:tc>
              <w:tc>
                <w:tcPr>
                  <w:tcW w:w="462" w:type="pct"/>
                  <w:shd w:val="clear" w:color="auto" w:fill="auto"/>
                  <w:vAlign w:val="bottom"/>
                </w:tcPr>
                <w:p w:rsidR="00745FEA" w:rsidRPr="00A84CEE" w:rsidRDefault="00745FEA" w:rsidP="00745FEA">
                  <w:pPr>
                    <w:pStyle w:val="TableBodyText"/>
                    <w:ind w:right="57"/>
                  </w:pPr>
                  <w:r w:rsidRPr="00A84CEE">
                    <w:t>–</w:t>
                  </w:r>
                </w:p>
              </w:tc>
            </w:tr>
            <w:tr w:rsidR="00745FEA" w:rsidTr="00745FEA">
              <w:tc>
                <w:tcPr>
                  <w:tcW w:w="2217" w:type="pct"/>
                  <w:shd w:val="clear" w:color="auto" w:fill="auto"/>
                </w:tcPr>
                <w:p w:rsidR="00745FEA" w:rsidRPr="009A45ED" w:rsidRDefault="00745FEA" w:rsidP="00745FEA">
                  <w:pPr>
                    <w:pStyle w:val="TableBodyText"/>
                    <w:spacing w:after="0"/>
                    <w:ind w:left="227" w:right="0"/>
                    <w:jc w:val="left"/>
                  </w:pPr>
                  <w:r w:rsidRPr="009A45ED">
                    <w:t>Tasmanian Forest Industry Adjustment Package</w:t>
                  </w:r>
                </w:p>
              </w:tc>
              <w:tc>
                <w:tcPr>
                  <w:tcW w:w="465" w:type="pct"/>
                  <w:vAlign w:val="bottom"/>
                </w:tcPr>
                <w:p w:rsidR="00745FEA" w:rsidRPr="00A84CEE" w:rsidRDefault="00745FEA" w:rsidP="00745FEA">
                  <w:pPr>
                    <w:pStyle w:val="TableBodyText"/>
                    <w:ind w:right="57"/>
                  </w:pPr>
                  <w:r w:rsidRPr="00A84CEE">
                    <w:t>42.4</w:t>
                  </w:r>
                </w:p>
              </w:tc>
              <w:tc>
                <w:tcPr>
                  <w:tcW w:w="464" w:type="pct"/>
                  <w:vAlign w:val="bottom"/>
                </w:tcPr>
                <w:p w:rsidR="00745FEA" w:rsidRPr="00A84CEE" w:rsidRDefault="00745FEA" w:rsidP="00745FEA">
                  <w:pPr>
                    <w:pStyle w:val="TableBodyText"/>
                    <w:ind w:right="57"/>
                  </w:pPr>
                  <w:r w:rsidRPr="00A84CEE">
                    <w:t>0.3</w:t>
                  </w:r>
                </w:p>
              </w:tc>
              <w:tc>
                <w:tcPr>
                  <w:tcW w:w="464" w:type="pct"/>
                  <w:vAlign w:val="bottom"/>
                </w:tcPr>
                <w:p w:rsidR="00745FEA" w:rsidRPr="00A84CEE" w:rsidRDefault="00745FEA" w:rsidP="00745FEA">
                  <w:pPr>
                    <w:pStyle w:val="TableBodyText"/>
                    <w:ind w:right="57"/>
                  </w:pPr>
                  <w:r w:rsidRPr="00A84CEE">
                    <w:t>–</w:t>
                  </w:r>
                </w:p>
              </w:tc>
              <w:tc>
                <w:tcPr>
                  <w:tcW w:w="464" w:type="pct"/>
                  <w:vAlign w:val="bottom"/>
                </w:tcPr>
                <w:p w:rsidR="00745FEA" w:rsidRPr="00A84CEE" w:rsidRDefault="00745FEA" w:rsidP="00745FEA">
                  <w:pPr>
                    <w:pStyle w:val="TableBodyText"/>
                    <w:ind w:right="57"/>
                  </w:pPr>
                  <w:r w:rsidRPr="00A84CEE">
                    <w:t>–</w:t>
                  </w:r>
                </w:p>
              </w:tc>
              <w:tc>
                <w:tcPr>
                  <w:tcW w:w="464" w:type="pct"/>
                  <w:shd w:val="clear" w:color="auto" w:fill="auto"/>
                  <w:vAlign w:val="bottom"/>
                </w:tcPr>
                <w:p w:rsidR="00745FEA" w:rsidRPr="00A84CEE" w:rsidRDefault="00745FEA" w:rsidP="00745FEA">
                  <w:pPr>
                    <w:pStyle w:val="TableBodyText"/>
                    <w:ind w:right="57"/>
                  </w:pPr>
                  <w:r w:rsidRPr="00A84CEE">
                    <w:t>–</w:t>
                  </w:r>
                </w:p>
              </w:tc>
              <w:tc>
                <w:tcPr>
                  <w:tcW w:w="462" w:type="pct"/>
                  <w:shd w:val="clear" w:color="auto" w:fill="auto"/>
                  <w:vAlign w:val="bottom"/>
                </w:tcPr>
                <w:p w:rsidR="00745FEA" w:rsidRDefault="00745FEA" w:rsidP="00745FEA">
                  <w:pPr>
                    <w:pStyle w:val="TableBodyText"/>
                    <w:ind w:right="57"/>
                  </w:pPr>
                  <w:r w:rsidRPr="00A84CEE">
                    <w:t>–</w:t>
                  </w:r>
                </w:p>
              </w:tc>
            </w:tr>
            <w:tr w:rsidR="00745FEA" w:rsidTr="00745FEA">
              <w:tc>
                <w:tcPr>
                  <w:tcW w:w="2217" w:type="pct"/>
                </w:tcPr>
                <w:p w:rsidR="00745FEA" w:rsidRPr="00056DB7" w:rsidRDefault="00745FEA" w:rsidP="00745FEA">
                  <w:pPr>
                    <w:pStyle w:val="TableUnitsRow"/>
                    <w:spacing w:after="0"/>
                    <w:ind w:left="113"/>
                    <w:jc w:val="left"/>
                    <w:rPr>
                      <w:i/>
                    </w:rPr>
                  </w:pPr>
                  <w:r w:rsidRPr="00056DB7">
                    <w:rPr>
                      <w:i/>
                    </w:rPr>
                    <w:t>Sector-specific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vAlign w:val="bottom"/>
                </w:tcPr>
                <w:p w:rsidR="00745FEA" w:rsidRDefault="00745FEA" w:rsidP="00745FEA">
                  <w:pPr>
                    <w:pStyle w:val="TableBodyText"/>
                    <w:ind w:right="57"/>
                  </w:pPr>
                </w:p>
              </w:tc>
            </w:tr>
            <w:tr w:rsidR="00745FEA" w:rsidTr="00745FEA">
              <w:tc>
                <w:tcPr>
                  <w:tcW w:w="2217" w:type="pct"/>
                </w:tcPr>
                <w:p w:rsidR="00745FEA" w:rsidRPr="0049462C" w:rsidRDefault="00745FEA" w:rsidP="00745FEA">
                  <w:pPr>
                    <w:pStyle w:val="TableBodyText"/>
                    <w:spacing w:after="0"/>
                    <w:ind w:left="227" w:right="0"/>
                    <w:jc w:val="left"/>
                  </w:pPr>
                  <w:r w:rsidRPr="0049462C">
                    <w:t>Carbon Farming Futures</w:t>
                  </w:r>
                </w:p>
              </w:tc>
              <w:tc>
                <w:tcPr>
                  <w:tcW w:w="465" w:type="pct"/>
                  <w:vAlign w:val="bottom"/>
                </w:tcPr>
                <w:p w:rsidR="00745FEA" w:rsidRPr="00E42CC6" w:rsidRDefault="00745FEA" w:rsidP="00745FEA">
                  <w:pPr>
                    <w:pStyle w:val="TableBodyText"/>
                    <w:ind w:right="57"/>
                  </w:pPr>
                  <w:r w:rsidRPr="00E42CC6">
                    <w:t>1.1</w:t>
                  </w:r>
                </w:p>
              </w:tc>
              <w:tc>
                <w:tcPr>
                  <w:tcW w:w="464" w:type="pct"/>
                  <w:vAlign w:val="bottom"/>
                </w:tcPr>
                <w:p w:rsidR="00745FEA" w:rsidRPr="00E42CC6" w:rsidRDefault="00745FEA" w:rsidP="00745FEA">
                  <w:pPr>
                    <w:pStyle w:val="TableBodyText"/>
                    <w:ind w:right="57"/>
                  </w:pPr>
                  <w:r w:rsidRPr="00E42CC6">
                    <w:t>0.8</w:t>
                  </w:r>
                </w:p>
              </w:tc>
              <w:tc>
                <w:tcPr>
                  <w:tcW w:w="464"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w:t>
                  </w:r>
                </w:p>
              </w:tc>
              <w:tc>
                <w:tcPr>
                  <w:tcW w:w="462" w:type="pct"/>
                  <w:vAlign w:val="bottom"/>
                </w:tcPr>
                <w:p w:rsidR="00745FEA" w:rsidRPr="00E42CC6" w:rsidRDefault="00745FEA" w:rsidP="00745FEA">
                  <w:pPr>
                    <w:pStyle w:val="TableBodyText"/>
                    <w:ind w:right="57"/>
                  </w:pPr>
                  <w:r w:rsidRPr="00E42CC6">
                    <w:t>–</w:t>
                  </w:r>
                </w:p>
              </w:tc>
            </w:tr>
            <w:tr w:rsidR="00745FEA" w:rsidTr="00745FEA">
              <w:tc>
                <w:tcPr>
                  <w:tcW w:w="2217" w:type="pct"/>
                  <w:shd w:val="clear" w:color="auto" w:fill="auto"/>
                </w:tcPr>
                <w:p w:rsidR="00745FEA" w:rsidRPr="0049462C" w:rsidRDefault="00745FEA" w:rsidP="00745FEA">
                  <w:pPr>
                    <w:pStyle w:val="TableBodyText"/>
                    <w:spacing w:after="0"/>
                    <w:ind w:left="227" w:right="0"/>
                    <w:jc w:val="left"/>
                  </w:pPr>
                  <w:r w:rsidRPr="0049462C">
                    <w:t>Carbon Farming Initiative</w:t>
                  </w:r>
                </w:p>
              </w:tc>
              <w:tc>
                <w:tcPr>
                  <w:tcW w:w="465"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&lt;0.1</w:t>
                  </w:r>
                </w:p>
              </w:tc>
              <w:tc>
                <w:tcPr>
                  <w:tcW w:w="464" w:type="pct"/>
                  <w:vAlign w:val="bottom"/>
                </w:tcPr>
                <w:p w:rsidR="00745FEA" w:rsidRPr="00E42CC6" w:rsidRDefault="00745FEA" w:rsidP="00745FEA">
                  <w:pPr>
                    <w:pStyle w:val="TableBodyText"/>
                    <w:ind w:right="57"/>
                  </w:pPr>
                  <w:r w:rsidRPr="00E42CC6">
                    <w:t>–</w:t>
                  </w:r>
                </w:p>
              </w:tc>
              <w:tc>
                <w:tcPr>
                  <w:tcW w:w="464" w:type="pct"/>
                  <w:shd w:val="clear" w:color="auto" w:fill="auto"/>
                  <w:vAlign w:val="bottom"/>
                </w:tcPr>
                <w:p w:rsidR="00745FEA" w:rsidRPr="00E42CC6" w:rsidRDefault="00745FEA" w:rsidP="00745FEA">
                  <w:pPr>
                    <w:pStyle w:val="TableBodyText"/>
                    <w:ind w:right="57"/>
                  </w:pPr>
                  <w:r w:rsidRPr="00E42CC6">
                    <w:t>0.1</w:t>
                  </w:r>
                </w:p>
              </w:tc>
              <w:tc>
                <w:tcPr>
                  <w:tcW w:w="462" w:type="pct"/>
                  <w:shd w:val="clear" w:color="auto" w:fill="auto"/>
                  <w:vAlign w:val="bottom"/>
                </w:tcPr>
                <w:p w:rsidR="00745FEA" w:rsidRPr="00E42CC6" w:rsidRDefault="00745FEA" w:rsidP="00745FEA">
                  <w:pPr>
                    <w:pStyle w:val="TableBodyText"/>
                    <w:ind w:right="57"/>
                  </w:pPr>
                  <w:r w:rsidRPr="00E42CC6">
                    <w:t>–</w:t>
                  </w:r>
                </w:p>
              </w:tc>
            </w:tr>
            <w:tr w:rsidR="00745FEA" w:rsidTr="00745FEA">
              <w:tc>
                <w:tcPr>
                  <w:tcW w:w="2217" w:type="pct"/>
                  <w:shd w:val="clear" w:color="auto" w:fill="auto"/>
                </w:tcPr>
                <w:p w:rsidR="00745FEA" w:rsidRPr="0049462C" w:rsidRDefault="00745FEA" w:rsidP="00745FEA">
                  <w:pPr>
                    <w:pStyle w:val="TableBodyText"/>
                    <w:spacing w:after="0"/>
                    <w:ind w:left="227" w:right="0"/>
                    <w:jc w:val="left"/>
                  </w:pPr>
                  <w:r w:rsidRPr="0049462C">
                    <w:t xml:space="preserve">Exceptional Circumstances - interest rate </w:t>
                  </w:r>
                  <w:r>
                    <w:t>subsidies</w:t>
                  </w:r>
                </w:p>
              </w:tc>
              <w:tc>
                <w:tcPr>
                  <w:tcW w:w="465" w:type="pct"/>
                  <w:vAlign w:val="bottom"/>
                </w:tcPr>
                <w:p w:rsidR="00745FEA" w:rsidRPr="00E42CC6" w:rsidRDefault="00745FEA" w:rsidP="00745FEA">
                  <w:pPr>
                    <w:pStyle w:val="TableBodyText"/>
                    <w:ind w:right="57"/>
                  </w:pPr>
                  <w:r w:rsidRPr="00E42CC6">
                    <w:t>&lt;0.1</w:t>
                  </w:r>
                </w:p>
              </w:tc>
              <w:tc>
                <w:tcPr>
                  <w:tcW w:w="464"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w:t>
                  </w:r>
                </w:p>
              </w:tc>
              <w:tc>
                <w:tcPr>
                  <w:tcW w:w="464" w:type="pct"/>
                  <w:shd w:val="clear" w:color="auto" w:fill="auto"/>
                  <w:vAlign w:val="bottom"/>
                </w:tcPr>
                <w:p w:rsidR="00745FEA" w:rsidRPr="00E42CC6" w:rsidRDefault="00745FEA" w:rsidP="00745FEA">
                  <w:pPr>
                    <w:pStyle w:val="TableBodyText"/>
                    <w:ind w:right="57"/>
                  </w:pPr>
                  <w:r w:rsidRPr="00E42CC6">
                    <w:t>–</w:t>
                  </w:r>
                </w:p>
              </w:tc>
              <w:tc>
                <w:tcPr>
                  <w:tcW w:w="462" w:type="pct"/>
                  <w:shd w:val="clear" w:color="auto" w:fill="auto"/>
                  <w:vAlign w:val="bottom"/>
                </w:tcPr>
                <w:p w:rsidR="00745FEA" w:rsidRPr="00E42CC6" w:rsidRDefault="00745FEA" w:rsidP="00745FEA">
                  <w:pPr>
                    <w:pStyle w:val="TableBodyText"/>
                    <w:ind w:right="57"/>
                  </w:pPr>
                  <w:r w:rsidRPr="00E42CC6">
                    <w:t>–</w:t>
                  </w:r>
                </w:p>
              </w:tc>
            </w:tr>
            <w:tr w:rsidR="00745FEA" w:rsidTr="00745FEA">
              <w:tc>
                <w:tcPr>
                  <w:tcW w:w="2217" w:type="pct"/>
                  <w:shd w:val="clear" w:color="auto" w:fill="auto"/>
                </w:tcPr>
                <w:p w:rsidR="00745FEA" w:rsidRPr="0049462C" w:rsidRDefault="00745FEA" w:rsidP="00745FEA">
                  <w:pPr>
                    <w:pStyle w:val="TableBodyText"/>
                    <w:spacing w:after="0"/>
                    <w:ind w:left="227" w:right="0"/>
                    <w:jc w:val="left"/>
                  </w:pPr>
                  <w:r w:rsidRPr="0049462C">
                    <w:t>Farm Finance - concessional loans</w:t>
                  </w:r>
                </w:p>
              </w:tc>
              <w:tc>
                <w:tcPr>
                  <w:tcW w:w="465"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w:t>
                  </w:r>
                </w:p>
              </w:tc>
              <w:tc>
                <w:tcPr>
                  <w:tcW w:w="464" w:type="pct"/>
                  <w:vAlign w:val="bottom"/>
                </w:tcPr>
                <w:p w:rsidR="00745FEA" w:rsidRPr="00E42CC6" w:rsidRDefault="00745FEA" w:rsidP="00745FEA">
                  <w:pPr>
                    <w:pStyle w:val="TableBodyText"/>
                    <w:ind w:right="57"/>
                  </w:pPr>
                  <w:r w:rsidRPr="00E42CC6">
                    <w:t>&lt;0.1</w:t>
                  </w:r>
                </w:p>
              </w:tc>
              <w:tc>
                <w:tcPr>
                  <w:tcW w:w="464" w:type="pct"/>
                  <w:vAlign w:val="bottom"/>
                </w:tcPr>
                <w:p w:rsidR="00745FEA" w:rsidRPr="00E42CC6" w:rsidRDefault="00745FEA" w:rsidP="00745FEA">
                  <w:pPr>
                    <w:pStyle w:val="TableBodyText"/>
                    <w:ind w:right="57"/>
                  </w:pPr>
                  <w:r w:rsidRPr="00E42CC6">
                    <w:t>–</w:t>
                  </w:r>
                </w:p>
              </w:tc>
              <w:tc>
                <w:tcPr>
                  <w:tcW w:w="464" w:type="pct"/>
                  <w:shd w:val="clear" w:color="auto" w:fill="auto"/>
                  <w:vAlign w:val="bottom"/>
                </w:tcPr>
                <w:p w:rsidR="00745FEA" w:rsidRPr="00E42CC6" w:rsidRDefault="00745FEA" w:rsidP="00745FEA">
                  <w:pPr>
                    <w:pStyle w:val="TableBodyText"/>
                    <w:ind w:right="57"/>
                  </w:pPr>
                  <w:r w:rsidRPr="00E42CC6">
                    <w:t>–</w:t>
                  </w:r>
                </w:p>
              </w:tc>
              <w:tc>
                <w:tcPr>
                  <w:tcW w:w="462" w:type="pct"/>
                  <w:shd w:val="clear" w:color="auto" w:fill="auto"/>
                  <w:vAlign w:val="bottom"/>
                </w:tcPr>
                <w:p w:rsidR="00745FEA" w:rsidRPr="00E42CC6" w:rsidRDefault="00745FEA" w:rsidP="00745FEA">
                  <w:pPr>
                    <w:pStyle w:val="TableBodyText"/>
                    <w:ind w:right="57"/>
                  </w:pPr>
                  <w:r w:rsidRPr="00E42CC6">
                    <w:t>–</w:t>
                  </w:r>
                </w:p>
              </w:tc>
            </w:tr>
            <w:tr w:rsidR="00745FEA" w:rsidTr="00745FEA">
              <w:tc>
                <w:tcPr>
                  <w:tcW w:w="2217" w:type="pct"/>
                  <w:shd w:val="clear" w:color="auto" w:fill="auto"/>
                </w:tcPr>
                <w:p w:rsidR="00745FEA" w:rsidRPr="0049462C" w:rsidRDefault="00745FEA" w:rsidP="00745FEA">
                  <w:pPr>
                    <w:pStyle w:val="TableBodyText"/>
                    <w:spacing w:after="0"/>
                    <w:ind w:left="227" w:right="0"/>
                    <w:jc w:val="left"/>
                  </w:pPr>
                  <w:r w:rsidRPr="0049462C">
                    <w:t>Rural Financial Counselling Service</w:t>
                  </w:r>
                </w:p>
              </w:tc>
              <w:tc>
                <w:tcPr>
                  <w:tcW w:w="465" w:type="pct"/>
                  <w:vAlign w:val="bottom"/>
                </w:tcPr>
                <w:p w:rsidR="00745FEA" w:rsidRPr="00E42CC6" w:rsidRDefault="00745FEA" w:rsidP="00745FEA">
                  <w:pPr>
                    <w:pStyle w:val="TableBodyText"/>
                    <w:ind w:right="57"/>
                  </w:pPr>
                  <w:r w:rsidRPr="00E42CC6">
                    <w:t>0.1</w:t>
                  </w:r>
                </w:p>
              </w:tc>
              <w:tc>
                <w:tcPr>
                  <w:tcW w:w="464" w:type="pct"/>
                  <w:vAlign w:val="bottom"/>
                </w:tcPr>
                <w:p w:rsidR="00745FEA" w:rsidRPr="00E42CC6" w:rsidRDefault="00745FEA" w:rsidP="00745FEA">
                  <w:pPr>
                    <w:pStyle w:val="TableBodyText"/>
                    <w:ind w:right="57"/>
                  </w:pPr>
                  <w:r w:rsidRPr="00E42CC6">
                    <w:t>&lt;0.1</w:t>
                  </w:r>
                </w:p>
              </w:tc>
              <w:tc>
                <w:tcPr>
                  <w:tcW w:w="464" w:type="pct"/>
                  <w:vAlign w:val="bottom"/>
                </w:tcPr>
                <w:p w:rsidR="00745FEA" w:rsidRPr="00E42CC6" w:rsidRDefault="00745FEA" w:rsidP="00745FEA">
                  <w:pPr>
                    <w:pStyle w:val="TableBodyText"/>
                    <w:ind w:right="57"/>
                  </w:pPr>
                  <w:r w:rsidRPr="00E42CC6">
                    <w:t>&lt;0.1</w:t>
                  </w:r>
                </w:p>
              </w:tc>
              <w:tc>
                <w:tcPr>
                  <w:tcW w:w="464" w:type="pct"/>
                  <w:vAlign w:val="bottom"/>
                </w:tcPr>
                <w:p w:rsidR="00745FEA" w:rsidRPr="00E42CC6" w:rsidRDefault="00745FEA" w:rsidP="00745FEA">
                  <w:pPr>
                    <w:pStyle w:val="TableBodyText"/>
                    <w:ind w:right="57"/>
                  </w:pPr>
                  <w:r w:rsidRPr="00E42CC6">
                    <w:t>&lt;0.1</w:t>
                  </w:r>
                </w:p>
              </w:tc>
              <w:tc>
                <w:tcPr>
                  <w:tcW w:w="464" w:type="pct"/>
                  <w:shd w:val="clear" w:color="auto" w:fill="auto"/>
                  <w:vAlign w:val="bottom"/>
                </w:tcPr>
                <w:p w:rsidR="00745FEA" w:rsidRPr="00E42CC6" w:rsidRDefault="00745FEA" w:rsidP="00745FEA">
                  <w:pPr>
                    <w:pStyle w:val="TableBodyText"/>
                    <w:ind w:right="57"/>
                  </w:pPr>
                  <w:r w:rsidRPr="00E42CC6">
                    <w:t>&lt;0.1</w:t>
                  </w:r>
                </w:p>
              </w:tc>
              <w:tc>
                <w:tcPr>
                  <w:tcW w:w="462" w:type="pct"/>
                  <w:shd w:val="clear" w:color="auto" w:fill="auto"/>
                  <w:vAlign w:val="bottom"/>
                </w:tcPr>
                <w:p w:rsidR="00745FEA" w:rsidRPr="00E42CC6" w:rsidRDefault="00745FEA" w:rsidP="00745FEA">
                  <w:pPr>
                    <w:pStyle w:val="TableBodyText"/>
                    <w:ind w:right="57"/>
                  </w:pPr>
                  <w:r w:rsidRPr="00E42CC6">
                    <w:t>0.1</w:t>
                  </w:r>
                </w:p>
              </w:tc>
            </w:tr>
            <w:tr w:rsidR="00745FEA" w:rsidTr="00745FEA">
              <w:tc>
                <w:tcPr>
                  <w:tcW w:w="2217" w:type="pct"/>
                  <w:shd w:val="clear" w:color="auto" w:fill="auto"/>
                </w:tcPr>
                <w:p w:rsidR="00745FEA" w:rsidRPr="0049462C" w:rsidRDefault="00745FEA" w:rsidP="00745FEA">
                  <w:pPr>
                    <w:pStyle w:val="TableBodyText"/>
                    <w:spacing w:after="0"/>
                    <w:ind w:left="227" w:right="0"/>
                    <w:jc w:val="left"/>
                  </w:pPr>
                  <w:r w:rsidRPr="0049462C">
                    <w:t>Income tax averaging provisions</w:t>
                  </w:r>
                </w:p>
              </w:tc>
              <w:tc>
                <w:tcPr>
                  <w:tcW w:w="465" w:type="pct"/>
                  <w:vAlign w:val="bottom"/>
                </w:tcPr>
                <w:p w:rsidR="00745FEA" w:rsidRPr="00E42CC6" w:rsidRDefault="00745FEA" w:rsidP="00745FEA">
                  <w:pPr>
                    <w:pStyle w:val="TableBodyText"/>
                    <w:ind w:right="57"/>
                  </w:pPr>
                  <w:r w:rsidRPr="00E42CC6">
                    <w:t>1.9</w:t>
                  </w:r>
                </w:p>
              </w:tc>
              <w:tc>
                <w:tcPr>
                  <w:tcW w:w="464" w:type="pct"/>
                  <w:vAlign w:val="bottom"/>
                </w:tcPr>
                <w:p w:rsidR="00745FEA" w:rsidRPr="00E42CC6" w:rsidRDefault="00745FEA" w:rsidP="00745FEA">
                  <w:pPr>
                    <w:pStyle w:val="TableBodyText"/>
                    <w:ind w:right="57"/>
                  </w:pPr>
                  <w:r w:rsidRPr="00E42CC6">
                    <w:t>3.2</w:t>
                  </w:r>
                </w:p>
              </w:tc>
              <w:tc>
                <w:tcPr>
                  <w:tcW w:w="464" w:type="pct"/>
                  <w:vAlign w:val="bottom"/>
                </w:tcPr>
                <w:p w:rsidR="00745FEA" w:rsidRPr="00E42CC6" w:rsidRDefault="00745FEA" w:rsidP="00745FEA">
                  <w:pPr>
                    <w:pStyle w:val="TableBodyText"/>
                    <w:ind w:right="57"/>
                  </w:pPr>
                  <w:r w:rsidRPr="00E42CC6">
                    <w:t>4.0</w:t>
                  </w:r>
                </w:p>
              </w:tc>
              <w:tc>
                <w:tcPr>
                  <w:tcW w:w="464" w:type="pct"/>
                  <w:vAlign w:val="bottom"/>
                </w:tcPr>
                <w:p w:rsidR="00745FEA" w:rsidRPr="00E42CC6" w:rsidRDefault="00745FEA" w:rsidP="00745FEA">
                  <w:pPr>
                    <w:pStyle w:val="TableBodyText"/>
                    <w:ind w:right="57"/>
                  </w:pPr>
                  <w:r w:rsidRPr="00E42CC6">
                    <w:t>3.8</w:t>
                  </w:r>
                </w:p>
              </w:tc>
              <w:tc>
                <w:tcPr>
                  <w:tcW w:w="464" w:type="pct"/>
                  <w:shd w:val="clear" w:color="auto" w:fill="auto"/>
                  <w:vAlign w:val="bottom"/>
                </w:tcPr>
                <w:p w:rsidR="00745FEA" w:rsidRPr="00E42CC6" w:rsidRDefault="00745FEA" w:rsidP="00745FEA">
                  <w:pPr>
                    <w:pStyle w:val="TableBodyText"/>
                    <w:ind w:right="57"/>
                  </w:pPr>
                  <w:r w:rsidRPr="00E42CC6">
                    <w:t>4.0</w:t>
                  </w:r>
                </w:p>
              </w:tc>
              <w:tc>
                <w:tcPr>
                  <w:tcW w:w="462" w:type="pct"/>
                  <w:shd w:val="clear" w:color="auto" w:fill="auto"/>
                  <w:vAlign w:val="bottom"/>
                </w:tcPr>
                <w:p w:rsidR="00745FEA" w:rsidRPr="00E42CC6" w:rsidRDefault="00745FEA" w:rsidP="00745FEA">
                  <w:pPr>
                    <w:pStyle w:val="TableBodyText"/>
                    <w:ind w:right="57"/>
                  </w:pPr>
                  <w:r w:rsidRPr="00E42CC6">
                    <w:t>3.6</w:t>
                  </w:r>
                </w:p>
              </w:tc>
            </w:tr>
            <w:tr w:rsidR="00745FEA" w:rsidTr="00745FEA">
              <w:tc>
                <w:tcPr>
                  <w:tcW w:w="2217" w:type="pct"/>
                  <w:shd w:val="clear" w:color="auto" w:fill="auto"/>
                </w:tcPr>
                <w:p w:rsidR="00745FEA" w:rsidRPr="0049462C" w:rsidRDefault="00745FEA" w:rsidP="00745FEA">
                  <w:pPr>
                    <w:pStyle w:val="TableBodyText"/>
                    <w:spacing w:after="0"/>
                    <w:ind w:left="227" w:right="0"/>
                    <w:jc w:val="left"/>
                  </w:pPr>
                  <w:r w:rsidRPr="0049462C">
                    <w:t>Tax deduction for conserving or conveying water</w:t>
                  </w:r>
                </w:p>
              </w:tc>
              <w:tc>
                <w:tcPr>
                  <w:tcW w:w="465" w:type="pct"/>
                  <w:vAlign w:val="bottom"/>
                </w:tcPr>
                <w:p w:rsidR="00745FEA" w:rsidRPr="00E42CC6" w:rsidRDefault="00745FEA" w:rsidP="00745FEA">
                  <w:pPr>
                    <w:pStyle w:val="TableBodyText"/>
                    <w:ind w:right="57"/>
                  </w:pPr>
                  <w:r w:rsidRPr="00E42CC6">
                    <w:t>0.2</w:t>
                  </w:r>
                </w:p>
              </w:tc>
              <w:tc>
                <w:tcPr>
                  <w:tcW w:w="464" w:type="pct"/>
                  <w:vAlign w:val="bottom"/>
                </w:tcPr>
                <w:p w:rsidR="00745FEA" w:rsidRPr="00E42CC6" w:rsidRDefault="00745FEA" w:rsidP="00745FEA">
                  <w:pPr>
                    <w:pStyle w:val="TableBodyText"/>
                    <w:ind w:right="57"/>
                  </w:pPr>
                  <w:r w:rsidRPr="00E42CC6">
                    <w:t>0.3</w:t>
                  </w:r>
                </w:p>
              </w:tc>
              <w:tc>
                <w:tcPr>
                  <w:tcW w:w="464" w:type="pct"/>
                  <w:vAlign w:val="bottom"/>
                </w:tcPr>
                <w:p w:rsidR="00745FEA" w:rsidRPr="00E42CC6" w:rsidRDefault="00745FEA" w:rsidP="00745FEA">
                  <w:pPr>
                    <w:pStyle w:val="TableBodyText"/>
                    <w:ind w:right="57"/>
                  </w:pPr>
                  <w:r w:rsidRPr="00E42CC6">
                    <w:t>0.3</w:t>
                  </w:r>
                </w:p>
              </w:tc>
              <w:tc>
                <w:tcPr>
                  <w:tcW w:w="464" w:type="pct"/>
                  <w:vAlign w:val="bottom"/>
                </w:tcPr>
                <w:p w:rsidR="00745FEA" w:rsidRPr="00E42CC6" w:rsidRDefault="00745FEA" w:rsidP="00745FEA">
                  <w:pPr>
                    <w:pStyle w:val="TableBodyText"/>
                    <w:ind w:right="57"/>
                  </w:pPr>
                  <w:r w:rsidRPr="00E42CC6">
                    <w:t>&lt;0.1</w:t>
                  </w:r>
                </w:p>
              </w:tc>
              <w:tc>
                <w:tcPr>
                  <w:tcW w:w="464" w:type="pct"/>
                  <w:shd w:val="clear" w:color="auto" w:fill="auto"/>
                  <w:vAlign w:val="bottom"/>
                </w:tcPr>
                <w:p w:rsidR="00745FEA" w:rsidRPr="00E42CC6" w:rsidRDefault="00745FEA" w:rsidP="00745FEA">
                  <w:pPr>
                    <w:pStyle w:val="TableBodyText"/>
                    <w:ind w:right="57"/>
                  </w:pPr>
                  <w:r w:rsidRPr="00E42CC6">
                    <w:t>&lt;0.1</w:t>
                  </w:r>
                </w:p>
              </w:tc>
              <w:tc>
                <w:tcPr>
                  <w:tcW w:w="462" w:type="pct"/>
                  <w:shd w:val="clear" w:color="auto" w:fill="auto"/>
                  <w:vAlign w:val="bottom"/>
                </w:tcPr>
                <w:p w:rsidR="00745FEA" w:rsidRDefault="00745FEA" w:rsidP="00745FEA">
                  <w:pPr>
                    <w:pStyle w:val="TableBodyText"/>
                    <w:ind w:right="57"/>
                  </w:pPr>
                  <w:r w:rsidRPr="00E42CC6">
                    <w:t>&lt;0.1</w:t>
                  </w:r>
                </w:p>
              </w:tc>
            </w:tr>
            <w:tr w:rsidR="00745FEA" w:rsidTr="00745FEA">
              <w:tc>
                <w:tcPr>
                  <w:tcW w:w="2217" w:type="pct"/>
                  <w:shd w:val="clear" w:color="auto" w:fill="auto"/>
                </w:tcPr>
                <w:p w:rsidR="00745FEA" w:rsidRPr="00056DB7" w:rsidRDefault="00745FEA" w:rsidP="00745FEA">
                  <w:pPr>
                    <w:pStyle w:val="TableBodyText"/>
                    <w:spacing w:before="40" w:after="0"/>
                    <w:ind w:left="113"/>
                    <w:jc w:val="left"/>
                    <w:rPr>
                      <w:rFonts w:cs="Arial"/>
                      <w:i/>
                      <w:szCs w:val="18"/>
                    </w:rPr>
                  </w:pPr>
                  <w:r w:rsidRPr="00056DB7">
                    <w:rPr>
                      <w:rFonts w:cs="Arial"/>
                      <w:i/>
                      <w:szCs w:val="18"/>
                    </w:rPr>
                    <w:t>Rural R&amp;D measures</w:t>
                  </w:r>
                </w:p>
              </w:tc>
              <w:tc>
                <w:tcPr>
                  <w:tcW w:w="465" w:type="pct"/>
                  <w:vAlign w:val="bottom"/>
                </w:tcPr>
                <w:p w:rsidR="00745FEA" w:rsidRPr="00056DB7" w:rsidRDefault="00745FEA" w:rsidP="00745FEA">
                  <w:pPr>
                    <w:pStyle w:val="TableBodyText"/>
                    <w:ind w:right="57"/>
                    <w:rPr>
                      <w:rFonts w:cs="Arial"/>
                      <w:szCs w:val="18"/>
                    </w:rPr>
                  </w:pPr>
                </w:p>
              </w:tc>
              <w:tc>
                <w:tcPr>
                  <w:tcW w:w="464" w:type="pct"/>
                  <w:vAlign w:val="bottom"/>
                </w:tcPr>
                <w:p w:rsidR="00745FEA" w:rsidRPr="00056DB7" w:rsidRDefault="00745FEA" w:rsidP="00745FEA">
                  <w:pPr>
                    <w:pStyle w:val="TableBodyText"/>
                    <w:ind w:right="57"/>
                    <w:rPr>
                      <w:rFonts w:cs="Arial"/>
                      <w:szCs w:val="18"/>
                    </w:rPr>
                  </w:pPr>
                </w:p>
              </w:tc>
              <w:tc>
                <w:tcPr>
                  <w:tcW w:w="464" w:type="pct"/>
                  <w:vAlign w:val="bottom"/>
                </w:tcPr>
                <w:p w:rsidR="00745FEA" w:rsidRPr="00056DB7" w:rsidRDefault="00745FEA" w:rsidP="00745FEA">
                  <w:pPr>
                    <w:pStyle w:val="TableBodyText"/>
                    <w:ind w:right="57"/>
                    <w:rPr>
                      <w:rFonts w:cs="Arial"/>
                      <w:szCs w:val="18"/>
                    </w:rPr>
                  </w:pPr>
                </w:p>
              </w:tc>
              <w:tc>
                <w:tcPr>
                  <w:tcW w:w="464" w:type="pct"/>
                  <w:vAlign w:val="bottom"/>
                </w:tcPr>
                <w:p w:rsidR="00745FEA" w:rsidRPr="00056DB7" w:rsidRDefault="00745FEA" w:rsidP="00745FEA">
                  <w:pPr>
                    <w:pStyle w:val="TableBodyText"/>
                    <w:ind w:right="57"/>
                    <w:rPr>
                      <w:rFonts w:cs="Arial"/>
                      <w:szCs w:val="18"/>
                    </w:rPr>
                  </w:pPr>
                </w:p>
              </w:tc>
              <w:tc>
                <w:tcPr>
                  <w:tcW w:w="464" w:type="pct"/>
                  <w:shd w:val="clear" w:color="auto" w:fill="auto"/>
                  <w:vAlign w:val="bottom"/>
                </w:tcPr>
                <w:p w:rsidR="00745FEA" w:rsidRPr="00056DB7" w:rsidRDefault="00745FEA" w:rsidP="00745FEA">
                  <w:pPr>
                    <w:pStyle w:val="TableBodyText"/>
                    <w:ind w:right="57"/>
                    <w:rPr>
                      <w:rFonts w:cs="Arial"/>
                      <w:szCs w:val="18"/>
                    </w:rPr>
                  </w:pPr>
                </w:p>
              </w:tc>
              <w:tc>
                <w:tcPr>
                  <w:tcW w:w="462" w:type="pct"/>
                  <w:shd w:val="clear" w:color="auto" w:fill="auto"/>
                  <w:vAlign w:val="bottom"/>
                </w:tcPr>
                <w:p w:rsidR="00745FEA" w:rsidRPr="00056DB7" w:rsidRDefault="00745FEA" w:rsidP="00745FEA">
                  <w:pPr>
                    <w:pStyle w:val="TableBodyText"/>
                    <w:ind w:right="57"/>
                    <w:rPr>
                      <w:rFonts w:cs="Arial"/>
                      <w:szCs w:val="18"/>
                    </w:rPr>
                  </w:pPr>
                </w:p>
              </w:tc>
            </w:tr>
            <w:tr w:rsidR="00745FEA" w:rsidTr="00745FEA">
              <w:tc>
                <w:tcPr>
                  <w:tcW w:w="2217" w:type="pct"/>
                  <w:shd w:val="clear" w:color="auto" w:fill="auto"/>
                </w:tcPr>
                <w:p w:rsidR="00745FEA" w:rsidRPr="002B5DE9" w:rsidRDefault="00745FEA" w:rsidP="00745FEA">
                  <w:pPr>
                    <w:pStyle w:val="TableBodyText"/>
                    <w:spacing w:after="0"/>
                    <w:ind w:left="227" w:right="0"/>
                    <w:jc w:val="left"/>
                  </w:pPr>
                  <w:r w:rsidRPr="002B5DE9">
                    <w:t xml:space="preserve">Forest and Wood Products </w:t>
                  </w:r>
                  <w:r>
                    <w:t>R&amp;D</w:t>
                  </w:r>
                </w:p>
              </w:tc>
              <w:tc>
                <w:tcPr>
                  <w:tcW w:w="465" w:type="pct"/>
                  <w:vAlign w:val="bottom"/>
                </w:tcPr>
                <w:p w:rsidR="00745FEA" w:rsidRPr="005C0419" w:rsidRDefault="00745FEA" w:rsidP="00745FEA">
                  <w:pPr>
                    <w:pStyle w:val="TableBodyText"/>
                    <w:ind w:right="57"/>
                  </w:pPr>
                  <w:r w:rsidRPr="005C0419">
                    <w:t>2.4</w:t>
                  </w:r>
                </w:p>
              </w:tc>
              <w:tc>
                <w:tcPr>
                  <w:tcW w:w="464" w:type="pct"/>
                  <w:vAlign w:val="bottom"/>
                </w:tcPr>
                <w:p w:rsidR="00745FEA" w:rsidRPr="005C0419" w:rsidRDefault="00745FEA" w:rsidP="00745FEA">
                  <w:pPr>
                    <w:pStyle w:val="TableBodyText"/>
                    <w:ind w:right="57"/>
                  </w:pPr>
                  <w:r w:rsidRPr="005C0419">
                    <w:t>1.8</w:t>
                  </w:r>
                </w:p>
              </w:tc>
              <w:tc>
                <w:tcPr>
                  <w:tcW w:w="464" w:type="pct"/>
                  <w:vAlign w:val="bottom"/>
                </w:tcPr>
                <w:p w:rsidR="00745FEA" w:rsidRPr="005C0419" w:rsidRDefault="00745FEA" w:rsidP="00745FEA">
                  <w:pPr>
                    <w:pStyle w:val="TableBodyText"/>
                    <w:ind w:right="57"/>
                  </w:pPr>
                  <w:r w:rsidRPr="005C0419">
                    <w:t>2.2</w:t>
                  </w:r>
                </w:p>
              </w:tc>
              <w:tc>
                <w:tcPr>
                  <w:tcW w:w="464" w:type="pct"/>
                  <w:vAlign w:val="bottom"/>
                </w:tcPr>
                <w:p w:rsidR="00745FEA" w:rsidRPr="005C0419" w:rsidRDefault="00745FEA" w:rsidP="00745FEA">
                  <w:pPr>
                    <w:pStyle w:val="TableBodyText"/>
                    <w:ind w:right="57"/>
                  </w:pPr>
                  <w:r w:rsidRPr="005C0419">
                    <w:t>2.0</w:t>
                  </w:r>
                </w:p>
              </w:tc>
              <w:tc>
                <w:tcPr>
                  <w:tcW w:w="464" w:type="pct"/>
                  <w:shd w:val="clear" w:color="auto" w:fill="auto"/>
                  <w:vAlign w:val="bottom"/>
                </w:tcPr>
                <w:p w:rsidR="00745FEA" w:rsidRPr="005C0419" w:rsidRDefault="00745FEA" w:rsidP="00745FEA">
                  <w:pPr>
                    <w:pStyle w:val="TableBodyText"/>
                    <w:ind w:right="57"/>
                  </w:pPr>
                  <w:r w:rsidRPr="005C0419">
                    <w:t>2.3</w:t>
                  </w:r>
                </w:p>
              </w:tc>
              <w:tc>
                <w:tcPr>
                  <w:tcW w:w="462" w:type="pct"/>
                  <w:shd w:val="clear" w:color="auto" w:fill="auto"/>
                  <w:vAlign w:val="bottom"/>
                </w:tcPr>
                <w:p w:rsidR="00745FEA" w:rsidRDefault="00745FEA" w:rsidP="00745FEA">
                  <w:pPr>
                    <w:pStyle w:val="TableBodyText"/>
                    <w:ind w:right="57"/>
                  </w:pPr>
                  <w:r w:rsidRPr="005C0419">
                    <w:t>2.8</w:t>
                  </w:r>
                </w:p>
              </w:tc>
            </w:tr>
            <w:tr w:rsidR="00745FEA" w:rsidTr="00745FEA">
              <w:tc>
                <w:tcPr>
                  <w:tcW w:w="2217" w:type="pct"/>
                  <w:shd w:val="clear" w:color="auto" w:fill="auto"/>
                </w:tcPr>
                <w:p w:rsidR="00745FEA" w:rsidRPr="00056DB7" w:rsidRDefault="00745FEA" w:rsidP="00745FEA">
                  <w:pPr>
                    <w:pStyle w:val="TableBodyText"/>
                    <w:spacing w:before="40" w:after="0"/>
                    <w:ind w:left="113"/>
                    <w:jc w:val="left"/>
                    <w:rPr>
                      <w:i/>
                    </w:rPr>
                  </w:pPr>
                  <w:r w:rsidRPr="00056DB7">
                    <w:rPr>
                      <w:i/>
                    </w:rPr>
                    <w:t>General export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AE4960" w:rsidRDefault="00745FEA" w:rsidP="00745FEA">
                  <w:pPr>
                    <w:pStyle w:val="TableBodyText"/>
                    <w:spacing w:after="0"/>
                    <w:ind w:left="227" w:right="0"/>
                    <w:jc w:val="left"/>
                  </w:pPr>
                  <w:r w:rsidRPr="00AE4960">
                    <w:t>Export Market Development Grants Scheme</w:t>
                  </w:r>
                </w:p>
              </w:tc>
              <w:tc>
                <w:tcPr>
                  <w:tcW w:w="465" w:type="pct"/>
                  <w:vAlign w:val="bottom"/>
                </w:tcPr>
                <w:p w:rsidR="00745FEA" w:rsidRPr="007E1B60" w:rsidRDefault="00745FEA" w:rsidP="00745FEA">
                  <w:pPr>
                    <w:pStyle w:val="TableBodyText"/>
                    <w:ind w:right="57"/>
                  </w:pPr>
                  <w:r w:rsidRPr="007E1B60">
                    <w:t>0.1</w:t>
                  </w:r>
                </w:p>
              </w:tc>
              <w:tc>
                <w:tcPr>
                  <w:tcW w:w="464" w:type="pct"/>
                  <w:vAlign w:val="bottom"/>
                </w:tcPr>
                <w:p w:rsidR="00745FEA" w:rsidRPr="007E1B60" w:rsidRDefault="00745FEA" w:rsidP="00745FEA">
                  <w:pPr>
                    <w:pStyle w:val="TableBodyText"/>
                    <w:ind w:right="57"/>
                  </w:pPr>
                  <w:r w:rsidRPr="007E1B60">
                    <w:t>–</w:t>
                  </w:r>
                </w:p>
              </w:tc>
              <w:tc>
                <w:tcPr>
                  <w:tcW w:w="464" w:type="pct"/>
                  <w:vAlign w:val="bottom"/>
                </w:tcPr>
                <w:p w:rsidR="00745FEA" w:rsidRPr="007E1B60" w:rsidRDefault="00745FEA" w:rsidP="00745FEA">
                  <w:pPr>
                    <w:pStyle w:val="TableBodyText"/>
                    <w:ind w:right="57"/>
                  </w:pPr>
                  <w:r w:rsidRPr="007E1B60">
                    <w:t>0.2</w:t>
                  </w:r>
                </w:p>
              </w:tc>
              <w:tc>
                <w:tcPr>
                  <w:tcW w:w="464" w:type="pct"/>
                  <w:vAlign w:val="bottom"/>
                </w:tcPr>
                <w:p w:rsidR="00745FEA" w:rsidRPr="007E1B60" w:rsidRDefault="00745FEA" w:rsidP="00745FEA">
                  <w:pPr>
                    <w:pStyle w:val="TableBodyText"/>
                    <w:ind w:right="57"/>
                  </w:pPr>
                  <w:r w:rsidRPr="007E1B60">
                    <w:t>0.2</w:t>
                  </w:r>
                </w:p>
              </w:tc>
              <w:tc>
                <w:tcPr>
                  <w:tcW w:w="464" w:type="pct"/>
                  <w:shd w:val="clear" w:color="auto" w:fill="auto"/>
                  <w:vAlign w:val="bottom"/>
                </w:tcPr>
                <w:p w:rsidR="00745FEA" w:rsidRPr="007E1B60" w:rsidRDefault="00745FEA" w:rsidP="00745FEA">
                  <w:pPr>
                    <w:pStyle w:val="TableBodyText"/>
                    <w:ind w:right="57"/>
                  </w:pPr>
                  <w:r w:rsidRPr="007E1B60">
                    <w:t>0.2</w:t>
                  </w:r>
                </w:p>
              </w:tc>
              <w:tc>
                <w:tcPr>
                  <w:tcW w:w="462" w:type="pct"/>
                  <w:shd w:val="clear" w:color="auto" w:fill="auto"/>
                  <w:vAlign w:val="bottom"/>
                </w:tcPr>
                <w:p w:rsidR="00745FEA" w:rsidRDefault="00745FEA" w:rsidP="00745FEA">
                  <w:pPr>
                    <w:pStyle w:val="TableBodyText"/>
                    <w:ind w:right="57"/>
                  </w:pPr>
                  <w:r w:rsidRPr="007E1B60">
                    <w:t>0.1</w:t>
                  </w:r>
                </w:p>
              </w:tc>
            </w:tr>
            <w:tr w:rsidR="00745FEA" w:rsidTr="00745FEA">
              <w:tc>
                <w:tcPr>
                  <w:tcW w:w="2217" w:type="pct"/>
                  <w:shd w:val="clear" w:color="auto" w:fill="auto"/>
                </w:tcPr>
                <w:p w:rsidR="00745FEA" w:rsidRPr="00056DB7" w:rsidRDefault="00745FEA" w:rsidP="00745FEA">
                  <w:pPr>
                    <w:pStyle w:val="TableBodyText"/>
                    <w:spacing w:before="40" w:after="0"/>
                    <w:ind w:left="113"/>
                    <w:jc w:val="left"/>
                    <w:rPr>
                      <w:i/>
                    </w:rPr>
                  </w:pPr>
                  <w:r w:rsidRPr="00056DB7">
                    <w:rPr>
                      <w:i/>
                    </w:rPr>
                    <w:t>General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0A05FA" w:rsidRDefault="00745FEA" w:rsidP="00745FEA">
                  <w:pPr>
                    <w:pStyle w:val="TableBodyText"/>
                    <w:spacing w:after="0"/>
                    <w:ind w:left="227" w:right="0"/>
                    <w:jc w:val="left"/>
                  </w:pPr>
                  <w:r w:rsidRPr="000A05FA">
                    <w:t>Cooperative Research Centres</w:t>
                  </w:r>
                </w:p>
              </w:tc>
              <w:tc>
                <w:tcPr>
                  <w:tcW w:w="465" w:type="pct"/>
                  <w:vAlign w:val="bottom"/>
                </w:tcPr>
                <w:p w:rsidR="00745FEA" w:rsidRPr="00EC100C" w:rsidRDefault="00745FEA" w:rsidP="00745FEA">
                  <w:pPr>
                    <w:pStyle w:val="TableBodyText"/>
                    <w:ind w:right="57"/>
                  </w:pPr>
                  <w:r w:rsidRPr="00EC100C">
                    <w:t>3.2</w:t>
                  </w:r>
                </w:p>
              </w:tc>
              <w:tc>
                <w:tcPr>
                  <w:tcW w:w="464" w:type="pct"/>
                  <w:vAlign w:val="bottom"/>
                </w:tcPr>
                <w:p w:rsidR="00745FEA" w:rsidRPr="00EC100C" w:rsidRDefault="00745FEA" w:rsidP="00745FEA">
                  <w:pPr>
                    <w:pStyle w:val="TableBodyText"/>
                    <w:ind w:right="57"/>
                  </w:pPr>
                  <w:r w:rsidRPr="00EC100C">
                    <w:t>–</w:t>
                  </w:r>
                </w:p>
              </w:tc>
              <w:tc>
                <w:tcPr>
                  <w:tcW w:w="464" w:type="pct"/>
                  <w:vAlign w:val="bottom"/>
                </w:tcPr>
                <w:p w:rsidR="00745FEA" w:rsidRPr="00EC100C" w:rsidRDefault="00745FEA" w:rsidP="00745FEA">
                  <w:pPr>
                    <w:pStyle w:val="TableBodyText"/>
                    <w:ind w:right="57"/>
                  </w:pPr>
                  <w:r w:rsidRPr="00EC100C">
                    <w:t>–</w:t>
                  </w:r>
                </w:p>
              </w:tc>
              <w:tc>
                <w:tcPr>
                  <w:tcW w:w="464" w:type="pct"/>
                  <w:vAlign w:val="bottom"/>
                </w:tcPr>
                <w:p w:rsidR="00745FEA" w:rsidRPr="00EC100C" w:rsidRDefault="00745FEA" w:rsidP="00745FEA">
                  <w:pPr>
                    <w:pStyle w:val="TableBodyText"/>
                    <w:ind w:right="57"/>
                  </w:pPr>
                  <w:r w:rsidRPr="00EC100C">
                    <w:t>–</w:t>
                  </w:r>
                </w:p>
              </w:tc>
              <w:tc>
                <w:tcPr>
                  <w:tcW w:w="464" w:type="pct"/>
                  <w:shd w:val="clear" w:color="auto" w:fill="auto"/>
                  <w:vAlign w:val="bottom"/>
                </w:tcPr>
                <w:p w:rsidR="00745FEA" w:rsidRPr="00EC100C" w:rsidRDefault="00745FEA" w:rsidP="00745FEA">
                  <w:pPr>
                    <w:pStyle w:val="TableBodyText"/>
                    <w:ind w:right="57"/>
                  </w:pPr>
                  <w:r w:rsidRPr="00EC100C">
                    <w:t>–</w:t>
                  </w:r>
                </w:p>
              </w:tc>
              <w:tc>
                <w:tcPr>
                  <w:tcW w:w="462" w:type="pct"/>
                  <w:shd w:val="clear" w:color="auto" w:fill="auto"/>
                  <w:vAlign w:val="bottom"/>
                </w:tcPr>
                <w:p w:rsidR="00745FEA" w:rsidRPr="00EC100C" w:rsidRDefault="00745FEA" w:rsidP="00745FEA">
                  <w:pPr>
                    <w:pStyle w:val="TableBodyText"/>
                    <w:ind w:right="57"/>
                  </w:pPr>
                  <w:r w:rsidRPr="00EC100C">
                    <w:t>–</w:t>
                  </w:r>
                </w:p>
              </w:tc>
            </w:tr>
            <w:tr w:rsidR="00745FEA" w:rsidTr="00745FEA">
              <w:tc>
                <w:tcPr>
                  <w:tcW w:w="2217" w:type="pct"/>
                  <w:shd w:val="clear" w:color="auto" w:fill="auto"/>
                </w:tcPr>
                <w:p w:rsidR="00745FEA" w:rsidRPr="000A05FA" w:rsidRDefault="00745FEA" w:rsidP="00745FEA">
                  <w:pPr>
                    <w:pStyle w:val="TableBodyText"/>
                    <w:spacing w:after="0"/>
                    <w:ind w:left="227" w:right="0"/>
                    <w:jc w:val="left"/>
                  </w:pPr>
                  <w:r w:rsidRPr="000A05FA">
                    <w:t>CSIRO</w:t>
                  </w:r>
                </w:p>
              </w:tc>
              <w:tc>
                <w:tcPr>
                  <w:tcW w:w="465" w:type="pct"/>
                  <w:vAlign w:val="bottom"/>
                </w:tcPr>
                <w:p w:rsidR="00745FEA" w:rsidRPr="00EC100C" w:rsidRDefault="00745FEA" w:rsidP="00745FEA">
                  <w:pPr>
                    <w:pStyle w:val="TableBodyText"/>
                    <w:ind w:right="57"/>
                  </w:pPr>
                  <w:r w:rsidRPr="00EC100C">
                    <w:t>10.5</w:t>
                  </w:r>
                </w:p>
              </w:tc>
              <w:tc>
                <w:tcPr>
                  <w:tcW w:w="464" w:type="pct"/>
                  <w:vAlign w:val="bottom"/>
                </w:tcPr>
                <w:p w:rsidR="00745FEA" w:rsidRPr="00EC100C" w:rsidRDefault="00745FEA" w:rsidP="00745FEA">
                  <w:pPr>
                    <w:pStyle w:val="TableBodyText"/>
                    <w:ind w:right="57"/>
                  </w:pPr>
                  <w:r w:rsidRPr="00EC100C">
                    <w:t>8.5</w:t>
                  </w:r>
                </w:p>
              </w:tc>
              <w:tc>
                <w:tcPr>
                  <w:tcW w:w="464" w:type="pct"/>
                  <w:vAlign w:val="bottom"/>
                </w:tcPr>
                <w:p w:rsidR="00745FEA" w:rsidRPr="00EC100C" w:rsidRDefault="00745FEA" w:rsidP="00745FEA">
                  <w:pPr>
                    <w:pStyle w:val="TableBodyText"/>
                    <w:ind w:right="57"/>
                  </w:pPr>
                  <w:r w:rsidRPr="00EC100C">
                    <w:t>7.8</w:t>
                  </w:r>
                </w:p>
              </w:tc>
              <w:tc>
                <w:tcPr>
                  <w:tcW w:w="464" w:type="pct"/>
                  <w:vAlign w:val="bottom"/>
                </w:tcPr>
                <w:p w:rsidR="00745FEA" w:rsidRPr="00EC100C" w:rsidRDefault="00745FEA" w:rsidP="00745FEA">
                  <w:pPr>
                    <w:pStyle w:val="TableBodyText"/>
                    <w:ind w:right="57"/>
                  </w:pPr>
                  <w:r w:rsidRPr="00EC100C">
                    <w:t>5.4</w:t>
                  </w:r>
                </w:p>
              </w:tc>
              <w:tc>
                <w:tcPr>
                  <w:tcW w:w="464" w:type="pct"/>
                  <w:shd w:val="clear" w:color="auto" w:fill="auto"/>
                  <w:vAlign w:val="bottom"/>
                </w:tcPr>
                <w:p w:rsidR="00745FEA" w:rsidRPr="00EC100C" w:rsidRDefault="00745FEA" w:rsidP="00745FEA">
                  <w:pPr>
                    <w:pStyle w:val="TableBodyText"/>
                    <w:ind w:right="57"/>
                  </w:pPr>
                  <w:r w:rsidRPr="00EC100C">
                    <w:t>4.8</w:t>
                  </w:r>
                </w:p>
              </w:tc>
              <w:tc>
                <w:tcPr>
                  <w:tcW w:w="462" w:type="pct"/>
                  <w:shd w:val="clear" w:color="auto" w:fill="auto"/>
                  <w:vAlign w:val="bottom"/>
                </w:tcPr>
                <w:p w:rsidR="00745FEA" w:rsidRPr="00EC100C" w:rsidRDefault="00745FEA" w:rsidP="00745FEA">
                  <w:pPr>
                    <w:pStyle w:val="TableBodyText"/>
                    <w:ind w:right="57"/>
                  </w:pPr>
                  <w:r w:rsidRPr="00EC100C">
                    <w:t>5.9</w:t>
                  </w:r>
                </w:p>
              </w:tc>
            </w:tr>
            <w:tr w:rsidR="00745FEA" w:rsidTr="00745FEA">
              <w:tc>
                <w:tcPr>
                  <w:tcW w:w="2217" w:type="pct"/>
                  <w:shd w:val="clear" w:color="auto" w:fill="auto"/>
                </w:tcPr>
                <w:p w:rsidR="00745FEA" w:rsidRPr="000A05FA" w:rsidRDefault="00745FEA" w:rsidP="00745FEA">
                  <w:pPr>
                    <w:pStyle w:val="TableBodyText"/>
                    <w:spacing w:after="0"/>
                    <w:ind w:left="227" w:right="0"/>
                    <w:jc w:val="left"/>
                  </w:pPr>
                  <w:r w:rsidRPr="000A05FA">
                    <w:t>R&amp;D Tax Incentive - refundable tax offset</w:t>
                  </w:r>
                </w:p>
              </w:tc>
              <w:tc>
                <w:tcPr>
                  <w:tcW w:w="465" w:type="pct"/>
                  <w:vAlign w:val="bottom"/>
                </w:tcPr>
                <w:p w:rsidR="00745FEA" w:rsidRPr="00EC100C" w:rsidRDefault="00745FEA" w:rsidP="00745FEA">
                  <w:pPr>
                    <w:pStyle w:val="TableBodyText"/>
                    <w:ind w:right="57"/>
                  </w:pPr>
                  <w:r w:rsidRPr="00EC100C">
                    <w:t>–</w:t>
                  </w:r>
                </w:p>
              </w:tc>
              <w:tc>
                <w:tcPr>
                  <w:tcW w:w="464" w:type="pct"/>
                  <w:vAlign w:val="bottom"/>
                </w:tcPr>
                <w:p w:rsidR="00745FEA" w:rsidRPr="00EC100C" w:rsidRDefault="00745FEA" w:rsidP="00745FEA">
                  <w:pPr>
                    <w:pStyle w:val="TableBodyText"/>
                    <w:ind w:right="57"/>
                  </w:pPr>
                  <w:r w:rsidRPr="00EC100C">
                    <w:t>1.2</w:t>
                  </w:r>
                </w:p>
              </w:tc>
              <w:tc>
                <w:tcPr>
                  <w:tcW w:w="464" w:type="pct"/>
                  <w:vAlign w:val="bottom"/>
                </w:tcPr>
                <w:p w:rsidR="00745FEA" w:rsidRPr="00EC100C" w:rsidRDefault="00745FEA" w:rsidP="00745FEA">
                  <w:pPr>
                    <w:pStyle w:val="TableBodyText"/>
                    <w:ind w:right="57"/>
                  </w:pPr>
                  <w:r w:rsidRPr="00EC100C">
                    <w:t>1.1</w:t>
                  </w:r>
                </w:p>
              </w:tc>
              <w:tc>
                <w:tcPr>
                  <w:tcW w:w="464" w:type="pct"/>
                  <w:vAlign w:val="bottom"/>
                </w:tcPr>
                <w:p w:rsidR="00745FEA" w:rsidRPr="00EC100C" w:rsidRDefault="00745FEA" w:rsidP="00745FEA">
                  <w:pPr>
                    <w:pStyle w:val="TableBodyText"/>
                    <w:ind w:right="57"/>
                  </w:pPr>
                  <w:r w:rsidRPr="00EC100C">
                    <w:t>1.5</w:t>
                  </w:r>
                </w:p>
              </w:tc>
              <w:tc>
                <w:tcPr>
                  <w:tcW w:w="464" w:type="pct"/>
                  <w:shd w:val="clear" w:color="auto" w:fill="auto"/>
                  <w:vAlign w:val="bottom"/>
                </w:tcPr>
                <w:p w:rsidR="00745FEA" w:rsidRPr="00EC100C" w:rsidRDefault="00745FEA" w:rsidP="00745FEA">
                  <w:pPr>
                    <w:pStyle w:val="TableBodyText"/>
                    <w:ind w:right="57"/>
                  </w:pPr>
                  <w:r w:rsidRPr="00EC100C">
                    <w:t>1.6</w:t>
                  </w:r>
                </w:p>
              </w:tc>
              <w:tc>
                <w:tcPr>
                  <w:tcW w:w="462" w:type="pct"/>
                  <w:shd w:val="clear" w:color="auto" w:fill="auto"/>
                  <w:vAlign w:val="bottom"/>
                </w:tcPr>
                <w:p w:rsidR="00745FEA" w:rsidRPr="00EC100C" w:rsidRDefault="00745FEA" w:rsidP="00745FEA">
                  <w:pPr>
                    <w:pStyle w:val="TableBodyText"/>
                    <w:ind w:right="57"/>
                  </w:pPr>
                  <w:r w:rsidRPr="00EC100C">
                    <w:t>2.0</w:t>
                  </w:r>
                </w:p>
              </w:tc>
            </w:tr>
            <w:tr w:rsidR="00745FEA" w:rsidTr="00745FEA">
              <w:tc>
                <w:tcPr>
                  <w:tcW w:w="2217" w:type="pct"/>
                  <w:tcBorders>
                    <w:bottom w:val="single" w:sz="6" w:space="0" w:color="BFBFBF"/>
                  </w:tcBorders>
                  <w:shd w:val="clear" w:color="auto" w:fill="auto"/>
                </w:tcPr>
                <w:p w:rsidR="00745FEA" w:rsidRPr="000A05FA" w:rsidRDefault="00745FEA" w:rsidP="00745FEA">
                  <w:pPr>
                    <w:pStyle w:val="TableBodyText"/>
                    <w:ind w:left="227" w:right="0"/>
                    <w:jc w:val="left"/>
                  </w:pPr>
                  <w:r w:rsidRPr="000A05FA">
                    <w:t>R&amp;D tax offsets - Refundable</w:t>
                  </w:r>
                </w:p>
              </w:tc>
              <w:tc>
                <w:tcPr>
                  <w:tcW w:w="465" w:type="pct"/>
                  <w:tcBorders>
                    <w:bottom w:val="single" w:sz="6" w:space="0" w:color="BFBFBF"/>
                  </w:tcBorders>
                  <w:vAlign w:val="bottom"/>
                </w:tcPr>
                <w:p w:rsidR="00745FEA" w:rsidRPr="00EC100C" w:rsidRDefault="00745FEA" w:rsidP="00745FEA">
                  <w:pPr>
                    <w:pStyle w:val="TableBodyText"/>
                    <w:ind w:right="57"/>
                  </w:pPr>
                  <w:r w:rsidRPr="00EC100C">
                    <w:t>0.4</w:t>
                  </w:r>
                </w:p>
              </w:tc>
              <w:tc>
                <w:tcPr>
                  <w:tcW w:w="464" w:type="pct"/>
                  <w:tcBorders>
                    <w:bottom w:val="single" w:sz="6" w:space="0" w:color="BFBFBF"/>
                  </w:tcBorders>
                  <w:vAlign w:val="bottom"/>
                </w:tcPr>
                <w:p w:rsidR="00745FEA" w:rsidRPr="00EC100C" w:rsidRDefault="00745FEA" w:rsidP="00745FEA">
                  <w:pPr>
                    <w:pStyle w:val="TableBodyText"/>
                    <w:ind w:right="57"/>
                  </w:pPr>
                  <w:r w:rsidRPr="00EC100C">
                    <w:t>–</w:t>
                  </w:r>
                </w:p>
              </w:tc>
              <w:tc>
                <w:tcPr>
                  <w:tcW w:w="464" w:type="pct"/>
                  <w:tcBorders>
                    <w:bottom w:val="single" w:sz="6" w:space="0" w:color="BFBFBF"/>
                  </w:tcBorders>
                  <w:vAlign w:val="bottom"/>
                </w:tcPr>
                <w:p w:rsidR="00745FEA" w:rsidRPr="00EC100C" w:rsidRDefault="00745FEA" w:rsidP="00745FEA">
                  <w:pPr>
                    <w:pStyle w:val="TableBodyText"/>
                    <w:ind w:right="57"/>
                  </w:pPr>
                  <w:r w:rsidRPr="00EC100C">
                    <w:t>–</w:t>
                  </w:r>
                </w:p>
              </w:tc>
              <w:tc>
                <w:tcPr>
                  <w:tcW w:w="464" w:type="pct"/>
                  <w:tcBorders>
                    <w:bottom w:val="single" w:sz="6" w:space="0" w:color="BFBFBF"/>
                  </w:tcBorders>
                  <w:vAlign w:val="bottom"/>
                </w:tcPr>
                <w:p w:rsidR="00745FEA" w:rsidRPr="00EC100C" w:rsidRDefault="00745FEA" w:rsidP="00745FEA">
                  <w:pPr>
                    <w:pStyle w:val="TableBodyText"/>
                    <w:ind w:right="57"/>
                  </w:pPr>
                  <w:r w:rsidRPr="00EC100C">
                    <w:t>–</w:t>
                  </w:r>
                </w:p>
              </w:tc>
              <w:tc>
                <w:tcPr>
                  <w:tcW w:w="464" w:type="pct"/>
                  <w:tcBorders>
                    <w:bottom w:val="single" w:sz="6" w:space="0" w:color="BFBFBF"/>
                  </w:tcBorders>
                  <w:shd w:val="clear" w:color="auto" w:fill="auto"/>
                  <w:vAlign w:val="bottom"/>
                </w:tcPr>
                <w:p w:rsidR="00745FEA" w:rsidRPr="00EC100C" w:rsidRDefault="00745FEA" w:rsidP="00745FEA">
                  <w:pPr>
                    <w:pStyle w:val="TableBodyText"/>
                    <w:ind w:right="57"/>
                  </w:pPr>
                  <w:r w:rsidRPr="00EC100C">
                    <w:t>–</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EC100C">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6" w:type="dxa"/>
              <w:tblCellMar>
                <w:top w:w="28" w:type="dxa"/>
                <w:left w:w="0" w:type="dxa"/>
                <w:right w:w="0" w:type="dxa"/>
              </w:tblCellMar>
              <w:tblLook w:val="0000" w:firstRow="0" w:lastRow="0" w:firstColumn="0" w:lastColumn="0" w:noHBand="0" w:noVBand="0"/>
            </w:tblPr>
            <w:tblGrid>
              <w:gridCol w:w="3798"/>
              <w:gridCol w:w="797"/>
              <w:gridCol w:w="795"/>
              <w:gridCol w:w="795"/>
              <w:gridCol w:w="795"/>
              <w:gridCol w:w="795"/>
              <w:gridCol w:w="791"/>
            </w:tblGrid>
            <w:tr w:rsidR="00745FEA" w:rsidTr="00C719FB">
              <w:trPr>
                <w:tblHeader/>
              </w:trPr>
              <w:tc>
                <w:tcPr>
                  <w:tcW w:w="2217"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7" w:type="pct"/>
                  <w:shd w:val="clear" w:color="auto" w:fill="auto"/>
                </w:tcPr>
                <w:p w:rsidR="00745FEA" w:rsidRPr="00056DB7" w:rsidRDefault="00745FEA" w:rsidP="00745FEA">
                  <w:pPr>
                    <w:pStyle w:val="TableBodyText"/>
                    <w:spacing w:before="40" w:after="0"/>
                    <w:ind w:left="113"/>
                    <w:jc w:val="left"/>
                    <w:rPr>
                      <w:i/>
                    </w:rPr>
                  </w:pPr>
                  <w:r w:rsidRPr="00056DB7">
                    <w:rPr>
                      <w:i/>
                    </w:rPr>
                    <w:t>General R&amp;D measures</w:t>
                  </w:r>
                  <w:r>
                    <w:rPr>
                      <w:i/>
                    </w:rPr>
                    <w:t xml:space="preserve"> (continued)</w:t>
                  </w: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2B62C9" w:rsidRDefault="00745FEA" w:rsidP="00745FEA">
                  <w:pPr>
                    <w:pStyle w:val="TableBodyText"/>
                    <w:spacing w:after="0"/>
                    <w:ind w:left="227" w:right="0"/>
                    <w:jc w:val="left"/>
                  </w:pPr>
                  <w:r w:rsidRPr="002B62C9">
                    <w:t>R&amp;D tax concession</w:t>
                  </w:r>
                </w:p>
              </w:tc>
              <w:tc>
                <w:tcPr>
                  <w:tcW w:w="465" w:type="pct"/>
                  <w:vAlign w:val="bottom"/>
                </w:tcPr>
                <w:p w:rsidR="00745FEA" w:rsidRPr="00B41BAB" w:rsidRDefault="00745FEA" w:rsidP="00745FEA">
                  <w:pPr>
                    <w:pStyle w:val="TableBodyText"/>
                    <w:ind w:right="57"/>
                  </w:pPr>
                  <w:r w:rsidRPr="00B41BAB">
                    <w:t>0.3</w:t>
                  </w:r>
                </w:p>
              </w:tc>
              <w:tc>
                <w:tcPr>
                  <w:tcW w:w="464" w:type="pct"/>
                  <w:vAlign w:val="bottom"/>
                </w:tcPr>
                <w:p w:rsidR="00745FEA" w:rsidRPr="00B41BAB" w:rsidRDefault="00745FEA" w:rsidP="00745FEA">
                  <w:pPr>
                    <w:pStyle w:val="TableBodyText"/>
                    <w:ind w:right="57"/>
                  </w:pPr>
                  <w:r w:rsidRPr="00B41BAB">
                    <w:t>0.1</w:t>
                  </w:r>
                </w:p>
              </w:tc>
              <w:tc>
                <w:tcPr>
                  <w:tcW w:w="464" w:type="pct"/>
                  <w:vAlign w:val="bottom"/>
                </w:tcPr>
                <w:p w:rsidR="00745FEA" w:rsidRPr="00B41BAB" w:rsidRDefault="00745FEA" w:rsidP="00745FEA">
                  <w:pPr>
                    <w:pStyle w:val="TableBodyText"/>
                    <w:ind w:right="57"/>
                  </w:pPr>
                  <w:r w:rsidRPr="00B41BAB">
                    <w:t>&lt;0.1</w:t>
                  </w:r>
                </w:p>
              </w:tc>
              <w:tc>
                <w:tcPr>
                  <w:tcW w:w="464" w:type="pct"/>
                  <w:vAlign w:val="bottom"/>
                </w:tcPr>
                <w:p w:rsidR="00745FEA" w:rsidRPr="00B41BAB" w:rsidRDefault="00745FEA" w:rsidP="00745FEA">
                  <w:pPr>
                    <w:pStyle w:val="TableBodyText"/>
                    <w:ind w:right="57"/>
                  </w:pPr>
                  <w:r w:rsidRPr="00B41BAB">
                    <w:t>&lt;0.1</w:t>
                  </w:r>
                </w:p>
              </w:tc>
              <w:tc>
                <w:tcPr>
                  <w:tcW w:w="464" w:type="pct"/>
                  <w:shd w:val="clear" w:color="auto" w:fill="auto"/>
                  <w:vAlign w:val="bottom"/>
                </w:tcPr>
                <w:p w:rsidR="00745FEA" w:rsidRPr="00B41BAB" w:rsidRDefault="00745FEA" w:rsidP="00745FEA">
                  <w:pPr>
                    <w:pStyle w:val="TableBodyText"/>
                    <w:ind w:right="57"/>
                  </w:pPr>
                  <w:r w:rsidRPr="00B41BAB">
                    <w:t>–</w:t>
                  </w:r>
                </w:p>
              </w:tc>
              <w:tc>
                <w:tcPr>
                  <w:tcW w:w="462" w:type="pct"/>
                  <w:shd w:val="clear" w:color="auto" w:fill="auto"/>
                  <w:vAlign w:val="bottom"/>
                </w:tcPr>
                <w:p w:rsidR="00745FEA" w:rsidRPr="00B41BAB" w:rsidRDefault="00745FEA" w:rsidP="00745FEA">
                  <w:pPr>
                    <w:pStyle w:val="TableBodyText"/>
                    <w:ind w:right="57"/>
                  </w:pPr>
                  <w:r w:rsidRPr="00B41BAB">
                    <w:t>–</w:t>
                  </w:r>
                </w:p>
              </w:tc>
            </w:tr>
            <w:tr w:rsidR="00745FEA" w:rsidTr="00745FEA">
              <w:tc>
                <w:tcPr>
                  <w:tcW w:w="2217" w:type="pct"/>
                  <w:shd w:val="clear" w:color="auto" w:fill="auto"/>
                </w:tcPr>
                <w:p w:rsidR="00745FEA" w:rsidRPr="002B62C9" w:rsidRDefault="00745FEA" w:rsidP="00745FEA">
                  <w:pPr>
                    <w:pStyle w:val="TableBodyText"/>
                    <w:spacing w:after="0"/>
                    <w:ind w:left="227" w:right="0"/>
                    <w:jc w:val="left"/>
                  </w:pPr>
                  <w:r w:rsidRPr="002B62C9">
                    <w:t>R&amp;D Tax Incentive - non-refundable tax offset</w:t>
                  </w:r>
                </w:p>
              </w:tc>
              <w:tc>
                <w:tcPr>
                  <w:tcW w:w="465" w:type="pct"/>
                  <w:vAlign w:val="bottom"/>
                </w:tcPr>
                <w:p w:rsidR="00745FEA" w:rsidRPr="00B41BAB" w:rsidRDefault="00745FEA" w:rsidP="00745FEA">
                  <w:pPr>
                    <w:pStyle w:val="TableBodyText"/>
                    <w:ind w:right="57"/>
                  </w:pPr>
                  <w:r w:rsidRPr="00B41BAB">
                    <w:t>–</w:t>
                  </w:r>
                </w:p>
              </w:tc>
              <w:tc>
                <w:tcPr>
                  <w:tcW w:w="464" w:type="pct"/>
                  <w:vAlign w:val="bottom"/>
                </w:tcPr>
                <w:p w:rsidR="00745FEA" w:rsidRPr="00B41BAB" w:rsidRDefault="00745FEA" w:rsidP="00745FEA">
                  <w:pPr>
                    <w:pStyle w:val="TableBodyText"/>
                    <w:ind w:right="57"/>
                  </w:pPr>
                  <w:r w:rsidRPr="00B41BAB">
                    <w:t>–</w:t>
                  </w:r>
                </w:p>
              </w:tc>
              <w:tc>
                <w:tcPr>
                  <w:tcW w:w="464" w:type="pct"/>
                  <w:vAlign w:val="bottom"/>
                </w:tcPr>
                <w:p w:rsidR="00745FEA" w:rsidRPr="00B41BAB" w:rsidRDefault="00745FEA" w:rsidP="00745FEA">
                  <w:pPr>
                    <w:pStyle w:val="TableBodyText"/>
                    <w:ind w:right="57"/>
                  </w:pPr>
                  <w:r w:rsidRPr="00B41BAB">
                    <w:t>0.7</w:t>
                  </w:r>
                </w:p>
              </w:tc>
              <w:tc>
                <w:tcPr>
                  <w:tcW w:w="464" w:type="pct"/>
                  <w:vAlign w:val="bottom"/>
                </w:tcPr>
                <w:p w:rsidR="00745FEA" w:rsidRPr="00B41BAB" w:rsidRDefault="00745FEA" w:rsidP="00745FEA">
                  <w:pPr>
                    <w:pStyle w:val="TableBodyText"/>
                    <w:ind w:right="57"/>
                  </w:pPr>
                  <w:r w:rsidRPr="00B41BAB">
                    <w:t>0.3</w:t>
                  </w:r>
                </w:p>
              </w:tc>
              <w:tc>
                <w:tcPr>
                  <w:tcW w:w="464" w:type="pct"/>
                  <w:shd w:val="clear" w:color="auto" w:fill="auto"/>
                  <w:vAlign w:val="bottom"/>
                </w:tcPr>
                <w:p w:rsidR="00745FEA" w:rsidRPr="00B41BAB" w:rsidRDefault="00745FEA" w:rsidP="00745FEA">
                  <w:pPr>
                    <w:pStyle w:val="TableBodyText"/>
                    <w:ind w:right="57"/>
                  </w:pPr>
                  <w:r w:rsidRPr="00B41BAB">
                    <w:t>–</w:t>
                  </w:r>
                </w:p>
              </w:tc>
              <w:tc>
                <w:tcPr>
                  <w:tcW w:w="462" w:type="pct"/>
                  <w:shd w:val="clear" w:color="auto" w:fill="auto"/>
                  <w:vAlign w:val="bottom"/>
                </w:tcPr>
                <w:p w:rsidR="00745FEA" w:rsidRDefault="00745FEA" w:rsidP="00745FEA">
                  <w:pPr>
                    <w:pStyle w:val="TableBodyText"/>
                    <w:ind w:right="57"/>
                  </w:pPr>
                  <w:r w:rsidRPr="00B41BAB">
                    <w:t>0.1</w:t>
                  </w:r>
                </w:p>
              </w:tc>
            </w:tr>
            <w:tr w:rsidR="00745FEA" w:rsidTr="00745FEA">
              <w:tc>
                <w:tcPr>
                  <w:tcW w:w="2217" w:type="pct"/>
                  <w:shd w:val="clear" w:color="auto" w:fill="auto"/>
                </w:tcPr>
                <w:p w:rsidR="00745FEA" w:rsidRPr="00AD4C85" w:rsidRDefault="00745FEA" w:rsidP="00745FEA">
                  <w:pPr>
                    <w:pStyle w:val="TableBodyText"/>
                    <w:spacing w:before="40" w:after="0"/>
                    <w:ind w:left="113"/>
                    <w:jc w:val="left"/>
                    <w:rPr>
                      <w:i/>
                    </w:rPr>
                  </w:pPr>
                  <w:r w:rsidRPr="00AD4C85">
                    <w:rPr>
                      <w:i/>
                    </w:rPr>
                    <w:t>Other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Entrepreneurs’ Infrastructure Programme - Business Management Skills</w:t>
                  </w:r>
                </w:p>
              </w:tc>
              <w:tc>
                <w:tcPr>
                  <w:tcW w:w="465"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&lt;0.1</w:t>
                  </w:r>
                </w:p>
              </w:tc>
              <w:tc>
                <w:tcPr>
                  <w:tcW w:w="464" w:type="pct"/>
                  <w:shd w:val="clear" w:color="auto" w:fill="auto"/>
                  <w:vAlign w:val="bottom"/>
                </w:tcPr>
                <w:p w:rsidR="00745FEA" w:rsidRPr="0072379F" w:rsidRDefault="00745FEA" w:rsidP="00745FEA">
                  <w:pPr>
                    <w:pStyle w:val="TableBodyText"/>
                    <w:ind w:right="57"/>
                  </w:pPr>
                  <w:r w:rsidRPr="0072379F">
                    <w:t>&lt;0.1</w:t>
                  </w:r>
                </w:p>
              </w:tc>
              <w:tc>
                <w:tcPr>
                  <w:tcW w:w="462" w:type="pct"/>
                  <w:shd w:val="clear" w:color="auto" w:fill="auto"/>
                  <w:vAlign w:val="bottom"/>
                </w:tcPr>
                <w:p w:rsidR="00745FEA" w:rsidRPr="0072379F" w:rsidRDefault="00745FEA" w:rsidP="00745FEA">
                  <w:pPr>
                    <w:pStyle w:val="TableBodyText"/>
                    <w:ind w:right="57"/>
                  </w:pPr>
                  <w:r w:rsidRPr="0072379F">
                    <w:t>&lt;0.1</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Temporary Assistance for Tasmanian Exporters</w:t>
                  </w:r>
                </w:p>
              </w:tc>
              <w:tc>
                <w:tcPr>
                  <w:tcW w:w="465" w:type="pct"/>
                  <w:vAlign w:val="bottom"/>
                </w:tcPr>
                <w:p w:rsidR="00745FEA" w:rsidRPr="0072379F" w:rsidRDefault="00745FEA" w:rsidP="00745FEA">
                  <w:pPr>
                    <w:pStyle w:val="TableBodyText"/>
                    <w:ind w:right="57"/>
                  </w:pPr>
                  <w:r w:rsidRPr="0072379F">
                    <w:t>0.5</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shd w:val="clear" w:color="auto" w:fill="auto"/>
                  <w:vAlign w:val="bottom"/>
                </w:tcPr>
                <w:p w:rsidR="00745FEA" w:rsidRPr="0072379F" w:rsidRDefault="00745FEA" w:rsidP="00745FEA">
                  <w:pPr>
                    <w:pStyle w:val="TableBodyText"/>
                    <w:ind w:right="57"/>
                  </w:pPr>
                  <w:r w:rsidRPr="0072379F">
                    <w:t>–</w:t>
                  </w:r>
                </w:p>
              </w:tc>
              <w:tc>
                <w:tcPr>
                  <w:tcW w:w="462" w:type="pct"/>
                  <w:shd w:val="clear" w:color="auto" w:fill="auto"/>
                  <w:vAlign w:val="bottom"/>
                </w:tcPr>
                <w:p w:rsidR="00745FEA" w:rsidRPr="0072379F" w:rsidRDefault="00745FEA" w:rsidP="00745FEA">
                  <w:pPr>
                    <w:pStyle w:val="TableBodyText"/>
                    <w:ind w:right="57"/>
                  </w:pPr>
                  <w:r w:rsidRPr="0072379F">
                    <w:t>–</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Tasmanian Freight Equalisation Scheme</w:t>
                  </w:r>
                </w:p>
              </w:tc>
              <w:tc>
                <w:tcPr>
                  <w:tcW w:w="465" w:type="pct"/>
                  <w:vAlign w:val="bottom"/>
                </w:tcPr>
                <w:p w:rsidR="00745FEA" w:rsidRPr="0072379F" w:rsidRDefault="00745FEA" w:rsidP="00745FEA">
                  <w:pPr>
                    <w:pStyle w:val="TableBodyText"/>
                    <w:ind w:right="57"/>
                  </w:pPr>
                  <w:r w:rsidRPr="0072379F">
                    <w:t>3.5</w:t>
                  </w:r>
                </w:p>
              </w:tc>
              <w:tc>
                <w:tcPr>
                  <w:tcW w:w="464" w:type="pct"/>
                  <w:vAlign w:val="bottom"/>
                </w:tcPr>
                <w:p w:rsidR="00745FEA" w:rsidRPr="0072379F" w:rsidRDefault="00745FEA" w:rsidP="00745FEA">
                  <w:pPr>
                    <w:pStyle w:val="TableBodyText"/>
                    <w:ind w:right="57"/>
                  </w:pPr>
                  <w:r w:rsidRPr="0072379F">
                    <w:t>4.2</w:t>
                  </w:r>
                </w:p>
              </w:tc>
              <w:tc>
                <w:tcPr>
                  <w:tcW w:w="464" w:type="pct"/>
                  <w:vAlign w:val="bottom"/>
                </w:tcPr>
                <w:p w:rsidR="00745FEA" w:rsidRPr="0072379F" w:rsidRDefault="00745FEA" w:rsidP="00745FEA">
                  <w:pPr>
                    <w:pStyle w:val="TableBodyText"/>
                    <w:ind w:right="57"/>
                  </w:pPr>
                  <w:r w:rsidRPr="0072379F">
                    <w:t>3.9</w:t>
                  </w:r>
                </w:p>
              </w:tc>
              <w:tc>
                <w:tcPr>
                  <w:tcW w:w="464" w:type="pct"/>
                  <w:vAlign w:val="bottom"/>
                </w:tcPr>
                <w:p w:rsidR="00745FEA" w:rsidRPr="0072379F" w:rsidRDefault="00745FEA" w:rsidP="00745FEA">
                  <w:pPr>
                    <w:pStyle w:val="TableBodyText"/>
                    <w:ind w:right="57"/>
                  </w:pPr>
                  <w:r w:rsidRPr="0072379F">
                    <w:t>4.2</w:t>
                  </w:r>
                </w:p>
              </w:tc>
              <w:tc>
                <w:tcPr>
                  <w:tcW w:w="464" w:type="pct"/>
                  <w:shd w:val="clear" w:color="auto" w:fill="auto"/>
                  <w:vAlign w:val="bottom"/>
                </w:tcPr>
                <w:p w:rsidR="00745FEA" w:rsidRPr="0072379F" w:rsidRDefault="00745FEA" w:rsidP="00745FEA">
                  <w:pPr>
                    <w:pStyle w:val="TableBodyText"/>
                    <w:ind w:right="57"/>
                  </w:pPr>
                  <w:r w:rsidRPr="0072379F">
                    <w:t>4.9</w:t>
                  </w:r>
                </w:p>
              </w:tc>
              <w:tc>
                <w:tcPr>
                  <w:tcW w:w="462" w:type="pct"/>
                  <w:shd w:val="clear" w:color="auto" w:fill="auto"/>
                  <w:vAlign w:val="bottom"/>
                </w:tcPr>
                <w:p w:rsidR="00745FEA" w:rsidRPr="0072379F" w:rsidRDefault="00745FEA" w:rsidP="00745FEA">
                  <w:pPr>
                    <w:pStyle w:val="TableBodyText"/>
                    <w:ind w:right="57"/>
                  </w:pPr>
                  <w:r w:rsidRPr="0072379F">
                    <w:t>5.2</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Tasmanian Jobs and Investment Fund</w:t>
                  </w:r>
                </w:p>
              </w:tc>
              <w:tc>
                <w:tcPr>
                  <w:tcW w:w="465"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shd w:val="clear" w:color="auto" w:fill="auto"/>
                  <w:vAlign w:val="bottom"/>
                </w:tcPr>
                <w:p w:rsidR="00745FEA" w:rsidRPr="0072379F" w:rsidRDefault="00745FEA" w:rsidP="00745FEA">
                  <w:pPr>
                    <w:pStyle w:val="TableBodyText"/>
                    <w:ind w:right="57"/>
                  </w:pPr>
                  <w:r w:rsidRPr="0072379F">
                    <w:t>0.1</w:t>
                  </w:r>
                </w:p>
              </w:tc>
              <w:tc>
                <w:tcPr>
                  <w:tcW w:w="462" w:type="pct"/>
                  <w:shd w:val="clear" w:color="auto" w:fill="auto"/>
                  <w:vAlign w:val="bottom"/>
                </w:tcPr>
                <w:p w:rsidR="00745FEA" w:rsidRPr="0072379F" w:rsidRDefault="00745FEA" w:rsidP="00745FEA">
                  <w:pPr>
                    <w:pStyle w:val="TableBodyText"/>
                    <w:ind w:right="57"/>
                  </w:pPr>
                  <w:r w:rsidRPr="0072379F">
                    <w:t>–</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 xml:space="preserve">Small business </w:t>
                  </w:r>
                  <w:r>
                    <w:t>capital gains tax</w:t>
                  </w:r>
                  <w:r w:rsidRPr="00E32BA5">
                    <w:t xml:space="preserve"> rollover deferral</w:t>
                  </w:r>
                </w:p>
              </w:tc>
              <w:tc>
                <w:tcPr>
                  <w:tcW w:w="465" w:type="pct"/>
                  <w:vAlign w:val="bottom"/>
                </w:tcPr>
                <w:p w:rsidR="00745FEA" w:rsidRPr="0072379F" w:rsidRDefault="00745FEA" w:rsidP="00745FEA">
                  <w:pPr>
                    <w:pStyle w:val="TableBodyText"/>
                    <w:ind w:right="57"/>
                  </w:pPr>
                  <w:r w:rsidRPr="0072379F">
                    <w:t>0.9</w:t>
                  </w:r>
                </w:p>
              </w:tc>
              <w:tc>
                <w:tcPr>
                  <w:tcW w:w="464" w:type="pct"/>
                  <w:vAlign w:val="bottom"/>
                </w:tcPr>
                <w:p w:rsidR="00745FEA" w:rsidRPr="0072379F" w:rsidRDefault="00745FEA" w:rsidP="00745FEA">
                  <w:pPr>
                    <w:pStyle w:val="TableBodyText"/>
                    <w:ind w:right="57"/>
                  </w:pPr>
                  <w:r w:rsidRPr="0072379F">
                    <w:t>1.1</w:t>
                  </w:r>
                </w:p>
              </w:tc>
              <w:tc>
                <w:tcPr>
                  <w:tcW w:w="464" w:type="pct"/>
                  <w:vAlign w:val="bottom"/>
                </w:tcPr>
                <w:p w:rsidR="00745FEA" w:rsidRPr="0072379F" w:rsidRDefault="00745FEA" w:rsidP="00745FEA">
                  <w:pPr>
                    <w:pStyle w:val="TableBodyText"/>
                    <w:ind w:right="57"/>
                  </w:pPr>
                  <w:r w:rsidRPr="0072379F">
                    <w:t>1.1</w:t>
                  </w:r>
                </w:p>
              </w:tc>
              <w:tc>
                <w:tcPr>
                  <w:tcW w:w="464" w:type="pct"/>
                  <w:vAlign w:val="bottom"/>
                </w:tcPr>
                <w:p w:rsidR="00745FEA" w:rsidRPr="0072379F" w:rsidRDefault="00745FEA" w:rsidP="00745FEA">
                  <w:pPr>
                    <w:pStyle w:val="TableBodyText"/>
                    <w:ind w:right="57"/>
                  </w:pPr>
                  <w:r w:rsidRPr="0072379F">
                    <w:t>2.0</w:t>
                  </w:r>
                </w:p>
              </w:tc>
              <w:tc>
                <w:tcPr>
                  <w:tcW w:w="464" w:type="pct"/>
                  <w:shd w:val="clear" w:color="auto" w:fill="auto"/>
                  <w:vAlign w:val="bottom"/>
                </w:tcPr>
                <w:p w:rsidR="00745FEA" w:rsidRPr="0072379F" w:rsidRDefault="00745FEA" w:rsidP="00745FEA">
                  <w:pPr>
                    <w:pStyle w:val="TableBodyText"/>
                    <w:ind w:right="57"/>
                  </w:pPr>
                  <w:r w:rsidRPr="0072379F">
                    <w:t>1.9</w:t>
                  </w:r>
                </w:p>
              </w:tc>
              <w:tc>
                <w:tcPr>
                  <w:tcW w:w="462" w:type="pct"/>
                  <w:shd w:val="clear" w:color="auto" w:fill="auto"/>
                  <w:vAlign w:val="bottom"/>
                </w:tcPr>
                <w:p w:rsidR="00745FEA" w:rsidRPr="0072379F" w:rsidRDefault="00745FEA" w:rsidP="00745FEA">
                  <w:pPr>
                    <w:pStyle w:val="TableBodyText"/>
                    <w:ind w:right="57"/>
                  </w:pPr>
                  <w:r w:rsidRPr="0072379F">
                    <w:t>3.0</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Small Business - Simplified depreciation rules</w:t>
                  </w:r>
                </w:p>
              </w:tc>
              <w:tc>
                <w:tcPr>
                  <w:tcW w:w="465" w:type="pct"/>
                  <w:vAlign w:val="bottom"/>
                </w:tcPr>
                <w:p w:rsidR="00745FEA" w:rsidRPr="0072379F" w:rsidRDefault="00745FEA" w:rsidP="00745FEA">
                  <w:pPr>
                    <w:pStyle w:val="TableBodyText"/>
                    <w:ind w:right="57"/>
                  </w:pPr>
                  <w:r w:rsidRPr="0072379F">
                    <w:t>&lt;0.1</w:t>
                  </w:r>
                </w:p>
              </w:tc>
              <w:tc>
                <w:tcPr>
                  <w:tcW w:w="464" w:type="pct"/>
                  <w:vAlign w:val="bottom"/>
                </w:tcPr>
                <w:p w:rsidR="00745FEA" w:rsidRPr="0072379F" w:rsidRDefault="00745FEA" w:rsidP="00745FEA">
                  <w:pPr>
                    <w:pStyle w:val="TableBodyText"/>
                    <w:ind w:right="57"/>
                  </w:pPr>
                  <w:r w:rsidRPr="0072379F">
                    <w:t>-0.2</w:t>
                  </w:r>
                </w:p>
              </w:tc>
              <w:tc>
                <w:tcPr>
                  <w:tcW w:w="464" w:type="pct"/>
                  <w:vAlign w:val="bottom"/>
                </w:tcPr>
                <w:p w:rsidR="00745FEA" w:rsidRPr="0072379F" w:rsidRDefault="00745FEA" w:rsidP="00745FEA">
                  <w:pPr>
                    <w:pStyle w:val="TableBodyText"/>
                    <w:ind w:right="57"/>
                  </w:pPr>
                  <w:r w:rsidRPr="0072379F">
                    <w:t>0.7</w:t>
                  </w:r>
                </w:p>
              </w:tc>
              <w:tc>
                <w:tcPr>
                  <w:tcW w:w="464" w:type="pct"/>
                  <w:vAlign w:val="bottom"/>
                </w:tcPr>
                <w:p w:rsidR="00745FEA" w:rsidRPr="0072379F" w:rsidRDefault="00745FEA" w:rsidP="00745FEA">
                  <w:pPr>
                    <w:pStyle w:val="TableBodyText"/>
                    <w:ind w:right="57"/>
                  </w:pPr>
                  <w:r w:rsidRPr="0072379F">
                    <w:t>-0.3</w:t>
                  </w:r>
                </w:p>
              </w:tc>
              <w:tc>
                <w:tcPr>
                  <w:tcW w:w="464" w:type="pct"/>
                  <w:shd w:val="clear" w:color="auto" w:fill="auto"/>
                  <w:vAlign w:val="bottom"/>
                </w:tcPr>
                <w:p w:rsidR="00745FEA" w:rsidRPr="0072379F" w:rsidRDefault="00745FEA" w:rsidP="00745FEA">
                  <w:pPr>
                    <w:pStyle w:val="TableBodyText"/>
                    <w:ind w:right="57"/>
                  </w:pPr>
                  <w:r w:rsidRPr="0072379F">
                    <w:t>-0.5</w:t>
                  </w:r>
                </w:p>
              </w:tc>
              <w:tc>
                <w:tcPr>
                  <w:tcW w:w="462" w:type="pct"/>
                  <w:shd w:val="clear" w:color="auto" w:fill="auto"/>
                  <w:vAlign w:val="bottom"/>
                </w:tcPr>
                <w:p w:rsidR="00745FEA" w:rsidRPr="0072379F" w:rsidRDefault="00745FEA" w:rsidP="00745FEA">
                  <w:pPr>
                    <w:pStyle w:val="TableBodyText"/>
                    <w:ind w:right="57"/>
                  </w:pPr>
                  <w:r w:rsidRPr="0072379F">
                    <w:t>2.3</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 xml:space="preserve">Small business </w:t>
                  </w:r>
                  <w:r>
                    <w:t>capital gains tax</w:t>
                  </w:r>
                  <w:r w:rsidRPr="00E32BA5">
                    <w:t xml:space="preserve"> retirement exemption</w:t>
                  </w:r>
                </w:p>
              </w:tc>
              <w:tc>
                <w:tcPr>
                  <w:tcW w:w="465" w:type="pct"/>
                  <w:vAlign w:val="bottom"/>
                </w:tcPr>
                <w:p w:rsidR="00745FEA" w:rsidRPr="0072379F" w:rsidRDefault="00745FEA" w:rsidP="00745FEA">
                  <w:pPr>
                    <w:pStyle w:val="TableBodyText"/>
                    <w:ind w:right="57"/>
                  </w:pPr>
                  <w:r w:rsidRPr="0072379F">
                    <w:t>1.8</w:t>
                  </w:r>
                </w:p>
              </w:tc>
              <w:tc>
                <w:tcPr>
                  <w:tcW w:w="464" w:type="pct"/>
                  <w:vAlign w:val="bottom"/>
                </w:tcPr>
                <w:p w:rsidR="00745FEA" w:rsidRPr="0072379F" w:rsidRDefault="00745FEA" w:rsidP="00745FEA">
                  <w:pPr>
                    <w:pStyle w:val="TableBodyText"/>
                    <w:ind w:right="57"/>
                  </w:pPr>
                  <w:r w:rsidRPr="0072379F">
                    <w:t>1.8</w:t>
                  </w:r>
                </w:p>
              </w:tc>
              <w:tc>
                <w:tcPr>
                  <w:tcW w:w="464" w:type="pct"/>
                  <w:vAlign w:val="bottom"/>
                </w:tcPr>
                <w:p w:rsidR="00745FEA" w:rsidRPr="0072379F" w:rsidRDefault="00745FEA" w:rsidP="00745FEA">
                  <w:pPr>
                    <w:pStyle w:val="TableBodyText"/>
                    <w:ind w:right="57"/>
                  </w:pPr>
                  <w:r w:rsidRPr="0072379F">
                    <w:t>1.9</w:t>
                  </w:r>
                </w:p>
              </w:tc>
              <w:tc>
                <w:tcPr>
                  <w:tcW w:w="464" w:type="pct"/>
                  <w:vAlign w:val="bottom"/>
                </w:tcPr>
                <w:p w:rsidR="00745FEA" w:rsidRPr="0072379F" w:rsidRDefault="00745FEA" w:rsidP="00745FEA">
                  <w:pPr>
                    <w:pStyle w:val="TableBodyText"/>
                    <w:ind w:right="57"/>
                  </w:pPr>
                  <w:r w:rsidRPr="0072379F">
                    <w:t>3.3</w:t>
                  </w:r>
                </w:p>
              </w:tc>
              <w:tc>
                <w:tcPr>
                  <w:tcW w:w="464" w:type="pct"/>
                  <w:shd w:val="clear" w:color="auto" w:fill="auto"/>
                  <w:vAlign w:val="bottom"/>
                </w:tcPr>
                <w:p w:rsidR="00745FEA" w:rsidRPr="0072379F" w:rsidRDefault="00745FEA" w:rsidP="00745FEA">
                  <w:pPr>
                    <w:pStyle w:val="TableBodyText"/>
                    <w:ind w:right="57"/>
                  </w:pPr>
                  <w:r w:rsidRPr="0072379F">
                    <w:t>3.6</w:t>
                  </w:r>
                </w:p>
              </w:tc>
              <w:tc>
                <w:tcPr>
                  <w:tcW w:w="462" w:type="pct"/>
                  <w:shd w:val="clear" w:color="auto" w:fill="auto"/>
                  <w:vAlign w:val="bottom"/>
                </w:tcPr>
                <w:p w:rsidR="00745FEA" w:rsidRPr="0072379F" w:rsidRDefault="00745FEA" w:rsidP="00745FEA">
                  <w:pPr>
                    <w:pStyle w:val="TableBodyText"/>
                    <w:ind w:right="57"/>
                  </w:pPr>
                  <w:r w:rsidRPr="0072379F">
                    <w:t>3.2</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 xml:space="preserve">Small business </w:t>
                  </w:r>
                  <w:r>
                    <w:t>capital gains tax</w:t>
                  </w:r>
                  <w:r w:rsidRPr="00E32BA5">
                    <w:t xml:space="preserve"> 50 per cent reduction</w:t>
                  </w:r>
                </w:p>
              </w:tc>
              <w:tc>
                <w:tcPr>
                  <w:tcW w:w="465" w:type="pct"/>
                  <w:vAlign w:val="bottom"/>
                </w:tcPr>
                <w:p w:rsidR="00745FEA" w:rsidRPr="0072379F" w:rsidRDefault="00745FEA" w:rsidP="00745FEA">
                  <w:pPr>
                    <w:pStyle w:val="TableBodyText"/>
                    <w:ind w:right="57"/>
                  </w:pPr>
                  <w:r w:rsidRPr="0072379F">
                    <w:t>2.8</w:t>
                  </w:r>
                </w:p>
              </w:tc>
              <w:tc>
                <w:tcPr>
                  <w:tcW w:w="464" w:type="pct"/>
                  <w:vAlign w:val="bottom"/>
                </w:tcPr>
                <w:p w:rsidR="00745FEA" w:rsidRPr="0072379F" w:rsidRDefault="00745FEA" w:rsidP="00745FEA">
                  <w:pPr>
                    <w:pStyle w:val="TableBodyText"/>
                    <w:ind w:right="57"/>
                  </w:pPr>
                  <w:r w:rsidRPr="0072379F">
                    <w:t>3.0</w:t>
                  </w:r>
                </w:p>
              </w:tc>
              <w:tc>
                <w:tcPr>
                  <w:tcW w:w="464" w:type="pct"/>
                  <w:vAlign w:val="bottom"/>
                </w:tcPr>
                <w:p w:rsidR="00745FEA" w:rsidRPr="0072379F" w:rsidRDefault="00745FEA" w:rsidP="00745FEA">
                  <w:pPr>
                    <w:pStyle w:val="TableBodyText"/>
                    <w:ind w:right="57"/>
                  </w:pPr>
                  <w:r w:rsidRPr="0072379F">
                    <w:t>3.0</w:t>
                  </w:r>
                </w:p>
              </w:tc>
              <w:tc>
                <w:tcPr>
                  <w:tcW w:w="464" w:type="pct"/>
                  <w:vAlign w:val="bottom"/>
                </w:tcPr>
                <w:p w:rsidR="00745FEA" w:rsidRPr="0072379F" w:rsidRDefault="00745FEA" w:rsidP="00745FEA">
                  <w:pPr>
                    <w:pStyle w:val="TableBodyText"/>
                    <w:ind w:right="57"/>
                  </w:pPr>
                  <w:r w:rsidRPr="0072379F">
                    <w:t>5.2</w:t>
                  </w:r>
                </w:p>
              </w:tc>
              <w:tc>
                <w:tcPr>
                  <w:tcW w:w="464" w:type="pct"/>
                  <w:shd w:val="clear" w:color="auto" w:fill="auto"/>
                  <w:vAlign w:val="bottom"/>
                </w:tcPr>
                <w:p w:rsidR="00745FEA" w:rsidRPr="0072379F" w:rsidRDefault="00745FEA" w:rsidP="00745FEA">
                  <w:pPr>
                    <w:pStyle w:val="TableBodyText"/>
                    <w:ind w:right="57"/>
                  </w:pPr>
                  <w:r w:rsidRPr="0072379F">
                    <w:t>4.8</w:t>
                  </w:r>
                </w:p>
              </w:tc>
              <w:tc>
                <w:tcPr>
                  <w:tcW w:w="462" w:type="pct"/>
                  <w:shd w:val="clear" w:color="auto" w:fill="auto"/>
                  <w:vAlign w:val="bottom"/>
                </w:tcPr>
                <w:p w:rsidR="00745FEA" w:rsidRPr="0072379F" w:rsidRDefault="00745FEA" w:rsidP="00745FEA">
                  <w:pPr>
                    <w:pStyle w:val="TableBodyText"/>
                    <w:ind w:right="57"/>
                  </w:pPr>
                  <w:r w:rsidRPr="0072379F">
                    <w:t>6.1</w:t>
                  </w:r>
                </w:p>
              </w:tc>
            </w:tr>
            <w:tr w:rsidR="00745FEA" w:rsidTr="00745FEA">
              <w:tc>
                <w:tcPr>
                  <w:tcW w:w="2217" w:type="pct"/>
                  <w:shd w:val="clear" w:color="auto" w:fill="auto"/>
                </w:tcPr>
                <w:p w:rsidR="00745FEA" w:rsidRPr="00E32BA5" w:rsidRDefault="00745FEA" w:rsidP="00745FEA">
                  <w:pPr>
                    <w:pStyle w:val="TableBodyText"/>
                    <w:spacing w:after="0"/>
                    <w:ind w:left="227" w:right="0"/>
                    <w:jc w:val="left"/>
                  </w:pPr>
                  <w:r w:rsidRPr="00E32BA5">
                    <w:t>25 per cent entrepreneurs' tax offset</w:t>
                  </w:r>
                </w:p>
              </w:tc>
              <w:tc>
                <w:tcPr>
                  <w:tcW w:w="465" w:type="pct"/>
                  <w:vAlign w:val="bottom"/>
                </w:tcPr>
                <w:p w:rsidR="00745FEA" w:rsidRPr="0072379F" w:rsidRDefault="00745FEA" w:rsidP="00745FEA">
                  <w:pPr>
                    <w:pStyle w:val="TableBodyText"/>
                    <w:ind w:right="57"/>
                  </w:pPr>
                  <w:r w:rsidRPr="0072379F">
                    <w:t>0.3</w:t>
                  </w:r>
                </w:p>
              </w:tc>
              <w:tc>
                <w:tcPr>
                  <w:tcW w:w="464" w:type="pct"/>
                  <w:vAlign w:val="bottom"/>
                </w:tcPr>
                <w:p w:rsidR="00745FEA" w:rsidRPr="0072379F" w:rsidRDefault="00745FEA" w:rsidP="00745FEA">
                  <w:pPr>
                    <w:pStyle w:val="TableBodyText"/>
                    <w:ind w:right="57"/>
                  </w:pPr>
                  <w:r w:rsidRPr="0072379F">
                    <w:t>0.2</w:t>
                  </w:r>
                </w:p>
              </w:tc>
              <w:tc>
                <w:tcPr>
                  <w:tcW w:w="464" w:type="pct"/>
                  <w:vAlign w:val="bottom"/>
                </w:tcPr>
                <w:p w:rsidR="00745FEA" w:rsidRPr="0072379F" w:rsidRDefault="00745FEA" w:rsidP="00745FEA">
                  <w:pPr>
                    <w:pStyle w:val="TableBodyText"/>
                    <w:ind w:right="57"/>
                  </w:pPr>
                  <w:r w:rsidRPr="0072379F">
                    <w:t>–</w:t>
                  </w:r>
                </w:p>
              </w:tc>
              <w:tc>
                <w:tcPr>
                  <w:tcW w:w="464" w:type="pct"/>
                  <w:vAlign w:val="bottom"/>
                </w:tcPr>
                <w:p w:rsidR="00745FEA" w:rsidRPr="0072379F" w:rsidRDefault="00745FEA" w:rsidP="00745FEA">
                  <w:pPr>
                    <w:pStyle w:val="TableBodyText"/>
                    <w:ind w:right="57"/>
                  </w:pPr>
                  <w:r w:rsidRPr="0072379F">
                    <w:t>–</w:t>
                  </w:r>
                </w:p>
              </w:tc>
              <w:tc>
                <w:tcPr>
                  <w:tcW w:w="464" w:type="pct"/>
                  <w:shd w:val="clear" w:color="auto" w:fill="auto"/>
                  <w:vAlign w:val="bottom"/>
                </w:tcPr>
                <w:p w:rsidR="00745FEA" w:rsidRPr="0072379F" w:rsidRDefault="00745FEA" w:rsidP="00745FEA">
                  <w:pPr>
                    <w:pStyle w:val="TableBodyText"/>
                    <w:ind w:right="57"/>
                  </w:pPr>
                  <w:r w:rsidRPr="0072379F">
                    <w:t>–</w:t>
                  </w:r>
                </w:p>
              </w:tc>
              <w:tc>
                <w:tcPr>
                  <w:tcW w:w="462" w:type="pct"/>
                  <w:shd w:val="clear" w:color="auto" w:fill="auto"/>
                  <w:vAlign w:val="bottom"/>
                </w:tcPr>
                <w:p w:rsidR="00745FEA" w:rsidRDefault="00745FEA" w:rsidP="00745FEA">
                  <w:pPr>
                    <w:pStyle w:val="TableBodyText"/>
                    <w:ind w:right="57"/>
                  </w:pPr>
                  <w:r w:rsidRPr="0072379F">
                    <w:t>–</w:t>
                  </w:r>
                </w:p>
              </w:tc>
            </w:tr>
            <w:tr w:rsidR="00745FEA" w:rsidTr="00745FEA">
              <w:tc>
                <w:tcPr>
                  <w:tcW w:w="2217" w:type="pct"/>
                  <w:shd w:val="clear" w:color="auto" w:fill="auto"/>
                </w:tcPr>
                <w:p w:rsidR="00745FEA" w:rsidRPr="00AD4C85" w:rsidRDefault="00745FEA" w:rsidP="00745FEA">
                  <w:pPr>
                    <w:pStyle w:val="TableBodyText"/>
                    <w:spacing w:before="20" w:after="20"/>
                    <w:jc w:val="left"/>
                    <w:rPr>
                      <w:i/>
                    </w:rPr>
                  </w:pPr>
                  <w:r w:rsidRPr="00AD4C85">
                    <w:rPr>
                      <w:i/>
                    </w:rPr>
                    <w:t>Total</w:t>
                  </w:r>
                </w:p>
              </w:tc>
              <w:tc>
                <w:tcPr>
                  <w:tcW w:w="465" w:type="pct"/>
                  <w:vAlign w:val="bottom"/>
                </w:tcPr>
                <w:p w:rsidR="00745FEA" w:rsidRPr="00CE2005" w:rsidRDefault="00745FEA" w:rsidP="00745FEA">
                  <w:pPr>
                    <w:pStyle w:val="TableBodyText"/>
                    <w:spacing w:before="20" w:after="20"/>
                    <w:ind w:right="57"/>
                    <w:rPr>
                      <w:i/>
                    </w:rPr>
                  </w:pPr>
                  <w:r>
                    <w:rPr>
                      <w:i/>
                    </w:rPr>
                    <w:t>72.3</w:t>
                  </w:r>
                </w:p>
              </w:tc>
              <w:tc>
                <w:tcPr>
                  <w:tcW w:w="464" w:type="pct"/>
                  <w:vAlign w:val="bottom"/>
                </w:tcPr>
                <w:p w:rsidR="00745FEA" w:rsidRPr="00CE2005" w:rsidRDefault="00745FEA" w:rsidP="00745FEA">
                  <w:pPr>
                    <w:pStyle w:val="TableBodyText"/>
                    <w:spacing w:before="20" w:after="20"/>
                    <w:ind w:right="57"/>
                    <w:rPr>
                      <w:i/>
                    </w:rPr>
                  </w:pPr>
                  <w:r>
                    <w:rPr>
                      <w:i/>
                    </w:rPr>
                    <w:t>46.6</w:t>
                  </w:r>
                </w:p>
              </w:tc>
              <w:tc>
                <w:tcPr>
                  <w:tcW w:w="464" w:type="pct"/>
                </w:tcPr>
                <w:p w:rsidR="00745FEA" w:rsidRPr="00C71451" w:rsidRDefault="00745FEA" w:rsidP="00745FEA">
                  <w:pPr>
                    <w:pStyle w:val="TableBodyText"/>
                    <w:spacing w:before="20" w:after="20"/>
                    <w:ind w:right="57"/>
                    <w:rPr>
                      <w:i/>
                    </w:rPr>
                  </w:pPr>
                  <w:r>
                    <w:rPr>
                      <w:i/>
                    </w:rPr>
                    <w:t>26.9</w:t>
                  </w:r>
                </w:p>
              </w:tc>
              <w:tc>
                <w:tcPr>
                  <w:tcW w:w="464" w:type="pct"/>
                </w:tcPr>
                <w:p w:rsidR="00745FEA" w:rsidRPr="00C71451" w:rsidRDefault="00745FEA" w:rsidP="00745FEA">
                  <w:pPr>
                    <w:pStyle w:val="TableBodyText"/>
                    <w:spacing w:before="20" w:after="20"/>
                    <w:ind w:right="57"/>
                    <w:rPr>
                      <w:i/>
                    </w:rPr>
                  </w:pPr>
                  <w:r>
                    <w:rPr>
                      <w:i/>
                    </w:rPr>
                    <w:t>27.6</w:t>
                  </w:r>
                </w:p>
              </w:tc>
              <w:tc>
                <w:tcPr>
                  <w:tcW w:w="464" w:type="pct"/>
                  <w:shd w:val="clear" w:color="auto" w:fill="auto"/>
                </w:tcPr>
                <w:p w:rsidR="00745FEA" w:rsidRPr="00C71451" w:rsidRDefault="00745FEA" w:rsidP="00745FEA">
                  <w:pPr>
                    <w:pStyle w:val="TableBodyText"/>
                    <w:spacing w:before="20" w:after="20"/>
                    <w:ind w:right="57"/>
                    <w:rPr>
                      <w:i/>
                    </w:rPr>
                  </w:pPr>
                  <w:r>
                    <w:rPr>
                      <w:i/>
                    </w:rPr>
                    <w:t>27.8</w:t>
                  </w:r>
                </w:p>
              </w:tc>
              <w:tc>
                <w:tcPr>
                  <w:tcW w:w="462" w:type="pct"/>
                  <w:shd w:val="clear" w:color="auto" w:fill="auto"/>
                </w:tcPr>
                <w:p w:rsidR="00745FEA" w:rsidRPr="00C71451" w:rsidRDefault="00745FEA" w:rsidP="00745FEA">
                  <w:pPr>
                    <w:pStyle w:val="TableBodyText"/>
                    <w:spacing w:before="20" w:after="20"/>
                    <w:ind w:right="57"/>
                    <w:rPr>
                      <w:i/>
                    </w:rPr>
                  </w:pPr>
                  <w:r>
                    <w:rPr>
                      <w:i/>
                    </w:rPr>
                    <w:t>34.4</w:t>
                  </w:r>
                </w:p>
              </w:tc>
            </w:tr>
            <w:tr w:rsidR="00745FEA" w:rsidTr="00745FEA">
              <w:tc>
                <w:tcPr>
                  <w:tcW w:w="2217" w:type="pct"/>
                </w:tcPr>
                <w:p w:rsidR="00745FEA" w:rsidRPr="00806930" w:rsidRDefault="00745FEA" w:rsidP="00745FEA">
                  <w:pPr>
                    <w:pStyle w:val="TableUnitsRow"/>
                    <w:ind w:hanging="6"/>
                    <w:jc w:val="left"/>
                    <w:rPr>
                      <w:b/>
                    </w:rPr>
                  </w:pPr>
                  <w:r w:rsidRPr="00806930">
                    <w:rPr>
                      <w:b/>
                    </w:rPr>
                    <w:t>Primary production support services</w:t>
                  </w:r>
                </w:p>
              </w:tc>
              <w:tc>
                <w:tcPr>
                  <w:tcW w:w="465"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2" w:type="pct"/>
                  <w:vAlign w:val="bottom"/>
                </w:tcPr>
                <w:p w:rsidR="00745FEA" w:rsidRDefault="00745FEA" w:rsidP="00745FEA">
                  <w:pPr>
                    <w:pStyle w:val="TableUnitsRow"/>
                    <w:ind w:right="57"/>
                  </w:pPr>
                </w:p>
              </w:tc>
            </w:tr>
            <w:tr w:rsidR="00745FEA" w:rsidTr="00745FEA">
              <w:tc>
                <w:tcPr>
                  <w:tcW w:w="2217" w:type="pct"/>
                </w:tcPr>
                <w:p w:rsidR="00745FEA" w:rsidRPr="00806930" w:rsidRDefault="00745FEA" w:rsidP="00745FEA">
                  <w:pPr>
                    <w:pStyle w:val="TableBodyText"/>
                    <w:spacing w:before="40" w:after="0"/>
                    <w:ind w:left="113"/>
                    <w:jc w:val="left"/>
                    <w:rPr>
                      <w:i/>
                    </w:rPr>
                  </w:pPr>
                  <w:r w:rsidRPr="00806930">
                    <w:rPr>
                      <w:i/>
                    </w:rPr>
                    <w:t>Sector-specific measures</w:t>
                  </w: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2" w:type="pct"/>
                  <w:vAlign w:val="bottom"/>
                </w:tcPr>
                <w:p w:rsidR="00745FEA" w:rsidRDefault="00745FEA" w:rsidP="00745FEA">
                  <w:pPr>
                    <w:pStyle w:val="TableBodyText"/>
                    <w:spacing w:before="40" w:after="0"/>
                    <w:ind w:left="113" w:right="57"/>
                  </w:pP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Carbon Farming Futures</w:t>
                  </w:r>
                </w:p>
              </w:tc>
              <w:tc>
                <w:tcPr>
                  <w:tcW w:w="465"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2.5</w:t>
                  </w:r>
                </w:p>
              </w:tc>
              <w:tc>
                <w:tcPr>
                  <w:tcW w:w="464" w:type="pct"/>
                  <w:vAlign w:val="bottom"/>
                </w:tcPr>
                <w:p w:rsidR="00745FEA" w:rsidRPr="005E3EAA" w:rsidRDefault="00745FEA" w:rsidP="00745FEA">
                  <w:pPr>
                    <w:pStyle w:val="TableBodyText"/>
                    <w:ind w:right="57"/>
                  </w:pPr>
                  <w:r w:rsidRPr="005E3EAA">
                    <w:t>–</w:t>
                  </w:r>
                </w:p>
              </w:tc>
              <w:tc>
                <w:tcPr>
                  <w:tcW w:w="464" w:type="pct"/>
                  <w:shd w:val="clear" w:color="auto" w:fill="auto"/>
                  <w:vAlign w:val="bottom"/>
                </w:tcPr>
                <w:p w:rsidR="00745FEA" w:rsidRPr="005E3EAA" w:rsidRDefault="00745FEA" w:rsidP="00745FEA">
                  <w:pPr>
                    <w:pStyle w:val="TableBodyText"/>
                    <w:ind w:right="57"/>
                  </w:pPr>
                  <w:r w:rsidRPr="005E3EAA">
                    <w:t>–</w:t>
                  </w:r>
                </w:p>
              </w:tc>
              <w:tc>
                <w:tcPr>
                  <w:tcW w:w="462" w:type="pct"/>
                  <w:shd w:val="clear" w:color="auto" w:fill="auto"/>
                  <w:vAlign w:val="bottom"/>
                </w:tcPr>
                <w:p w:rsidR="00745FEA" w:rsidRPr="005E3EAA" w:rsidRDefault="00745FEA" w:rsidP="00745FEA">
                  <w:pPr>
                    <w:pStyle w:val="TableBodyText"/>
                    <w:ind w:right="57"/>
                  </w:pPr>
                  <w:r w:rsidRPr="005E3EAA">
                    <w:t>–</w:t>
                  </w: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Carbon Farming Initiative</w:t>
                  </w:r>
                </w:p>
              </w:tc>
              <w:tc>
                <w:tcPr>
                  <w:tcW w:w="465" w:type="pct"/>
                  <w:vAlign w:val="bottom"/>
                </w:tcPr>
                <w:p w:rsidR="00745FEA" w:rsidRPr="005E3EAA" w:rsidRDefault="00745FEA" w:rsidP="00745FEA">
                  <w:pPr>
                    <w:pStyle w:val="TableBodyText"/>
                    <w:ind w:right="57"/>
                  </w:pPr>
                  <w:r w:rsidRPr="005E3EAA">
                    <w:t>2.0</w:t>
                  </w:r>
                </w:p>
              </w:tc>
              <w:tc>
                <w:tcPr>
                  <w:tcW w:w="464" w:type="pct"/>
                  <w:vAlign w:val="bottom"/>
                </w:tcPr>
                <w:p w:rsidR="00745FEA" w:rsidRPr="005E3EAA" w:rsidRDefault="00745FEA" w:rsidP="00745FEA">
                  <w:pPr>
                    <w:pStyle w:val="TableBodyText"/>
                    <w:ind w:right="57"/>
                  </w:pPr>
                  <w:r w:rsidRPr="005E3EAA">
                    <w:t>1.8</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shd w:val="clear" w:color="auto" w:fill="auto"/>
                  <w:vAlign w:val="bottom"/>
                </w:tcPr>
                <w:p w:rsidR="00745FEA" w:rsidRPr="005E3EAA" w:rsidRDefault="00745FEA" w:rsidP="00745FEA">
                  <w:pPr>
                    <w:pStyle w:val="TableBodyText"/>
                    <w:ind w:right="57"/>
                  </w:pPr>
                  <w:r w:rsidRPr="005E3EAA">
                    <w:t>–</w:t>
                  </w:r>
                </w:p>
              </w:tc>
              <w:tc>
                <w:tcPr>
                  <w:tcW w:w="462" w:type="pct"/>
                  <w:shd w:val="clear" w:color="auto" w:fill="auto"/>
                  <w:vAlign w:val="bottom"/>
                </w:tcPr>
                <w:p w:rsidR="00745FEA" w:rsidRPr="005E3EAA" w:rsidRDefault="00745FEA" w:rsidP="00745FEA">
                  <w:pPr>
                    <w:pStyle w:val="TableBodyText"/>
                    <w:ind w:right="57"/>
                  </w:pPr>
                  <w:r w:rsidRPr="005E3EAA">
                    <w:t>–</w:t>
                  </w: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 xml:space="preserve">Exceptional Circumstances - interest rate </w:t>
                  </w:r>
                  <w:r>
                    <w:t>subsidies</w:t>
                  </w:r>
                </w:p>
              </w:tc>
              <w:tc>
                <w:tcPr>
                  <w:tcW w:w="465" w:type="pct"/>
                  <w:vAlign w:val="bottom"/>
                </w:tcPr>
                <w:p w:rsidR="00745FEA" w:rsidRPr="005E3EAA" w:rsidRDefault="00745FEA" w:rsidP="00745FEA">
                  <w:pPr>
                    <w:pStyle w:val="TableBodyText"/>
                    <w:ind w:right="57"/>
                  </w:pPr>
                  <w:r w:rsidRPr="005E3EAA">
                    <w:t>1.8</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shd w:val="clear" w:color="auto" w:fill="auto"/>
                  <w:vAlign w:val="bottom"/>
                </w:tcPr>
                <w:p w:rsidR="00745FEA" w:rsidRPr="005E3EAA" w:rsidRDefault="00745FEA" w:rsidP="00745FEA">
                  <w:pPr>
                    <w:pStyle w:val="TableBodyText"/>
                    <w:ind w:right="57"/>
                  </w:pPr>
                  <w:r w:rsidRPr="005E3EAA">
                    <w:t>–</w:t>
                  </w:r>
                </w:p>
              </w:tc>
              <w:tc>
                <w:tcPr>
                  <w:tcW w:w="462" w:type="pct"/>
                  <w:shd w:val="clear" w:color="auto" w:fill="auto"/>
                  <w:vAlign w:val="bottom"/>
                </w:tcPr>
                <w:p w:rsidR="00745FEA" w:rsidRPr="005E3EAA" w:rsidRDefault="00745FEA" w:rsidP="00745FEA">
                  <w:pPr>
                    <w:pStyle w:val="TableBodyText"/>
                    <w:ind w:right="57"/>
                  </w:pPr>
                  <w:r w:rsidRPr="005E3EAA">
                    <w:t>–</w:t>
                  </w: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Exceptional Circumstances - relief payments</w:t>
                  </w:r>
                </w:p>
              </w:tc>
              <w:tc>
                <w:tcPr>
                  <w:tcW w:w="465" w:type="pct"/>
                  <w:vAlign w:val="bottom"/>
                </w:tcPr>
                <w:p w:rsidR="00745FEA" w:rsidRPr="005E3EAA" w:rsidRDefault="00745FEA" w:rsidP="00745FEA">
                  <w:pPr>
                    <w:pStyle w:val="TableBodyText"/>
                    <w:ind w:right="57"/>
                  </w:pPr>
                  <w:r w:rsidRPr="005E3EAA">
                    <w:t>0.3</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shd w:val="clear" w:color="auto" w:fill="auto"/>
                  <w:vAlign w:val="bottom"/>
                </w:tcPr>
                <w:p w:rsidR="00745FEA" w:rsidRPr="005E3EAA" w:rsidRDefault="00745FEA" w:rsidP="00745FEA">
                  <w:pPr>
                    <w:pStyle w:val="TableBodyText"/>
                    <w:ind w:right="57"/>
                  </w:pPr>
                  <w:r w:rsidRPr="005E3EAA">
                    <w:t>–</w:t>
                  </w:r>
                </w:p>
              </w:tc>
              <w:tc>
                <w:tcPr>
                  <w:tcW w:w="462" w:type="pct"/>
                  <w:shd w:val="clear" w:color="auto" w:fill="auto"/>
                  <w:vAlign w:val="bottom"/>
                </w:tcPr>
                <w:p w:rsidR="00745FEA" w:rsidRPr="005E3EAA" w:rsidRDefault="00745FEA" w:rsidP="00745FEA">
                  <w:pPr>
                    <w:pStyle w:val="TableBodyText"/>
                    <w:ind w:right="57"/>
                  </w:pPr>
                  <w:r w:rsidRPr="005E3EAA">
                    <w:t>–</w:t>
                  </w: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Interim Income Support</w:t>
                  </w:r>
                </w:p>
              </w:tc>
              <w:tc>
                <w:tcPr>
                  <w:tcW w:w="465" w:type="pct"/>
                  <w:vAlign w:val="bottom"/>
                </w:tcPr>
                <w:p w:rsidR="00745FEA" w:rsidRPr="005E3EAA" w:rsidRDefault="00745FEA" w:rsidP="00745FEA">
                  <w:pPr>
                    <w:pStyle w:val="TableBodyText"/>
                    <w:ind w:right="57"/>
                  </w:pPr>
                  <w:r w:rsidRPr="005E3EAA">
                    <w:t>&lt;0.1</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vAlign w:val="bottom"/>
                </w:tcPr>
                <w:p w:rsidR="00745FEA" w:rsidRPr="005E3EAA" w:rsidRDefault="00745FEA" w:rsidP="00745FEA">
                  <w:pPr>
                    <w:pStyle w:val="TableBodyText"/>
                    <w:ind w:right="57"/>
                  </w:pPr>
                  <w:r w:rsidRPr="005E3EAA">
                    <w:t>–</w:t>
                  </w:r>
                </w:p>
              </w:tc>
              <w:tc>
                <w:tcPr>
                  <w:tcW w:w="464" w:type="pct"/>
                  <w:shd w:val="clear" w:color="auto" w:fill="auto"/>
                  <w:vAlign w:val="bottom"/>
                </w:tcPr>
                <w:p w:rsidR="00745FEA" w:rsidRPr="005E3EAA" w:rsidRDefault="00745FEA" w:rsidP="00745FEA">
                  <w:pPr>
                    <w:pStyle w:val="TableBodyText"/>
                    <w:ind w:right="57"/>
                  </w:pPr>
                  <w:r w:rsidRPr="005E3EAA">
                    <w:t>–</w:t>
                  </w:r>
                </w:p>
              </w:tc>
              <w:tc>
                <w:tcPr>
                  <w:tcW w:w="462" w:type="pct"/>
                  <w:shd w:val="clear" w:color="auto" w:fill="auto"/>
                  <w:vAlign w:val="bottom"/>
                </w:tcPr>
                <w:p w:rsidR="00745FEA" w:rsidRPr="005E3EAA" w:rsidRDefault="00745FEA" w:rsidP="00745FEA">
                  <w:pPr>
                    <w:pStyle w:val="TableBodyText"/>
                    <w:ind w:right="57"/>
                  </w:pPr>
                  <w:r w:rsidRPr="005E3EAA">
                    <w:t>–</w:t>
                  </w: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Income tax averaging provisions</w:t>
                  </w:r>
                </w:p>
              </w:tc>
              <w:tc>
                <w:tcPr>
                  <w:tcW w:w="465" w:type="pct"/>
                  <w:vAlign w:val="bottom"/>
                </w:tcPr>
                <w:p w:rsidR="00745FEA" w:rsidRPr="005E3EAA" w:rsidRDefault="00745FEA" w:rsidP="00745FEA">
                  <w:pPr>
                    <w:pStyle w:val="TableBodyText"/>
                    <w:ind w:right="57"/>
                  </w:pPr>
                  <w:r w:rsidRPr="005E3EAA">
                    <w:t>9.6</w:t>
                  </w:r>
                </w:p>
              </w:tc>
              <w:tc>
                <w:tcPr>
                  <w:tcW w:w="464" w:type="pct"/>
                  <w:vAlign w:val="bottom"/>
                </w:tcPr>
                <w:p w:rsidR="00745FEA" w:rsidRPr="005E3EAA" w:rsidRDefault="00745FEA" w:rsidP="00745FEA">
                  <w:pPr>
                    <w:pStyle w:val="TableBodyText"/>
                    <w:ind w:right="57"/>
                  </w:pPr>
                  <w:r w:rsidRPr="005E3EAA">
                    <w:t>11.2</w:t>
                  </w:r>
                </w:p>
              </w:tc>
              <w:tc>
                <w:tcPr>
                  <w:tcW w:w="464" w:type="pct"/>
                  <w:vAlign w:val="bottom"/>
                </w:tcPr>
                <w:p w:rsidR="00745FEA" w:rsidRPr="005E3EAA" w:rsidRDefault="00745FEA" w:rsidP="00745FEA">
                  <w:pPr>
                    <w:pStyle w:val="TableBodyText"/>
                    <w:ind w:right="57"/>
                  </w:pPr>
                  <w:r w:rsidRPr="005E3EAA">
                    <w:t>14.0</w:t>
                  </w:r>
                </w:p>
              </w:tc>
              <w:tc>
                <w:tcPr>
                  <w:tcW w:w="464" w:type="pct"/>
                  <w:vAlign w:val="bottom"/>
                </w:tcPr>
                <w:p w:rsidR="00745FEA" w:rsidRPr="005E3EAA" w:rsidRDefault="00745FEA" w:rsidP="00745FEA">
                  <w:pPr>
                    <w:pStyle w:val="TableBodyText"/>
                    <w:ind w:right="57"/>
                  </w:pPr>
                  <w:r w:rsidRPr="005E3EAA">
                    <w:t>14.0</w:t>
                  </w:r>
                </w:p>
              </w:tc>
              <w:tc>
                <w:tcPr>
                  <w:tcW w:w="464" w:type="pct"/>
                  <w:shd w:val="clear" w:color="auto" w:fill="auto"/>
                  <w:vAlign w:val="bottom"/>
                </w:tcPr>
                <w:p w:rsidR="00745FEA" w:rsidRPr="005E3EAA" w:rsidRDefault="00745FEA" w:rsidP="00745FEA">
                  <w:pPr>
                    <w:pStyle w:val="TableBodyText"/>
                    <w:ind w:right="57"/>
                  </w:pPr>
                  <w:r w:rsidRPr="005E3EAA">
                    <w:t>14.8</w:t>
                  </w:r>
                </w:p>
              </w:tc>
              <w:tc>
                <w:tcPr>
                  <w:tcW w:w="462" w:type="pct"/>
                  <w:shd w:val="clear" w:color="auto" w:fill="auto"/>
                  <w:vAlign w:val="bottom"/>
                </w:tcPr>
                <w:p w:rsidR="00745FEA" w:rsidRPr="005E3EAA" w:rsidRDefault="00745FEA" w:rsidP="00745FEA">
                  <w:pPr>
                    <w:pStyle w:val="TableBodyText"/>
                    <w:ind w:right="57"/>
                  </w:pPr>
                  <w:r w:rsidRPr="005E3EAA">
                    <w:t>12.6</w:t>
                  </w:r>
                </w:p>
              </w:tc>
            </w:tr>
            <w:tr w:rsidR="00745FEA" w:rsidTr="00745FEA">
              <w:tc>
                <w:tcPr>
                  <w:tcW w:w="2217" w:type="pct"/>
                  <w:shd w:val="clear" w:color="auto" w:fill="auto"/>
                </w:tcPr>
                <w:p w:rsidR="00745FEA" w:rsidRPr="00946787" w:rsidRDefault="00745FEA" w:rsidP="00745FEA">
                  <w:pPr>
                    <w:pStyle w:val="TableBodyText"/>
                    <w:spacing w:after="0"/>
                    <w:ind w:left="227" w:right="0"/>
                    <w:jc w:val="left"/>
                  </w:pPr>
                  <w:r w:rsidRPr="00946787">
                    <w:t>Tax deduction for conserving or conveying water</w:t>
                  </w:r>
                </w:p>
              </w:tc>
              <w:tc>
                <w:tcPr>
                  <w:tcW w:w="465" w:type="pct"/>
                  <w:vAlign w:val="bottom"/>
                </w:tcPr>
                <w:p w:rsidR="00745FEA" w:rsidRPr="005E3EAA" w:rsidRDefault="00745FEA" w:rsidP="00745FEA">
                  <w:pPr>
                    <w:pStyle w:val="TableBodyText"/>
                    <w:ind w:right="57"/>
                  </w:pPr>
                  <w:r w:rsidRPr="005E3EAA">
                    <w:t>0.7</w:t>
                  </w:r>
                </w:p>
              </w:tc>
              <w:tc>
                <w:tcPr>
                  <w:tcW w:w="464" w:type="pct"/>
                  <w:vAlign w:val="bottom"/>
                </w:tcPr>
                <w:p w:rsidR="00745FEA" w:rsidRPr="005E3EAA" w:rsidRDefault="00745FEA" w:rsidP="00745FEA">
                  <w:pPr>
                    <w:pStyle w:val="TableBodyText"/>
                    <w:ind w:right="57"/>
                  </w:pPr>
                  <w:r w:rsidRPr="005E3EAA">
                    <w:t>2.2</w:t>
                  </w:r>
                </w:p>
              </w:tc>
              <w:tc>
                <w:tcPr>
                  <w:tcW w:w="464" w:type="pct"/>
                  <w:vAlign w:val="bottom"/>
                </w:tcPr>
                <w:p w:rsidR="00745FEA" w:rsidRPr="005E3EAA" w:rsidRDefault="00745FEA" w:rsidP="00745FEA">
                  <w:pPr>
                    <w:pStyle w:val="TableBodyText"/>
                    <w:ind w:right="57"/>
                  </w:pPr>
                  <w:r w:rsidRPr="005E3EAA">
                    <w:t>1.9</w:t>
                  </w:r>
                </w:p>
              </w:tc>
              <w:tc>
                <w:tcPr>
                  <w:tcW w:w="464" w:type="pct"/>
                  <w:vAlign w:val="bottom"/>
                </w:tcPr>
                <w:p w:rsidR="00745FEA" w:rsidRPr="005E3EAA" w:rsidRDefault="00745FEA" w:rsidP="00745FEA">
                  <w:pPr>
                    <w:pStyle w:val="TableBodyText"/>
                    <w:ind w:right="57"/>
                  </w:pPr>
                  <w:r w:rsidRPr="005E3EAA">
                    <w:t>0.1</w:t>
                  </w:r>
                </w:p>
              </w:tc>
              <w:tc>
                <w:tcPr>
                  <w:tcW w:w="464" w:type="pct"/>
                  <w:shd w:val="clear" w:color="auto" w:fill="auto"/>
                  <w:vAlign w:val="bottom"/>
                </w:tcPr>
                <w:p w:rsidR="00745FEA" w:rsidRPr="005E3EAA" w:rsidRDefault="00745FEA" w:rsidP="00745FEA">
                  <w:pPr>
                    <w:pStyle w:val="TableBodyText"/>
                    <w:ind w:right="57"/>
                  </w:pPr>
                  <w:r w:rsidRPr="005E3EAA">
                    <w:t>0.1</w:t>
                  </w:r>
                </w:p>
              </w:tc>
              <w:tc>
                <w:tcPr>
                  <w:tcW w:w="462" w:type="pct"/>
                  <w:shd w:val="clear" w:color="auto" w:fill="auto"/>
                  <w:vAlign w:val="bottom"/>
                </w:tcPr>
                <w:p w:rsidR="00745FEA" w:rsidRDefault="00745FEA" w:rsidP="00745FEA">
                  <w:pPr>
                    <w:pStyle w:val="TableBodyText"/>
                    <w:ind w:right="57"/>
                  </w:pPr>
                  <w:r w:rsidRPr="005E3EAA">
                    <w:t>0.3</w:t>
                  </w:r>
                </w:p>
              </w:tc>
            </w:tr>
            <w:tr w:rsidR="00745FEA" w:rsidTr="00745FEA">
              <w:tc>
                <w:tcPr>
                  <w:tcW w:w="2217" w:type="pct"/>
                  <w:shd w:val="clear" w:color="auto" w:fill="auto"/>
                </w:tcPr>
                <w:p w:rsidR="00745FEA" w:rsidRPr="00804086" w:rsidRDefault="00745FEA" w:rsidP="00745FEA">
                  <w:pPr>
                    <w:pStyle w:val="TableBodyText"/>
                    <w:spacing w:before="40" w:after="0"/>
                    <w:ind w:left="113"/>
                    <w:jc w:val="left"/>
                    <w:rPr>
                      <w:i/>
                    </w:rPr>
                  </w:pPr>
                  <w:r w:rsidRPr="00804086">
                    <w:rPr>
                      <w:i/>
                    </w:rPr>
                    <w:t>General export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027E84" w:rsidRDefault="00745FEA" w:rsidP="00745FEA">
                  <w:pPr>
                    <w:pStyle w:val="TableBodyText"/>
                    <w:spacing w:after="0"/>
                    <w:ind w:left="227" w:right="0"/>
                    <w:jc w:val="left"/>
                  </w:pPr>
                  <w:r w:rsidRPr="00027E84">
                    <w:t>Export Market Development Grants Scheme</w:t>
                  </w:r>
                </w:p>
              </w:tc>
              <w:tc>
                <w:tcPr>
                  <w:tcW w:w="465" w:type="pct"/>
                  <w:vAlign w:val="bottom"/>
                </w:tcPr>
                <w:p w:rsidR="00745FEA" w:rsidRPr="00FF2CFA" w:rsidRDefault="00745FEA" w:rsidP="00745FEA">
                  <w:pPr>
                    <w:pStyle w:val="TableBodyText"/>
                    <w:ind w:right="57"/>
                  </w:pPr>
                  <w:r w:rsidRPr="00FF2CFA">
                    <w:t>0.3</w:t>
                  </w:r>
                </w:p>
              </w:tc>
              <w:tc>
                <w:tcPr>
                  <w:tcW w:w="464" w:type="pct"/>
                  <w:vAlign w:val="bottom"/>
                </w:tcPr>
                <w:p w:rsidR="00745FEA" w:rsidRPr="00FF2CFA" w:rsidRDefault="00745FEA" w:rsidP="00745FEA">
                  <w:pPr>
                    <w:pStyle w:val="TableBodyText"/>
                    <w:ind w:right="57"/>
                  </w:pPr>
                  <w:r w:rsidRPr="00FF2CFA">
                    <w:t>0.4</w:t>
                  </w:r>
                </w:p>
              </w:tc>
              <w:tc>
                <w:tcPr>
                  <w:tcW w:w="464" w:type="pct"/>
                  <w:vAlign w:val="bottom"/>
                </w:tcPr>
                <w:p w:rsidR="00745FEA" w:rsidRPr="00FF2CFA" w:rsidRDefault="00745FEA" w:rsidP="00745FEA">
                  <w:pPr>
                    <w:pStyle w:val="TableBodyText"/>
                    <w:ind w:right="57"/>
                  </w:pPr>
                  <w:r w:rsidRPr="00FF2CFA">
                    <w:t>0.6</w:t>
                  </w:r>
                </w:p>
              </w:tc>
              <w:tc>
                <w:tcPr>
                  <w:tcW w:w="464" w:type="pct"/>
                  <w:vAlign w:val="bottom"/>
                </w:tcPr>
                <w:p w:rsidR="00745FEA" w:rsidRPr="00FF2CFA" w:rsidRDefault="00745FEA" w:rsidP="00745FEA">
                  <w:pPr>
                    <w:pStyle w:val="TableBodyText"/>
                    <w:ind w:right="57"/>
                  </w:pPr>
                  <w:r w:rsidRPr="00FF2CFA">
                    <w:t>0.8</w:t>
                  </w:r>
                </w:p>
              </w:tc>
              <w:tc>
                <w:tcPr>
                  <w:tcW w:w="464" w:type="pct"/>
                  <w:shd w:val="clear" w:color="auto" w:fill="auto"/>
                  <w:vAlign w:val="bottom"/>
                </w:tcPr>
                <w:p w:rsidR="00745FEA" w:rsidRPr="00FF2CFA" w:rsidRDefault="00745FEA" w:rsidP="00745FEA">
                  <w:pPr>
                    <w:pStyle w:val="TableBodyText"/>
                    <w:ind w:right="57"/>
                  </w:pPr>
                  <w:r w:rsidRPr="00FF2CFA">
                    <w:t>0.8</w:t>
                  </w:r>
                </w:p>
              </w:tc>
              <w:tc>
                <w:tcPr>
                  <w:tcW w:w="462" w:type="pct"/>
                  <w:shd w:val="clear" w:color="auto" w:fill="auto"/>
                  <w:vAlign w:val="bottom"/>
                </w:tcPr>
                <w:p w:rsidR="00745FEA" w:rsidRPr="00FF2CFA" w:rsidRDefault="00745FEA" w:rsidP="00745FEA">
                  <w:pPr>
                    <w:pStyle w:val="TableBodyText"/>
                    <w:ind w:right="57"/>
                  </w:pPr>
                  <w:r w:rsidRPr="00FF2CFA">
                    <w:t>0.7</w:t>
                  </w:r>
                </w:p>
              </w:tc>
            </w:tr>
            <w:tr w:rsidR="00745FEA" w:rsidTr="00745FEA">
              <w:tc>
                <w:tcPr>
                  <w:tcW w:w="2217" w:type="pct"/>
                  <w:shd w:val="clear" w:color="auto" w:fill="auto"/>
                </w:tcPr>
                <w:p w:rsidR="00745FEA" w:rsidRPr="00027E84" w:rsidRDefault="00745FEA" w:rsidP="00745FEA">
                  <w:pPr>
                    <w:pStyle w:val="TableBodyText"/>
                    <w:spacing w:after="0"/>
                    <w:ind w:left="227" w:right="0"/>
                    <w:jc w:val="left"/>
                  </w:pPr>
                  <w:r w:rsidRPr="00027E84">
                    <w:t>TRADEX</w:t>
                  </w:r>
                </w:p>
              </w:tc>
              <w:tc>
                <w:tcPr>
                  <w:tcW w:w="465" w:type="pct"/>
                  <w:vAlign w:val="bottom"/>
                </w:tcPr>
                <w:p w:rsidR="00745FEA" w:rsidRPr="00FF2CFA" w:rsidRDefault="00745FEA" w:rsidP="00745FEA">
                  <w:pPr>
                    <w:pStyle w:val="TableBodyText"/>
                    <w:ind w:right="57"/>
                  </w:pPr>
                  <w:r w:rsidRPr="00FF2CFA">
                    <w:t>&lt;0.1</w:t>
                  </w:r>
                </w:p>
              </w:tc>
              <w:tc>
                <w:tcPr>
                  <w:tcW w:w="464" w:type="pct"/>
                  <w:vAlign w:val="bottom"/>
                </w:tcPr>
                <w:p w:rsidR="00745FEA" w:rsidRPr="00FF2CFA" w:rsidRDefault="00745FEA" w:rsidP="00745FEA">
                  <w:pPr>
                    <w:pStyle w:val="TableBodyText"/>
                    <w:ind w:right="57"/>
                  </w:pPr>
                  <w:r w:rsidRPr="00FF2CFA">
                    <w:t>&lt;0.1</w:t>
                  </w:r>
                </w:p>
              </w:tc>
              <w:tc>
                <w:tcPr>
                  <w:tcW w:w="464" w:type="pct"/>
                  <w:vAlign w:val="bottom"/>
                </w:tcPr>
                <w:p w:rsidR="00745FEA" w:rsidRPr="00FF2CFA" w:rsidRDefault="00745FEA" w:rsidP="00745FEA">
                  <w:pPr>
                    <w:pStyle w:val="TableBodyText"/>
                    <w:ind w:right="57"/>
                  </w:pPr>
                  <w:r w:rsidRPr="00FF2CFA">
                    <w:t>&lt;0.1</w:t>
                  </w:r>
                </w:p>
              </w:tc>
              <w:tc>
                <w:tcPr>
                  <w:tcW w:w="464" w:type="pct"/>
                  <w:vAlign w:val="bottom"/>
                </w:tcPr>
                <w:p w:rsidR="00745FEA" w:rsidRPr="00FF2CFA" w:rsidRDefault="00745FEA" w:rsidP="00745FEA">
                  <w:pPr>
                    <w:pStyle w:val="TableBodyText"/>
                    <w:ind w:right="57"/>
                  </w:pPr>
                  <w:r w:rsidRPr="00FF2CFA">
                    <w:t>&lt;0.1</w:t>
                  </w:r>
                </w:p>
              </w:tc>
              <w:tc>
                <w:tcPr>
                  <w:tcW w:w="464" w:type="pct"/>
                  <w:shd w:val="clear" w:color="auto" w:fill="auto"/>
                  <w:vAlign w:val="bottom"/>
                </w:tcPr>
                <w:p w:rsidR="00745FEA" w:rsidRPr="00FF2CFA" w:rsidRDefault="00745FEA" w:rsidP="00745FEA">
                  <w:pPr>
                    <w:pStyle w:val="TableBodyText"/>
                    <w:ind w:right="57"/>
                  </w:pPr>
                  <w:r w:rsidRPr="00FF2CFA">
                    <w:t>&lt;0.1</w:t>
                  </w:r>
                </w:p>
              </w:tc>
              <w:tc>
                <w:tcPr>
                  <w:tcW w:w="462" w:type="pct"/>
                  <w:shd w:val="clear" w:color="auto" w:fill="auto"/>
                  <w:vAlign w:val="bottom"/>
                </w:tcPr>
                <w:p w:rsidR="00745FEA" w:rsidRDefault="00745FEA" w:rsidP="00745FEA">
                  <w:pPr>
                    <w:pStyle w:val="TableBodyText"/>
                    <w:ind w:right="57"/>
                  </w:pPr>
                  <w:r w:rsidRPr="00FF2CFA">
                    <w:t>&lt;0.1</w:t>
                  </w:r>
                </w:p>
              </w:tc>
            </w:tr>
            <w:tr w:rsidR="00745FEA" w:rsidTr="00745FEA">
              <w:tc>
                <w:tcPr>
                  <w:tcW w:w="2217" w:type="pct"/>
                  <w:shd w:val="clear" w:color="auto" w:fill="auto"/>
                </w:tcPr>
                <w:p w:rsidR="00745FEA" w:rsidRPr="00804086" w:rsidRDefault="00745FEA" w:rsidP="00745FEA">
                  <w:pPr>
                    <w:pStyle w:val="TableBodyText"/>
                    <w:spacing w:before="40" w:after="0"/>
                    <w:ind w:left="113"/>
                    <w:jc w:val="left"/>
                    <w:rPr>
                      <w:i/>
                    </w:rPr>
                  </w:pPr>
                  <w:r w:rsidRPr="00804086">
                    <w:rPr>
                      <w:i/>
                    </w:rPr>
                    <w:t>General R&amp;D measures</w:t>
                  </w:r>
                </w:p>
              </w:tc>
              <w:tc>
                <w:tcPr>
                  <w:tcW w:w="465"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7" w:type="pct"/>
                  <w:shd w:val="clear" w:color="auto" w:fill="auto"/>
                </w:tcPr>
                <w:p w:rsidR="00745FEA" w:rsidRPr="004840A1" w:rsidRDefault="00745FEA" w:rsidP="00745FEA">
                  <w:pPr>
                    <w:pStyle w:val="TableBodyText"/>
                    <w:spacing w:after="0"/>
                    <w:ind w:left="227" w:right="0"/>
                    <w:jc w:val="left"/>
                  </w:pPr>
                  <w:r w:rsidRPr="004840A1">
                    <w:t>Commercialisation Australia</w:t>
                  </w:r>
                </w:p>
              </w:tc>
              <w:tc>
                <w:tcPr>
                  <w:tcW w:w="465" w:type="pct"/>
                  <w:vAlign w:val="bottom"/>
                </w:tcPr>
                <w:p w:rsidR="00745FEA" w:rsidRPr="007E5D37" w:rsidRDefault="00745FEA" w:rsidP="00745FEA">
                  <w:pPr>
                    <w:pStyle w:val="TableBodyText"/>
                    <w:ind w:right="57"/>
                  </w:pPr>
                  <w:r w:rsidRPr="007E5D37">
                    <w:t>0.1</w:t>
                  </w:r>
                </w:p>
              </w:tc>
              <w:tc>
                <w:tcPr>
                  <w:tcW w:w="464" w:type="pct"/>
                  <w:vAlign w:val="bottom"/>
                </w:tcPr>
                <w:p w:rsidR="00745FEA" w:rsidRPr="007E5D37" w:rsidRDefault="00745FEA" w:rsidP="00745FEA">
                  <w:pPr>
                    <w:pStyle w:val="TableBodyText"/>
                    <w:ind w:right="57"/>
                  </w:pPr>
                  <w:r w:rsidRPr="007E5D37">
                    <w:t>0.4</w:t>
                  </w:r>
                </w:p>
              </w:tc>
              <w:tc>
                <w:tcPr>
                  <w:tcW w:w="464" w:type="pct"/>
                  <w:vAlign w:val="bottom"/>
                </w:tcPr>
                <w:p w:rsidR="00745FEA" w:rsidRPr="007E5D37" w:rsidRDefault="00745FEA" w:rsidP="00745FEA">
                  <w:pPr>
                    <w:pStyle w:val="TableBodyText"/>
                    <w:ind w:right="57"/>
                  </w:pPr>
                  <w:r w:rsidRPr="007E5D37">
                    <w:t>0.3</w:t>
                  </w:r>
                </w:p>
              </w:tc>
              <w:tc>
                <w:tcPr>
                  <w:tcW w:w="464" w:type="pct"/>
                  <w:vAlign w:val="bottom"/>
                </w:tcPr>
                <w:p w:rsidR="00745FEA" w:rsidRPr="007E5D37" w:rsidRDefault="00745FEA" w:rsidP="00745FEA">
                  <w:pPr>
                    <w:pStyle w:val="TableBodyText"/>
                    <w:ind w:right="57"/>
                  </w:pPr>
                  <w:r w:rsidRPr="007E5D37">
                    <w:t>&lt;0.1</w:t>
                  </w:r>
                </w:p>
              </w:tc>
              <w:tc>
                <w:tcPr>
                  <w:tcW w:w="464" w:type="pct"/>
                  <w:shd w:val="clear" w:color="auto" w:fill="auto"/>
                  <w:vAlign w:val="bottom"/>
                </w:tcPr>
                <w:p w:rsidR="00745FEA" w:rsidRPr="007E5D37" w:rsidRDefault="00745FEA" w:rsidP="00745FEA">
                  <w:pPr>
                    <w:pStyle w:val="TableBodyText"/>
                    <w:ind w:right="57"/>
                  </w:pPr>
                  <w:r w:rsidRPr="007E5D37">
                    <w:t>0.1</w:t>
                  </w:r>
                </w:p>
              </w:tc>
              <w:tc>
                <w:tcPr>
                  <w:tcW w:w="462" w:type="pct"/>
                  <w:shd w:val="clear" w:color="auto" w:fill="auto"/>
                  <w:vAlign w:val="bottom"/>
                </w:tcPr>
                <w:p w:rsidR="00745FEA" w:rsidRPr="007E5D37" w:rsidRDefault="00745FEA" w:rsidP="00745FEA">
                  <w:pPr>
                    <w:pStyle w:val="TableBodyText"/>
                    <w:ind w:right="57"/>
                  </w:pPr>
                  <w:r w:rsidRPr="007E5D37">
                    <w:t>–</w:t>
                  </w:r>
                </w:p>
              </w:tc>
            </w:tr>
            <w:tr w:rsidR="00745FEA" w:rsidTr="00745FEA">
              <w:tc>
                <w:tcPr>
                  <w:tcW w:w="2217" w:type="pct"/>
                  <w:shd w:val="clear" w:color="auto" w:fill="auto"/>
                </w:tcPr>
                <w:p w:rsidR="00745FEA" w:rsidRPr="004840A1" w:rsidRDefault="00745FEA" w:rsidP="00745FEA">
                  <w:pPr>
                    <w:pStyle w:val="TableBodyText"/>
                    <w:spacing w:after="0"/>
                    <w:ind w:left="227" w:right="0"/>
                    <w:jc w:val="left"/>
                  </w:pPr>
                  <w:r w:rsidRPr="004840A1">
                    <w:t>COMET Program</w:t>
                  </w:r>
                </w:p>
              </w:tc>
              <w:tc>
                <w:tcPr>
                  <w:tcW w:w="465" w:type="pct"/>
                  <w:vAlign w:val="bottom"/>
                </w:tcPr>
                <w:p w:rsidR="00745FEA" w:rsidRPr="007E5D37" w:rsidRDefault="00745FEA" w:rsidP="00745FEA">
                  <w:pPr>
                    <w:pStyle w:val="TableBodyText"/>
                    <w:ind w:right="57"/>
                  </w:pPr>
                  <w:r w:rsidRPr="007E5D37">
                    <w:t>&lt;0.1</w:t>
                  </w:r>
                </w:p>
              </w:tc>
              <w:tc>
                <w:tcPr>
                  <w:tcW w:w="464"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w:t>
                  </w:r>
                </w:p>
              </w:tc>
              <w:tc>
                <w:tcPr>
                  <w:tcW w:w="464" w:type="pct"/>
                  <w:shd w:val="clear" w:color="auto" w:fill="auto"/>
                  <w:vAlign w:val="bottom"/>
                </w:tcPr>
                <w:p w:rsidR="00745FEA" w:rsidRPr="007E5D37" w:rsidRDefault="00745FEA" w:rsidP="00745FEA">
                  <w:pPr>
                    <w:pStyle w:val="TableBodyText"/>
                    <w:ind w:right="57"/>
                  </w:pPr>
                  <w:r w:rsidRPr="007E5D37">
                    <w:t>–</w:t>
                  </w:r>
                </w:p>
              </w:tc>
              <w:tc>
                <w:tcPr>
                  <w:tcW w:w="462" w:type="pct"/>
                  <w:shd w:val="clear" w:color="auto" w:fill="auto"/>
                  <w:vAlign w:val="bottom"/>
                </w:tcPr>
                <w:p w:rsidR="00745FEA" w:rsidRPr="007E5D37" w:rsidRDefault="00745FEA" w:rsidP="00745FEA">
                  <w:pPr>
                    <w:pStyle w:val="TableBodyText"/>
                    <w:ind w:right="57"/>
                  </w:pPr>
                  <w:r w:rsidRPr="007E5D37">
                    <w:t>–</w:t>
                  </w:r>
                </w:p>
              </w:tc>
            </w:tr>
            <w:tr w:rsidR="00745FEA" w:rsidTr="00745FEA">
              <w:tc>
                <w:tcPr>
                  <w:tcW w:w="2217" w:type="pct"/>
                  <w:shd w:val="clear" w:color="auto" w:fill="auto"/>
                </w:tcPr>
                <w:p w:rsidR="00745FEA" w:rsidRPr="004840A1" w:rsidRDefault="00745FEA" w:rsidP="00745FEA">
                  <w:pPr>
                    <w:pStyle w:val="TableBodyText"/>
                    <w:spacing w:after="0"/>
                    <w:ind w:left="227" w:right="0"/>
                    <w:jc w:val="left"/>
                  </w:pPr>
                  <w:r>
                    <w:t>Clean Business Australia – Climate Ready Program</w:t>
                  </w:r>
                </w:p>
              </w:tc>
              <w:tc>
                <w:tcPr>
                  <w:tcW w:w="465" w:type="pct"/>
                  <w:vAlign w:val="bottom"/>
                </w:tcPr>
                <w:p w:rsidR="00745FEA" w:rsidRPr="007E5D37" w:rsidRDefault="00745FEA" w:rsidP="00745FEA">
                  <w:pPr>
                    <w:pStyle w:val="TableBodyText"/>
                    <w:ind w:right="57"/>
                  </w:pPr>
                  <w:r w:rsidRPr="007E5D37">
                    <w:t>&lt;0.1</w:t>
                  </w:r>
                </w:p>
              </w:tc>
              <w:tc>
                <w:tcPr>
                  <w:tcW w:w="464"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w:t>
                  </w:r>
                </w:p>
              </w:tc>
              <w:tc>
                <w:tcPr>
                  <w:tcW w:w="464" w:type="pct"/>
                  <w:shd w:val="clear" w:color="auto" w:fill="auto"/>
                  <w:vAlign w:val="bottom"/>
                </w:tcPr>
                <w:p w:rsidR="00745FEA" w:rsidRPr="007E5D37" w:rsidRDefault="00745FEA" w:rsidP="00745FEA">
                  <w:pPr>
                    <w:pStyle w:val="TableBodyText"/>
                    <w:ind w:right="57"/>
                  </w:pPr>
                  <w:r w:rsidRPr="007E5D37">
                    <w:t>–</w:t>
                  </w:r>
                </w:p>
              </w:tc>
              <w:tc>
                <w:tcPr>
                  <w:tcW w:w="462" w:type="pct"/>
                  <w:shd w:val="clear" w:color="auto" w:fill="auto"/>
                  <w:vAlign w:val="bottom"/>
                </w:tcPr>
                <w:p w:rsidR="00745FEA" w:rsidRPr="007E5D37" w:rsidRDefault="00745FEA" w:rsidP="00745FEA">
                  <w:pPr>
                    <w:pStyle w:val="TableBodyText"/>
                    <w:ind w:right="57"/>
                  </w:pPr>
                  <w:r w:rsidRPr="007E5D37">
                    <w:t>–</w:t>
                  </w:r>
                </w:p>
              </w:tc>
            </w:tr>
            <w:tr w:rsidR="00745FEA" w:rsidTr="00745FEA">
              <w:tc>
                <w:tcPr>
                  <w:tcW w:w="2217" w:type="pct"/>
                  <w:shd w:val="clear" w:color="auto" w:fill="auto"/>
                </w:tcPr>
                <w:p w:rsidR="00745FEA" w:rsidRPr="00243D41" w:rsidRDefault="00745FEA" w:rsidP="00745FEA">
                  <w:pPr>
                    <w:pStyle w:val="TableBodyText"/>
                    <w:spacing w:after="0"/>
                    <w:ind w:left="227" w:right="0"/>
                    <w:jc w:val="left"/>
                  </w:pPr>
                  <w:r w:rsidRPr="00243D41">
                    <w:t>R&amp;D Tax Incentive - refundable tax offset</w:t>
                  </w:r>
                </w:p>
              </w:tc>
              <w:tc>
                <w:tcPr>
                  <w:tcW w:w="465"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4.6</w:t>
                  </w:r>
                </w:p>
              </w:tc>
              <w:tc>
                <w:tcPr>
                  <w:tcW w:w="464" w:type="pct"/>
                  <w:vAlign w:val="bottom"/>
                </w:tcPr>
                <w:p w:rsidR="00745FEA" w:rsidRPr="007E5D37" w:rsidRDefault="00745FEA" w:rsidP="00745FEA">
                  <w:pPr>
                    <w:pStyle w:val="TableBodyText"/>
                    <w:ind w:right="57"/>
                  </w:pPr>
                  <w:r w:rsidRPr="007E5D37">
                    <w:t>4.5</w:t>
                  </w:r>
                </w:p>
              </w:tc>
              <w:tc>
                <w:tcPr>
                  <w:tcW w:w="464" w:type="pct"/>
                  <w:vAlign w:val="bottom"/>
                </w:tcPr>
                <w:p w:rsidR="00745FEA" w:rsidRPr="007E5D37" w:rsidRDefault="00745FEA" w:rsidP="00745FEA">
                  <w:pPr>
                    <w:pStyle w:val="TableBodyText"/>
                    <w:ind w:right="57"/>
                  </w:pPr>
                  <w:r w:rsidRPr="007E5D37">
                    <w:t>6.0</w:t>
                  </w:r>
                </w:p>
              </w:tc>
              <w:tc>
                <w:tcPr>
                  <w:tcW w:w="464" w:type="pct"/>
                  <w:shd w:val="clear" w:color="auto" w:fill="auto"/>
                  <w:vAlign w:val="bottom"/>
                </w:tcPr>
                <w:p w:rsidR="00745FEA" w:rsidRPr="007E5D37" w:rsidRDefault="00745FEA" w:rsidP="00745FEA">
                  <w:pPr>
                    <w:pStyle w:val="TableBodyText"/>
                    <w:ind w:right="57"/>
                  </w:pPr>
                  <w:r w:rsidRPr="007E5D37">
                    <w:t>6.4</w:t>
                  </w:r>
                </w:p>
              </w:tc>
              <w:tc>
                <w:tcPr>
                  <w:tcW w:w="462" w:type="pct"/>
                  <w:shd w:val="clear" w:color="auto" w:fill="auto"/>
                  <w:vAlign w:val="bottom"/>
                </w:tcPr>
                <w:p w:rsidR="00745FEA" w:rsidRPr="007E5D37" w:rsidRDefault="00745FEA" w:rsidP="00745FEA">
                  <w:pPr>
                    <w:pStyle w:val="TableBodyText"/>
                    <w:ind w:right="57"/>
                  </w:pPr>
                  <w:r w:rsidRPr="007E5D37">
                    <w:t>7.7</w:t>
                  </w:r>
                </w:p>
              </w:tc>
            </w:tr>
            <w:tr w:rsidR="00745FEA" w:rsidTr="00745FEA">
              <w:tc>
                <w:tcPr>
                  <w:tcW w:w="2217" w:type="pct"/>
                  <w:shd w:val="clear" w:color="auto" w:fill="auto"/>
                </w:tcPr>
                <w:p w:rsidR="00745FEA" w:rsidRPr="00243D41" w:rsidRDefault="00745FEA" w:rsidP="00745FEA">
                  <w:pPr>
                    <w:pStyle w:val="TableBodyText"/>
                    <w:spacing w:after="0"/>
                    <w:ind w:left="227" w:right="0"/>
                    <w:jc w:val="left"/>
                  </w:pPr>
                  <w:r w:rsidRPr="00243D41">
                    <w:t>R&amp;D tax offsets - Refundable</w:t>
                  </w:r>
                </w:p>
              </w:tc>
              <w:tc>
                <w:tcPr>
                  <w:tcW w:w="465" w:type="pct"/>
                  <w:vAlign w:val="bottom"/>
                </w:tcPr>
                <w:p w:rsidR="00745FEA" w:rsidRPr="007E5D37" w:rsidRDefault="00745FEA" w:rsidP="00745FEA">
                  <w:pPr>
                    <w:pStyle w:val="TableBodyText"/>
                    <w:ind w:right="57"/>
                  </w:pPr>
                  <w:r w:rsidRPr="007E5D37">
                    <w:t>1.2</w:t>
                  </w:r>
                </w:p>
              </w:tc>
              <w:tc>
                <w:tcPr>
                  <w:tcW w:w="464"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w:t>
                  </w:r>
                </w:p>
              </w:tc>
              <w:tc>
                <w:tcPr>
                  <w:tcW w:w="464" w:type="pct"/>
                  <w:vAlign w:val="bottom"/>
                </w:tcPr>
                <w:p w:rsidR="00745FEA" w:rsidRPr="007E5D37" w:rsidRDefault="00745FEA" w:rsidP="00745FEA">
                  <w:pPr>
                    <w:pStyle w:val="TableBodyText"/>
                    <w:ind w:right="57"/>
                  </w:pPr>
                  <w:r w:rsidRPr="007E5D37">
                    <w:t>–</w:t>
                  </w:r>
                </w:p>
              </w:tc>
              <w:tc>
                <w:tcPr>
                  <w:tcW w:w="464" w:type="pct"/>
                  <w:shd w:val="clear" w:color="auto" w:fill="auto"/>
                  <w:vAlign w:val="bottom"/>
                </w:tcPr>
                <w:p w:rsidR="00745FEA" w:rsidRPr="007E5D37" w:rsidRDefault="00745FEA" w:rsidP="00745FEA">
                  <w:pPr>
                    <w:pStyle w:val="TableBodyText"/>
                    <w:ind w:right="57"/>
                  </w:pPr>
                  <w:r w:rsidRPr="007E5D37">
                    <w:t>–</w:t>
                  </w:r>
                </w:p>
              </w:tc>
              <w:tc>
                <w:tcPr>
                  <w:tcW w:w="462" w:type="pct"/>
                  <w:shd w:val="clear" w:color="auto" w:fill="auto"/>
                  <w:vAlign w:val="bottom"/>
                </w:tcPr>
                <w:p w:rsidR="00745FEA" w:rsidRPr="007E5D37" w:rsidRDefault="00745FEA" w:rsidP="00745FEA">
                  <w:pPr>
                    <w:pStyle w:val="TableBodyText"/>
                    <w:ind w:right="57"/>
                  </w:pPr>
                  <w:r w:rsidRPr="007E5D37">
                    <w:t>–</w:t>
                  </w:r>
                </w:p>
              </w:tc>
            </w:tr>
            <w:tr w:rsidR="00745FEA" w:rsidTr="00745FEA">
              <w:tc>
                <w:tcPr>
                  <w:tcW w:w="2217" w:type="pct"/>
                  <w:tcBorders>
                    <w:bottom w:val="single" w:sz="6" w:space="0" w:color="BFBFBF"/>
                  </w:tcBorders>
                  <w:shd w:val="clear" w:color="auto" w:fill="auto"/>
                </w:tcPr>
                <w:p w:rsidR="00745FEA" w:rsidRPr="00243D41" w:rsidRDefault="00745FEA" w:rsidP="00745FEA">
                  <w:pPr>
                    <w:pStyle w:val="TableBodyText"/>
                    <w:ind w:left="227" w:right="0"/>
                    <w:jc w:val="left"/>
                  </w:pPr>
                  <w:r w:rsidRPr="00243D41">
                    <w:t>R&amp;D tax concession</w:t>
                  </w:r>
                </w:p>
              </w:tc>
              <w:tc>
                <w:tcPr>
                  <w:tcW w:w="465" w:type="pct"/>
                  <w:tcBorders>
                    <w:bottom w:val="single" w:sz="6" w:space="0" w:color="BFBFBF"/>
                  </w:tcBorders>
                  <w:vAlign w:val="bottom"/>
                </w:tcPr>
                <w:p w:rsidR="00745FEA" w:rsidRPr="007E5D37" w:rsidRDefault="00745FEA" w:rsidP="00745FEA">
                  <w:pPr>
                    <w:pStyle w:val="TableBodyText"/>
                    <w:ind w:right="57"/>
                  </w:pPr>
                  <w:r w:rsidRPr="007E5D37">
                    <w:t>1.9</w:t>
                  </w:r>
                </w:p>
              </w:tc>
              <w:tc>
                <w:tcPr>
                  <w:tcW w:w="464" w:type="pct"/>
                  <w:tcBorders>
                    <w:bottom w:val="single" w:sz="6" w:space="0" w:color="BFBFBF"/>
                  </w:tcBorders>
                  <w:vAlign w:val="bottom"/>
                </w:tcPr>
                <w:p w:rsidR="00745FEA" w:rsidRPr="007E5D37" w:rsidRDefault="00745FEA" w:rsidP="00745FEA">
                  <w:pPr>
                    <w:pStyle w:val="TableBodyText"/>
                    <w:ind w:right="57"/>
                  </w:pPr>
                  <w:r w:rsidRPr="007E5D37">
                    <w:t>0.9</w:t>
                  </w:r>
                </w:p>
              </w:tc>
              <w:tc>
                <w:tcPr>
                  <w:tcW w:w="464" w:type="pct"/>
                  <w:tcBorders>
                    <w:bottom w:val="single" w:sz="6" w:space="0" w:color="BFBFBF"/>
                  </w:tcBorders>
                  <w:vAlign w:val="bottom"/>
                </w:tcPr>
                <w:p w:rsidR="00745FEA" w:rsidRPr="007E5D37" w:rsidRDefault="00745FEA" w:rsidP="00745FEA">
                  <w:pPr>
                    <w:pStyle w:val="TableBodyText"/>
                    <w:ind w:right="57"/>
                  </w:pPr>
                  <w:r w:rsidRPr="007E5D37">
                    <w:t>0.3</w:t>
                  </w:r>
                </w:p>
              </w:tc>
              <w:tc>
                <w:tcPr>
                  <w:tcW w:w="464" w:type="pct"/>
                  <w:tcBorders>
                    <w:bottom w:val="single" w:sz="6" w:space="0" w:color="BFBFBF"/>
                  </w:tcBorders>
                  <w:vAlign w:val="bottom"/>
                </w:tcPr>
                <w:p w:rsidR="00745FEA" w:rsidRPr="007E5D37" w:rsidRDefault="00745FEA" w:rsidP="00745FEA">
                  <w:pPr>
                    <w:pStyle w:val="TableBodyText"/>
                    <w:ind w:right="57"/>
                  </w:pPr>
                  <w:r w:rsidRPr="007E5D37">
                    <w:t>0.1</w:t>
                  </w:r>
                </w:p>
              </w:tc>
              <w:tc>
                <w:tcPr>
                  <w:tcW w:w="464" w:type="pct"/>
                  <w:tcBorders>
                    <w:bottom w:val="single" w:sz="6" w:space="0" w:color="BFBFBF"/>
                  </w:tcBorders>
                  <w:shd w:val="clear" w:color="auto" w:fill="auto"/>
                  <w:vAlign w:val="bottom"/>
                </w:tcPr>
                <w:p w:rsidR="00745FEA" w:rsidRPr="007E5D37" w:rsidRDefault="00745FEA" w:rsidP="00745FEA">
                  <w:pPr>
                    <w:pStyle w:val="TableBodyText"/>
                    <w:ind w:right="57"/>
                  </w:pPr>
                  <w:r w:rsidRPr="007E5D37">
                    <w:t>–</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7E5D37">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10" w:type="dxa"/>
              <w:tblCellMar>
                <w:top w:w="28" w:type="dxa"/>
                <w:left w:w="0" w:type="dxa"/>
                <w:right w:w="0" w:type="dxa"/>
              </w:tblCellMar>
              <w:tblLook w:val="0000" w:firstRow="0" w:lastRow="0" w:firstColumn="0" w:lastColumn="0" w:noHBand="0" w:noVBand="0"/>
            </w:tblPr>
            <w:tblGrid>
              <w:gridCol w:w="3742"/>
              <w:gridCol w:w="797"/>
              <w:gridCol w:w="795"/>
              <w:gridCol w:w="795"/>
              <w:gridCol w:w="795"/>
              <w:gridCol w:w="795"/>
              <w:gridCol w:w="791"/>
            </w:tblGrid>
            <w:tr w:rsidR="00745FEA" w:rsidTr="00C719FB">
              <w:trPr>
                <w:tblHeader/>
              </w:trPr>
              <w:tc>
                <w:tcPr>
                  <w:tcW w:w="2199"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199" w:type="pct"/>
                  <w:shd w:val="clear" w:color="auto" w:fill="auto"/>
                </w:tcPr>
                <w:p w:rsidR="00745FEA" w:rsidRPr="00804086" w:rsidRDefault="00745FEA" w:rsidP="00745FEA">
                  <w:pPr>
                    <w:pStyle w:val="TableBodyText"/>
                    <w:spacing w:before="40" w:after="0"/>
                    <w:ind w:left="113"/>
                    <w:jc w:val="left"/>
                    <w:rPr>
                      <w:i/>
                    </w:rPr>
                  </w:pPr>
                  <w:r w:rsidRPr="00804086">
                    <w:rPr>
                      <w:i/>
                    </w:rPr>
                    <w:t>General R&amp;D measures</w:t>
                  </w:r>
                  <w:r>
                    <w:rPr>
                      <w:i/>
                    </w:rPr>
                    <w:t xml:space="preserve"> (continued)</w:t>
                  </w:r>
                </w:p>
              </w:tc>
              <w:tc>
                <w:tcPr>
                  <w:tcW w:w="468"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shd w:val="clear" w:color="auto" w:fill="auto"/>
                  <w:vAlign w:val="bottom"/>
                </w:tcPr>
                <w:p w:rsidR="00745FEA" w:rsidRDefault="00745FEA" w:rsidP="00745FEA">
                  <w:pPr>
                    <w:pStyle w:val="TableBodyText"/>
                    <w:spacing w:before="40" w:after="0"/>
                    <w:ind w:left="0" w:right="57"/>
                  </w:pPr>
                </w:p>
              </w:tc>
              <w:tc>
                <w:tcPr>
                  <w:tcW w:w="465" w:type="pct"/>
                  <w:shd w:val="clear" w:color="auto" w:fill="auto"/>
                  <w:vAlign w:val="bottom"/>
                </w:tcPr>
                <w:p w:rsidR="00745FEA" w:rsidRDefault="00745FEA" w:rsidP="00745FEA">
                  <w:pPr>
                    <w:pStyle w:val="TableBodyText"/>
                    <w:spacing w:before="40" w:after="0"/>
                    <w:ind w:left="0" w:right="57"/>
                  </w:pPr>
                </w:p>
              </w:tc>
            </w:tr>
            <w:tr w:rsidR="00745FEA" w:rsidTr="00745FEA">
              <w:tc>
                <w:tcPr>
                  <w:tcW w:w="2199" w:type="pct"/>
                  <w:shd w:val="clear" w:color="auto" w:fill="auto"/>
                </w:tcPr>
                <w:p w:rsidR="00745FEA" w:rsidRPr="00243D41" w:rsidRDefault="00745FEA" w:rsidP="00745FEA">
                  <w:pPr>
                    <w:pStyle w:val="TableBodyText"/>
                    <w:spacing w:after="0"/>
                    <w:ind w:left="227" w:right="0"/>
                    <w:jc w:val="left"/>
                  </w:pPr>
                  <w:r w:rsidRPr="00243D41">
                    <w:t>R&amp;D Tax Incentive - non-refundable tax offset</w:t>
                  </w:r>
                </w:p>
              </w:tc>
              <w:tc>
                <w:tcPr>
                  <w:tcW w:w="468" w:type="pct"/>
                  <w:vAlign w:val="bottom"/>
                </w:tcPr>
                <w:p w:rsidR="00745FEA" w:rsidRPr="00C33D01" w:rsidRDefault="00745FEA" w:rsidP="00745FEA">
                  <w:pPr>
                    <w:pStyle w:val="TableBodyText"/>
                    <w:ind w:right="57"/>
                  </w:pPr>
                  <w:r w:rsidRPr="00C33D01">
                    <w:t>–</w:t>
                  </w:r>
                </w:p>
              </w:tc>
              <w:tc>
                <w:tcPr>
                  <w:tcW w:w="467" w:type="pct"/>
                  <w:vAlign w:val="bottom"/>
                </w:tcPr>
                <w:p w:rsidR="00745FEA" w:rsidRPr="00C33D01" w:rsidRDefault="00745FEA" w:rsidP="00745FEA">
                  <w:pPr>
                    <w:pStyle w:val="TableBodyText"/>
                    <w:ind w:right="57"/>
                  </w:pPr>
                  <w:r w:rsidRPr="00C33D01">
                    <w:t>1.1</w:t>
                  </w:r>
                </w:p>
              </w:tc>
              <w:tc>
                <w:tcPr>
                  <w:tcW w:w="467" w:type="pct"/>
                  <w:vAlign w:val="bottom"/>
                </w:tcPr>
                <w:p w:rsidR="00745FEA" w:rsidRPr="00C33D01" w:rsidRDefault="00745FEA" w:rsidP="00745FEA">
                  <w:pPr>
                    <w:pStyle w:val="TableBodyText"/>
                    <w:ind w:right="57"/>
                  </w:pPr>
                  <w:r w:rsidRPr="00C33D01">
                    <w:t>1.0</w:t>
                  </w:r>
                </w:p>
              </w:tc>
              <w:tc>
                <w:tcPr>
                  <w:tcW w:w="467" w:type="pct"/>
                  <w:vAlign w:val="bottom"/>
                </w:tcPr>
                <w:p w:rsidR="00745FEA" w:rsidRPr="00C33D01" w:rsidRDefault="00745FEA" w:rsidP="00745FEA">
                  <w:pPr>
                    <w:pStyle w:val="TableBodyText"/>
                    <w:ind w:right="57"/>
                  </w:pPr>
                  <w:r w:rsidRPr="00C33D01">
                    <w:t>1.3</w:t>
                  </w:r>
                </w:p>
              </w:tc>
              <w:tc>
                <w:tcPr>
                  <w:tcW w:w="467" w:type="pct"/>
                  <w:shd w:val="clear" w:color="auto" w:fill="auto"/>
                  <w:vAlign w:val="bottom"/>
                </w:tcPr>
                <w:p w:rsidR="00745FEA" w:rsidRPr="00C33D01" w:rsidRDefault="00745FEA" w:rsidP="00745FEA">
                  <w:pPr>
                    <w:pStyle w:val="TableBodyText"/>
                    <w:ind w:right="57"/>
                  </w:pPr>
                  <w:r w:rsidRPr="00C33D01">
                    <w:t>1.4</w:t>
                  </w:r>
                </w:p>
              </w:tc>
              <w:tc>
                <w:tcPr>
                  <w:tcW w:w="465" w:type="pct"/>
                  <w:shd w:val="clear" w:color="auto" w:fill="auto"/>
                  <w:vAlign w:val="bottom"/>
                </w:tcPr>
                <w:p w:rsidR="00745FEA" w:rsidRDefault="00745FEA" w:rsidP="00745FEA">
                  <w:pPr>
                    <w:pStyle w:val="TableBodyText"/>
                    <w:ind w:right="57"/>
                  </w:pPr>
                  <w:r w:rsidRPr="00C33D01">
                    <w:t>1.8</w:t>
                  </w:r>
                </w:p>
              </w:tc>
            </w:tr>
            <w:tr w:rsidR="00745FEA" w:rsidTr="00745FEA">
              <w:tc>
                <w:tcPr>
                  <w:tcW w:w="2199" w:type="pct"/>
                  <w:shd w:val="clear" w:color="auto" w:fill="auto"/>
                </w:tcPr>
                <w:p w:rsidR="00745FEA" w:rsidRPr="00804086" w:rsidRDefault="00745FEA" w:rsidP="00745FEA">
                  <w:pPr>
                    <w:pStyle w:val="TableBodyText"/>
                    <w:spacing w:before="40" w:after="0"/>
                    <w:ind w:left="113"/>
                    <w:jc w:val="left"/>
                    <w:rPr>
                      <w:i/>
                    </w:rPr>
                  </w:pPr>
                  <w:r w:rsidRPr="00804086">
                    <w:rPr>
                      <w:i/>
                    </w:rPr>
                    <w:t>Other measures</w:t>
                  </w: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Enterprise Connect Innovation Centres</w:t>
                  </w:r>
                </w:p>
              </w:tc>
              <w:tc>
                <w:tcPr>
                  <w:tcW w:w="468" w:type="pct"/>
                  <w:vAlign w:val="bottom"/>
                </w:tcPr>
                <w:p w:rsidR="00745FEA" w:rsidRPr="00997189" w:rsidRDefault="00745FEA" w:rsidP="00745FEA">
                  <w:pPr>
                    <w:pStyle w:val="TableBodyText"/>
                    <w:ind w:right="57"/>
                  </w:pPr>
                  <w:r w:rsidRPr="00997189">
                    <w:t>&lt;0.1</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&lt;0.1</w:t>
                  </w:r>
                </w:p>
              </w:tc>
              <w:tc>
                <w:tcPr>
                  <w:tcW w:w="467" w:type="pct"/>
                  <w:vAlign w:val="bottom"/>
                </w:tcPr>
                <w:p w:rsidR="00745FEA" w:rsidRPr="00997189" w:rsidRDefault="00745FEA" w:rsidP="00745FEA">
                  <w:pPr>
                    <w:pStyle w:val="TableBodyText"/>
                    <w:ind w:right="57"/>
                  </w:pPr>
                  <w:r w:rsidRPr="00997189">
                    <w:t>&lt;0.1</w:t>
                  </w:r>
                </w:p>
              </w:tc>
              <w:tc>
                <w:tcPr>
                  <w:tcW w:w="467" w:type="pct"/>
                  <w:shd w:val="clear" w:color="auto" w:fill="auto"/>
                  <w:vAlign w:val="bottom"/>
                </w:tcPr>
                <w:p w:rsidR="00745FEA" w:rsidRPr="00997189" w:rsidRDefault="00745FEA" w:rsidP="00745FEA">
                  <w:pPr>
                    <w:pStyle w:val="TableBodyText"/>
                    <w:ind w:right="57"/>
                  </w:pPr>
                  <w:r w:rsidRPr="00997189">
                    <w:t>–</w:t>
                  </w:r>
                </w:p>
              </w:tc>
              <w:tc>
                <w:tcPr>
                  <w:tcW w:w="465" w:type="pct"/>
                  <w:shd w:val="clear" w:color="auto" w:fill="auto"/>
                  <w:vAlign w:val="bottom"/>
                </w:tcPr>
                <w:p w:rsidR="00745FEA" w:rsidRPr="00997189" w:rsidRDefault="00745FEA" w:rsidP="00745FEA">
                  <w:pPr>
                    <w:pStyle w:val="TableBodyText"/>
                    <w:ind w:right="57"/>
                  </w:pPr>
                  <w:r w:rsidRPr="00997189">
                    <w:t>–</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Entrepreneurs’ Infrastructure Programme - Accelerating Commercialisation</w:t>
                  </w:r>
                </w:p>
              </w:tc>
              <w:tc>
                <w:tcPr>
                  <w:tcW w:w="468"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&lt;0.1</w:t>
                  </w:r>
                </w:p>
              </w:tc>
              <w:tc>
                <w:tcPr>
                  <w:tcW w:w="467" w:type="pct"/>
                  <w:shd w:val="clear" w:color="auto" w:fill="auto"/>
                  <w:vAlign w:val="bottom"/>
                </w:tcPr>
                <w:p w:rsidR="00745FEA" w:rsidRPr="00997189" w:rsidRDefault="00745FEA" w:rsidP="00745FEA">
                  <w:pPr>
                    <w:pStyle w:val="TableBodyText"/>
                    <w:ind w:right="57"/>
                  </w:pPr>
                  <w:r w:rsidRPr="00997189">
                    <w:t>0.3</w:t>
                  </w:r>
                </w:p>
              </w:tc>
              <w:tc>
                <w:tcPr>
                  <w:tcW w:w="465" w:type="pct"/>
                  <w:shd w:val="clear" w:color="auto" w:fill="auto"/>
                  <w:vAlign w:val="bottom"/>
                </w:tcPr>
                <w:p w:rsidR="00745FEA" w:rsidRPr="00997189" w:rsidRDefault="00745FEA" w:rsidP="00745FEA">
                  <w:pPr>
                    <w:pStyle w:val="TableBodyText"/>
                    <w:ind w:right="57"/>
                  </w:pPr>
                  <w:r w:rsidRPr="00997189">
                    <w:t>&lt;0.1</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Entrepreneurs’ Infrastructure Programme - Business Management Skills</w:t>
                  </w:r>
                </w:p>
              </w:tc>
              <w:tc>
                <w:tcPr>
                  <w:tcW w:w="468"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&lt;0.1</w:t>
                  </w:r>
                </w:p>
              </w:tc>
              <w:tc>
                <w:tcPr>
                  <w:tcW w:w="467" w:type="pct"/>
                  <w:shd w:val="clear" w:color="auto" w:fill="auto"/>
                  <w:vAlign w:val="bottom"/>
                </w:tcPr>
                <w:p w:rsidR="00745FEA" w:rsidRPr="00997189" w:rsidRDefault="00745FEA" w:rsidP="00745FEA">
                  <w:pPr>
                    <w:pStyle w:val="TableBodyText"/>
                    <w:ind w:right="57"/>
                  </w:pPr>
                  <w:r w:rsidRPr="00997189">
                    <w:t>0.1</w:t>
                  </w:r>
                </w:p>
              </w:tc>
              <w:tc>
                <w:tcPr>
                  <w:tcW w:w="465" w:type="pct"/>
                  <w:shd w:val="clear" w:color="auto" w:fill="auto"/>
                  <w:vAlign w:val="bottom"/>
                </w:tcPr>
                <w:p w:rsidR="00745FEA" w:rsidRPr="00997189" w:rsidRDefault="00745FEA" w:rsidP="00745FEA">
                  <w:pPr>
                    <w:pStyle w:val="TableBodyText"/>
                    <w:ind w:right="57"/>
                  </w:pPr>
                  <w:r w:rsidRPr="00997189">
                    <w:t>&lt;0.1</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Illawarra Region Innovation and Investment Fund</w:t>
                  </w:r>
                </w:p>
              </w:tc>
              <w:tc>
                <w:tcPr>
                  <w:tcW w:w="468"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0.3</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shd w:val="clear" w:color="auto" w:fill="auto"/>
                  <w:vAlign w:val="bottom"/>
                </w:tcPr>
                <w:p w:rsidR="00745FEA" w:rsidRPr="00997189" w:rsidRDefault="00745FEA" w:rsidP="00745FEA">
                  <w:pPr>
                    <w:pStyle w:val="TableBodyText"/>
                    <w:ind w:right="57"/>
                  </w:pPr>
                  <w:r w:rsidRPr="00997189">
                    <w:t>–</w:t>
                  </w:r>
                </w:p>
              </w:tc>
              <w:tc>
                <w:tcPr>
                  <w:tcW w:w="465" w:type="pct"/>
                  <w:shd w:val="clear" w:color="auto" w:fill="auto"/>
                  <w:vAlign w:val="bottom"/>
                </w:tcPr>
                <w:p w:rsidR="00745FEA" w:rsidRPr="00997189" w:rsidRDefault="00745FEA" w:rsidP="00745FEA">
                  <w:pPr>
                    <w:pStyle w:val="TableBodyText"/>
                    <w:ind w:right="57"/>
                  </w:pPr>
                  <w:r w:rsidRPr="00997189">
                    <w:t>–</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Tasmanian Jobs and Investment Fund</w:t>
                  </w:r>
                </w:p>
              </w:tc>
              <w:tc>
                <w:tcPr>
                  <w:tcW w:w="468"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shd w:val="clear" w:color="auto" w:fill="auto"/>
                  <w:vAlign w:val="bottom"/>
                </w:tcPr>
                <w:p w:rsidR="00745FEA" w:rsidRPr="00997189" w:rsidRDefault="00745FEA" w:rsidP="00745FEA">
                  <w:pPr>
                    <w:pStyle w:val="TableBodyText"/>
                    <w:ind w:right="57"/>
                  </w:pPr>
                  <w:r w:rsidRPr="00997189">
                    <w:t>0.2</w:t>
                  </w:r>
                </w:p>
              </w:tc>
              <w:tc>
                <w:tcPr>
                  <w:tcW w:w="465" w:type="pct"/>
                  <w:shd w:val="clear" w:color="auto" w:fill="auto"/>
                  <w:vAlign w:val="bottom"/>
                </w:tcPr>
                <w:p w:rsidR="00745FEA" w:rsidRPr="00997189" w:rsidRDefault="00745FEA" w:rsidP="00745FEA">
                  <w:pPr>
                    <w:pStyle w:val="TableBodyText"/>
                    <w:ind w:right="57"/>
                  </w:pPr>
                  <w:r w:rsidRPr="00997189">
                    <w:t>0.2</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 xml:space="preserve">Small business </w:t>
                  </w:r>
                  <w:r>
                    <w:t>capital gains tax</w:t>
                  </w:r>
                  <w:r w:rsidRPr="00A91595">
                    <w:t xml:space="preserve"> rollover deferral</w:t>
                  </w:r>
                </w:p>
              </w:tc>
              <w:tc>
                <w:tcPr>
                  <w:tcW w:w="468" w:type="pct"/>
                  <w:vAlign w:val="bottom"/>
                </w:tcPr>
                <w:p w:rsidR="00745FEA" w:rsidRPr="00997189" w:rsidRDefault="00745FEA" w:rsidP="00745FEA">
                  <w:pPr>
                    <w:pStyle w:val="TableBodyText"/>
                    <w:ind w:right="57"/>
                  </w:pPr>
                  <w:r w:rsidRPr="00997189">
                    <w:t>0.8</w:t>
                  </w:r>
                </w:p>
              </w:tc>
              <w:tc>
                <w:tcPr>
                  <w:tcW w:w="467" w:type="pct"/>
                  <w:vAlign w:val="bottom"/>
                </w:tcPr>
                <w:p w:rsidR="00745FEA" w:rsidRPr="00997189" w:rsidRDefault="00745FEA" w:rsidP="00745FEA">
                  <w:pPr>
                    <w:pStyle w:val="TableBodyText"/>
                    <w:ind w:right="57"/>
                  </w:pPr>
                  <w:r w:rsidRPr="00997189">
                    <w:t>1.0</w:t>
                  </w:r>
                </w:p>
              </w:tc>
              <w:tc>
                <w:tcPr>
                  <w:tcW w:w="467" w:type="pct"/>
                  <w:vAlign w:val="bottom"/>
                </w:tcPr>
                <w:p w:rsidR="00745FEA" w:rsidRPr="00997189" w:rsidRDefault="00745FEA" w:rsidP="00745FEA">
                  <w:pPr>
                    <w:pStyle w:val="TableBodyText"/>
                    <w:ind w:right="57"/>
                  </w:pPr>
                  <w:r w:rsidRPr="00997189">
                    <w:t>1.0</w:t>
                  </w:r>
                </w:p>
              </w:tc>
              <w:tc>
                <w:tcPr>
                  <w:tcW w:w="467" w:type="pct"/>
                  <w:vAlign w:val="bottom"/>
                </w:tcPr>
                <w:p w:rsidR="00745FEA" w:rsidRPr="00997189" w:rsidRDefault="00745FEA" w:rsidP="00745FEA">
                  <w:pPr>
                    <w:pStyle w:val="TableBodyText"/>
                    <w:ind w:right="57"/>
                  </w:pPr>
                  <w:r w:rsidRPr="00997189">
                    <w:t>1.8</w:t>
                  </w:r>
                </w:p>
              </w:tc>
              <w:tc>
                <w:tcPr>
                  <w:tcW w:w="467" w:type="pct"/>
                  <w:shd w:val="clear" w:color="auto" w:fill="auto"/>
                  <w:vAlign w:val="bottom"/>
                </w:tcPr>
                <w:p w:rsidR="00745FEA" w:rsidRPr="00997189" w:rsidRDefault="00745FEA" w:rsidP="00745FEA">
                  <w:pPr>
                    <w:pStyle w:val="TableBodyText"/>
                    <w:ind w:right="57"/>
                  </w:pPr>
                  <w:r w:rsidRPr="00997189">
                    <w:t>1.7</w:t>
                  </w:r>
                </w:p>
              </w:tc>
              <w:tc>
                <w:tcPr>
                  <w:tcW w:w="465" w:type="pct"/>
                  <w:shd w:val="clear" w:color="auto" w:fill="auto"/>
                  <w:vAlign w:val="bottom"/>
                </w:tcPr>
                <w:p w:rsidR="00745FEA" w:rsidRPr="00997189" w:rsidRDefault="00745FEA" w:rsidP="00745FEA">
                  <w:pPr>
                    <w:pStyle w:val="TableBodyText"/>
                    <w:ind w:right="57"/>
                  </w:pPr>
                  <w:r w:rsidRPr="00997189">
                    <w:t>2.7</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Small Business - Simplified depreciation rules</w:t>
                  </w:r>
                </w:p>
              </w:tc>
              <w:tc>
                <w:tcPr>
                  <w:tcW w:w="468" w:type="pct"/>
                  <w:vAlign w:val="bottom"/>
                </w:tcPr>
                <w:p w:rsidR="00745FEA" w:rsidRPr="00997189" w:rsidRDefault="00745FEA" w:rsidP="00745FEA">
                  <w:pPr>
                    <w:pStyle w:val="TableBodyText"/>
                    <w:ind w:right="57"/>
                  </w:pPr>
                  <w:r w:rsidRPr="00997189">
                    <w:t>0.1</w:t>
                  </w:r>
                </w:p>
              </w:tc>
              <w:tc>
                <w:tcPr>
                  <w:tcW w:w="467" w:type="pct"/>
                  <w:vAlign w:val="bottom"/>
                </w:tcPr>
                <w:p w:rsidR="00745FEA" w:rsidRPr="00997189" w:rsidRDefault="00745FEA" w:rsidP="00745FEA">
                  <w:pPr>
                    <w:pStyle w:val="TableBodyText"/>
                    <w:ind w:right="57"/>
                  </w:pPr>
                  <w:r w:rsidRPr="00997189">
                    <w:t>-0.3</w:t>
                  </w:r>
                </w:p>
              </w:tc>
              <w:tc>
                <w:tcPr>
                  <w:tcW w:w="467" w:type="pct"/>
                  <w:vAlign w:val="bottom"/>
                </w:tcPr>
                <w:p w:rsidR="00745FEA" w:rsidRPr="00997189" w:rsidRDefault="00745FEA" w:rsidP="00745FEA">
                  <w:pPr>
                    <w:pStyle w:val="TableBodyText"/>
                    <w:ind w:right="57"/>
                  </w:pPr>
                  <w:r w:rsidRPr="00997189">
                    <w:t>1.3</w:t>
                  </w:r>
                </w:p>
              </w:tc>
              <w:tc>
                <w:tcPr>
                  <w:tcW w:w="467" w:type="pct"/>
                  <w:vAlign w:val="bottom"/>
                </w:tcPr>
                <w:p w:rsidR="00745FEA" w:rsidRPr="00997189" w:rsidRDefault="00745FEA" w:rsidP="00745FEA">
                  <w:pPr>
                    <w:pStyle w:val="TableBodyText"/>
                    <w:ind w:right="57"/>
                  </w:pPr>
                  <w:r w:rsidRPr="00997189">
                    <w:t>-0.6</w:t>
                  </w:r>
                </w:p>
              </w:tc>
              <w:tc>
                <w:tcPr>
                  <w:tcW w:w="467" w:type="pct"/>
                  <w:shd w:val="clear" w:color="auto" w:fill="auto"/>
                  <w:vAlign w:val="bottom"/>
                </w:tcPr>
                <w:p w:rsidR="00745FEA" w:rsidRPr="00997189" w:rsidRDefault="00745FEA" w:rsidP="00745FEA">
                  <w:pPr>
                    <w:pStyle w:val="TableBodyText"/>
                    <w:ind w:right="57"/>
                  </w:pPr>
                  <w:r w:rsidRPr="00997189">
                    <w:t>-1.2</w:t>
                  </w:r>
                </w:p>
              </w:tc>
              <w:tc>
                <w:tcPr>
                  <w:tcW w:w="465" w:type="pct"/>
                  <w:shd w:val="clear" w:color="auto" w:fill="auto"/>
                  <w:vAlign w:val="bottom"/>
                </w:tcPr>
                <w:p w:rsidR="00745FEA" w:rsidRPr="00997189" w:rsidRDefault="00745FEA" w:rsidP="00745FEA">
                  <w:pPr>
                    <w:pStyle w:val="TableBodyText"/>
                    <w:ind w:right="57"/>
                  </w:pPr>
                  <w:r w:rsidRPr="00997189">
                    <w:t>6.6</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 xml:space="preserve">Small business </w:t>
                  </w:r>
                  <w:r>
                    <w:t>capital gains tax</w:t>
                  </w:r>
                  <w:r w:rsidRPr="00A91595">
                    <w:t xml:space="preserve"> retirement exemption</w:t>
                  </w:r>
                </w:p>
              </w:tc>
              <w:tc>
                <w:tcPr>
                  <w:tcW w:w="468" w:type="pct"/>
                  <w:vAlign w:val="bottom"/>
                </w:tcPr>
                <w:p w:rsidR="00745FEA" w:rsidRPr="00997189" w:rsidRDefault="00745FEA" w:rsidP="00745FEA">
                  <w:pPr>
                    <w:pStyle w:val="TableBodyText"/>
                    <w:ind w:right="57"/>
                  </w:pPr>
                  <w:r w:rsidRPr="00997189">
                    <w:t>0.4</w:t>
                  </w:r>
                </w:p>
              </w:tc>
              <w:tc>
                <w:tcPr>
                  <w:tcW w:w="467" w:type="pct"/>
                  <w:vAlign w:val="bottom"/>
                </w:tcPr>
                <w:p w:rsidR="00745FEA" w:rsidRPr="00997189" w:rsidRDefault="00745FEA" w:rsidP="00745FEA">
                  <w:pPr>
                    <w:pStyle w:val="TableBodyText"/>
                    <w:ind w:right="57"/>
                  </w:pPr>
                  <w:r w:rsidRPr="00997189">
                    <w:t>0.5</w:t>
                  </w:r>
                </w:p>
              </w:tc>
              <w:tc>
                <w:tcPr>
                  <w:tcW w:w="467" w:type="pct"/>
                  <w:vAlign w:val="bottom"/>
                </w:tcPr>
                <w:p w:rsidR="00745FEA" w:rsidRPr="00997189" w:rsidRDefault="00745FEA" w:rsidP="00745FEA">
                  <w:pPr>
                    <w:pStyle w:val="TableBodyText"/>
                    <w:ind w:right="57"/>
                  </w:pPr>
                  <w:r w:rsidRPr="00997189">
                    <w:t>0.5</w:t>
                  </w:r>
                </w:p>
              </w:tc>
              <w:tc>
                <w:tcPr>
                  <w:tcW w:w="467" w:type="pct"/>
                  <w:vAlign w:val="bottom"/>
                </w:tcPr>
                <w:p w:rsidR="00745FEA" w:rsidRPr="00997189" w:rsidRDefault="00745FEA" w:rsidP="00745FEA">
                  <w:pPr>
                    <w:pStyle w:val="TableBodyText"/>
                    <w:ind w:right="57"/>
                  </w:pPr>
                  <w:r w:rsidRPr="00997189">
                    <w:t>0.8</w:t>
                  </w:r>
                </w:p>
              </w:tc>
              <w:tc>
                <w:tcPr>
                  <w:tcW w:w="467" w:type="pct"/>
                  <w:shd w:val="clear" w:color="auto" w:fill="auto"/>
                  <w:vAlign w:val="bottom"/>
                </w:tcPr>
                <w:p w:rsidR="00745FEA" w:rsidRPr="00997189" w:rsidRDefault="00745FEA" w:rsidP="00745FEA">
                  <w:pPr>
                    <w:pStyle w:val="TableBodyText"/>
                    <w:ind w:right="57"/>
                  </w:pPr>
                  <w:r w:rsidRPr="00997189">
                    <w:t>0.9</w:t>
                  </w:r>
                </w:p>
              </w:tc>
              <w:tc>
                <w:tcPr>
                  <w:tcW w:w="465" w:type="pct"/>
                  <w:shd w:val="clear" w:color="auto" w:fill="auto"/>
                  <w:vAlign w:val="bottom"/>
                </w:tcPr>
                <w:p w:rsidR="00745FEA" w:rsidRPr="00997189" w:rsidRDefault="00745FEA" w:rsidP="00745FEA">
                  <w:pPr>
                    <w:pStyle w:val="TableBodyText"/>
                    <w:ind w:right="57"/>
                  </w:pPr>
                  <w:r w:rsidRPr="00997189">
                    <w:t>0.8</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 xml:space="preserve">Small business </w:t>
                  </w:r>
                  <w:r>
                    <w:t>capital gains tax</w:t>
                  </w:r>
                  <w:r w:rsidRPr="00A91595">
                    <w:t xml:space="preserve"> 50 per cent reduction</w:t>
                  </w:r>
                </w:p>
              </w:tc>
              <w:tc>
                <w:tcPr>
                  <w:tcW w:w="468" w:type="pct"/>
                  <w:vAlign w:val="bottom"/>
                </w:tcPr>
                <w:p w:rsidR="00745FEA" w:rsidRPr="00997189" w:rsidRDefault="00745FEA" w:rsidP="00745FEA">
                  <w:pPr>
                    <w:pStyle w:val="TableBodyText"/>
                    <w:ind w:right="57"/>
                  </w:pPr>
                  <w:r w:rsidRPr="00997189">
                    <w:t>1.5</w:t>
                  </w:r>
                </w:p>
              </w:tc>
              <w:tc>
                <w:tcPr>
                  <w:tcW w:w="467" w:type="pct"/>
                  <w:vAlign w:val="bottom"/>
                </w:tcPr>
                <w:p w:rsidR="00745FEA" w:rsidRPr="00997189" w:rsidRDefault="00745FEA" w:rsidP="00745FEA">
                  <w:pPr>
                    <w:pStyle w:val="TableBodyText"/>
                    <w:ind w:right="57"/>
                  </w:pPr>
                  <w:r w:rsidRPr="00997189">
                    <w:t>1.6</w:t>
                  </w:r>
                </w:p>
              </w:tc>
              <w:tc>
                <w:tcPr>
                  <w:tcW w:w="467" w:type="pct"/>
                  <w:vAlign w:val="bottom"/>
                </w:tcPr>
                <w:p w:rsidR="00745FEA" w:rsidRPr="00997189" w:rsidRDefault="00745FEA" w:rsidP="00745FEA">
                  <w:pPr>
                    <w:pStyle w:val="TableBodyText"/>
                    <w:ind w:right="57"/>
                  </w:pPr>
                  <w:r w:rsidRPr="00997189">
                    <w:t>1.6</w:t>
                  </w:r>
                </w:p>
              </w:tc>
              <w:tc>
                <w:tcPr>
                  <w:tcW w:w="467" w:type="pct"/>
                  <w:vAlign w:val="bottom"/>
                </w:tcPr>
                <w:p w:rsidR="00745FEA" w:rsidRPr="00997189" w:rsidRDefault="00745FEA" w:rsidP="00745FEA">
                  <w:pPr>
                    <w:pStyle w:val="TableBodyText"/>
                    <w:ind w:right="57"/>
                  </w:pPr>
                  <w:r w:rsidRPr="00997189">
                    <w:t>2.8</w:t>
                  </w:r>
                </w:p>
              </w:tc>
              <w:tc>
                <w:tcPr>
                  <w:tcW w:w="467" w:type="pct"/>
                  <w:shd w:val="clear" w:color="auto" w:fill="auto"/>
                  <w:vAlign w:val="bottom"/>
                </w:tcPr>
                <w:p w:rsidR="00745FEA" w:rsidRPr="00997189" w:rsidRDefault="00745FEA" w:rsidP="00745FEA">
                  <w:pPr>
                    <w:pStyle w:val="TableBodyText"/>
                    <w:ind w:right="57"/>
                  </w:pPr>
                  <w:r w:rsidRPr="00997189">
                    <w:t>2.6</w:t>
                  </w:r>
                </w:p>
              </w:tc>
              <w:tc>
                <w:tcPr>
                  <w:tcW w:w="465" w:type="pct"/>
                  <w:shd w:val="clear" w:color="auto" w:fill="auto"/>
                  <w:vAlign w:val="bottom"/>
                </w:tcPr>
                <w:p w:rsidR="00745FEA" w:rsidRPr="00997189" w:rsidRDefault="00745FEA" w:rsidP="00745FEA">
                  <w:pPr>
                    <w:pStyle w:val="TableBodyText"/>
                    <w:ind w:right="57"/>
                  </w:pPr>
                  <w:r w:rsidRPr="00997189">
                    <w:t>3.3</w:t>
                  </w:r>
                </w:p>
              </w:tc>
            </w:tr>
            <w:tr w:rsidR="00745FEA" w:rsidTr="00745FEA">
              <w:tc>
                <w:tcPr>
                  <w:tcW w:w="2199" w:type="pct"/>
                  <w:shd w:val="clear" w:color="auto" w:fill="auto"/>
                </w:tcPr>
                <w:p w:rsidR="00745FEA" w:rsidRPr="00A91595" w:rsidRDefault="00745FEA" w:rsidP="00745FEA">
                  <w:pPr>
                    <w:pStyle w:val="TableBodyText"/>
                    <w:spacing w:after="0"/>
                    <w:ind w:left="227" w:right="0"/>
                    <w:jc w:val="left"/>
                  </w:pPr>
                  <w:r w:rsidRPr="00A91595">
                    <w:t>25 per cent entrepreneurs' tax offset</w:t>
                  </w:r>
                </w:p>
              </w:tc>
              <w:tc>
                <w:tcPr>
                  <w:tcW w:w="468" w:type="pct"/>
                  <w:vAlign w:val="bottom"/>
                </w:tcPr>
                <w:p w:rsidR="00745FEA" w:rsidRPr="00997189" w:rsidRDefault="00745FEA" w:rsidP="00745FEA">
                  <w:pPr>
                    <w:pStyle w:val="TableBodyText"/>
                    <w:ind w:right="57"/>
                  </w:pPr>
                  <w:r w:rsidRPr="00997189">
                    <w:t>1.2</w:t>
                  </w:r>
                </w:p>
              </w:tc>
              <w:tc>
                <w:tcPr>
                  <w:tcW w:w="467" w:type="pct"/>
                  <w:vAlign w:val="bottom"/>
                </w:tcPr>
                <w:p w:rsidR="00745FEA" w:rsidRPr="00997189" w:rsidRDefault="00745FEA" w:rsidP="00745FEA">
                  <w:pPr>
                    <w:pStyle w:val="TableBodyText"/>
                    <w:ind w:right="57"/>
                  </w:pPr>
                  <w:r w:rsidRPr="00997189">
                    <w:t>1.5</w:t>
                  </w:r>
                </w:p>
              </w:tc>
              <w:tc>
                <w:tcPr>
                  <w:tcW w:w="467" w:type="pct"/>
                  <w:vAlign w:val="bottom"/>
                </w:tcPr>
                <w:p w:rsidR="00745FEA" w:rsidRPr="00997189" w:rsidRDefault="00745FEA" w:rsidP="00745FEA">
                  <w:pPr>
                    <w:pStyle w:val="TableBodyText"/>
                    <w:ind w:right="57"/>
                  </w:pPr>
                  <w:r w:rsidRPr="00997189">
                    <w:t>–</w:t>
                  </w:r>
                </w:p>
              </w:tc>
              <w:tc>
                <w:tcPr>
                  <w:tcW w:w="467" w:type="pct"/>
                  <w:vAlign w:val="bottom"/>
                </w:tcPr>
                <w:p w:rsidR="00745FEA" w:rsidRPr="00997189" w:rsidRDefault="00745FEA" w:rsidP="00745FEA">
                  <w:pPr>
                    <w:pStyle w:val="TableBodyText"/>
                    <w:ind w:right="57"/>
                  </w:pPr>
                  <w:r w:rsidRPr="00997189">
                    <w:t>–</w:t>
                  </w:r>
                </w:p>
              </w:tc>
              <w:tc>
                <w:tcPr>
                  <w:tcW w:w="467" w:type="pct"/>
                  <w:shd w:val="clear" w:color="auto" w:fill="auto"/>
                  <w:vAlign w:val="bottom"/>
                </w:tcPr>
                <w:p w:rsidR="00745FEA" w:rsidRPr="00997189" w:rsidRDefault="00745FEA" w:rsidP="00745FEA">
                  <w:pPr>
                    <w:pStyle w:val="TableBodyText"/>
                    <w:ind w:right="57"/>
                  </w:pPr>
                  <w:r w:rsidRPr="00997189">
                    <w:t>–</w:t>
                  </w:r>
                </w:p>
              </w:tc>
              <w:tc>
                <w:tcPr>
                  <w:tcW w:w="465" w:type="pct"/>
                  <w:shd w:val="clear" w:color="auto" w:fill="auto"/>
                  <w:vAlign w:val="bottom"/>
                </w:tcPr>
                <w:p w:rsidR="00745FEA" w:rsidRDefault="00745FEA" w:rsidP="00745FEA">
                  <w:pPr>
                    <w:pStyle w:val="TableBodyText"/>
                    <w:ind w:right="57"/>
                  </w:pPr>
                  <w:r w:rsidRPr="00997189">
                    <w:t>–</w:t>
                  </w:r>
                </w:p>
              </w:tc>
            </w:tr>
            <w:tr w:rsidR="00745FEA" w:rsidTr="00745FEA">
              <w:tc>
                <w:tcPr>
                  <w:tcW w:w="2199" w:type="pct"/>
                  <w:shd w:val="clear" w:color="auto" w:fill="auto"/>
                </w:tcPr>
                <w:p w:rsidR="00745FEA" w:rsidRPr="00804086" w:rsidRDefault="00745FEA" w:rsidP="00745FEA">
                  <w:pPr>
                    <w:pStyle w:val="TableBodyText"/>
                    <w:spacing w:before="20" w:after="20"/>
                    <w:jc w:val="left"/>
                    <w:rPr>
                      <w:i/>
                    </w:rPr>
                  </w:pPr>
                  <w:r w:rsidRPr="00804086">
                    <w:rPr>
                      <w:i/>
                    </w:rPr>
                    <w:t>Total</w:t>
                  </w:r>
                </w:p>
              </w:tc>
              <w:tc>
                <w:tcPr>
                  <w:tcW w:w="468" w:type="pct"/>
                  <w:vAlign w:val="bottom"/>
                </w:tcPr>
                <w:p w:rsidR="00745FEA" w:rsidRPr="00BD3824" w:rsidRDefault="00745FEA" w:rsidP="00745FEA">
                  <w:pPr>
                    <w:pStyle w:val="TableBodyText"/>
                    <w:spacing w:before="20" w:after="20"/>
                    <w:ind w:left="0" w:right="57"/>
                    <w:rPr>
                      <w:i/>
                    </w:rPr>
                  </w:pPr>
                  <w:r>
                    <w:rPr>
                      <w:i/>
                    </w:rPr>
                    <w:t>21.9</w:t>
                  </w:r>
                </w:p>
              </w:tc>
              <w:tc>
                <w:tcPr>
                  <w:tcW w:w="467" w:type="pct"/>
                  <w:vAlign w:val="bottom"/>
                </w:tcPr>
                <w:p w:rsidR="00745FEA" w:rsidRPr="00BD3824" w:rsidRDefault="00745FEA" w:rsidP="00745FEA">
                  <w:pPr>
                    <w:pStyle w:val="TableBodyText"/>
                    <w:spacing w:before="20" w:after="20"/>
                    <w:ind w:left="0" w:right="57"/>
                    <w:rPr>
                      <w:i/>
                    </w:rPr>
                  </w:pPr>
                  <w:r>
                    <w:rPr>
                      <w:i/>
                    </w:rPr>
                    <w:t>27.1</w:t>
                  </w:r>
                </w:p>
              </w:tc>
              <w:tc>
                <w:tcPr>
                  <w:tcW w:w="467" w:type="pct"/>
                </w:tcPr>
                <w:p w:rsidR="00745FEA" w:rsidRPr="00AA7800" w:rsidRDefault="00745FEA" w:rsidP="00745FEA">
                  <w:pPr>
                    <w:pStyle w:val="TableBodyText"/>
                    <w:spacing w:before="20" w:after="20"/>
                    <w:ind w:left="0" w:right="57"/>
                    <w:rPr>
                      <w:i/>
                    </w:rPr>
                  </w:pPr>
                  <w:r>
                    <w:rPr>
                      <w:i/>
                    </w:rPr>
                    <w:t>29.5</w:t>
                  </w:r>
                </w:p>
              </w:tc>
              <w:tc>
                <w:tcPr>
                  <w:tcW w:w="467" w:type="pct"/>
                </w:tcPr>
                <w:p w:rsidR="00745FEA" w:rsidRPr="00AA7800" w:rsidRDefault="00745FEA" w:rsidP="00745FEA">
                  <w:pPr>
                    <w:pStyle w:val="TableBodyText"/>
                    <w:spacing w:before="20" w:after="20"/>
                    <w:ind w:left="0" w:right="57"/>
                    <w:rPr>
                      <w:i/>
                    </w:rPr>
                  </w:pPr>
                  <w:r>
                    <w:rPr>
                      <w:i/>
                    </w:rPr>
                    <w:t>27.2</w:t>
                  </w:r>
                </w:p>
              </w:tc>
              <w:tc>
                <w:tcPr>
                  <w:tcW w:w="467" w:type="pct"/>
                  <w:shd w:val="clear" w:color="auto" w:fill="auto"/>
                </w:tcPr>
                <w:p w:rsidR="00745FEA" w:rsidRPr="00AA7800" w:rsidRDefault="00745FEA" w:rsidP="00745FEA">
                  <w:pPr>
                    <w:pStyle w:val="TableBodyText"/>
                    <w:spacing w:before="20" w:after="20"/>
                    <w:ind w:left="0" w:right="57"/>
                    <w:rPr>
                      <w:i/>
                    </w:rPr>
                  </w:pPr>
                  <w:r>
                    <w:rPr>
                      <w:i/>
                    </w:rPr>
                    <w:t>28.0</w:t>
                  </w:r>
                </w:p>
              </w:tc>
              <w:tc>
                <w:tcPr>
                  <w:tcW w:w="465" w:type="pct"/>
                  <w:shd w:val="clear" w:color="auto" w:fill="auto"/>
                </w:tcPr>
                <w:p w:rsidR="00745FEA" w:rsidRPr="00AA7800" w:rsidRDefault="00745FEA" w:rsidP="00745FEA">
                  <w:pPr>
                    <w:pStyle w:val="TableBodyText"/>
                    <w:spacing w:before="20" w:after="20"/>
                    <w:ind w:left="0" w:right="57"/>
                    <w:rPr>
                      <w:i/>
                    </w:rPr>
                  </w:pPr>
                  <w:r>
                    <w:rPr>
                      <w:i/>
                    </w:rPr>
                    <w:t>36.7</w:t>
                  </w:r>
                </w:p>
              </w:tc>
            </w:tr>
            <w:tr w:rsidR="00745FEA" w:rsidTr="00745FEA">
              <w:tc>
                <w:tcPr>
                  <w:tcW w:w="2199" w:type="pct"/>
                  <w:shd w:val="clear" w:color="auto" w:fill="auto"/>
                </w:tcPr>
                <w:p w:rsidR="00745FEA" w:rsidRPr="00804086" w:rsidRDefault="00745FEA" w:rsidP="00745FEA">
                  <w:pPr>
                    <w:pStyle w:val="TableBodyText"/>
                    <w:spacing w:before="40"/>
                    <w:jc w:val="left"/>
                    <w:rPr>
                      <w:b/>
                    </w:rPr>
                  </w:pPr>
                  <w:r w:rsidRPr="00804086">
                    <w:rPr>
                      <w:b/>
                    </w:rPr>
                    <w:t>Unallocated primary production</w:t>
                  </w:r>
                </w:p>
              </w:tc>
              <w:tc>
                <w:tcPr>
                  <w:tcW w:w="468" w:type="pct"/>
                  <w:vAlign w:val="bottom"/>
                </w:tcPr>
                <w:p w:rsidR="00745FEA" w:rsidRDefault="00745FEA" w:rsidP="00745FEA">
                  <w:pPr>
                    <w:pStyle w:val="TableBodyText"/>
                    <w:spacing w:before="40"/>
                    <w:ind w:left="0" w:right="57"/>
                  </w:pPr>
                </w:p>
              </w:tc>
              <w:tc>
                <w:tcPr>
                  <w:tcW w:w="467" w:type="pct"/>
                  <w:vAlign w:val="bottom"/>
                </w:tcPr>
                <w:p w:rsidR="00745FEA" w:rsidRDefault="00745FEA" w:rsidP="00745FEA">
                  <w:pPr>
                    <w:pStyle w:val="TableBodyText"/>
                    <w:spacing w:before="40"/>
                    <w:ind w:left="0" w:right="57"/>
                  </w:pPr>
                </w:p>
              </w:tc>
              <w:tc>
                <w:tcPr>
                  <w:tcW w:w="467" w:type="pct"/>
                  <w:vAlign w:val="bottom"/>
                </w:tcPr>
                <w:p w:rsidR="00745FEA" w:rsidRDefault="00745FEA" w:rsidP="00745FEA">
                  <w:pPr>
                    <w:pStyle w:val="TableBodyText"/>
                    <w:spacing w:before="40"/>
                    <w:ind w:left="0" w:right="57"/>
                  </w:pPr>
                </w:p>
              </w:tc>
              <w:tc>
                <w:tcPr>
                  <w:tcW w:w="467" w:type="pct"/>
                  <w:vAlign w:val="bottom"/>
                </w:tcPr>
                <w:p w:rsidR="00745FEA" w:rsidRDefault="00745FEA" w:rsidP="00745FEA">
                  <w:pPr>
                    <w:pStyle w:val="TableBodyText"/>
                    <w:spacing w:before="40"/>
                    <w:ind w:left="0" w:right="57"/>
                  </w:pPr>
                </w:p>
              </w:tc>
              <w:tc>
                <w:tcPr>
                  <w:tcW w:w="467" w:type="pct"/>
                  <w:shd w:val="clear" w:color="auto" w:fill="auto"/>
                  <w:vAlign w:val="bottom"/>
                </w:tcPr>
                <w:p w:rsidR="00745FEA" w:rsidRDefault="00745FEA" w:rsidP="00745FEA">
                  <w:pPr>
                    <w:pStyle w:val="TableBodyText"/>
                    <w:spacing w:before="40"/>
                    <w:ind w:left="0" w:right="57"/>
                  </w:pPr>
                </w:p>
              </w:tc>
              <w:tc>
                <w:tcPr>
                  <w:tcW w:w="465" w:type="pct"/>
                  <w:shd w:val="clear" w:color="auto" w:fill="auto"/>
                  <w:vAlign w:val="bottom"/>
                </w:tcPr>
                <w:p w:rsidR="00745FEA" w:rsidRDefault="00745FEA" w:rsidP="00745FEA">
                  <w:pPr>
                    <w:pStyle w:val="TableBodyText"/>
                    <w:spacing w:before="40"/>
                    <w:ind w:left="0" w:right="57"/>
                  </w:pPr>
                </w:p>
              </w:tc>
            </w:tr>
            <w:tr w:rsidR="00745FEA" w:rsidTr="00745FEA">
              <w:tc>
                <w:tcPr>
                  <w:tcW w:w="2199" w:type="pct"/>
                  <w:shd w:val="clear" w:color="auto" w:fill="auto"/>
                </w:tcPr>
                <w:p w:rsidR="00745FEA" w:rsidRPr="00804086" w:rsidRDefault="00745FEA" w:rsidP="00745FEA">
                  <w:pPr>
                    <w:pStyle w:val="TableBodyText"/>
                    <w:spacing w:before="40" w:after="0"/>
                    <w:ind w:left="113"/>
                    <w:jc w:val="left"/>
                    <w:rPr>
                      <w:i/>
                    </w:rPr>
                  </w:pPr>
                  <w:r w:rsidRPr="00804086">
                    <w:rPr>
                      <w:i/>
                    </w:rPr>
                    <w:t>Industry-specific measures</w:t>
                  </w:r>
                </w:p>
              </w:tc>
              <w:tc>
                <w:tcPr>
                  <w:tcW w:w="468"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shd w:val="clear" w:color="auto" w:fill="auto"/>
                  <w:vAlign w:val="bottom"/>
                </w:tcPr>
                <w:p w:rsidR="00745FEA" w:rsidRDefault="00745FEA" w:rsidP="00745FEA">
                  <w:pPr>
                    <w:pStyle w:val="TableBodyText"/>
                    <w:spacing w:before="40" w:after="0"/>
                    <w:ind w:left="0" w:right="57"/>
                  </w:pPr>
                </w:p>
              </w:tc>
              <w:tc>
                <w:tcPr>
                  <w:tcW w:w="465" w:type="pct"/>
                  <w:shd w:val="clear" w:color="auto" w:fill="auto"/>
                  <w:vAlign w:val="bottom"/>
                </w:tcPr>
                <w:p w:rsidR="00745FEA" w:rsidRDefault="00745FEA" w:rsidP="00745FEA">
                  <w:pPr>
                    <w:pStyle w:val="TableBodyText"/>
                    <w:spacing w:before="40" w:after="0"/>
                    <w:ind w:left="0" w:right="57"/>
                  </w:pPr>
                </w:p>
              </w:tc>
            </w:tr>
            <w:tr w:rsidR="00745FEA" w:rsidTr="00745FEA">
              <w:tc>
                <w:tcPr>
                  <w:tcW w:w="2199" w:type="pct"/>
                  <w:shd w:val="clear" w:color="auto" w:fill="auto"/>
                </w:tcPr>
                <w:p w:rsidR="00745FEA" w:rsidRPr="00896B7D" w:rsidRDefault="00745FEA" w:rsidP="00745FEA">
                  <w:pPr>
                    <w:pStyle w:val="TableBodyText"/>
                    <w:spacing w:after="0"/>
                    <w:ind w:left="227" w:right="0"/>
                    <w:jc w:val="left"/>
                  </w:pPr>
                  <w:r w:rsidRPr="00896B7D">
                    <w:t>Australian Animal Health Laboratory</w:t>
                  </w:r>
                </w:p>
              </w:tc>
              <w:tc>
                <w:tcPr>
                  <w:tcW w:w="468" w:type="pct"/>
                  <w:vAlign w:val="bottom"/>
                </w:tcPr>
                <w:p w:rsidR="00745FEA" w:rsidRPr="0039163B" w:rsidRDefault="00745FEA" w:rsidP="00745FEA">
                  <w:pPr>
                    <w:pStyle w:val="TableBodyText"/>
                    <w:ind w:right="57"/>
                  </w:pPr>
                  <w:r w:rsidRPr="0039163B">
                    <w:t>7.4</w:t>
                  </w:r>
                </w:p>
              </w:tc>
              <w:tc>
                <w:tcPr>
                  <w:tcW w:w="467" w:type="pct"/>
                  <w:vAlign w:val="bottom"/>
                </w:tcPr>
                <w:p w:rsidR="00745FEA" w:rsidRPr="0039163B" w:rsidRDefault="00745FEA" w:rsidP="00745FEA">
                  <w:pPr>
                    <w:pStyle w:val="TableBodyText"/>
                    <w:ind w:right="57"/>
                  </w:pPr>
                  <w:r w:rsidRPr="0039163B">
                    <w:t>7.5</w:t>
                  </w:r>
                </w:p>
              </w:tc>
              <w:tc>
                <w:tcPr>
                  <w:tcW w:w="467" w:type="pct"/>
                  <w:vAlign w:val="bottom"/>
                </w:tcPr>
                <w:p w:rsidR="00745FEA" w:rsidRPr="0039163B" w:rsidRDefault="00745FEA" w:rsidP="00745FEA">
                  <w:pPr>
                    <w:pStyle w:val="TableBodyText"/>
                    <w:ind w:right="57"/>
                  </w:pPr>
                  <w:r w:rsidRPr="0039163B">
                    <w:t>7.7</w:t>
                  </w:r>
                </w:p>
              </w:tc>
              <w:tc>
                <w:tcPr>
                  <w:tcW w:w="467" w:type="pct"/>
                  <w:vAlign w:val="bottom"/>
                </w:tcPr>
                <w:p w:rsidR="00745FEA" w:rsidRPr="0039163B" w:rsidRDefault="00745FEA" w:rsidP="00745FEA">
                  <w:pPr>
                    <w:pStyle w:val="TableBodyText"/>
                    <w:ind w:right="57"/>
                  </w:pPr>
                  <w:r w:rsidRPr="0039163B">
                    <w:t>7.8</w:t>
                  </w:r>
                </w:p>
              </w:tc>
              <w:tc>
                <w:tcPr>
                  <w:tcW w:w="467" w:type="pct"/>
                  <w:shd w:val="clear" w:color="auto" w:fill="auto"/>
                  <w:vAlign w:val="bottom"/>
                </w:tcPr>
                <w:p w:rsidR="00745FEA" w:rsidRPr="0039163B" w:rsidRDefault="00745FEA" w:rsidP="00745FEA">
                  <w:pPr>
                    <w:pStyle w:val="TableBodyText"/>
                    <w:ind w:right="57"/>
                  </w:pPr>
                  <w:r w:rsidRPr="0039163B">
                    <w:t>7.9</w:t>
                  </w:r>
                </w:p>
              </w:tc>
              <w:tc>
                <w:tcPr>
                  <w:tcW w:w="465" w:type="pct"/>
                  <w:shd w:val="clear" w:color="auto" w:fill="auto"/>
                  <w:vAlign w:val="bottom"/>
                </w:tcPr>
                <w:p w:rsidR="00745FEA" w:rsidRPr="0039163B" w:rsidRDefault="00745FEA" w:rsidP="00745FEA">
                  <w:pPr>
                    <w:pStyle w:val="TableBodyText"/>
                    <w:ind w:right="57"/>
                  </w:pPr>
                  <w:r w:rsidRPr="0039163B">
                    <w:t>8.0</w:t>
                  </w:r>
                </w:p>
              </w:tc>
            </w:tr>
            <w:tr w:rsidR="00745FEA" w:rsidTr="00745FEA">
              <w:tc>
                <w:tcPr>
                  <w:tcW w:w="2199" w:type="pct"/>
                  <w:shd w:val="clear" w:color="auto" w:fill="auto"/>
                </w:tcPr>
                <w:p w:rsidR="00745FEA" w:rsidRPr="00896B7D" w:rsidRDefault="00745FEA" w:rsidP="00745FEA">
                  <w:pPr>
                    <w:pStyle w:val="TableBodyText"/>
                    <w:spacing w:after="0"/>
                    <w:ind w:left="227" w:right="0"/>
                    <w:jc w:val="left"/>
                  </w:pPr>
                  <w:r w:rsidRPr="00896B7D">
                    <w:t>Exotic Disease Preparedness Program</w:t>
                  </w:r>
                </w:p>
              </w:tc>
              <w:tc>
                <w:tcPr>
                  <w:tcW w:w="468" w:type="pct"/>
                  <w:vAlign w:val="bottom"/>
                </w:tcPr>
                <w:p w:rsidR="00745FEA" w:rsidRPr="0039163B" w:rsidRDefault="00745FEA" w:rsidP="00745FEA">
                  <w:pPr>
                    <w:pStyle w:val="TableBodyText"/>
                    <w:ind w:right="57"/>
                  </w:pPr>
                  <w:r w:rsidRPr="0039163B">
                    <w:t>0.6</w:t>
                  </w:r>
                </w:p>
              </w:tc>
              <w:tc>
                <w:tcPr>
                  <w:tcW w:w="467" w:type="pct"/>
                  <w:vAlign w:val="bottom"/>
                </w:tcPr>
                <w:p w:rsidR="00745FEA" w:rsidRPr="0039163B" w:rsidRDefault="00745FEA" w:rsidP="00745FEA">
                  <w:pPr>
                    <w:pStyle w:val="TableBodyText"/>
                    <w:ind w:right="57"/>
                  </w:pPr>
                  <w:r w:rsidRPr="0039163B">
                    <w:t>0.6</w:t>
                  </w:r>
                </w:p>
              </w:tc>
              <w:tc>
                <w:tcPr>
                  <w:tcW w:w="467" w:type="pct"/>
                  <w:vAlign w:val="bottom"/>
                </w:tcPr>
                <w:p w:rsidR="00745FEA" w:rsidRPr="0039163B" w:rsidRDefault="00745FEA" w:rsidP="00745FEA">
                  <w:pPr>
                    <w:pStyle w:val="TableBodyText"/>
                    <w:ind w:right="57"/>
                  </w:pPr>
                  <w:r w:rsidRPr="0039163B">
                    <w:t>–</w:t>
                  </w:r>
                </w:p>
              </w:tc>
              <w:tc>
                <w:tcPr>
                  <w:tcW w:w="467" w:type="pct"/>
                  <w:vAlign w:val="bottom"/>
                </w:tcPr>
                <w:p w:rsidR="00745FEA" w:rsidRPr="0039163B" w:rsidRDefault="00745FEA" w:rsidP="00745FEA">
                  <w:pPr>
                    <w:pStyle w:val="TableBodyText"/>
                    <w:ind w:right="57"/>
                  </w:pPr>
                  <w:r w:rsidRPr="0039163B">
                    <w:t>–</w:t>
                  </w:r>
                </w:p>
              </w:tc>
              <w:tc>
                <w:tcPr>
                  <w:tcW w:w="467" w:type="pct"/>
                  <w:shd w:val="clear" w:color="auto" w:fill="auto"/>
                  <w:vAlign w:val="bottom"/>
                </w:tcPr>
                <w:p w:rsidR="00745FEA" w:rsidRPr="0039163B" w:rsidRDefault="00745FEA" w:rsidP="00745FEA">
                  <w:pPr>
                    <w:pStyle w:val="TableBodyText"/>
                    <w:ind w:right="57"/>
                  </w:pPr>
                  <w:r w:rsidRPr="0039163B">
                    <w:t>–</w:t>
                  </w:r>
                </w:p>
              </w:tc>
              <w:tc>
                <w:tcPr>
                  <w:tcW w:w="465" w:type="pct"/>
                  <w:shd w:val="clear" w:color="auto" w:fill="auto"/>
                  <w:vAlign w:val="bottom"/>
                </w:tcPr>
                <w:p w:rsidR="00745FEA" w:rsidRPr="0039163B" w:rsidRDefault="00745FEA" w:rsidP="00745FEA">
                  <w:pPr>
                    <w:pStyle w:val="TableBodyText"/>
                    <w:ind w:right="57"/>
                  </w:pPr>
                  <w:r w:rsidRPr="0039163B">
                    <w:t>–</w:t>
                  </w:r>
                </w:p>
              </w:tc>
            </w:tr>
            <w:tr w:rsidR="00745FEA" w:rsidTr="00745FEA">
              <w:tc>
                <w:tcPr>
                  <w:tcW w:w="2199" w:type="pct"/>
                  <w:shd w:val="clear" w:color="auto" w:fill="auto"/>
                </w:tcPr>
                <w:p w:rsidR="00745FEA" w:rsidRPr="00896B7D" w:rsidRDefault="00745FEA" w:rsidP="00745FEA">
                  <w:pPr>
                    <w:pStyle w:val="TableBodyText"/>
                    <w:spacing w:after="0"/>
                    <w:ind w:left="227" w:right="0"/>
                    <w:jc w:val="left"/>
                  </w:pPr>
                  <w:r w:rsidRPr="00896B7D">
                    <w:t>Other Exotic Disease Preparedness Program</w:t>
                  </w:r>
                </w:p>
              </w:tc>
              <w:tc>
                <w:tcPr>
                  <w:tcW w:w="468" w:type="pct"/>
                  <w:vAlign w:val="bottom"/>
                </w:tcPr>
                <w:p w:rsidR="00745FEA" w:rsidRPr="0039163B" w:rsidRDefault="00745FEA" w:rsidP="00745FEA">
                  <w:pPr>
                    <w:pStyle w:val="TableBodyText"/>
                    <w:ind w:right="57"/>
                  </w:pPr>
                  <w:r w:rsidRPr="0039163B">
                    <w:t>–</w:t>
                  </w:r>
                </w:p>
              </w:tc>
              <w:tc>
                <w:tcPr>
                  <w:tcW w:w="467" w:type="pct"/>
                  <w:vAlign w:val="bottom"/>
                </w:tcPr>
                <w:p w:rsidR="00745FEA" w:rsidRPr="0039163B" w:rsidRDefault="00745FEA" w:rsidP="00745FEA">
                  <w:pPr>
                    <w:pStyle w:val="TableBodyText"/>
                    <w:ind w:right="57"/>
                  </w:pPr>
                  <w:r w:rsidRPr="0039163B">
                    <w:t>–</w:t>
                  </w:r>
                </w:p>
              </w:tc>
              <w:tc>
                <w:tcPr>
                  <w:tcW w:w="467" w:type="pct"/>
                  <w:vAlign w:val="bottom"/>
                </w:tcPr>
                <w:p w:rsidR="00745FEA" w:rsidRPr="0039163B" w:rsidRDefault="00745FEA" w:rsidP="00745FEA">
                  <w:pPr>
                    <w:pStyle w:val="TableBodyText"/>
                    <w:ind w:right="57"/>
                  </w:pPr>
                  <w:r w:rsidRPr="0039163B">
                    <w:t>–</w:t>
                  </w:r>
                </w:p>
              </w:tc>
              <w:tc>
                <w:tcPr>
                  <w:tcW w:w="467" w:type="pct"/>
                  <w:vAlign w:val="bottom"/>
                </w:tcPr>
                <w:p w:rsidR="00745FEA" w:rsidRPr="0039163B" w:rsidRDefault="00745FEA" w:rsidP="00745FEA">
                  <w:pPr>
                    <w:pStyle w:val="TableBodyText"/>
                    <w:ind w:right="57"/>
                  </w:pPr>
                  <w:r w:rsidRPr="0039163B">
                    <w:t>0.6</w:t>
                  </w:r>
                </w:p>
              </w:tc>
              <w:tc>
                <w:tcPr>
                  <w:tcW w:w="467" w:type="pct"/>
                  <w:shd w:val="clear" w:color="auto" w:fill="auto"/>
                  <w:vAlign w:val="bottom"/>
                </w:tcPr>
                <w:p w:rsidR="00745FEA" w:rsidRPr="0039163B" w:rsidRDefault="00745FEA" w:rsidP="00745FEA">
                  <w:pPr>
                    <w:pStyle w:val="TableBodyText"/>
                    <w:ind w:right="57"/>
                  </w:pPr>
                  <w:r w:rsidRPr="0039163B">
                    <w:t>0.6</w:t>
                  </w:r>
                </w:p>
              </w:tc>
              <w:tc>
                <w:tcPr>
                  <w:tcW w:w="465" w:type="pct"/>
                  <w:shd w:val="clear" w:color="auto" w:fill="auto"/>
                  <w:vAlign w:val="bottom"/>
                </w:tcPr>
                <w:p w:rsidR="00745FEA" w:rsidRDefault="00745FEA" w:rsidP="00745FEA">
                  <w:pPr>
                    <w:pStyle w:val="TableBodyText"/>
                    <w:ind w:right="57"/>
                  </w:pPr>
                  <w:r w:rsidRPr="0039163B">
                    <w:t>0.6</w:t>
                  </w:r>
                </w:p>
              </w:tc>
            </w:tr>
            <w:tr w:rsidR="00745FEA" w:rsidTr="00745FEA">
              <w:tc>
                <w:tcPr>
                  <w:tcW w:w="2199" w:type="pct"/>
                </w:tcPr>
                <w:p w:rsidR="00745FEA" w:rsidRPr="004829A9" w:rsidRDefault="00745FEA" w:rsidP="00745FEA">
                  <w:pPr>
                    <w:pStyle w:val="TableUnitsRow"/>
                    <w:tabs>
                      <w:tab w:val="left" w:pos="2850"/>
                    </w:tabs>
                    <w:spacing w:after="0"/>
                    <w:ind w:left="113"/>
                    <w:jc w:val="left"/>
                    <w:rPr>
                      <w:i/>
                    </w:rPr>
                  </w:pPr>
                  <w:r w:rsidRPr="004829A9">
                    <w:rPr>
                      <w:i/>
                    </w:rPr>
                    <w:t>Sector-specific measures</w:t>
                  </w:r>
                </w:p>
              </w:tc>
              <w:tc>
                <w:tcPr>
                  <w:tcW w:w="468" w:type="pct"/>
                  <w:vAlign w:val="bottom"/>
                </w:tcPr>
                <w:p w:rsidR="00745FEA" w:rsidRDefault="00745FEA" w:rsidP="00745FEA">
                  <w:pPr>
                    <w:pStyle w:val="TableUnitsRow"/>
                    <w:spacing w:after="0"/>
                    <w:ind w:left="0" w:right="57"/>
                  </w:pPr>
                </w:p>
              </w:tc>
              <w:tc>
                <w:tcPr>
                  <w:tcW w:w="467" w:type="pct"/>
                  <w:vAlign w:val="bottom"/>
                </w:tcPr>
                <w:p w:rsidR="00745FEA" w:rsidRDefault="00745FEA" w:rsidP="00745FEA">
                  <w:pPr>
                    <w:pStyle w:val="TableUnitsRow"/>
                    <w:spacing w:after="0"/>
                    <w:ind w:left="0" w:right="57"/>
                  </w:pPr>
                </w:p>
              </w:tc>
              <w:tc>
                <w:tcPr>
                  <w:tcW w:w="467" w:type="pct"/>
                  <w:vAlign w:val="bottom"/>
                </w:tcPr>
                <w:p w:rsidR="00745FEA" w:rsidRDefault="00745FEA" w:rsidP="00745FEA">
                  <w:pPr>
                    <w:pStyle w:val="TableUnitsRow"/>
                    <w:spacing w:after="0"/>
                    <w:ind w:left="0" w:right="57"/>
                  </w:pPr>
                </w:p>
              </w:tc>
              <w:tc>
                <w:tcPr>
                  <w:tcW w:w="467" w:type="pct"/>
                  <w:vAlign w:val="bottom"/>
                </w:tcPr>
                <w:p w:rsidR="00745FEA" w:rsidRDefault="00745FEA" w:rsidP="00745FEA">
                  <w:pPr>
                    <w:pStyle w:val="TableUnitsRow"/>
                    <w:spacing w:after="0"/>
                    <w:ind w:left="0" w:right="57"/>
                  </w:pPr>
                </w:p>
              </w:tc>
              <w:tc>
                <w:tcPr>
                  <w:tcW w:w="467" w:type="pct"/>
                  <w:vAlign w:val="bottom"/>
                </w:tcPr>
                <w:p w:rsidR="00745FEA" w:rsidRDefault="00745FEA" w:rsidP="00745FEA">
                  <w:pPr>
                    <w:pStyle w:val="TableUnitsRow"/>
                    <w:spacing w:after="0"/>
                    <w:ind w:left="0" w:right="57"/>
                  </w:pPr>
                </w:p>
              </w:tc>
              <w:tc>
                <w:tcPr>
                  <w:tcW w:w="465" w:type="pct"/>
                  <w:vAlign w:val="bottom"/>
                </w:tcPr>
                <w:p w:rsidR="00745FEA" w:rsidRDefault="00745FEA" w:rsidP="00745FEA">
                  <w:pPr>
                    <w:pStyle w:val="TableUnitsRow"/>
                    <w:spacing w:after="0"/>
                    <w:ind w:left="0" w:right="57"/>
                  </w:pPr>
                </w:p>
              </w:tc>
            </w:tr>
            <w:tr w:rsidR="00745FEA" w:rsidTr="00745FEA">
              <w:tc>
                <w:tcPr>
                  <w:tcW w:w="2199" w:type="pct"/>
                </w:tcPr>
                <w:p w:rsidR="00745FEA" w:rsidRPr="00DC29C3" w:rsidRDefault="00745FEA" w:rsidP="00745FEA">
                  <w:pPr>
                    <w:pStyle w:val="TableBodyText"/>
                    <w:spacing w:after="0"/>
                    <w:ind w:left="227" w:right="0"/>
                    <w:jc w:val="left"/>
                  </w:pPr>
                  <w:r w:rsidRPr="00DC29C3">
                    <w:t>Climate Change Adjustment Program</w:t>
                  </w:r>
                </w:p>
              </w:tc>
              <w:tc>
                <w:tcPr>
                  <w:tcW w:w="468" w:type="pct"/>
                  <w:vAlign w:val="bottom"/>
                </w:tcPr>
                <w:p w:rsidR="00745FEA" w:rsidRPr="005F29CA" w:rsidRDefault="00745FEA" w:rsidP="00745FEA">
                  <w:pPr>
                    <w:pStyle w:val="TableBodyText"/>
                    <w:ind w:right="57"/>
                  </w:pPr>
                  <w:r w:rsidRPr="005F29CA">
                    <w:t>16.2</w:t>
                  </w:r>
                </w:p>
              </w:tc>
              <w:tc>
                <w:tcPr>
                  <w:tcW w:w="467" w:type="pct"/>
                  <w:vAlign w:val="bottom"/>
                </w:tcPr>
                <w:p w:rsidR="00745FEA" w:rsidRPr="005F29CA" w:rsidRDefault="00745FEA" w:rsidP="00745FEA">
                  <w:pPr>
                    <w:pStyle w:val="TableBodyText"/>
                    <w:ind w:right="57"/>
                  </w:pPr>
                  <w:r w:rsidRPr="005F29CA">
                    <w:t>0.6</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5" w:type="pct"/>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Caring for our country - Landcare</w:t>
                  </w:r>
                </w:p>
              </w:tc>
              <w:tc>
                <w:tcPr>
                  <w:tcW w:w="468" w:type="pct"/>
                  <w:vAlign w:val="bottom"/>
                </w:tcPr>
                <w:p w:rsidR="00745FEA" w:rsidRPr="005F29CA" w:rsidRDefault="00745FEA" w:rsidP="00745FEA">
                  <w:pPr>
                    <w:pStyle w:val="TableBodyText"/>
                    <w:ind w:right="57"/>
                  </w:pPr>
                  <w:r w:rsidRPr="005F29CA">
                    <w:t>36.8</w:t>
                  </w:r>
                </w:p>
              </w:tc>
              <w:tc>
                <w:tcPr>
                  <w:tcW w:w="467" w:type="pct"/>
                  <w:vAlign w:val="bottom"/>
                </w:tcPr>
                <w:p w:rsidR="00745FEA" w:rsidRPr="005F29CA" w:rsidRDefault="00745FEA" w:rsidP="00745FEA">
                  <w:pPr>
                    <w:pStyle w:val="TableBodyText"/>
                    <w:ind w:right="57"/>
                  </w:pPr>
                  <w:r w:rsidRPr="005F29CA">
                    <w:t>35.1</w:t>
                  </w:r>
                </w:p>
              </w:tc>
              <w:tc>
                <w:tcPr>
                  <w:tcW w:w="467" w:type="pct"/>
                  <w:vAlign w:val="bottom"/>
                </w:tcPr>
                <w:p w:rsidR="00745FEA" w:rsidRPr="005F29CA" w:rsidRDefault="00745FEA" w:rsidP="00745FEA">
                  <w:pPr>
                    <w:pStyle w:val="TableBodyText"/>
                    <w:ind w:right="57"/>
                  </w:pPr>
                  <w:r w:rsidRPr="005F29CA">
                    <w:t>17.2</w:t>
                  </w:r>
                </w:p>
              </w:tc>
              <w:tc>
                <w:tcPr>
                  <w:tcW w:w="467" w:type="pct"/>
                  <w:vAlign w:val="bottom"/>
                </w:tcPr>
                <w:p w:rsidR="00745FEA" w:rsidRPr="005F29CA" w:rsidRDefault="00745FEA" w:rsidP="00745FEA">
                  <w:pPr>
                    <w:pStyle w:val="TableBodyText"/>
                    <w:ind w:right="57"/>
                  </w:pPr>
                  <w:r w:rsidRPr="005F29CA">
                    <w:t>11.9</w:t>
                  </w:r>
                </w:p>
              </w:tc>
              <w:tc>
                <w:tcPr>
                  <w:tcW w:w="467" w:type="pct"/>
                  <w:shd w:val="clear" w:color="auto" w:fill="auto"/>
                  <w:vAlign w:val="bottom"/>
                </w:tcPr>
                <w:p w:rsidR="00745FEA" w:rsidRPr="005F29CA" w:rsidRDefault="00745FEA" w:rsidP="00745FEA">
                  <w:pPr>
                    <w:pStyle w:val="TableBodyText"/>
                    <w:ind w:right="57"/>
                  </w:pPr>
                  <w:r w:rsidRPr="005F29CA">
                    <w:t>5.9</w:t>
                  </w:r>
                </w:p>
              </w:tc>
              <w:tc>
                <w:tcPr>
                  <w:tcW w:w="465" w:type="pct"/>
                  <w:shd w:val="clear" w:color="auto" w:fill="auto"/>
                  <w:vAlign w:val="bottom"/>
                </w:tcPr>
                <w:p w:rsidR="00745FEA" w:rsidRPr="005F29CA" w:rsidRDefault="00745FEA" w:rsidP="00745FEA">
                  <w:pPr>
                    <w:pStyle w:val="TableBodyText"/>
                    <w:ind w:right="57"/>
                  </w:pPr>
                  <w:r w:rsidRPr="005F29CA">
                    <w:t>3.5</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Drought assistance - Murray Darling Basin grants to irrigators</w:t>
                  </w:r>
                </w:p>
              </w:tc>
              <w:tc>
                <w:tcPr>
                  <w:tcW w:w="468"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0.1</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0.1</w:t>
                  </w:r>
                </w:p>
              </w:tc>
              <w:tc>
                <w:tcPr>
                  <w:tcW w:w="467" w:type="pct"/>
                  <w:shd w:val="clear" w:color="auto" w:fill="auto"/>
                  <w:vAlign w:val="bottom"/>
                </w:tcPr>
                <w:p w:rsidR="00745FEA" w:rsidRPr="005F29CA" w:rsidRDefault="00745FEA" w:rsidP="00745FEA">
                  <w:pPr>
                    <w:pStyle w:val="TableBodyText"/>
                    <w:ind w:right="57"/>
                  </w:pPr>
                  <w:r w:rsidRPr="005F29CA">
                    <w:t>–</w:t>
                  </w:r>
                </w:p>
              </w:tc>
              <w:tc>
                <w:tcPr>
                  <w:tcW w:w="465" w:type="pct"/>
                  <w:shd w:val="clear" w:color="auto" w:fill="auto"/>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Drought assistance - professional advice</w:t>
                  </w:r>
                </w:p>
              </w:tc>
              <w:tc>
                <w:tcPr>
                  <w:tcW w:w="468" w:type="pct"/>
                  <w:vAlign w:val="bottom"/>
                </w:tcPr>
                <w:p w:rsidR="00745FEA" w:rsidRPr="005F29CA" w:rsidRDefault="00745FEA" w:rsidP="00745FEA">
                  <w:pPr>
                    <w:pStyle w:val="TableBodyText"/>
                    <w:ind w:right="57"/>
                  </w:pPr>
                  <w:r w:rsidRPr="005F29CA">
                    <w:t>1.9</w:t>
                  </w:r>
                </w:p>
              </w:tc>
              <w:tc>
                <w:tcPr>
                  <w:tcW w:w="467" w:type="pct"/>
                  <w:vAlign w:val="bottom"/>
                </w:tcPr>
                <w:p w:rsidR="00745FEA" w:rsidRPr="005F29CA" w:rsidRDefault="00745FEA" w:rsidP="00745FEA">
                  <w:pPr>
                    <w:pStyle w:val="TableBodyText"/>
                    <w:ind w:right="57"/>
                  </w:pPr>
                  <w:r w:rsidRPr="005F29CA">
                    <w:t>&lt;0.1</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shd w:val="clear" w:color="auto" w:fill="auto"/>
                  <w:vAlign w:val="bottom"/>
                </w:tcPr>
                <w:p w:rsidR="00745FEA" w:rsidRPr="005F29CA" w:rsidRDefault="00745FEA" w:rsidP="00745FEA">
                  <w:pPr>
                    <w:pStyle w:val="TableBodyText"/>
                    <w:ind w:right="57"/>
                  </w:pPr>
                  <w:r w:rsidRPr="005F29CA">
                    <w:t>–</w:t>
                  </w:r>
                </w:p>
              </w:tc>
              <w:tc>
                <w:tcPr>
                  <w:tcW w:w="465" w:type="pct"/>
                  <w:shd w:val="clear" w:color="auto" w:fill="auto"/>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Drought assistance - re-establishment assistance</w:t>
                  </w:r>
                </w:p>
              </w:tc>
              <w:tc>
                <w:tcPr>
                  <w:tcW w:w="468" w:type="pct"/>
                  <w:vAlign w:val="bottom"/>
                </w:tcPr>
                <w:p w:rsidR="00745FEA" w:rsidRPr="005F29CA" w:rsidRDefault="00745FEA" w:rsidP="00745FEA">
                  <w:pPr>
                    <w:pStyle w:val="TableBodyText"/>
                    <w:ind w:right="57"/>
                  </w:pPr>
                  <w:r w:rsidRPr="005F29CA">
                    <w:t>16.4</w:t>
                  </w:r>
                </w:p>
              </w:tc>
              <w:tc>
                <w:tcPr>
                  <w:tcW w:w="467" w:type="pct"/>
                  <w:vAlign w:val="bottom"/>
                </w:tcPr>
                <w:p w:rsidR="00745FEA" w:rsidRPr="005F29CA" w:rsidRDefault="00745FEA" w:rsidP="00745FEA">
                  <w:pPr>
                    <w:pStyle w:val="TableBodyText"/>
                    <w:ind w:right="57"/>
                  </w:pPr>
                  <w:r w:rsidRPr="005F29CA">
                    <w:t>2.2</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shd w:val="clear" w:color="auto" w:fill="auto"/>
                  <w:vAlign w:val="bottom"/>
                </w:tcPr>
                <w:p w:rsidR="00745FEA" w:rsidRPr="005F29CA" w:rsidRDefault="00745FEA" w:rsidP="00745FEA">
                  <w:pPr>
                    <w:pStyle w:val="TableBodyText"/>
                    <w:ind w:right="57"/>
                  </w:pPr>
                  <w:r w:rsidRPr="005F29CA">
                    <w:t>–</w:t>
                  </w:r>
                </w:p>
              </w:tc>
              <w:tc>
                <w:tcPr>
                  <w:tcW w:w="465" w:type="pct"/>
                  <w:shd w:val="clear" w:color="auto" w:fill="auto"/>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 xml:space="preserve">Drought Assistance Package - </w:t>
                  </w:r>
                  <w:r>
                    <w:t>concessional</w:t>
                  </w:r>
                  <w:r w:rsidRPr="00DC29C3">
                    <w:t xml:space="preserve"> loans</w:t>
                  </w:r>
                </w:p>
              </w:tc>
              <w:tc>
                <w:tcPr>
                  <w:tcW w:w="468"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&lt;0.1</w:t>
                  </w:r>
                </w:p>
              </w:tc>
              <w:tc>
                <w:tcPr>
                  <w:tcW w:w="467" w:type="pct"/>
                  <w:shd w:val="clear" w:color="auto" w:fill="auto"/>
                  <w:vAlign w:val="bottom"/>
                </w:tcPr>
                <w:p w:rsidR="00745FEA" w:rsidRPr="005F29CA" w:rsidRDefault="00745FEA" w:rsidP="00745FEA">
                  <w:pPr>
                    <w:pStyle w:val="TableBodyText"/>
                    <w:ind w:right="57"/>
                  </w:pPr>
                  <w:r w:rsidRPr="005F29CA">
                    <w:t>&lt;0.1</w:t>
                  </w:r>
                </w:p>
              </w:tc>
              <w:tc>
                <w:tcPr>
                  <w:tcW w:w="465" w:type="pct"/>
                  <w:shd w:val="clear" w:color="auto" w:fill="auto"/>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 xml:space="preserve">Exceptional Circumstances - interest rate </w:t>
                  </w:r>
                  <w:r>
                    <w:t>subsidies</w:t>
                  </w:r>
                </w:p>
              </w:tc>
              <w:tc>
                <w:tcPr>
                  <w:tcW w:w="468" w:type="pct"/>
                  <w:vAlign w:val="bottom"/>
                </w:tcPr>
                <w:p w:rsidR="00745FEA" w:rsidRPr="005F29CA" w:rsidRDefault="00745FEA" w:rsidP="00745FEA">
                  <w:pPr>
                    <w:pStyle w:val="TableBodyText"/>
                    <w:ind w:right="57"/>
                  </w:pPr>
                  <w:r w:rsidRPr="005F29CA">
                    <w:t>&lt;0.1</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shd w:val="clear" w:color="auto" w:fill="auto"/>
                  <w:vAlign w:val="bottom"/>
                </w:tcPr>
                <w:p w:rsidR="00745FEA" w:rsidRPr="005F29CA" w:rsidRDefault="00745FEA" w:rsidP="00745FEA">
                  <w:pPr>
                    <w:pStyle w:val="TableBodyText"/>
                    <w:ind w:right="57"/>
                  </w:pPr>
                  <w:r w:rsidRPr="005F29CA">
                    <w:t>–</w:t>
                  </w:r>
                </w:p>
              </w:tc>
              <w:tc>
                <w:tcPr>
                  <w:tcW w:w="465" w:type="pct"/>
                  <w:shd w:val="clear" w:color="auto" w:fill="auto"/>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Exceptional Circumstances - relief payments</w:t>
                  </w:r>
                </w:p>
              </w:tc>
              <w:tc>
                <w:tcPr>
                  <w:tcW w:w="468" w:type="pct"/>
                  <w:vAlign w:val="bottom"/>
                </w:tcPr>
                <w:p w:rsidR="00745FEA" w:rsidRPr="005F29CA" w:rsidRDefault="00745FEA" w:rsidP="00745FEA">
                  <w:pPr>
                    <w:pStyle w:val="TableBodyText"/>
                    <w:ind w:right="57"/>
                  </w:pPr>
                  <w:r w:rsidRPr="005F29CA">
                    <w:t>0.3</w:t>
                  </w:r>
                </w:p>
              </w:tc>
              <w:tc>
                <w:tcPr>
                  <w:tcW w:w="467" w:type="pct"/>
                  <w:vAlign w:val="bottom"/>
                </w:tcPr>
                <w:p w:rsidR="00745FEA" w:rsidRPr="005F29CA" w:rsidRDefault="00745FEA" w:rsidP="00745FEA">
                  <w:pPr>
                    <w:pStyle w:val="TableBodyText"/>
                    <w:ind w:right="57"/>
                  </w:pPr>
                  <w:r w:rsidRPr="005F29CA">
                    <w:t>1.6</w:t>
                  </w:r>
                </w:p>
              </w:tc>
              <w:tc>
                <w:tcPr>
                  <w:tcW w:w="467" w:type="pct"/>
                  <w:vAlign w:val="bottom"/>
                </w:tcPr>
                <w:p w:rsidR="00745FEA" w:rsidRPr="005F29CA" w:rsidRDefault="00745FEA" w:rsidP="00745FEA">
                  <w:pPr>
                    <w:pStyle w:val="TableBodyText"/>
                    <w:ind w:right="57"/>
                  </w:pPr>
                  <w:r w:rsidRPr="005F29CA">
                    <w:t>&lt;0.1</w:t>
                  </w:r>
                </w:p>
              </w:tc>
              <w:tc>
                <w:tcPr>
                  <w:tcW w:w="467" w:type="pct"/>
                  <w:vAlign w:val="bottom"/>
                </w:tcPr>
                <w:p w:rsidR="00745FEA" w:rsidRPr="005F29CA" w:rsidRDefault="00745FEA" w:rsidP="00745FEA">
                  <w:pPr>
                    <w:pStyle w:val="TableBodyText"/>
                    <w:ind w:right="57"/>
                  </w:pPr>
                  <w:r w:rsidRPr="005F29CA">
                    <w:t>–</w:t>
                  </w:r>
                </w:p>
              </w:tc>
              <w:tc>
                <w:tcPr>
                  <w:tcW w:w="467" w:type="pct"/>
                  <w:shd w:val="clear" w:color="auto" w:fill="auto"/>
                  <w:vAlign w:val="bottom"/>
                </w:tcPr>
                <w:p w:rsidR="00745FEA" w:rsidRPr="005F29CA" w:rsidRDefault="00745FEA" w:rsidP="00745FEA">
                  <w:pPr>
                    <w:pStyle w:val="TableBodyText"/>
                    <w:ind w:right="57"/>
                  </w:pPr>
                  <w:r w:rsidRPr="005F29CA">
                    <w:t>–</w:t>
                  </w:r>
                </w:p>
              </w:tc>
              <w:tc>
                <w:tcPr>
                  <w:tcW w:w="465" w:type="pct"/>
                  <w:shd w:val="clear" w:color="auto" w:fill="auto"/>
                  <w:vAlign w:val="bottom"/>
                </w:tcPr>
                <w:p w:rsidR="00745FEA" w:rsidRPr="005F29CA" w:rsidRDefault="00745FEA" w:rsidP="00745FEA">
                  <w:pPr>
                    <w:pStyle w:val="TableBodyText"/>
                    <w:ind w:right="57"/>
                  </w:pPr>
                  <w:r w:rsidRPr="005F29CA">
                    <w:t>–</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Environmental Stewardship Program</w:t>
                  </w:r>
                </w:p>
              </w:tc>
              <w:tc>
                <w:tcPr>
                  <w:tcW w:w="468" w:type="pct"/>
                  <w:vAlign w:val="bottom"/>
                </w:tcPr>
                <w:p w:rsidR="00745FEA" w:rsidRPr="005F29CA" w:rsidRDefault="00745FEA" w:rsidP="00745FEA">
                  <w:pPr>
                    <w:pStyle w:val="TableBodyText"/>
                    <w:ind w:right="57"/>
                  </w:pPr>
                  <w:r w:rsidRPr="005F29CA">
                    <w:t>13.2</w:t>
                  </w:r>
                </w:p>
              </w:tc>
              <w:tc>
                <w:tcPr>
                  <w:tcW w:w="467" w:type="pct"/>
                  <w:vAlign w:val="bottom"/>
                </w:tcPr>
                <w:p w:rsidR="00745FEA" w:rsidRPr="005F29CA" w:rsidRDefault="00745FEA" w:rsidP="00745FEA">
                  <w:pPr>
                    <w:pStyle w:val="TableBodyText"/>
                    <w:ind w:right="57"/>
                  </w:pPr>
                  <w:r w:rsidRPr="005F29CA">
                    <w:t>11.0</w:t>
                  </w:r>
                </w:p>
              </w:tc>
              <w:tc>
                <w:tcPr>
                  <w:tcW w:w="467" w:type="pct"/>
                  <w:vAlign w:val="bottom"/>
                </w:tcPr>
                <w:p w:rsidR="00745FEA" w:rsidRPr="005F29CA" w:rsidRDefault="00745FEA" w:rsidP="00745FEA">
                  <w:pPr>
                    <w:pStyle w:val="TableBodyText"/>
                    <w:ind w:right="57"/>
                  </w:pPr>
                  <w:r w:rsidRPr="005F29CA">
                    <w:t>14.0</w:t>
                  </w:r>
                </w:p>
              </w:tc>
              <w:tc>
                <w:tcPr>
                  <w:tcW w:w="467" w:type="pct"/>
                  <w:vAlign w:val="bottom"/>
                </w:tcPr>
                <w:p w:rsidR="00745FEA" w:rsidRPr="005F29CA" w:rsidRDefault="00745FEA" w:rsidP="00745FEA">
                  <w:pPr>
                    <w:pStyle w:val="TableBodyText"/>
                    <w:ind w:right="57"/>
                  </w:pPr>
                  <w:r w:rsidRPr="005F29CA">
                    <w:t>11.3</w:t>
                  </w:r>
                </w:p>
              </w:tc>
              <w:tc>
                <w:tcPr>
                  <w:tcW w:w="467" w:type="pct"/>
                  <w:shd w:val="clear" w:color="auto" w:fill="auto"/>
                  <w:vAlign w:val="bottom"/>
                </w:tcPr>
                <w:p w:rsidR="00745FEA" w:rsidRPr="005F29CA" w:rsidRDefault="00745FEA" w:rsidP="00745FEA">
                  <w:pPr>
                    <w:pStyle w:val="TableBodyText"/>
                    <w:ind w:right="57"/>
                  </w:pPr>
                  <w:r w:rsidRPr="005F29CA">
                    <w:t>10.3</w:t>
                  </w:r>
                </w:p>
              </w:tc>
              <w:tc>
                <w:tcPr>
                  <w:tcW w:w="465" w:type="pct"/>
                  <w:shd w:val="clear" w:color="auto" w:fill="auto"/>
                  <w:vAlign w:val="bottom"/>
                </w:tcPr>
                <w:p w:rsidR="00745FEA" w:rsidRPr="005F29CA" w:rsidRDefault="00745FEA" w:rsidP="00745FEA">
                  <w:pPr>
                    <w:pStyle w:val="TableBodyText"/>
                    <w:ind w:right="57"/>
                  </w:pPr>
                  <w:r w:rsidRPr="005F29CA">
                    <w:t>9.9</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FD25BB">
                    <w:t>Farm Business Concessional Loans Scheme</w:t>
                  </w:r>
                </w:p>
              </w:tc>
              <w:tc>
                <w:tcPr>
                  <w:tcW w:w="468"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shd w:val="clear" w:color="auto" w:fill="auto"/>
                  <w:vAlign w:val="bottom"/>
                </w:tcPr>
                <w:p w:rsidR="00745FEA" w:rsidRPr="005F29CA" w:rsidRDefault="00745FEA" w:rsidP="00745FEA">
                  <w:pPr>
                    <w:pStyle w:val="TableBodyText"/>
                    <w:ind w:right="57"/>
                  </w:pPr>
                  <w:r w:rsidRPr="005F29CA">
                    <w:t>–</w:t>
                  </w:r>
                </w:p>
              </w:tc>
              <w:tc>
                <w:tcPr>
                  <w:tcW w:w="465" w:type="pct"/>
                  <w:shd w:val="clear" w:color="auto" w:fill="auto"/>
                  <w:vAlign w:val="bottom"/>
                </w:tcPr>
                <w:p w:rsidR="00745FEA" w:rsidRPr="005F29CA" w:rsidRDefault="00745FEA" w:rsidP="00745FEA">
                  <w:pPr>
                    <w:pStyle w:val="TableBodyText"/>
                    <w:ind w:right="57"/>
                  </w:pPr>
                  <w:r w:rsidRPr="005F29CA">
                    <w:t>3.6</w:t>
                  </w:r>
                </w:p>
              </w:tc>
            </w:tr>
            <w:tr w:rsidR="00745FEA" w:rsidTr="00745FEA">
              <w:tc>
                <w:tcPr>
                  <w:tcW w:w="2199" w:type="pct"/>
                  <w:shd w:val="clear" w:color="auto" w:fill="auto"/>
                </w:tcPr>
                <w:p w:rsidR="00745FEA" w:rsidRPr="00DC29C3" w:rsidRDefault="00745FEA" w:rsidP="00745FEA">
                  <w:pPr>
                    <w:pStyle w:val="TableBodyText"/>
                    <w:spacing w:after="0"/>
                    <w:ind w:left="227" w:right="0"/>
                    <w:jc w:val="left"/>
                  </w:pPr>
                  <w:r w:rsidRPr="00DC29C3">
                    <w:t>Farm Co-operatives and Collaboration P</w:t>
                  </w:r>
                  <w:r>
                    <w:t>i</w:t>
                  </w:r>
                  <w:r w:rsidRPr="00DC29C3">
                    <w:t>l</w:t>
                  </w:r>
                  <w:r>
                    <w:t>o</w:t>
                  </w:r>
                  <w:r w:rsidRPr="00DC29C3">
                    <w:t>t - Stronger Farmers, Stronger Economy</w:t>
                  </w:r>
                </w:p>
              </w:tc>
              <w:tc>
                <w:tcPr>
                  <w:tcW w:w="468"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vAlign w:val="bottom"/>
                </w:tcPr>
                <w:p w:rsidR="00745FEA" w:rsidRPr="005F29CA" w:rsidRDefault="00745FEA" w:rsidP="00745FEA">
                  <w:pPr>
                    <w:pStyle w:val="TableBodyText"/>
                    <w:ind w:right="57"/>
                  </w:pPr>
                  <w:r w:rsidRPr="005F29CA">
                    <w:t>–</w:t>
                  </w:r>
                </w:p>
              </w:tc>
              <w:tc>
                <w:tcPr>
                  <w:tcW w:w="467" w:type="pct"/>
                  <w:shd w:val="clear" w:color="auto" w:fill="auto"/>
                  <w:vAlign w:val="bottom"/>
                </w:tcPr>
                <w:p w:rsidR="00745FEA" w:rsidRPr="005F29CA" w:rsidRDefault="00745FEA" w:rsidP="00745FEA">
                  <w:pPr>
                    <w:pStyle w:val="TableBodyText"/>
                    <w:ind w:right="57"/>
                  </w:pPr>
                  <w:r w:rsidRPr="005F29CA">
                    <w:t>0.7</w:t>
                  </w:r>
                </w:p>
              </w:tc>
              <w:tc>
                <w:tcPr>
                  <w:tcW w:w="465" w:type="pct"/>
                  <w:shd w:val="clear" w:color="auto" w:fill="auto"/>
                  <w:vAlign w:val="bottom"/>
                </w:tcPr>
                <w:p w:rsidR="00745FEA" w:rsidRPr="005F29CA" w:rsidRDefault="00745FEA" w:rsidP="00745FEA">
                  <w:pPr>
                    <w:pStyle w:val="TableBodyText"/>
                    <w:ind w:right="57"/>
                  </w:pPr>
                  <w:r w:rsidRPr="005F29CA">
                    <w:t>6.9</w:t>
                  </w:r>
                </w:p>
              </w:tc>
            </w:tr>
            <w:tr w:rsidR="00745FEA" w:rsidTr="00745FEA">
              <w:tc>
                <w:tcPr>
                  <w:tcW w:w="2199" w:type="pct"/>
                  <w:tcBorders>
                    <w:bottom w:val="single" w:sz="6" w:space="0" w:color="BFBFBF"/>
                  </w:tcBorders>
                  <w:shd w:val="clear" w:color="auto" w:fill="auto"/>
                </w:tcPr>
                <w:p w:rsidR="00745FEA" w:rsidRPr="00DC29C3" w:rsidRDefault="00745FEA" w:rsidP="00745FEA">
                  <w:pPr>
                    <w:pStyle w:val="TableBodyText"/>
                    <w:ind w:left="227" w:right="0"/>
                    <w:jc w:val="left"/>
                  </w:pPr>
                  <w:r w:rsidRPr="00DC29C3">
                    <w:t>Farm Finance - concessional loans</w:t>
                  </w:r>
                </w:p>
              </w:tc>
              <w:tc>
                <w:tcPr>
                  <w:tcW w:w="468" w:type="pct"/>
                  <w:tcBorders>
                    <w:bottom w:val="single" w:sz="6" w:space="0" w:color="BFBFBF"/>
                  </w:tcBorders>
                  <w:vAlign w:val="bottom"/>
                </w:tcPr>
                <w:p w:rsidR="00745FEA" w:rsidRPr="005F29CA" w:rsidRDefault="00745FEA" w:rsidP="00745FEA">
                  <w:pPr>
                    <w:pStyle w:val="TableBodyText"/>
                    <w:ind w:right="57"/>
                  </w:pPr>
                  <w:r w:rsidRPr="005F29CA">
                    <w:t>–</w:t>
                  </w:r>
                </w:p>
              </w:tc>
              <w:tc>
                <w:tcPr>
                  <w:tcW w:w="467" w:type="pct"/>
                  <w:tcBorders>
                    <w:bottom w:val="single" w:sz="6" w:space="0" w:color="BFBFBF"/>
                  </w:tcBorders>
                  <w:vAlign w:val="bottom"/>
                </w:tcPr>
                <w:p w:rsidR="00745FEA" w:rsidRPr="005F29CA" w:rsidRDefault="00745FEA" w:rsidP="00745FEA">
                  <w:pPr>
                    <w:pStyle w:val="TableBodyText"/>
                    <w:ind w:right="57"/>
                  </w:pPr>
                  <w:r w:rsidRPr="005F29CA">
                    <w:t>–</w:t>
                  </w:r>
                </w:p>
              </w:tc>
              <w:tc>
                <w:tcPr>
                  <w:tcW w:w="467" w:type="pct"/>
                  <w:tcBorders>
                    <w:bottom w:val="single" w:sz="6" w:space="0" w:color="BFBFBF"/>
                  </w:tcBorders>
                  <w:vAlign w:val="bottom"/>
                </w:tcPr>
                <w:p w:rsidR="00745FEA" w:rsidRPr="005F29CA" w:rsidRDefault="00745FEA" w:rsidP="00745FEA">
                  <w:pPr>
                    <w:pStyle w:val="TableBodyText"/>
                    <w:ind w:right="57"/>
                  </w:pPr>
                  <w:r w:rsidRPr="005F29CA">
                    <w:t>–</w:t>
                  </w:r>
                </w:p>
              </w:tc>
              <w:tc>
                <w:tcPr>
                  <w:tcW w:w="467" w:type="pct"/>
                  <w:tcBorders>
                    <w:bottom w:val="single" w:sz="6" w:space="0" w:color="BFBFBF"/>
                  </w:tcBorders>
                  <w:vAlign w:val="bottom"/>
                </w:tcPr>
                <w:p w:rsidR="00745FEA" w:rsidRPr="005F29CA" w:rsidRDefault="00745FEA" w:rsidP="00745FEA">
                  <w:pPr>
                    <w:pStyle w:val="TableBodyText"/>
                    <w:ind w:right="57"/>
                  </w:pPr>
                  <w:r w:rsidRPr="005F29CA">
                    <w:t>&lt;0.1</w:t>
                  </w:r>
                </w:p>
              </w:tc>
              <w:tc>
                <w:tcPr>
                  <w:tcW w:w="467" w:type="pct"/>
                  <w:tcBorders>
                    <w:bottom w:val="single" w:sz="6" w:space="0" w:color="BFBFBF"/>
                  </w:tcBorders>
                  <w:shd w:val="clear" w:color="auto" w:fill="auto"/>
                  <w:vAlign w:val="bottom"/>
                </w:tcPr>
                <w:p w:rsidR="00745FEA" w:rsidRPr="005F29CA" w:rsidRDefault="00745FEA" w:rsidP="00745FEA">
                  <w:pPr>
                    <w:pStyle w:val="TableBodyText"/>
                    <w:ind w:right="57"/>
                  </w:pPr>
                  <w:r w:rsidRPr="005F29CA">
                    <w:t>&lt;0.1</w:t>
                  </w:r>
                </w:p>
              </w:tc>
              <w:tc>
                <w:tcPr>
                  <w:tcW w:w="465" w:type="pct"/>
                  <w:tcBorders>
                    <w:bottom w:val="single" w:sz="6" w:space="0" w:color="BFBFBF"/>
                  </w:tcBorders>
                  <w:shd w:val="clear" w:color="auto" w:fill="auto"/>
                  <w:vAlign w:val="bottom"/>
                </w:tcPr>
                <w:p w:rsidR="00745FEA" w:rsidRDefault="00745FEA" w:rsidP="00745FEA">
                  <w:pPr>
                    <w:pStyle w:val="TableBodyText"/>
                    <w:ind w:right="57"/>
                  </w:pPr>
                  <w:r w:rsidRPr="005F29CA">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A.10</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10" w:type="dxa"/>
              <w:tblCellMar>
                <w:top w:w="28" w:type="dxa"/>
                <w:left w:w="0" w:type="dxa"/>
                <w:right w:w="0" w:type="dxa"/>
              </w:tblCellMar>
              <w:tblLook w:val="0000" w:firstRow="0" w:lastRow="0" w:firstColumn="0" w:lastColumn="0" w:noHBand="0" w:noVBand="0"/>
            </w:tblPr>
            <w:tblGrid>
              <w:gridCol w:w="3742"/>
              <w:gridCol w:w="797"/>
              <w:gridCol w:w="795"/>
              <w:gridCol w:w="795"/>
              <w:gridCol w:w="795"/>
              <w:gridCol w:w="795"/>
              <w:gridCol w:w="791"/>
            </w:tblGrid>
            <w:tr w:rsidR="00745FEA" w:rsidTr="00C719FB">
              <w:trPr>
                <w:tblHeader/>
              </w:trPr>
              <w:tc>
                <w:tcPr>
                  <w:tcW w:w="2199"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199" w:type="pct"/>
                  <w:tcBorders>
                    <w:top w:val="single" w:sz="6" w:space="0" w:color="BFBFBF"/>
                  </w:tcBorders>
                </w:tcPr>
                <w:p w:rsidR="00745FEA" w:rsidRPr="004829A9" w:rsidRDefault="00745FEA" w:rsidP="00745FEA">
                  <w:pPr>
                    <w:pStyle w:val="TableUnitsRow"/>
                    <w:tabs>
                      <w:tab w:val="left" w:pos="2850"/>
                    </w:tabs>
                    <w:spacing w:after="0"/>
                    <w:ind w:left="113"/>
                    <w:jc w:val="left"/>
                    <w:rPr>
                      <w:i/>
                    </w:rPr>
                  </w:pPr>
                  <w:r w:rsidRPr="004829A9">
                    <w:rPr>
                      <w:i/>
                    </w:rPr>
                    <w:t>Sector-specific measures</w:t>
                  </w:r>
                  <w:r>
                    <w:rPr>
                      <w:i/>
                    </w:rPr>
                    <w:t xml:space="preserve"> (continued)</w:t>
                  </w:r>
                </w:p>
              </w:tc>
              <w:tc>
                <w:tcPr>
                  <w:tcW w:w="468"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199" w:type="pct"/>
                  <w:shd w:val="clear" w:color="auto" w:fill="auto"/>
                </w:tcPr>
                <w:p w:rsidR="00745FEA" w:rsidRPr="008E7A1F" w:rsidRDefault="00745FEA" w:rsidP="00745FEA">
                  <w:pPr>
                    <w:pStyle w:val="TableBodyText"/>
                    <w:spacing w:after="0"/>
                    <w:ind w:left="227" w:right="0"/>
                    <w:jc w:val="left"/>
                  </w:pPr>
                  <w:r w:rsidRPr="008E7A1F">
                    <w:t>Interim Income Support</w:t>
                  </w:r>
                </w:p>
              </w:tc>
              <w:tc>
                <w:tcPr>
                  <w:tcW w:w="468" w:type="pct"/>
                </w:tcPr>
                <w:p w:rsidR="00745FEA" w:rsidRPr="00140EBD" w:rsidRDefault="00745FEA" w:rsidP="00745FEA">
                  <w:pPr>
                    <w:pStyle w:val="TableBodyText"/>
                    <w:ind w:right="57"/>
                  </w:pPr>
                  <w:r w:rsidRPr="00140EBD">
                    <w:t>&lt;0.1</w:t>
                  </w:r>
                </w:p>
              </w:tc>
              <w:tc>
                <w:tcPr>
                  <w:tcW w:w="467" w:type="pct"/>
                </w:tcPr>
                <w:p w:rsidR="00745FEA" w:rsidRPr="00140EBD" w:rsidRDefault="00745FEA" w:rsidP="00745FEA">
                  <w:pPr>
                    <w:pStyle w:val="TableBodyText"/>
                    <w:ind w:right="57"/>
                  </w:pPr>
                  <w:r w:rsidRPr="00140EBD">
                    <w:t>–</w:t>
                  </w:r>
                </w:p>
              </w:tc>
              <w:tc>
                <w:tcPr>
                  <w:tcW w:w="467" w:type="pct"/>
                </w:tcPr>
                <w:p w:rsidR="00745FEA" w:rsidRPr="00140EBD" w:rsidRDefault="00745FEA" w:rsidP="00745FEA">
                  <w:pPr>
                    <w:pStyle w:val="TableBodyText"/>
                    <w:ind w:right="57"/>
                  </w:pPr>
                  <w:r w:rsidRPr="00140EBD">
                    <w:t>–</w:t>
                  </w:r>
                </w:p>
              </w:tc>
              <w:tc>
                <w:tcPr>
                  <w:tcW w:w="467" w:type="pct"/>
                </w:tcPr>
                <w:p w:rsidR="00745FEA" w:rsidRPr="00140EBD" w:rsidRDefault="00745FEA" w:rsidP="00745FEA">
                  <w:pPr>
                    <w:pStyle w:val="TableBodyText"/>
                    <w:ind w:right="57"/>
                  </w:pPr>
                  <w:r w:rsidRPr="00140EBD">
                    <w:t>–</w:t>
                  </w:r>
                </w:p>
              </w:tc>
              <w:tc>
                <w:tcPr>
                  <w:tcW w:w="467" w:type="pct"/>
                  <w:shd w:val="clear" w:color="auto" w:fill="auto"/>
                </w:tcPr>
                <w:p w:rsidR="00745FEA" w:rsidRPr="00140EBD" w:rsidRDefault="00745FEA" w:rsidP="00745FEA">
                  <w:pPr>
                    <w:pStyle w:val="TableBodyText"/>
                    <w:ind w:right="57"/>
                  </w:pPr>
                  <w:r w:rsidRPr="00140EBD">
                    <w:t>–</w:t>
                  </w:r>
                </w:p>
              </w:tc>
              <w:tc>
                <w:tcPr>
                  <w:tcW w:w="465" w:type="pct"/>
                  <w:shd w:val="clear" w:color="auto" w:fill="auto"/>
                </w:tcPr>
                <w:p w:rsidR="00745FEA" w:rsidRPr="00140EBD" w:rsidRDefault="00745FEA" w:rsidP="00745FEA">
                  <w:pPr>
                    <w:pStyle w:val="TableBodyText"/>
                    <w:ind w:right="57"/>
                  </w:pPr>
                  <w:r w:rsidRPr="00140EBD">
                    <w:t>–</w:t>
                  </w:r>
                </w:p>
              </w:tc>
            </w:tr>
            <w:tr w:rsidR="00745FEA" w:rsidTr="00745FEA">
              <w:tc>
                <w:tcPr>
                  <w:tcW w:w="2199" w:type="pct"/>
                  <w:shd w:val="clear" w:color="auto" w:fill="auto"/>
                </w:tcPr>
                <w:p w:rsidR="00745FEA" w:rsidRPr="008E7A1F" w:rsidRDefault="00745FEA" w:rsidP="00745FEA">
                  <w:pPr>
                    <w:pStyle w:val="TableBodyText"/>
                    <w:spacing w:after="0"/>
                    <w:ind w:left="227" w:right="0"/>
                    <w:jc w:val="left"/>
                  </w:pPr>
                  <w:r w:rsidRPr="008E7A1F">
                    <w:t>Rural Financial Counselling Service</w:t>
                  </w:r>
                </w:p>
              </w:tc>
              <w:tc>
                <w:tcPr>
                  <w:tcW w:w="468" w:type="pct"/>
                </w:tcPr>
                <w:p w:rsidR="00745FEA" w:rsidRPr="00140EBD" w:rsidRDefault="00745FEA" w:rsidP="00745FEA">
                  <w:pPr>
                    <w:pStyle w:val="TableBodyText"/>
                    <w:ind w:right="57"/>
                  </w:pPr>
                  <w:r w:rsidRPr="00140EBD">
                    <w:t>1.9</w:t>
                  </w:r>
                </w:p>
              </w:tc>
              <w:tc>
                <w:tcPr>
                  <w:tcW w:w="467" w:type="pct"/>
                </w:tcPr>
                <w:p w:rsidR="00745FEA" w:rsidRPr="00140EBD" w:rsidRDefault="00745FEA" w:rsidP="00745FEA">
                  <w:pPr>
                    <w:pStyle w:val="TableBodyText"/>
                    <w:ind w:right="57"/>
                  </w:pPr>
                  <w:r w:rsidRPr="00140EBD">
                    <w:t>0.6</w:t>
                  </w:r>
                </w:p>
              </w:tc>
              <w:tc>
                <w:tcPr>
                  <w:tcW w:w="467" w:type="pct"/>
                </w:tcPr>
                <w:p w:rsidR="00745FEA" w:rsidRPr="00140EBD" w:rsidRDefault="00745FEA" w:rsidP="00745FEA">
                  <w:pPr>
                    <w:pStyle w:val="TableBodyText"/>
                    <w:ind w:right="57"/>
                  </w:pPr>
                  <w:r w:rsidRPr="00140EBD">
                    <w:t>0.5</w:t>
                  </w:r>
                </w:p>
              </w:tc>
              <w:tc>
                <w:tcPr>
                  <w:tcW w:w="467" w:type="pct"/>
                </w:tcPr>
                <w:p w:rsidR="00745FEA" w:rsidRPr="00140EBD" w:rsidRDefault="00745FEA" w:rsidP="00745FEA">
                  <w:pPr>
                    <w:pStyle w:val="TableBodyText"/>
                    <w:ind w:right="57"/>
                  </w:pPr>
                  <w:r w:rsidRPr="00140EBD">
                    <w:t>0.8</w:t>
                  </w:r>
                </w:p>
              </w:tc>
              <w:tc>
                <w:tcPr>
                  <w:tcW w:w="467" w:type="pct"/>
                  <w:shd w:val="clear" w:color="auto" w:fill="auto"/>
                </w:tcPr>
                <w:p w:rsidR="00745FEA" w:rsidRPr="00140EBD" w:rsidRDefault="00745FEA" w:rsidP="00745FEA">
                  <w:pPr>
                    <w:pStyle w:val="TableBodyText"/>
                    <w:ind w:right="57"/>
                  </w:pPr>
                  <w:r w:rsidRPr="00140EBD">
                    <w:t>0.6</w:t>
                  </w:r>
                </w:p>
              </w:tc>
              <w:tc>
                <w:tcPr>
                  <w:tcW w:w="465" w:type="pct"/>
                  <w:shd w:val="clear" w:color="auto" w:fill="auto"/>
                </w:tcPr>
                <w:p w:rsidR="00745FEA" w:rsidRPr="00140EBD" w:rsidRDefault="00745FEA" w:rsidP="00745FEA">
                  <w:pPr>
                    <w:pStyle w:val="TableBodyText"/>
                    <w:ind w:right="57"/>
                  </w:pPr>
                  <w:r w:rsidRPr="00140EBD">
                    <w:t>0.5</w:t>
                  </w:r>
                </w:p>
              </w:tc>
            </w:tr>
            <w:tr w:rsidR="00745FEA" w:rsidTr="00745FEA">
              <w:tc>
                <w:tcPr>
                  <w:tcW w:w="2199" w:type="pct"/>
                  <w:shd w:val="clear" w:color="auto" w:fill="auto"/>
                </w:tcPr>
                <w:p w:rsidR="00745FEA" w:rsidRPr="008E7A1F" w:rsidRDefault="00745FEA" w:rsidP="00745FEA">
                  <w:pPr>
                    <w:pStyle w:val="TableBodyText"/>
                    <w:spacing w:after="0"/>
                    <w:ind w:left="227" w:right="0"/>
                    <w:jc w:val="left"/>
                  </w:pPr>
                  <w:r w:rsidRPr="008E7A1F">
                    <w:t>Support for Small Exporters - A Competitive Agricultural Sector</w:t>
                  </w:r>
                </w:p>
              </w:tc>
              <w:tc>
                <w:tcPr>
                  <w:tcW w:w="468" w:type="pct"/>
                </w:tcPr>
                <w:p w:rsidR="00745FEA" w:rsidRPr="00140EBD" w:rsidRDefault="00745FEA" w:rsidP="00745FEA">
                  <w:pPr>
                    <w:pStyle w:val="TableBodyText"/>
                    <w:ind w:right="57"/>
                  </w:pPr>
                  <w:r w:rsidRPr="00140EBD">
                    <w:t>–</w:t>
                  </w:r>
                </w:p>
              </w:tc>
              <w:tc>
                <w:tcPr>
                  <w:tcW w:w="467" w:type="pct"/>
                </w:tcPr>
                <w:p w:rsidR="00745FEA" w:rsidRPr="00140EBD" w:rsidRDefault="00745FEA" w:rsidP="00745FEA">
                  <w:pPr>
                    <w:pStyle w:val="TableBodyText"/>
                    <w:ind w:right="57"/>
                  </w:pPr>
                  <w:r w:rsidRPr="00140EBD">
                    <w:t>–</w:t>
                  </w:r>
                </w:p>
              </w:tc>
              <w:tc>
                <w:tcPr>
                  <w:tcW w:w="467" w:type="pct"/>
                </w:tcPr>
                <w:p w:rsidR="00745FEA" w:rsidRPr="00140EBD" w:rsidRDefault="00745FEA" w:rsidP="00745FEA">
                  <w:pPr>
                    <w:pStyle w:val="TableBodyText"/>
                    <w:ind w:right="57"/>
                  </w:pPr>
                  <w:r w:rsidRPr="00140EBD">
                    <w:t>–</w:t>
                  </w:r>
                </w:p>
              </w:tc>
              <w:tc>
                <w:tcPr>
                  <w:tcW w:w="467" w:type="pct"/>
                </w:tcPr>
                <w:p w:rsidR="00745FEA" w:rsidRPr="00140EBD" w:rsidRDefault="00745FEA" w:rsidP="00745FEA">
                  <w:pPr>
                    <w:pStyle w:val="TableBodyText"/>
                    <w:ind w:right="57"/>
                  </w:pPr>
                  <w:r w:rsidRPr="00140EBD">
                    <w:t>1.3</w:t>
                  </w:r>
                </w:p>
              </w:tc>
              <w:tc>
                <w:tcPr>
                  <w:tcW w:w="467" w:type="pct"/>
                  <w:shd w:val="clear" w:color="auto" w:fill="auto"/>
                </w:tcPr>
                <w:p w:rsidR="00745FEA" w:rsidRPr="00140EBD" w:rsidRDefault="00745FEA" w:rsidP="00745FEA">
                  <w:pPr>
                    <w:pStyle w:val="TableBodyText"/>
                    <w:ind w:right="57"/>
                  </w:pPr>
                  <w:r w:rsidRPr="00140EBD">
                    <w:t>2.3</w:t>
                  </w:r>
                </w:p>
              </w:tc>
              <w:tc>
                <w:tcPr>
                  <w:tcW w:w="465" w:type="pct"/>
                  <w:shd w:val="clear" w:color="auto" w:fill="auto"/>
                </w:tcPr>
                <w:p w:rsidR="00745FEA" w:rsidRPr="00140EBD" w:rsidRDefault="00745FEA" w:rsidP="00745FEA">
                  <w:pPr>
                    <w:pStyle w:val="TableBodyText"/>
                    <w:ind w:right="57"/>
                  </w:pPr>
                  <w:r w:rsidRPr="00140EBD">
                    <w:t>2.3</w:t>
                  </w:r>
                </w:p>
              </w:tc>
            </w:tr>
            <w:tr w:rsidR="00745FEA" w:rsidTr="00745FEA">
              <w:tc>
                <w:tcPr>
                  <w:tcW w:w="2199" w:type="pct"/>
                  <w:shd w:val="clear" w:color="auto" w:fill="auto"/>
                </w:tcPr>
                <w:p w:rsidR="00745FEA" w:rsidRPr="008E7A1F" w:rsidRDefault="00745FEA" w:rsidP="00745FEA">
                  <w:pPr>
                    <w:pStyle w:val="TableBodyText"/>
                    <w:spacing w:after="0"/>
                    <w:ind w:left="227" w:right="0"/>
                    <w:jc w:val="left"/>
                  </w:pPr>
                  <w:r w:rsidRPr="008E7A1F">
                    <w:t>Sustainable Rural Water Use and Infrastructure Program</w:t>
                  </w:r>
                </w:p>
              </w:tc>
              <w:tc>
                <w:tcPr>
                  <w:tcW w:w="468" w:type="pct"/>
                </w:tcPr>
                <w:p w:rsidR="00745FEA" w:rsidRPr="00140EBD" w:rsidRDefault="00745FEA" w:rsidP="00745FEA">
                  <w:pPr>
                    <w:pStyle w:val="TableBodyText"/>
                    <w:ind w:right="57"/>
                  </w:pPr>
                  <w:r w:rsidRPr="00140EBD">
                    <w:t>191.8</w:t>
                  </w:r>
                </w:p>
              </w:tc>
              <w:tc>
                <w:tcPr>
                  <w:tcW w:w="467" w:type="pct"/>
                </w:tcPr>
                <w:p w:rsidR="00745FEA" w:rsidRPr="00140EBD" w:rsidRDefault="00745FEA" w:rsidP="00745FEA">
                  <w:pPr>
                    <w:pStyle w:val="TableBodyText"/>
                    <w:ind w:right="57"/>
                  </w:pPr>
                  <w:r w:rsidRPr="00140EBD">
                    <w:t>140.5</w:t>
                  </w:r>
                </w:p>
              </w:tc>
              <w:tc>
                <w:tcPr>
                  <w:tcW w:w="467" w:type="pct"/>
                </w:tcPr>
                <w:p w:rsidR="00745FEA" w:rsidRPr="00140EBD" w:rsidRDefault="00745FEA" w:rsidP="00745FEA">
                  <w:pPr>
                    <w:pStyle w:val="TableBodyText"/>
                    <w:ind w:right="57"/>
                  </w:pPr>
                  <w:r w:rsidRPr="00140EBD">
                    <w:t>143.7</w:t>
                  </w:r>
                </w:p>
              </w:tc>
              <w:tc>
                <w:tcPr>
                  <w:tcW w:w="467" w:type="pct"/>
                </w:tcPr>
                <w:p w:rsidR="00745FEA" w:rsidRPr="00140EBD" w:rsidRDefault="00745FEA" w:rsidP="00745FEA">
                  <w:pPr>
                    <w:pStyle w:val="TableBodyText"/>
                    <w:ind w:right="57"/>
                  </w:pPr>
                  <w:r w:rsidRPr="00140EBD">
                    <w:t>192.3</w:t>
                  </w:r>
                </w:p>
              </w:tc>
              <w:tc>
                <w:tcPr>
                  <w:tcW w:w="467" w:type="pct"/>
                  <w:shd w:val="clear" w:color="auto" w:fill="auto"/>
                </w:tcPr>
                <w:p w:rsidR="00745FEA" w:rsidRPr="00140EBD" w:rsidRDefault="00745FEA" w:rsidP="00745FEA">
                  <w:pPr>
                    <w:pStyle w:val="TableBodyText"/>
                    <w:ind w:right="57"/>
                  </w:pPr>
                  <w:r w:rsidRPr="00140EBD">
                    <w:t>121.6</w:t>
                  </w:r>
                </w:p>
              </w:tc>
              <w:tc>
                <w:tcPr>
                  <w:tcW w:w="465" w:type="pct"/>
                  <w:shd w:val="clear" w:color="auto" w:fill="auto"/>
                </w:tcPr>
                <w:p w:rsidR="00745FEA" w:rsidRPr="00140EBD" w:rsidRDefault="00745FEA" w:rsidP="00745FEA">
                  <w:pPr>
                    <w:pStyle w:val="TableBodyText"/>
                    <w:ind w:right="57"/>
                  </w:pPr>
                  <w:r w:rsidRPr="00140EBD">
                    <w:t>214.7</w:t>
                  </w:r>
                </w:p>
              </w:tc>
            </w:tr>
            <w:tr w:rsidR="00745FEA" w:rsidTr="00745FEA">
              <w:tc>
                <w:tcPr>
                  <w:tcW w:w="2199" w:type="pct"/>
                  <w:shd w:val="clear" w:color="auto" w:fill="auto"/>
                </w:tcPr>
                <w:p w:rsidR="00745FEA" w:rsidRPr="008E7A1F" w:rsidRDefault="00745FEA" w:rsidP="00745FEA">
                  <w:pPr>
                    <w:pStyle w:val="TableBodyText"/>
                    <w:spacing w:after="0"/>
                    <w:ind w:left="227" w:right="0"/>
                    <w:jc w:val="left"/>
                  </w:pPr>
                  <w:r w:rsidRPr="008E7A1F">
                    <w:t>Farm Management Deposits Scheme</w:t>
                  </w:r>
                </w:p>
              </w:tc>
              <w:tc>
                <w:tcPr>
                  <w:tcW w:w="468" w:type="pct"/>
                </w:tcPr>
                <w:p w:rsidR="00745FEA" w:rsidRPr="00140EBD" w:rsidRDefault="00745FEA" w:rsidP="00745FEA">
                  <w:pPr>
                    <w:pStyle w:val="TableBodyText"/>
                    <w:ind w:right="57"/>
                  </w:pPr>
                  <w:r w:rsidRPr="00140EBD">
                    <w:t>1.8</w:t>
                  </w:r>
                </w:p>
              </w:tc>
              <w:tc>
                <w:tcPr>
                  <w:tcW w:w="467" w:type="pct"/>
                </w:tcPr>
                <w:p w:rsidR="00745FEA" w:rsidRPr="00140EBD" w:rsidRDefault="00745FEA" w:rsidP="00745FEA">
                  <w:pPr>
                    <w:pStyle w:val="TableBodyText"/>
                    <w:ind w:right="57"/>
                  </w:pPr>
                  <w:r w:rsidRPr="00140EBD">
                    <w:t>4.8</w:t>
                  </w:r>
                </w:p>
              </w:tc>
              <w:tc>
                <w:tcPr>
                  <w:tcW w:w="467" w:type="pct"/>
                </w:tcPr>
                <w:p w:rsidR="00745FEA" w:rsidRPr="00140EBD" w:rsidRDefault="00745FEA" w:rsidP="00745FEA">
                  <w:pPr>
                    <w:pStyle w:val="TableBodyText"/>
                    <w:ind w:right="57"/>
                  </w:pPr>
                  <w:r w:rsidRPr="00140EBD">
                    <w:t>2.7</w:t>
                  </w:r>
                </w:p>
              </w:tc>
              <w:tc>
                <w:tcPr>
                  <w:tcW w:w="467" w:type="pct"/>
                </w:tcPr>
                <w:p w:rsidR="00745FEA" w:rsidRPr="00140EBD" w:rsidRDefault="00745FEA" w:rsidP="00745FEA">
                  <w:pPr>
                    <w:pStyle w:val="TableBodyText"/>
                    <w:ind w:right="57"/>
                  </w:pPr>
                  <w:r w:rsidRPr="00140EBD">
                    <w:t>3.0</w:t>
                  </w:r>
                </w:p>
              </w:tc>
              <w:tc>
                <w:tcPr>
                  <w:tcW w:w="467" w:type="pct"/>
                  <w:shd w:val="clear" w:color="auto" w:fill="auto"/>
                </w:tcPr>
                <w:p w:rsidR="00745FEA" w:rsidRPr="00140EBD" w:rsidRDefault="00745FEA" w:rsidP="00745FEA">
                  <w:pPr>
                    <w:pStyle w:val="TableBodyText"/>
                    <w:ind w:right="57"/>
                  </w:pPr>
                  <w:r w:rsidRPr="00140EBD">
                    <w:t>4.3</w:t>
                  </w:r>
                </w:p>
              </w:tc>
              <w:tc>
                <w:tcPr>
                  <w:tcW w:w="465" w:type="pct"/>
                  <w:shd w:val="clear" w:color="auto" w:fill="auto"/>
                </w:tcPr>
                <w:p w:rsidR="00745FEA" w:rsidRDefault="00745FEA" w:rsidP="00745FEA">
                  <w:pPr>
                    <w:pStyle w:val="TableBodyText"/>
                    <w:ind w:right="57"/>
                  </w:pPr>
                  <w:r w:rsidRPr="00140EBD">
                    <w:t>4.1</w:t>
                  </w:r>
                </w:p>
              </w:tc>
            </w:tr>
            <w:tr w:rsidR="00745FEA" w:rsidTr="00745FEA">
              <w:tc>
                <w:tcPr>
                  <w:tcW w:w="2199" w:type="pct"/>
                  <w:shd w:val="clear" w:color="auto" w:fill="auto"/>
                  <w:vAlign w:val="bottom"/>
                </w:tcPr>
                <w:p w:rsidR="00745FEA" w:rsidRPr="004829A9" w:rsidRDefault="00745FEA" w:rsidP="00745FEA">
                  <w:pPr>
                    <w:spacing w:before="40"/>
                    <w:ind w:left="113"/>
                    <w:rPr>
                      <w:rFonts w:ascii="Arial" w:hAnsi="Arial" w:cs="Arial"/>
                      <w:i/>
                      <w:color w:val="000000"/>
                      <w:sz w:val="18"/>
                      <w:szCs w:val="18"/>
                    </w:rPr>
                  </w:pPr>
                  <w:r w:rsidRPr="004829A9">
                    <w:rPr>
                      <w:rFonts w:ascii="Arial" w:hAnsi="Arial" w:cs="Arial"/>
                      <w:i/>
                      <w:color w:val="000000"/>
                      <w:sz w:val="18"/>
                      <w:szCs w:val="18"/>
                    </w:rPr>
                    <w:t>Rural R&amp;D measures</w:t>
                  </w:r>
                </w:p>
              </w:tc>
              <w:tc>
                <w:tcPr>
                  <w:tcW w:w="468"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5" w:type="pct"/>
                  <w:shd w:val="clear" w:color="auto" w:fill="auto"/>
                  <w:vAlign w:val="bottom"/>
                </w:tcPr>
                <w:p w:rsidR="00745FEA" w:rsidRDefault="00745FEA" w:rsidP="00745FEA">
                  <w:pPr>
                    <w:pStyle w:val="TableBodyText"/>
                    <w:spacing w:before="40" w:after="0"/>
                    <w:ind w:left="113" w:right="57"/>
                  </w:pPr>
                </w:p>
              </w:tc>
            </w:tr>
            <w:tr w:rsidR="00745FEA" w:rsidTr="00745FEA">
              <w:tc>
                <w:tcPr>
                  <w:tcW w:w="2199" w:type="pct"/>
                  <w:shd w:val="clear" w:color="auto" w:fill="auto"/>
                </w:tcPr>
                <w:p w:rsidR="00745FEA" w:rsidRPr="00162673" w:rsidRDefault="00745FEA" w:rsidP="00745FEA">
                  <w:pPr>
                    <w:pStyle w:val="TableBodyText"/>
                    <w:spacing w:after="0"/>
                    <w:ind w:left="227" w:right="0"/>
                    <w:jc w:val="left"/>
                  </w:pPr>
                  <w:r w:rsidRPr="00162673">
                    <w:t>Boosting Farm Profits Through Rural R&amp;D - A Competitive Agricultural Sector</w:t>
                  </w:r>
                </w:p>
              </w:tc>
              <w:tc>
                <w:tcPr>
                  <w:tcW w:w="468"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19.3</w:t>
                  </w:r>
                </w:p>
              </w:tc>
              <w:tc>
                <w:tcPr>
                  <w:tcW w:w="467" w:type="pct"/>
                  <w:shd w:val="clear" w:color="auto" w:fill="auto"/>
                  <w:vAlign w:val="bottom"/>
                </w:tcPr>
                <w:p w:rsidR="00745FEA" w:rsidRPr="00B075AD" w:rsidRDefault="00745FEA" w:rsidP="00745FEA">
                  <w:pPr>
                    <w:pStyle w:val="TableBodyText"/>
                    <w:ind w:right="57"/>
                  </w:pPr>
                  <w:r w:rsidRPr="00B075AD">
                    <w:t>29.3</w:t>
                  </w:r>
                </w:p>
              </w:tc>
              <w:tc>
                <w:tcPr>
                  <w:tcW w:w="465" w:type="pct"/>
                  <w:shd w:val="clear" w:color="auto" w:fill="auto"/>
                  <w:vAlign w:val="bottom"/>
                </w:tcPr>
                <w:p w:rsidR="00745FEA" w:rsidRPr="00B075AD" w:rsidRDefault="00745FEA" w:rsidP="00745FEA">
                  <w:pPr>
                    <w:pStyle w:val="TableBodyText"/>
                    <w:ind w:right="57"/>
                  </w:pPr>
                  <w:r w:rsidRPr="00B075AD">
                    <w:t>18.4</w:t>
                  </w:r>
                </w:p>
              </w:tc>
            </w:tr>
            <w:tr w:rsidR="00745FEA" w:rsidTr="00745FEA">
              <w:tc>
                <w:tcPr>
                  <w:tcW w:w="2199" w:type="pct"/>
                  <w:shd w:val="clear" w:color="auto" w:fill="auto"/>
                </w:tcPr>
                <w:p w:rsidR="00745FEA" w:rsidRPr="00162673" w:rsidRDefault="00745FEA" w:rsidP="00745FEA">
                  <w:pPr>
                    <w:pStyle w:val="TableBodyText"/>
                    <w:spacing w:after="0"/>
                    <w:ind w:left="227" w:right="0"/>
                    <w:jc w:val="left"/>
                  </w:pPr>
                  <w:r w:rsidRPr="00162673">
                    <w:t>Climate Change Adaption Partnerships Program</w:t>
                  </w:r>
                </w:p>
              </w:tc>
              <w:tc>
                <w:tcPr>
                  <w:tcW w:w="468" w:type="pct"/>
                  <w:vAlign w:val="bottom"/>
                </w:tcPr>
                <w:p w:rsidR="00745FEA" w:rsidRPr="00B075AD" w:rsidRDefault="00745FEA" w:rsidP="00745FEA">
                  <w:pPr>
                    <w:pStyle w:val="TableBodyText"/>
                    <w:ind w:right="57"/>
                  </w:pPr>
                  <w:r w:rsidRPr="00B075AD">
                    <w:t>8.5</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shd w:val="clear" w:color="auto" w:fill="auto"/>
                  <w:vAlign w:val="bottom"/>
                </w:tcPr>
                <w:p w:rsidR="00745FEA" w:rsidRPr="00B075AD" w:rsidRDefault="00745FEA" w:rsidP="00745FEA">
                  <w:pPr>
                    <w:pStyle w:val="TableBodyText"/>
                    <w:ind w:right="57"/>
                  </w:pPr>
                  <w:r w:rsidRPr="00B075AD">
                    <w:t>–</w:t>
                  </w:r>
                </w:p>
              </w:tc>
              <w:tc>
                <w:tcPr>
                  <w:tcW w:w="465" w:type="pct"/>
                  <w:shd w:val="clear" w:color="auto" w:fill="auto"/>
                  <w:vAlign w:val="bottom"/>
                </w:tcPr>
                <w:p w:rsidR="00745FEA" w:rsidRPr="00B075AD" w:rsidRDefault="00745FEA" w:rsidP="00745FEA">
                  <w:pPr>
                    <w:pStyle w:val="TableBodyText"/>
                    <w:ind w:right="57"/>
                  </w:pPr>
                  <w:r w:rsidRPr="00B075AD">
                    <w:t>–</w:t>
                  </w:r>
                </w:p>
              </w:tc>
            </w:tr>
            <w:tr w:rsidR="00745FEA" w:rsidTr="00745FEA">
              <w:tc>
                <w:tcPr>
                  <w:tcW w:w="2199" w:type="pct"/>
                  <w:shd w:val="clear" w:color="auto" w:fill="auto"/>
                </w:tcPr>
                <w:p w:rsidR="00745FEA" w:rsidRPr="00162673" w:rsidRDefault="00745FEA" w:rsidP="00745FEA">
                  <w:pPr>
                    <w:pStyle w:val="TableBodyText"/>
                    <w:spacing w:after="0"/>
                    <w:ind w:left="227" w:right="0"/>
                    <w:jc w:val="left"/>
                  </w:pPr>
                  <w:r w:rsidRPr="00162673">
                    <w:t>Climate Change and Productivity Research Program</w:t>
                  </w:r>
                </w:p>
              </w:tc>
              <w:tc>
                <w:tcPr>
                  <w:tcW w:w="468" w:type="pct"/>
                  <w:vAlign w:val="bottom"/>
                </w:tcPr>
                <w:p w:rsidR="00745FEA" w:rsidRPr="00B075AD" w:rsidRDefault="00745FEA" w:rsidP="00745FEA">
                  <w:pPr>
                    <w:pStyle w:val="TableBodyText"/>
                    <w:ind w:right="57"/>
                  </w:pPr>
                  <w:r w:rsidRPr="00B075AD">
                    <w:t>6.2</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shd w:val="clear" w:color="auto" w:fill="auto"/>
                  <w:vAlign w:val="bottom"/>
                </w:tcPr>
                <w:p w:rsidR="00745FEA" w:rsidRPr="00B075AD" w:rsidRDefault="00745FEA" w:rsidP="00745FEA">
                  <w:pPr>
                    <w:pStyle w:val="TableBodyText"/>
                    <w:ind w:right="57"/>
                  </w:pPr>
                  <w:r w:rsidRPr="00B075AD">
                    <w:t>–</w:t>
                  </w:r>
                </w:p>
              </w:tc>
              <w:tc>
                <w:tcPr>
                  <w:tcW w:w="465" w:type="pct"/>
                  <w:shd w:val="clear" w:color="auto" w:fill="auto"/>
                  <w:vAlign w:val="bottom"/>
                </w:tcPr>
                <w:p w:rsidR="00745FEA" w:rsidRPr="00B075AD" w:rsidRDefault="00745FEA" w:rsidP="00745FEA">
                  <w:pPr>
                    <w:pStyle w:val="TableBodyText"/>
                    <w:ind w:right="57"/>
                  </w:pPr>
                  <w:r w:rsidRPr="00B075AD">
                    <w:t>–</w:t>
                  </w:r>
                </w:p>
              </w:tc>
            </w:tr>
            <w:tr w:rsidR="00745FEA" w:rsidTr="00745FEA">
              <w:tc>
                <w:tcPr>
                  <w:tcW w:w="2199" w:type="pct"/>
                  <w:shd w:val="clear" w:color="auto" w:fill="auto"/>
                </w:tcPr>
                <w:p w:rsidR="00745FEA" w:rsidRPr="00162673" w:rsidRDefault="00745FEA" w:rsidP="00745FEA">
                  <w:pPr>
                    <w:pStyle w:val="TableBodyText"/>
                    <w:spacing w:after="0"/>
                    <w:ind w:left="227" w:right="0"/>
                    <w:jc w:val="left"/>
                  </w:pPr>
                  <w:r w:rsidRPr="00162673">
                    <w:t>National Weeds and Productivity Research Program</w:t>
                  </w:r>
                </w:p>
              </w:tc>
              <w:tc>
                <w:tcPr>
                  <w:tcW w:w="468" w:type="pct"/>
                  <w:vAlign w:val="bottom"/>
                </w:tcPr>
                <w:p w:rsidR="00745FEA" w:rsidRPr="00B075AD" w:rsidRDefault="00745FEA" w:rsidP="00745FEA">
                  <w:pPr>
                    <w:pStyle w:val="TableBodyText"/>
                    <w:ind w:right="57"/>
                  </w:pPr>
                  <w:r w:rsidRPr="00B075AD">
                    <w:t>4.0</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vAlign w:val="bottom"/>
                </w:tcPr>
                <w:p w:rsidR="00745FEA" w:rsidRPr="00B075AD" w:rsidRDefault="00745FEA" w:rsidP="00745FEA">
                  <w:pPr>
                    <w:pStyle w:val="TableBodyText"/>
                    <w:ind w:right="57"/>
                  </w:pPr>
                  <w:r w:rsidRPr="00B075AD">
                    <w:t>–</w:t>
                  </w:r>
                </w:p>
              </w:tc>
              <w:tc>
                <w:tcPr>
                  <w:tcW w:w="467" w:type="pct"/>
                  <w:shd w:val="clear" w:color="auto" w:fill="auto"/>
                  <w:vAlign w:val="bottom"/>
                </w:tcPr>
                <w:p w:rsidR="00745FEA" w:rsidRPr="00B075AD" w:rsidRDefault="00745FEA" w:rsidP="00745FEA">
                  <w:pPr>
                    <w:pStyle w:val="TableBodyText"/>
                    <w:ind w:right="57"/>
                  </w:pPr>
                  <w:r w:rsidRPr="00B075AD">
                    <w:t>–</w:t>
                  </w:r>
                </w:p>
              </w:tc>
              <w:tc>
                <w:tcPr>
                  <w:tcW w:w="465" w:type="pct"/>
                  <w:shd w:val="clear" w:color="auto" w:fill="auto"/>
                  <w:vAlign w:val="bottom"/>
                </w:tcPr>
                <w:p w:rsidR="00745FEA" w:rsidRPr="00B075AD" w:rsidRDefault="00745FEA" w:rsidP="00745FEA">
                  <w:pPr>
                    <w:pStyle w:val="TableBodyText"/>
                    <w:ind w:right="57"/>
                  </w:pPr>
                  <w:r w:rsidRPr="00B075AD">
                    <w:t>–</w:t>
                  </w:r>
                </w:p>
              </w:tc>
            </w:tr>
            <w:tr w:rsidR="00745FEA" w:rsidTr="00745FEA">
              <w:tc>
                <w:tcPr>
                  <w:tcW w:w="2199" w:type="pct"/>
                  <w:shd w:val="clear" w:color="auto" w:fill="auto"/>
                </w:tcPr>
                <w:p w:rsidR="00745FEA" w:rsidRPr="00162673" w:rsidRDefault="00745FEA" w:rsidP="00745FEA">
                  <w:pPr>
                    <w:pStyle w:val="TableBodyText"/>
                    <w:spacing w:after="0"/>
                    <w:ind w:left="227" w:right="0"/>
                    <w:jc w:val="left"/>
                  </w:pPr>
                  <w:r w:rsidRPr="00162673">
                    <w:t xml:space="preserve">Rural Industries </w:t>
                  </w:r>
                  <w:r>
                    <w:t>R&amp;D Corporation</w:t>
                  </w:r>
                </w:p>
              </w:tc>
              <w:tc>
                <w:tcPr>
                  <w:tcW w:w="468" w:type="pct"/>
                  <w:vAlign w:val="bottom"/>
                </w:tcPr>
                <w:p w:rsidR="00745FEA" w:rsidRPr="00B075AD" w:rsidRDefault="00745FEA" w:rsidP="00745FEA">
                  <w:pPr>
                    <w:pStyle w:val="TableBodyText"/>
                    <w:ind w:right="57"/>
                  </w:pPr>
                  <w:r w:rsidRPr="00B075AD">
                    <w:t>5.4</w:t>
                  </w:r>
                </w:p>
              </w:tc>
              <w:tc>
                <w:tcPr>
                  <w:tcW w:w="467" w:type="pct"/>
                  <w:vAlign w:val="bottom"/>
                </w:tcPr>
                <w:p w:rsidR="00745FEA" w:rsidRPr="00B075AD" w:rsidRDefault="00745FEA" w:rsidP="00745FEA">
                  <w:pPr>
                    <w:pStyle w:val="TableBodyText"/>
                    <w:ind w:right="57"/>
                  </w:pPr>
                  <w:r w:rsidRPr="00B075AD">
                    <w:t>4.4</w:t>
                  </w:r>
                </w:p>
              </w:tc>
              <w:tc>
                <w:tcPr>
                  <w:tcW w:w="467" w:type="pct"/>
                  <w:vAlign w:val="bottom"/>
                </w:tcPr>
                <w:p w:rsidR="00745FEA" w:rsidRPr="00B075AD" w:rsidRDefault="00745FEA" w:rsidP="00745FEA">
                  <w:pPr>
                    <w:pStyle w:val="TableBodyText"/>
                    <w:ind w:right="57"/>
                  </w:pPr>
                  <w:r w:rsidRPr="00B075AD">
                    <w:t>4.2</w:t>
                  </w:r>
                </w:p>
              </w:tc>
              <w:tc>
                <w:tcPr>
                  <w:tcW w:w="467" w:type="pct"/>
                  <w:vAlign w:val="bottom"/>
                </w:tcPr>
                <w:p w:rsidR="00745FEA" w:rsidRPr="00B075AD" w:rsidRDefault="00745FEA" w:rsidP="00745FEA">
                  <w:pPr>
                    <w:pStyle w:val="TableBodyText"/>
                    <w:ind w:right="57"/>
                  </w:pPr>
                  <w:r w:rsidRPr="00B075AD">
                    <w:t>3.5</w:t>
                  </w:r>
                </w:p>
              </w:tc>
              <w:tc>
                <w:tcPr>
                  <w:tcW w:w="467" w:type="pct"/>
                  <w:shd w:val="clear" w:color="auto" w:fill="auto"/>
                  <w:vAlign w:val="bottom"/>
                </w:tcPr>
                <w:p w:rsidR="00745FEA" w:rsidRPr="00B075AD" w:rsidRDefault="00745FEA" w:rsidP="00745FEA">
                  <w:pPr>
                    <w:pStyle w:val="TableBodyText"/>
                    <w:ind w:right="57"/>
                  </w:pPr>
                  <w:r w:rsidRPr="00B075AD">
                    <w:t>3.7</w:t>
                  </w:r>
                </w:p>
              </w:tc>
              <w:tc>
                <w:tcPr>
                  <w:tcW w:w="465" w:type="pct"/>
                  <w:shd w:val="clear" w:color="auto" w:fill="auto"/>
                  <w:vAlign w:val="bottom"/>
                </w:tcPr>
                <w:p w:rsidR="00745FEA" w:rsidRDefault="00745FEA" w:rsidP="00745FEA">
                  <w:pPr>
                    <w:pStyle w:val="TableBodyText"/>
                    <w:ind w:right="57"/>
                  </w:pPr>
                  <w:r w:rsidRPr="00B075AD">
                    <w:t>4.4</w:t>
                  </w:r>
                </w:p>
              </w:tc>
            </w:tr>
            <w:tr w:rsidR="00745FEA" w:rsidTr="00745FEA">
              <w:tc>
                <w:tcPr>
                  <w:tcW w:w="2199" w:type="pct"/>
                  <w:shd w:val="clear" w:color="auto" w:fill="auto"/>
                </w:tcPr>
                <w:p w:rsidR="00745FEA" w:rsidRPr="004829A9" w:rsidRDefault="00745FEA" w:rsidP="00745FEA">
                  <w:pPr>
                    <w:pStyle w:val="TableBodyText"/>
                    <w:spacing w:after="0"/>
                    <w:ind w:left="113" w:right="0"/>
                    <w:jc w:val="left"/>
                    <w:rPr>
                      <w:i/>
                    </w:rPr>
                  </w:pPr>
                  <w:r w:rsidRPr="004829A9">
                    <w:rPr>
                      <w:i/>
                    </w:rPr>
                    <w:t>General R&amp;D measures</w:t>
                  </w: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199" w:type="pct"/>
                  <w:shd w:val="clear" w:color="auto" w:fill="auto"/>
                </w:tcPr>
                <w:p w:rsidR="00745FEA" w:rsidRPr="0094380B" w:rsidRDefault="00745FEA" w:rsidP="00745FEA">
                  <w:pPr>
                    <w:pStyle w:val="TableBodyText"/>
                    <w:spacing w:after="0"/>
                    <w:ind w:left="227" w:right="0"/>
                    <w:jc w:val="left"/>
                  </w:pPr>
                  <w:r w:rsidRPr="0094380B">
                    <w:t>Cooperative Research Centres</w:t>
                  </w:r>
                </w:p>
              </w:tc>
              <w:tc>
                <w:tcPr>
                  <w:tcW w:w="468" w:type="pct"/>
                  <w:vAlign w:val="bottom"/>
                </w:tcPr>
                <w:p w:rsidR="00745FEA" w:rsidRPr="006A5A26" w:rsidRDefault="00745FEA" w:rsidP="00745FEA">
                  <w:pPr>
                    <w:pStyle w:val="TableBodyText"/>
                    <w:ind w:right="57"/>
                  </w:pPr>
                  <w:r w:rsidRPr="006A5A26">
                    <w:t>9.5</w:t>
                  </w:r>
                </w:p>
              </w:tc>
              <w:tc>
                <w:tcPr>
                  <w:tcW w:w="467" w:type="pct"/>
                  <w:vAlign w:val="bottom"/>
                </w:tcPr>
                <w:p w:rsidR="00745FEA" w:rsidRPr="006A5A26" w:rsidRDefault="00745FEA" w:rsidP="00745FEA">
                  <w:pPr>
                    <w:pStyle w:val="TableBodyText"/>
                    <w:ind w:right="57"/>
                  </w:pPr>
                  <w:r w:rsidRPr="006A5A26">
                    <w:t>9.3</w:t>
                  </w:r>
                </w:p>
              </w:tc>
              <w:tc>
                <w:tcPr>
                  <w:tcW w:w="467" w:type="pct"/>
                  <w:vAlign w:val="bottom"/>
                </w:tcPr>
                <w:p w:rsidR="00745FEA" w:rsidRPr="006A5A26" w:rsidRDefault="00745FEA" w:rsidP="00745FEA">
                  <w:pPr>
                    <w:pStyle w:val="TableBodyText"/>
                    <w:ind w:right="57"/>
                  </w:pPr>
                  <w:r w:rsidRPr="006A5A26">
                    <w:t>6.9</w:t>
                  </w:r>
                </w:p>
              </w:tc>
              <w:tc>
                <w:tcPr>
                  <w:tcW w:w="467" w:type="pct"/>
                  <w:vAlign w:val="bottom"/>
                </w:tcPr>
                <w:p w:rsidR="00745FEA" w:rsidRPr="006A5A26" w:rsidRDefault="00745FEA" w:rsidP="00745FEA">
                  <w:pPr>
                    <w:pStyle w:val="TableBodyText"/>
                    <w:ind w:right="57"/>
                  </w:pPr>
                  <w:r w:rsidRPr="006A5A26">
                    <w:t>8.8</w:t>
                  </w:r>
                </w:p>
              </w:tc>
              <w:tc>
                <w:tcPr>
                  <w:tcW w:w="467" w:type="pct"/>
                  <w:shd w:val="clear" w:color="auto" w:fill="auto"/>
                  <w:vAlign w:val="bottom"/>
                </w:tcPr>
                <w:p w:rsidR="00745FEA" w:rsidRPr="006A5A26" w:rsidRDefault="00745FEA" w:rsidP="00745FEA">
                  <w:pPr>
                    <w:pStyle w:val="TableBodyText"/>
                    <w:ind w:right="57"/>
                  </w:pPr>
                  <w:r w:rsidRPr="006A5A26">
                    <w:t>4.6</w:t>
                  </w:r>
                </w:p>
              </w:tc>
              <w:tc>
                <w:tcPr>
                  <w:tcW w:w="465" w:type="pct"/>
                  <w:shd w:val="clear" w:color="auto" w:fill="auto"/>
                  <w:vAlign w:val="bottom"/>
                </w:tcPr>
                <w:p w:rsidR="00745FEA" w:rsidRPr="006A5A26" w:rsidRDefault="00745FEA" w:rsidP="00745FEA">
                  <w:pPr>
                    <w:pStyle w:val="TableBodyText"/>
                    <w:ind w:right="57"/>
                  </w:pPr>
                  <w:r w:rsidRPr="006A5A26">
                    <w:t>4.8</w:t>
                  </w:r>
                </w:p>
              </w:tc>
            </w:tr>
            <w:tr w:rsidR="00745FEA" w:rsidTr="00745FEA">
              <w:tc>
                <w:tcPr>
                  <w:tcW w:w="2199" w:type="pct"/>
                  <w:shd w:val="clear" w:color="auto" w:fill="auto"/>
                </w:tcPr>
                <w:p w:rsidR="00745FEA" w:rsidRPr="0094380B" w:rsidRDefault="00745FEA" w:rsidP="00745FEA">
                  <w:pPr>
                    <w:pStyle w:val="TableBodyText"/>
                    <w:spacing w:after="0"/>
                    <w:ind w:left="227" w:right="0"/>
                    <w:jc w:val="left"/>
                  </w:pPr>
                  <w:r w:rsidRPr="0094380B">
                    <w:t>CSIRO</w:t>
                  </w:r>
                </w:p>
              </w:tc>
              <w:tc>
                <w:tcPr>
                  <w:tcW w:w="468" w:type="pct"/>
                  <w:vAlign w:val="bottom"/>
                </w:tcPr>
                <w:p w:rsidR="00745FEA" w:rsidRPr="006A5A26" w:rsidRDefault="00745FEA" w:rsidP="00745FEA">
                  <w:pPr>
                    <w:pStyle w:val="TableBodyText"/>
                    <w:ind w:right="57"/>
                  </w:pPr>
                  <w:r w:rsidRPr="006A5A26">
                    <w:t>17.1</w:t>
                  </w:r>
                </w:p>
              </w:tc>
              <w:tc>
                <w:tcPr>
                  <w:tcW w:w="467" w:type="pct"/>
                  <w:vAlign w:val="bottom"/>
                </w:tcPr>
                <w:p w:rsidR="00745FEA" w:rsidRPr="006A5A26" w:rsidRDefault="00745FEA" w:rsidP="00745FEA">
                  <w:pPr>
                    <w:pStyle w:val="TableBodyText"/>
                    <w:ind w:right="57"/>
                  </w:pPr>
                  <w:r w:rsidRPr="006A5A26">
                    <w:t>15.5</w:t>
                  </w:r>
                </w:p>
              </w:tc>
              <w:tc>
                <w:tcPr>
                  <w:tcW w:w="467" w:type="pct"/>
                  <w:vAlign w:val="bottom"/>
                </w:tcPr>
                <w:p w:rsidR="00745FEA" w:rsidRPr="006A5A26" w:rsidRDefault="00745FEA" w:rsidP="00745FEA">
                  <w:pPr>
                    <w:pStyle w:val="TableBodyText"/>
                    <w:ind w:right="57"/>
                  </w:pPr>
                  <w:r w:rsidRPr="006A5A26">
                    <w:t>15.2</w:t>
                  </w:r>
                </w:p>
              </w:tc>
              <w:tc>
                <w:tcPr>
                  <w:tcW w:w="467" w:type="pct"/>
                  <w:vAlign w:val="bottom"/>
                </w:tcPr>
                <w:p w:rsidR="00745FEA" w:rsidRPr="006A5A26" w:rsidRDefault="00745FEA" w:rsidP="00745FEA">
                  <w:pPr>
                    <w:pStyle w:val="TableBodyText"/>
                    <w:ind w:right="57"/>
                  </w:pPr>
                  <w:r w:rsidRPr="006A5A26">
                    <w:t>18.9</w:t>
                  </w:r>
                </w:p>
              </w:tc>
              <w:tc>
                <w:tcPr>
                  <w:tcW w:w="467" w:type="pct"/>
                  <w:shd w:val="clear" w:color="auto" w:fill="auto"/>
                  <w:vAlign w:val="bottom"/>
                </w:tcPr>
                <w:p w:rsidR="00745FEA" w:rsidRPr="006A5A26" w:rsidRDefault="00745FEA" w:rsidP="00745FEA">
                  <w:pPr>
                    <w:pStyle w:val="TableBodyText"/>
                    <w:ind w:right="57"/>
                  </w:pPr>
                  <w:r w:rsidRPr="006A5A26">
                    <w:t>15.8</w:t>
                  </w:r>
                </w:p>
              </w:tc>
              <w:tc>
                <w:tcPr>
                  <w:tcW w:w="465" w:type="pct"/>
                  <w:shd w:val="clear" w:color="auto" w:fill="auto"/>
                  <w:vAlign w:val="bottom"/>
                </w:tcPr>
                <w:p w:rsidR="00745FEA" w:rsidRDefault="00745FEA" w:rsidP="00745FEA">
                  <w:pPr>
                    <w:pStyle w:val="TableBodyText"/>
                    <w:ind w:right="57"/>
                  </w:pPr>
                  <w:r w:rsidRPr="006A5A26">
                    <w:t>12.8</w:t>
                  </w:r>
                </w:p>
              </w:tc>
            </w:tr>
            <w:tr w:rsidR="00745FEA" w:rsidTr="00745FEA">
              <w:tc>
                <w:tcPr>
                  <w:tcW w:w="2199" w:type="pct"/>
                  <w:shd w:val="clear" w:color="auto" w:fill="auto"/>
                </w:tcPr>
                <w:p w:rsidR="00745FEA" w:rsidRPr="004829A9" w:rsidRDefault="00745FEA" w:rsidP="00745FEA">
                  <w:pPr>
                    <w:pStyle w:val="TableBodyText"/>
                    <w:spacing w:before="40" w:after="0"/>
                    <w:ind w:left="113"/>
                    <w:jc w:val="left"/>
                    <w:rPr>
                      <w:i/>
                    </w:rPr>
                  </w:pPr>
                  <w:r w:rsidRPr="004829A9">
                    <w:rPr>
                      <w:i/>
                    </w:rPr>
                    <w:t>Other measures</w:t>
                  </w: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199" w:type="pct"/>
                  <w:shd w:val="clear" w:color="auto" w:fill="auto"/>
                </w:tcPr>
                <w:p w:rsidR="00745FEA" w:rsidRPr="009D6B66" w:rsidRDefault="00745FEA" w:rsidP="00745FEA">
                  <w:pPr>
                    <w:pStyle w:val="TableBodyText"/>
                    <w:spacing w:after="0"/>
                    <w:ind w:left="227" w:right="0"/>
                    <w:jc w:val="left"/>
                  </w:pPr>
                  <w:r w:rsidRPr="009D6B66">
                    <w:t>Indigenous Carbon Farming Fund</w:t>
                  </w:r>
                </w:p>
              </w:tc>
              <w:tc>
                <w:tcPr>
                  <w:tcW w:w="468" w:type="pct"/>
                  <w:vAlign w:val="bottom"/>
                </w:tcPr>
                <w:p w:rsidR="00745FEA" w:rsidRPr="00EB2445" w:rsidRDefault="00745FEA" w:rsidP="00745FEA">
                  <w:pPr>
                    <w:pStyle w:val="TableBodyText"/>
                    <w:ind w:right="57"/>
                  </w:pPr>
                  <w:r w:rsidRPr="00EB2445">
                    <w:t>–</w:t>
                  </w:r>
                </w:p>
              </w:tc>
              <w:tc>
                <w:tcPr>
                  <w:tcW w:w="467" w:type="pct"/>
                  <w:vAlign w:val="bottom"/>
                </w:tcPr>
                <w:p w:rsidR="00745FEA" w:rsidRPr="00EB2445" w:rsidRDefault="00745FEA" w:rsidP="00745FEA">
                  <w:pPr>
                    <w:pStyle w:val="TableBodyText"/>
                    <w:ind w:right="57"/>
                  </w:pPr>
                  <w:r w:rsidRPr="00EB2445">
                    <w:t>0.9</w:t>
                  </w:r>
                </w:p>
              </w:tc>
              <w:tc>
                <w:tcPr>
                  <w:tcW w:w="467" w:type="pct"/>
                  <w:vAlign w:val="bottom"/>
                </w:tcPr>
                <w:p w:rsidR="00745FEA" w:rsidRPr="00EB2445" w:rsidRDefault="00745FEA" w:rsidP="00745FEA">
                  <w:pPr>
                    <w:pStyle w:val="TableBodyText"/>
                    <w:ind w:right="57"/>
                  </w:pPr>
                  <w:r w:rsidRPr="00EB2445">
                    <w:t>1.5</w:t>
                  </w:r>
                </w:p>
              </w:tc>
              <w:tc>
                <w:tcPr>
                  <w:tcW w:w="467" w:type="pct"/>
                  <w:vAlign w:val="bottom"/>
                </w:tcPr>
                <w:p w:rsidR="00745FEA" w:rsidRPr="00EB2445" w:rsidRDefault="00745FEA" w:rsidP="00745FEA">
                  <w:pPr>
                    <w:pStyle w:val="TableBodyText"/>
                    <w:ind w:right="57"/>
                  </w:pPr>
                  <w:r w:rsidRPr="00EB2445">
                    <w:t>0.4</w:t>
                  </w:r>
                </w:p>
              </w:tc>
              <w:tc>
                <w:tcPr>
                  <w:tcW w:w="467" w:type="pct"/>
                  <w:shd w:val="clear" w:color="auto" w:fill="auto"/>
                  <w:vAlign w:val="bottom"/>
                </w:tcPr>
                <w:p w:rsidR="00745FEA" w:rsidRPr="00EB2445" w:rsidRDefault="00745FEA" w:rsidP="00745FEA">
                  <w:pPr>
                    <w:pStyle w:val="TableBodyText"/>
                    <w:ind w:right="57"/>
                  </w:pPr>
                  <w:r w:rsidRPr="00EB2445">
                    <w:t>0.4</w:t>
                  </w:r>
                </w:p>
              </w:tc>
              <w:tc>
                <w:tcPr>
                  <w:tcW w:w="465" w:type="pct"/>
                  <w:shd w:val="clear" w:color="auto" w:fill="auto"/>
                  <w:vAlign w:val="bottom"/>
                </w:tcPr>
                <w:p w:rsidR="00745FEA" w:rsidRPr="00EB2445" w:rsidRDefault="00745FEA" w:rsidP="00745FEA">
                  <w:pPr>
                    <w:pStyle w:val="TableBodyText"/>
                    <w:ind w:right="57"/>
                  </w:pPr>
                  <w:r w:rsidRPr="00EB2445">
                    <w:t>0.4</w:t>
                  </w:r>
                </w:p>
              </w:tc>
            </w:tr>
            <w:tr w:rsidR="00745FEA" w:rsidTr="00745FEA">
              <w:tc>
                <w:tcPr>
                  <w:tcW w:w="2199" w:type="pct"/>
                  <w:shd w:val="clear" w:color="auto" w:fill="auto"/>
                </w:tcPr>
                <w:p w:rsidR="00745FEA" w:rsidRPr="009D6B66" w:rsidRDefault="00745FEA" w:rsidP="00745FEA">
                  <w:pPr>
                    <w:pStyle w:val="TableBodyText"/>
                    <w:spacing w:after="0"/>
                    <w:ind w:left="227" w:right="0"/>
                    <w:jc w:val="left"/>
                  </w:pPr>
                  <w:r w:rsidRPr="009D6B66">
                    <w:t>Temporary Assistance for Tasmanian Exporters</w:t>
                  </w:r>
                </w:p>
              </w:tc>
              <w:tc>
                <w:tcPr>
                  <w:tcW w:w="468" w:type="pct"/>
                  <w:vAlign w:val="bottom"/>
                </w:tcPr>
                <w:p w:rsidR="00745FEA" w:rsidRPr="00EB2445" w:rsidRDefault="00745FEA" w:rsidP="00745FEA">
                  <w:pPr>
                    <w:pStyle w:val="TableBodyText"/>
                    <w:ind w:right="57"/>
                  </w:pPr>
                  <w:r w:rsidRPr="00EB2445">
                    <w:t>2.0</w:t>
                  </w:r>
                </w:p>
              </w:tc>
              <w:tc>
                <w:tcPr>
                  <w:tcW w:w="467" w:type="pct"/>
                  <w:vAlign w:val="bottom"/>
                </w:tcPr>
                <w:p w:rsidR="00745FEA" w:rsidRPr="00EB2445" w:rsidRDefault="00745FEA" w:rsidP="00745FEA">
                  <w:pPr>
                    <w:pStyle w:val="TableBodyText"/>
                    <w:ind w:right="57"/>
                  </w:pPr>
                  <w:r w:rsidRPr="00EB2445">
                    <w:t>–</w:t>
                  </w:r>
                </w:p>
              </w:tc>
              <w:tc>
                <w:tcPr>
                  <w:tcW w:w="467" w:type="pct"/>
                  <w:vAlign w:val="bottom"/>
                </w:tcPr>
                <w:p w:rsidR="00745FEA" w:rsidRPr="00EB2445" w:rsidRDefault="00745FEA" w:rsidP="00745FEA">
                  <w:pPr>
                    <w:pStyle w:val="TableBodyText"/>
                    <w:ind w:right="57"/>
                  </w:pPr>
                  <w:r w:rsidRPr="00EB2445">
                    <w:t>–</w:t>
                  </w:r>
                </w:p>
              </w:tc>
              <w:tc>
                <w:tcPr>
                  <w:tcW w:w="467" w:type="pct"/>
                  <w:vAlign w:val="bottom"/>
                </w:tcPr>
                <w:p w:rsidR="00745FEA" w:rsidRPr="00EB2445" w:rsidRDefault="00745FEA" w:rsidP="00745FEA">
                  <w:pPr>
                    <w:pStyle w:val="TableBodyText"/>
                    <w:ind w:right="57"/>
                  </w:pPr>
                  <w:r w:rsidRPr="00EB2445">
                    <w:t>–</w:t>
                  </w:r>
                </w:p>
              </w:tc>
              <w:tc>
                <w:tcPr>
                  <w:tcW w:w="467" w:type="pct"/>
                  <w:shd w:val="clear" w:color="auto" w:fill="auto"/>
                  <w:vAlign w:val="bottom"/>
                </w:tcPr>
                <w:p w:rsidR="00745FEA" w:rsidRPr="00EB2445" w:rsidRDefault="00745FEA" w:rsidP="00745FEA">
                  <w:pPr>
                    <w:pStyle w:val="TableBodyText"/>
                    <w:ind w:right="57"/>
                  </w:pPr>
                  <w:r w:rsidRPr="00EB2445">
                    <w:t>–</w:t>
                  </w:r>
                </w:p>
              </w:tc>
              <w:tc>
                <w:tcPr>
                  <w:tcW w:w="465" w:type="pct"/>
                  <w:shd w:val="clear" w:color="auto" w:fill="auto"/>
                  <w:vAlign w:val="bottom"/>
                </w:tcPr>
                <w:p w:rsidR="00745FEA" w:rsidRPr="00EB2445" w:rsidRDefault="00745FEA" w:rsidP="00745FEA">
                  <w:pPr>
                    <w:pStyle w:val="TableBodyText"/>
                    <w:ind w:right="57"/>
                  </w:pPr>
                  <w:r w:rsidRPr="00EB2445">
                    <w:t>–</w:t>
                  </w:r>
                </w:p>
              </w:tc>
            </w:tr>
            <w:tr w:rsidR="00745FEA" w:rsidTr="00745FEA">
              <w:tc>
                <w:tcPr>
                  <w:tcW w:w="2199" w:type="pct"/>
                  <w:shd w:val="clear" w:color="auto" w:fill="auto"/>
                </w:tcPr>
                <w:p w:rsidR="00745FEA" w:rsidRPr="009D6B66" w:rsidRDefault="00745FEA" w:rsidP="00745FEA">
                  <w:pPr>
                    <w:pStyle w:val="TableBodyText"/>
                    <w:spacing w:after="0"/>
                    <w:ind w:left="227" w:right="0"/>
                    <w:jc w:val="left"/>
                  </w:pPr>
                  <w:r w:rsidRPr="009D6B66">
                    <w:t>Tasmanian Freight Equalisation Scheme</w:t>
                  </w:r>
                </w:p>
              </w:tc>
              <w:tc>
                <w:tcPr>
                  <w:tcW w:w="468" w:type="pct"/>
                  <w:vAlign w:val="bottom"/>
                </w:tcPr>
                <w:p w:rsidR="00745FEA" w:rsidRPr="00EB2445" w:rsidRDefault="00745FEA" w:rsidP="00745FEA">
                  <w:pPr>
                    <w:pStyle w:val="TableBodyText"/>
                    <w:ind w:right="57"/>
                  </w:pPr>
                  <w:r w:rsidRPr="00EB2445">
                    <w:t>13.3</w:t>
                  </w:r>
                </w:p>
              </w:tc>
              <w:tc>
                <w:tcPr>
                  <w:tcW w:w="467" w:type="pct"/>
                  <w:vAlign w:val="bottom"/>
                </w:tcPr>
                <w:p w:rsidR="00745FEA" w:rsidRPr="00EB2445" w:rsidRDefault="00745FEA" w:rsidP="00745FEA">
                  <w:pPr>
                    <w:pStyle w:val="TableBodyText"/>
                    <w:ind w:right="57"/>
                  </w:pPr>
                  <w:r w:rsidRPr="00EB2445">
                    <w:t>15.9</w:t>
                  </w:r>
                </w:p>
              </w:tc>
              <w:tc>
                <w:tcPr>
                  <w:tcW w:w="467" w:type="pct"/>
                  <w:vAlign w:val="bottom"/>
                </w:tcPr>
                <w:p w:rsidR="00745FEA" w:rsidRPr="00EB2445" w:rsidRDefault="00745FEA" w:rsidP="00745FEA">
                  <w:pPr>
                    <w:pStyle w:val="TableBodyText"/>
                    <w:ind w:right="57"/>
                  </w:pPr>
                  <w:r w:rsidRPr="00EB2445">
                    <w:t>14.6</w:t>
                  </w:r>
                </w:p>
              </w:tc>
              <w:tc>
                <w:tcPr>
                  <w:tcW w:w="467" w:type="pct"/>
                  <w:vAlign w:val="bottom"/>
                </w:tcPr>
                <w:p w:rsidR="00745FEA" w:rsidRPr="00EB2445" w:rsidRDefault="00745FEA" w:rsidP="00745FEA">
                  <w:pPr>
                    <w:pStyle w:val="TableBodyText"/>
                    <w:ind w:right="57"/>
                  </w:pPr>
                  <w:r w:rsidRPr="00EB2445">
                    <w:t>16.0</w:t>
                  </w:r>
                </w:p>
              </w:tc>
              <w:tc>
                <w:tcPr>
                  <w:tcW w:w="467" w:type="pct"/>
                  <w:shd w:val="clear" w:color="auto" w:fill="auto"/>
                  <w:vAlign w:val="bottom"/>
                </w:tcPr>
                <w:p w:rsidR="00745FEA" w:rsidRPr="00EB2445" w:rsidRDefault="00745FEA" w:rsidP="00745FEA">
                  <w:pPr>
                    <w:pStyle w:val="TableBodyText"/>
                    <w:ind w:right="57"/>
                  </w:pPr>
                  <w:r w:rsidRPr="00EB2445">
                    <w:t>18.6</w:t>
                  </w:r>
                </w:p>
              </w:tc>
              <w:tc>
                <w:tcPr>
                  <w:tcW w:w="465" w:type="pct"/>
                  <w:shd w:val="clear" w:color="auto" w:fill="auto"/>
                  <w:vAlign w:val="bottom"/>
                </w:tcPr>
                <w:p w:rsidR="00745FEA" w:rsidRDefault="00745FEA" w:rsidP="00745FEA">
                  <w:pPr>
                    <w:pStyle w:val="TableBodyText"/>
                    <w:ind w:right="57"/>
                  </w:pPr>
                  <w:r w:rsidRPr="00EB2445">
                    <w:t>19.7</w:t>
                  </w:r>
                </w:p>
              </w:tc>
            </w:tr>
            <w:tr w:rsidR="00745FEA" w:rsidRPr="00974E57" w:rsidTr="00745FEA">
              <w:tc>
                <w:tcPr>
                  <w:tcW w:w="2199" w:type="pct"/>
                  <w:shd w:val="clear" w:color="auto" w:fill="auto"/>
                  <w:vAlign w:val="bottom"/>
                </w:tcPr>
                <w:p w:rsidR="00745FEA" w:rsidRPr="00974E57" w:rsidRDefault="00745FEA" w:rsidP="00745FEA">
                  <w:pPr>
                    <w:spacing w:before="20" w:after="20"/>
                    <w:rPr>
                      <w:rFonts w:ascii="Arial" w:hAnsi="Arial" w:cs="Arial"/>
                      <w:i/>
                      <w:color w:val="000000"/>
                      <w:sz w:val="18"/>
                      <w:szCs w:val="18"/>
                    </w:rPr>
                  </w:pPr>
                  <w:r w:rsidRPr="00974E57">
                    <w:rPr>
                      <w:rFonts w:ascii="Arial" w:hAnsi="Arial" w:cs="Arial"/>
                      <w:i/>
                      <w:color w:val="000000"/>
                      <w:sz w:val="18"/>
                      <w:szCs w:val="18"/>
                    </w:rPr>
                    <w:t>Total</w:t>
                  </w:r>
                </w:p>
              </w:tc>
              <w:tc>
                <w:tcPr>
                  <w:tcW w:w="468" w:type="pct"/>
                  <w:vAlign w:val="bottom"/>
                </w:tcPr>
                <w:p w:rsidR="00745FEA" w:rsidRPr="008458E4" w:rsidRDefault="00745FEA" w:rsidP="00745FEA">
                  <w:pPr>
                    <w:pStyle w:val="TableBodyText"/>
                    <w:spacing w:before="20" w:after="20"/>
                    <w:ind w:right="57"/>
                    <w:rPr>
                      <w:i/>
                    </w:rPr>
                  </w:pPr>
                  <w:r>
                    <w:rPr>
                      <w:i/>
                    </w:rPr>
                    <w:t>354.3</w:t>
                  </w:r>
                </w:p>
              </w:tc>
              <w:tc>
                <w:tcPr>
                  <w:tcW w:w="467" w:type="pct"/>
                  <w:vAlign w:val="bottom"/>
                </w:tcPr>
                <w:p w:rsidR="00745FEA" w:rsidRPr="008458E4" w:rsidRDefault="00745FEA" w:rsidP="00745FEA">
                  <w:pPr>
                    <w:pStyle w:val="TableBodyText"/>
                    <w:spacing w:before="20" w:after="20"/>
                    <w:ind w:right="57"/>
                    <w:rPr>
                      <w:i/>
                    </w:rPr>
                  </w:pPr>
                  <w:r>
                    <w:rPr>
                      <w:i/>
                    </w:rPr>
                    <w:t>250.6</w:t>
                  </w:r>
                </w:p>
              </w:tc>
              <w:tc>
                <w:tcPr>
                  <w:tcW w:w="467" w:type="pct"/>
                  <w:vAlign w:val="bottom"/>
                </w:tcPr>
                <w:p w:rsidR="00745FEA" w:rsidRPr="008458E4" w:rsidRDefault="00745FEA" w:rsidP="00745FEA">
                  <w:pPr>
                    <w:pStyle w:val="TableBodyText"/>
                    <w:spacing w:before="20" w:after="20"/>
                    <w:ind w:right="57"/>
                    <w:rPr>
                      <w:i/>
                    </w:rPr>
                  </w:pPr>
                  <w:r>
                    <w:rPr>
                      <w:i/>
                    </w:rPr>
                    <w:t>228.1</w:t>
                  </w:r>
                </w:p>
              </w:tc>
              <w:tc>
                <w:tcPr>
                  <w:tcW w:w="467" w:type="pct"/>
                  <w:vAlign w:val="bottom"/>
                </w:tcPr>
                <w:p w:rsidR="00745FEA" w:rsidRPr="008458E4" w:rsidRDefault="00745FEA" w:rsidP="00745FEA">
                  <w:pPr>
                    <w:pStyle w:val="TableBodyText"/>
                    <w:spacing w:before="20" w:after="20"/>
                    <w:ind w:right="57"/>
                    <w:rPr>
                      <w:i/>
                    </w:rPr>
                  </w:pPr>
                  <w:r>
                    <w:rPr>
                      <w:i/>
                    </w:rPr>
                    <w:t>296.1</w:t>
                  </w:r>
                </w:p>
              </w:tc>
              <w:tc>
                <w:tcPr>
                  <w:tcW w:w="467" w:type="pct"/>
                  <w:shd w:val="clear" w:color="auto" w:fill="auto"/>
                  <w:vAlign w:val="bottom"/>
                </w:tcPr>
                <w:p w:rsidR="00745FEA" w:rsidRPr="008458E4" w:rsidRDefault="00745FEA" w:rsidP="00745FEA">
                  <w:pPr>
                    <w:pStyle w:val="TableBodyText"/>
                    <w:spacing w:before="20" w:after="20"/>
                    <w:ind w:right="57"/>
                    <w:rPr>
                      <w:i/>
                    </w:rPr>
                  </w:pPr>
                  <w:r>
                    <w:rPr>
                      <w:i/>
                    </w:rPr>
                    <w:t>226.7</w:t>
                  </w:r>
                </w:p>
              </w:tc>
              <w:tc>
                <w:tcPr>
                  <w:tcW w:w="465" w:type="pct"/>
                  <w:shd w:val="clear" w:color="auto" w:fill="auto"/>
                  <w:vAlign w:val="bottom"/>
                </w:tcPr>
                <w:p w:rsidR="00745FEA" w:rsidRPr="008458E4" w:rsidRDefault="00745FEA" w:rsidP="00745FEA">
                  <w:pPr>
                    <w:pStyle w:val="TableBodyText"/>
                    <w:spacing w:before="20" w:after="20"/>
                    <w:ind w:right="57"/>
                    <w:rPr>
                      <w:i/>
                    </w:rPr>
                  </w:pPr>
                  <w:r>
                    <w:rPr>
                      <w:i/>
                    </w:rPr>
                    <w:t>314.7</w:t>
                  </w:r>
                </w:p>
              </w:tc>
            </w:tr>
            <w:tr w:rsidR="00745FEA" w:rsidRPr="00527B68" w:rsidTr="00745FEA">
              <w:tc>
                <w:tcPr>
                  <w:tcW w:w="2199" w:type="pct"/>
                  <w:shd w:val="clear" w:color="auto" w:fill="auto"/>
                  <w:vAlign w:val="center"/>
                </w:tcPr>
                <w:p w:rsidR="00745FEA" w:rsidRPr="00527B68" w:rsidRDefault="00745FEA" w:rsidP="00745FEA">
                  <w:pPr>
                    <w:spacing w:before="80" w:after="40"/>
                    <w:rPr>
                      <w:rFonts w:asciiTheme="minorHAnsi" w:hAnsiTheme="minorHAnsi" w:cstheme="minorHAnsi"/>
                      <w:b/>
                      <w:bCs/>
                      <w:color w:val="000000"/>
                      <w:sz w:val="18"/>
                      <w:szCs w:val="18"/>
                    </w:rPr>
                  </w:pPr>
                  <w:r w:rsidRPr="00527B68">
                    <w:rPr>
                      <w:rFonts w:asciiTheme="minorHAnsi" w:hAnsiTheme="minorHAnsi" w:cstheme="minorHAnsi"/>
                      <w:b/>
                      <w:bCs/>
                      <w:color w:val="000000"/>
                      <w:sz w:val="18"/>
                      <w:szCs w:val="18"/>
                    </w:rPr>
                    <w:t>Total outlays</w:t>
                  </w:r>
                </w:p>
              </w:tc>
              <w:tc>
                <w:tcPr>
                  <w:tcW w:w="468" w:type="pct"/>
                  <w:vAlign w:val="center"/>
                </w:tcPr>
                <w:p w:rsidR="00745FEA" w:rsidRPr="00D00B19" w:rsidRDefault="00745FEA" w:rsidP="00745FEA">
                  <w:pPr>
                    <w:pStyle w:val="TableBodyText"/>
                    <w:spacing w:after="0"/>
                    <w:ind w:left="0" w:right="57"/>
                    <w:rPr>
                      <w:b/>
                    </w:rPr>
                  </w:pPr>
                  <w:r>
                    <w:rPr>
                      <w:b/>
                    </w:rPr>
                    <w:t>946.6</w:t>
                  </w:r>
                </w:p>
              </w:tc>
              <w:tc>
                <w:tcPr>
                  <w:tcW w:w="467" w:type="pct"/>
                  <w:vAlign w:val="center"/>
                </w:tcPr>
                <w:p w:rsidR="00745FEA" w:rsidRPr="00D00B19" w:rsidRDefault="00745FEA" w:rsidP="00745FEA">
                  <w:pPr>
                    <w:pStyle w:val="TableBodyText"/>
                    <w:spacing w:after="0"/>
                    <w:ind w:left="0" w:right="57"/>
                    <w:rPr>
                      <w:b/>
                    </w:rPr>
                  </w:pPr>
                  <w:r>
                    <w:rPr>
                      <w:b/>
                    </w:rPr>
                    <w:t>755.0</w:t>
                  </w:r>
                </w:p>
              </w:tc>
              <w:tc>
                <w:tcPr>
                  <w:tcW w:w="467" w:type="pct"/>
                  <w:vAlign w:val="center"/>
                </w:tcPr>
                <w:p w:rsidR="00745FEA" w:rsidRPr="007F3BB4" w:rsidRDefault="00745FEA" w:rsidP="00745FEA">
                  <w:pPr>
                    <w:pStyle w:val="TableBodyText"/>
                    <w:spacing w:after="0"/>
                    <w:ind w:left="0" w:right="57"/>
                    <w:rPr>
                      <w:b/>
                    </w:rPr>
                  </w:pPr>
                  <w:r>
                    <w:rPr>
                      <w:b/>
                    </w:rPr>
                    <w:t>793.5</w:t>
                  </w:r>
                </w:p>
              </w:tc>
              <w:tc>
                <w:tcPr>
                  <w:tcW w:w="467" w:type="pct"/>
                  <w:vAlign w:val="center"/>
                </w:tcPr>
                <w:p w:rsidR="00745FEA" w:rsidRPr="007F3BB4" w:rsidRDefault="00745FEA" w:rsidP="00745FEA">
                  <w:pPr>
                    <w:pStyle w:val="TableBodyText"/>
                    <w:spacing w:after="0"/>
                    <w:ind w:left="0" w:right="57"/>
                    <w:rPr>
                      <w:b/>
                    </w:rPr>
                  </w:pPr>
                  <w:r>
                    <w:rPr>
                      <w:b/>
                    </w:rPr>
                    <w:t>853.5</w:t>
                  </w:r>
                </w:p>
              </w:tc>
              <w:tc>
                <w:tcPr>
                  <w:tcW w:w="467" w:type="pct"/>
                  <w:shd w:val="clear" w:color="auto" w:fill="auto"/>
                  <w:vAlign w:val="center"/>
                </w:tcPr>
                <w:p w:rsidR="00745FEA" w:rsidRPr="007F3BB4" w:rsidRDefault="00745FEA" w:rsidP="00745FEA">
                  <w:pPr>
                    <w:pStyle w:val="TableBodyText"/>
                    <w:spacing w:after="0"/>
                    <w:ind w:left="0" w:right="57"/>
                    <w:rPr>
                      <w:b/>
                    </w:rPr>
                  </w:pPr>
                  <w:r>
                    <w:rPr>
                      <w:b/>
                    </w:rPr>
                    <w:t>776.0</w:t>
                  </w:r>
                </w:p>
              </w:tc>
              <w:tc>
                <w:tcPr>
                  <w:tcW w:w="465" w:type="pct"/>
                  <w:shd w:val="clear" w:color="auto" w:fill="auto"/>
                  <w:vAlign w:val="center"/>
                </w:tcPr>
                <w:p w:rsidR="00745FEA" w:rsidRPr="007F3BB4" w:rsidRDefault="00745FEA" w:rsidP="00745FEA">
                  <w:pPr>
                    <w:pStyle w:val="TableBodyText"/>
                    <w:spacing w:after="0"/>
                    <w:ind w:left="0" w:right="57"/>
                    <w:rPr>
                      <w:b/>
                    </w:rPr>
                  </w:pPr>
                  <w:r>
                    <w:rPr>
                      <w:b/>
                    </w:rPr>
                    <w:t>879.9</w:t>
                  </w:r>
                </w:p>
              </w:tc>
            </w:tr>
            <w:tr w:rsidR="00745FEA" w:rsidRPr="00527B68" w:rsidTr="00745FEA">
              <w:tc>
                <w:tcPr>
                  <w:tcW w:w="2199" w:type="pct"/>
                  <w:shd w:val="clear" w:color="auto" w:fill="auto"/>
                  <w:vAlign w:val="center"/>
                </w:tcPr>
                <w:p w:rsidR="00745FEA" w:rsidRPr="00527B68" w:rsidRDefault="00745FEA" w:rsidP="00745FEA">
                  <w:pPr>
                    <w:spacing w:before="80" w:after="40"/>
                    <w:rPr>
                      <w:rFonts w:asciiTheme="minorHAnsi" w:hAnsiTheme="minorHAnsi" w:cstheme="minorHAnsi"/>
                      <w:b/>
                      <w:bCs/>
                      <w:color w:val="000000"/>
                      <w:sz w:val="18"/>
                      <w:szCs w:val="18"/>
                    </w:rPr>
                  </w:pPr>
                  <w:r w:rsidRPr="00527B68">
                    <w:rPr>
                      <w:rFonts w:asciiTheme="minorHAnsi" w:hAnsiTheme="minorHAnsi" w:cstheme="minorHAnsi"/>
                      <w:b/>
                      <w:bCs/>
                      <w:color w:val="000000"/>
                      <w:sz w:val="18"/>
                      <w:szCs w:val="18"/>
                    </w:rPr>
                    <w:t>Total tax concessions</w:t>
                  </w:r>
                </w:p>
              </w:tc>
              <w:tc>
                <w:tcPr>
                  <w:tcW w:w="468" w:type="pct"/>
                  <w:vAlign w:val="center"/>
                </w:tcPr>
                <w:p w:rsidR="00745FEA" w:rsidRPr="00D00B19" w:rsidRDefault="00745FEA" w:rsidP="00745FEA">
                  <w:pPr>
                    <w:pStyle w:val="TableBodyText"/>
                    <w:spacing w:after="0"/>
                    <w:ind w:left="0" w:right="57"/>
                    <w:rPr>
                      <w:b/>
                    </w:rPr>
                  </w:pPr>
                  <w:r>
                    <w:rPr>
                      <w:b/>
                    </w:rPr>
                    <w:t>606.5</w:t>
                  </w:r>
                </w:p>
              </w:tc>
              <w:tc>
                <w:tcPr>
                  <w:tcW w:w="467" w:type="pct"/>
                  <w:vAlign w:val="center"/>
                </w:tcPr>
                <w:p w:rsidR="00745FEA" w:rsidRPr="00D00B19" w:rsidRDefault="00745FEA" w:rsidP="00745FEA">
                  <w:pPr>
                    <w:pStyle w:val="TableBodyText"/>
                    <w:spacing w:after="0"/>
                    <w:ind w:left="0" w:right="57"/>
                    <w:rPr>
                      <w:b/>
                    </w:rPr>
                  </w:pPr>
                  <w:r>
                    <w:rPr>
                      <w:b/>
                    </w:rPr>
                    <w:t>488.6</w:t>
                  </w:r>
                </w:p>
              </w:tc>
              <w:tc>
                <w:tcPr>
                  <w:tcW w:w="467" w:type="pct"/>
                  <w:vAlign w:val="center"/>
                </w:tcPr>
                <w:p w:rsidR="00745FEA" w:rsidRPr="007F3BB4" w:rsidRDefault="00745FEA" w:rsidP="00745FEA">
                  <w:pPr>
                    <w:pStyle w:val="TableBodyText"/>
                    <w:spacing w:after="0"/>
                    <w:ind w:left="0" w:right="57"/>
                    <w:rPr>
                      <w:b/>
                    </w:rPr>
                  </w:pPr>
                  <w:r>
                    <w:rPr>
                      <w:b/>
                    </w:rPr>
                    <w:t>507.3</w:t>
                  </w:r>
                </w:p>
              </w:tc>
              <w:tc>
                <w:tcPr>
                  <w:tcW w:w="467" w:type="pct"/>
                  <w:vAlign w:val="center"/>
                </w:tcPr>
                <w:p w:rsidR="00745FEA" w:rsidRPr="007F3BB4" w:rsidRDefault="00745FEA" w:rsidP="00745FEA">
                  <w:pPr>
                    <w:pStyle w:val="TableBodyText"/>
                    <w:spacing w:after="0"/>
                    <w:ind w:left="0" w:right="57"/>
                    <w:rPr>
                      <w:b/>
                    </w:rPr>
                  </w:pPr>
                  <w:r>
                    <w:rPr>
                      <w:b/>
                    </w:rPr>
                    <w:t>518.8</w:t>
                  </w:r>
                </w:p>
              </w:tc>
              <w:tc>
                <w:tcPr>
                  <w:tcW w:w="467" w:type="pct"/>
                  <w:shd w:val="clear" w:color="auto" w:fill="auto"/>
                  <w:vAlign w:val="center"/>
                </w:tcPr>
                <w:p w:rsidR="00745FEA" w:rsidRPr="007F3BB4" w:rsidRDefault="00745FEA" w:rsidP="00745FEA">
                  <w:pPr>
                    <w:pStyle w:val="TableBodyText"/>
                    <w:spacing w:after="0"/>
                    <w:ind w:left="0" w:right="57"/>
                    <w:rPr>
                      <w:b/>
                    </w:rPr>
                  </w:pPr>
                  <w:r>
                    <w:rPr>
                      <w:b/>
                    </w:rPr>
                    <w:t>598.3</w:t>
                  </w:r>
                </w:p>
              </w:tc>
              <w:tc>
                <w:tcPr>
                  <w:tcW w:w="465" w:type="pct"/>
                  <w:shd w:val="clear" w:color="auto" w:fill="auto"/>
                  <w:vAlign w:val="center"/>
                </w:tcPr>
                <w:p w:rsidR="00745FEA" w:rsidRPr="007F3BB4" w:rsidRDefault="00745FEA" w:rsidP="00745FEA">
                  <w:pPr>
                    <w:pStyle w:val="TableBodyText"/>
                    <w:spacing w:after="0"/>
                    <w:ind w:left="0" w:right="57"/>
                    <w:rPr>
                      <w:b/>
                    </w:rPr>
                  </w:pPr>
                  <w:r>
                    <w:rPr>
                      <w:b/>
                    </w:rPr>
                    <w:t>759.9</w:t>
                  </w:r>
                </w:p>
              </w:tc>
            </w:tr>
            <w:tr w:rsidR="00745FEA" w:rsidRPr="00527B68" w:rsidTr="00745FEA">
              <w:tc>
                <w:tcPr>
                  <w:tcW w:w="2199" w:type="pct"/>
                  <w:tcBorders>
                    <w:bottom w:val="single" w:sz="6" w:space="0" w:color="BFBFBF"/>
                  </w:tcBorders>
                  <w:shd w:val="clear" w:color="auto" w:fill="auto"/>
                  <w:vAlign w:val="center"/>
                </w:tcPr>
                <w:p w:rsidR="00745FEA" w:rsidRPr="00392784" w:rsidRDefault="00745FEA" w:rsidP="00745FEA">
                  <w:pPr>
                    <w:spacing w:before="80" w:after="40"/>
                    <w:rPr>
                      <w:rFonts w:asciiTheme="minorHAnsi" w:hAnsiTheme="minorHAnsi" w:cstheme="minorHAnsi"/>
                      <w:b/>
                      <w:bCs/>
                      <w:color w:val="000000"/>
                      <w:sz w:val="18"/>
                      <w:szCs w:val="18"/>
                    </w:rPr>
                  </w:pPr>
                  <w:r w:rsidRPr="00392784">
                    <w:rPr>
                      <w:rFonts w:asciiTheme="minorHAnsi" w:hAnsiTheme="minorHAnsi" w:cstheme="minorHAnsi"/>
                      <w:b/>
                      <w:bCs/>
                      <w:color w:val="000000"/>
                      <w:sz w:val="18"/>
                      <w:szCs w:val="18"/>
                    </w:rPr>
                    <w:t>Total budgetary assistance</w:t>
                  </w:r>
                </w:p>
              </w:tc>
              <w:tc>
                <w:tcPr>
                  <w:tcW w:w="468" w:type="pct"/>
                  <w:tcBorders>
                    <w:bottom w:val="single" w:sz="6" w:space="0" w:color="BFBFBF"/>
                  </w:tcBorders>
                  <w:vAlign w:val="center"/>
                </w:tcPr>
                <w:p w:rsidR="00745FEA" w:rsidRPr="00D00B19" w:rsidRDefault="00745FEA" w:rsidP="00745FEA">
                  <w:pPr>
                    <w:pStyle w:val="TableBodyText"/>
                    <w:spacing w:after="0"/>
                    <w:ind w:left="0" w:right="57"/>
                    <w:rPr>
                      <w:b/>
                    </w:rPr>
                  </w:pPr>
                  <w:r>
                    <w:rPr>
                      <w:b/>
                    </w:rPr>
                    <w:t>1553.1</w:t>
                  </w:r>
                </w:p>
              </w:tc>
              <w:tc>
                <w:tcPr>
                  <w:tcW w:w="467" w:type="pct"/>
                  <w:tcBorders>
                    <w:bottom w:val="single" w:sz="6" w:space="0" w:color="BFBFBF"/>
                  </w:tcBorders>
                  <w:vAlign w:val="center"/>
                </w:tcPr>
                <w:p w:rsidR="00745FEA" w:rsidRPr="00D00B19" w:rsidRDefault="00745FEA" w:rsidP="00745FEA">
                  <w:pPr>
                    <w:pStyle w:val="TableBodyText"/>
                    <w:spacing w:after="0"/>
                    <w:ind w:left="0" w:right="57"/>
                    <w:rPr>
                      <w:b/>
                    </w:rPr>
                  </w:pPr>
                  <w:r>
                    <w:rPr>
                      <w:b/>
                    </w:rPr>
                    <w:t>1243.6</w:t>
                  </w:r>
                </w:p>
              </w:tc>
              <w:tc>
                <w:tcPr>
                  <w:tcW w:w="467" w:type="pct"/>
                  <w:tcBorders>
                    <w:bottom w:val="single" w:sz="6" w:space="0" w:color="BFBFBF"/>
                  </w:tcBorders>
                  <w:vAlign w:val="center"/>
                </w:tcPr>
                <w:p w:rsidR="00745FEA" w:rsidRPr="007F3BB4" w:rsidRDefault="00745FEA" w:rsidP="00745FEA">
                  <w:pPr>
                    <w:pStyle w:val="TableBodyText"/>
                    <w:spacing w:after="0"/>
                    <w:ind w:left="0" w:right="57"/>
                    <w:rPr>
                      <w:b/>
                    </w:rPr>
                  </w:pPr>
                  <w:r>
                    <w:rPr>
                      <w:b/>
                    </w:rPr>
                    <w:t>1300.8</w:t>
                  </w:r>
                </w:p>
              </w:tc>
              <w:tc>
                <w:tcPr>
                  <w:tcW w:w="467" w:type="pct"/>
                  <w:tcBorders>
                    <w:bottom w:val="single" w:sz="6" w:space="0" w:color="BFBFBF"/>
                  </w:tcBorders>
                  <w:vAlign w:val="center"/>
                </w:tcPr>
                <w:p w:rsidR="00745FEA" w:rsidRPr="007F3BB4" w:rsidRDefault="00745FEA" w:rsidP="00745FEA">
                  <w:pPr>
                    <w:pStyle w:val="TableBodyText"/>
                    <w:spacing w:after="0"/>
                    <w:ind w:left="0" w:right="57"/>
                    <w:rPr>
                      <w:b/>
                    </w:rPr>
                  </w:pPr>
                  <w:r>
                    <w:rPr>
                      <w:b/>
                    </w:rPr>
                    <w:t>1372.3</w:t>
                  </w:r>
                </w:p>
              </w:tc>
              <w:tc>
                <w:tcPr>
                  <w:tcW w:w="467" w:type="pct"/>
                  <w:tcBorders>
                    <w:bottom w:val="single" w:sz="6" w:space="0" w:color="BFBFBF"/>
                  </w:tcBorders>
                  <w:shd w:val="clear" w:color="auto" w:fill="auto"/>
                  <w:vAlign w:val="center"/>
                </w:tcPr>
                <w:p w:rsidR="00745FEA" w:rsidRPr="007F3BB4" w:rsidRDefault="00745FEA" w:rsidP="00745FEA">
                  <w:pPr>
                    <w:pStyle w:val="TableBodyText"/>
                    <w:spacing w:after="0"/>
                    <w:ind w:left="0" w:right="57"/>
                    <w:rPr>
                      <w:b/>
                    </w:rPr>
                  </w:pPr>
                  <w:r>
                    <w:rPr>
                      <w:b/>
                    </w:rPr>
                    <w:t>1374.3</w:t>
                  </w:r>
                </w:p>
              </w:tc>
              <w:tc>
                <w:tcPr>
                  <w:tcW w:w="465" w:type="pct"/>
                  <w:tcBorders>
                    <w:bottom w:val="single" w:sz="6" w:space="0" w:color="BFBFBF"/>
                  </w:tcBorders>
                  <w:shd w:val="clear" w:color="auto" w:fill="auto"/>
                  <w:vAlign w:val="center"/>
                </w:tcPr>
                <w:p w:rsidR="00745FEA" w:rsidRPr="007F3BB4" w:rsidRDefault="00745FEA" w:rsidP="00745FEA">
                  <w:pPr>
                    <w:pStyle w:val="TableBodyText"/>
                    <w:spacing w:after="0"/>
                    <w:ind w:left="0" w:right="57"/>
                    <w:rPr>
                      <w:b/>
                    </w:rPr>
                  </w:pPr>
                  <w:r>
                    <w:rPr>
                      <w:b/>
                    </w:rPr>
                    <w:t>1639.8</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Pr="00BB580D" w:rsidRDefault="00745FEA" w:rsidP="00745FEA">
            <w:pPr>
              <w:pStyle w:val="Note"/>
              <w:rPr>
                <w:i/>
              </w:rPr>
            </w:pPr>
            <w:r w:rsidRPr="00BB580D">
              <w:t xml:space="preserve">– Nil. Figures may not add to totals due to rounding. </w:t>
            </w:r>
            <w:r w:rsidRPr="00BB580D">
              <w:rPr>
                <w:rStyle w:val="NoteLabel"/>
              </w:rPr>
              <w:t>a</w:t>
            </w:r>
            <w:r w:rsidRPr="00BB580D">
              <w:t xml:space="preserve"> The estimates are derived primarily from Australian Government departmental annual reports and Treasury’s Tax Expenditure Statements and unpublished information provided by relevant agencies. </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1B3DDD" w:rsidRDefault="00745FEA" w:rsidP="00745FEA">
      <w:pPr>
        <w:rPr>
          <w:szCs w:val="20"/>
        </w:rPr>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11</w:t>
            </w:r>
            <w:r>
              <w:tab/>
              <w:t>Australian Government budgetary assistance to mining, 2011</w:t>
            </w:r>
            <w:r>
              <w:noBreakHyphen/>
              <w:t>12 to 2016</w:t>
            </w:r>
            <w:r>
              <w:noBreakHyphen/>
              <w:t>17</w:t>
            </w:r>
            <w:r w:rsidRPr="0018442B">
              <w:rPr>
                <w:rStyle w:val="NoteLabel"/>
                <w:b/>
                <w:position w:val="10"/>
              </w:rPr>
              <w:t>a</w:t>
            </w:r>
          </w:p>
          <w:p w:rsidR="00745FEA" w:rsidRPr="00784A05" w:rsidRDefault="00745FEA" w:rsidP="00745FEA">
            <w:pPr>
              <w:pStyle w:val="Subtitle"/>
            </w:pPr>
            <w:r>
              <w:t>$ million (nominal)</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5"/>
              <w:gridCol w:w="794"/>
              <w:gridCol w:w="794"/>
              <w:gridCol w:w="794"/>
              <w:gridCol w:w="794"/>
              <w:gridCol w:w="791"/>
            </w:tblGrid>
            <w:tr w:rsidR="00745FEA" w:rsidTr="00C719FB">
              <w:trPr>
                <w:tblHeader/>
              </w:trPr>
              <w:tc>
                <w:tcPr>
                  <w:tcW w:w="22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Borders>
                    <w:top w:val="single" w:sz="6" w:space="0" w:color="BFBFBF"/>
                  </w:tcBorders>
                </w:tcPr>
                <w:p w:rsidR="00745FEA" w:rsidRPr="00952562" w:rsidRDefault="00745FEA" w:rsidP="00745FEA">
                  <w:pPr>
                    <w:pStyle w:val="TableUnitsRow"/>
                    <w:spacing w:after="0"/>
                    <w:ind w:left="113"/>
                    <w:jc w:val="left"/>
                    <w:rPr>
                      <w:i/>
                    </w:rPr>
                  </w:pPr>
                  <w:r w:rsidRPr="00952562">
                    <w:rPr>
                      <w:i/>
                    </w:rPr>
                    <w:t>Industry-specific measures</w:t>
                  </w: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8" w:type="pct"/>
                </w:tcPr>
                <w:p w:rsidR="00745FEA" w:rsidRPr="00E97103" w:rsidRDefault="00745FEA" w:rsidP="00745FEA">
                  <w:pPr>
                    <w:pStyle w:val="TableBodyText"/>
                    <w:spacing w:after="0"/>
                    <w:ind w:left="227" w:right="0"/>
                    <w:jc w:val="left"/>
                  </w:pPr>
                  <w:r w:rsidRPr="00E97103">
                    <w:t>Coal Mining Abatement Support Package</w:t>
                  </w:r>
                </w:p>
              </w:tc>
              <w:tc>
                <w:tcPr>
                  <w:tcW w:w="464" w:type="pct"/>
                  <w:vAlign w:val="bottom"/>
                </w:tcPr>
                <w:p w:rsidR="00745FEA" w:rsidRPr="00824EDE" w:rsidRDefault="00745FEA" w:rsidP="00745FEA">
                  <w:pPr>
                    <w:pStyle w:val="TableBodyText"/>
                    <w:ind w:right="57"/>
                  </w:pPr>
                  <w:r w:rsidRPr="00824EDE">
                    <w:t>–</w:t>
                  </w:r>
                </w:p>
              </w:tc>
              <w:tc>
                <w:tcPr>
                  <w:tcW w:w="464" w:type="pct"/>
                  <w:vAlign w:val="bottom"/>
                </w:tcPr>
                <w:p w:rsidR="00745FEA" w:rsidRPr="00824EDE" w:rsidRDefault="00745FEA" w:rsidP="00745FEA">
                  <w:pPr>
                    <w:pStyle w:val="TableBodyText"/>
                    <w:ind w:right="57"/>
                  </w:pPr>
                  <w:r w:rsidRPr="00824EDE">
                    <w:t>1.0</w:t>
                  </w:r>
                </w:p>
              </w:tc>
              <w:tc>
                <w:tcPr>
                  <w:tcW w:w="464" w:type="pct"/>
                  <w:vAlign w:val="bottom"/>
                </w:tcPr>
                <w:p w:rsidR="00745FEA" w:rsidRPr="00824EDE" w:rsidRDefault="00745FEA" w:rsidP="00745FEA">
                  <w:pPr>
                    <w:pStyle w:val="TableBodyText"/>
                    <w:ind w:right="57"/>
                  </w:pPr>
                  <w:r w:rsidRPr="00824EDE">
                    <w:t>24.0</w:t>
                  </w:r>
                </w:p>
              </w:tc>
              <w:tc>
                <w:tcPr>
                  <w:tcW w:w="464" w:type="pct"/>
                  <w:vAlign w:val="bottom"/>
                </w:tcPr>
                <w:p w:rsidR="00745FEA" w:rsidRPr="00824EDE" w:rsidRDefault="00745FEA" w:rsidP="00745FEA">
                  <w:pPr>
                    <w:pStyle w:val="TableBodyText"/>
                    <w:ind w:right="57"/>
                  </w:pPr>
                  <w:r w:rsidRPr="00824EDE">
                    <w:t>14.0</w:t>
                  </w:r>
                </w:p>
              </w:tc>
              <w:tc>
                <w:tcPr>
                  <w:tcW w:w="464" w:type="pct"/>
                  <w:vAlign w:val="bottom"/>
                </w:tcPr>
                <w:p w:rsidR="00745FEA" w:rsidRPr="00824EDE" w:rsidRDefault="00745FEA" w:rsidP="00745FEA">
                  <w:pPr>
                    <w:pStyle w:val="TableBodyText"/>
                    <w:ind w:right="57"/>
                  </w:pPr>
                  <w:r w:rsidRPr="00824EDE">
                    <w:t>–</w:t>
                  </w:r>
                </w:p>
              </w:tc>
              <w:tc>
                <w:tcPr>
                  <w:tcW w:w="462" w:type="pct"/>
                  <w:vAlign w:val="bottom"/>
                </w:tcPr>
                <w:p w:rsidR="00745FEA" w:rsidRPr="00824EDE" w:rsidRDefault="00745FEA" w:rsidP="00745FEA">
                  <w:pPr>
                    <w:pStyle w:val="TableBodyText"/>
                    <w:ind w:right="57"/>
                  </w:pPr>
                  <w:r w:rsidRPr="00824EDE">
                    <w:t>–</w:t>
                  </w:r>
                </w:p>
              </w:tc>
            </w:tr>
            <w:tr w:rsidR="00745FEA" w:rsidTr="00745FEA">
              <w:tc>
                <w:tcPr>
                  <w:tcW w:w="2218" w:type="pct"/>
                  <w:shd w:val="clear" w:color="auto" w:fill="auto"/>
                </w:tcPr>
                <w:p w:rsidR="00745FEA" w:rsidRPr="00E97103" w:rsidRDefault="00745FEA" w:rsidP="00745FEA">
                  <w:pPr>
                    <w:pStyle w:val="TableBodyText"/>
                    <w:spacing w:after="0"/>
                    <w:ind w:left="227" w:right="0"/>
                    <w:jc w:val="left"/>
                  </w:pPr>
                  <w:r w:rsidRPr="00E97103">
                    <w:t>Coal Sector Jobs Package</w:t>
                  </w:r>
                </w:p>
              </w:tc>
              <w:tc>
                <w:tcPr>
                  <w:tcW w:w="464" w:type="pct"/>
                  <w:vAlign w:val="bottom"/>
                </w:tcPr>
                <w:p w:rsidR="00745FEA" w:rsidRPr="00824EDE" w:rsidRDefault="00745FEA" w:rsidP="00745FEA">
                  <w:pPr>
                    <w:pStyle w:val="TableBodyText"/>
                    <w:ind w:right="57"/>
                  </w:pPr>
                  <w:r w:rsidRPr="00824EDE">
                    <w:t>218.8</w:t>
                  </w:r>
                </w:p>
              </w:tc>
              <w:tc>
                <w:tcPr>
                  <w:tcW w:w="464" w:type="pct"/>
                  <w:vAlign w:val="bottom"/>
                </w:tcPr>
                <w:p w:rsidR="00745FEA" w:rsidRPr="00824EDE" w:rsidRDefault="00745FEA" w:rsidP="00745FEA">
                  <w:pPr>
                    <w:pStyle w:val="TableBodyText"/>
                    <w:ind w:right="57"/>
                  </w:pPr>
                  <w:r w:rsidRPr="00824EDE">
                    <w:t>–</w:t>
                  </w:r>
                </w:p>
              </w:tc>
              <w:tc>
                <w:tcPr>
                  <w:tcW w:w="464" w:type="pct"/>
                  <w:vAlign w:val="bottom"/>
                </w:tcPr>
                <w:p w:rsidR="00745FEA" w:rsidRPr="00824EDE" w:rsidRDefault="00745FEA" w:rsidP="00745FEA">
                  <w:pPr>
                    <w:pStyle w:val="TableBodyText"/>
                    <w:ind w:right="57"/>
                  </w:pPr>
                  <w:r w:rsidRPr="00824EDE">
                    <w:t>–</w:t>
                  </w:r>
                </w:p>
              </w:tc>
              <w:tc>
                <w:tcPr>
                  <w:tcW w:w="464" w:type="pct"/>
                  <w:vAlign w:val="bottom"/>
                </w:tcPr>
                <w:p w:rsidR="00745FEA" w:rsidRPr="00824EDE" w:rsidRDefault="00745FEA" w:rsidP="00745FEA">
                  <w:pPr>
                    <w:pStyle w:val="TableBodyText"/>
                    <w:ind w:right="57"/>
                  </w:pPr>
                  <w:r w:rsidRPr="00824EDE">
                    <w:t>–</w:t>
                  </w:r>
                </w:p>
              </w:tc>
              <w:tc>
                <w:tcPr>
                  <w:tcW w:w="464" w:type="pct"/>
                  <w:vAlign w:val="bottom"/>
                </w:tcPr>
                <w:p w:rsidR="00745FEA" w:rsidRPr="00824EDE" w:rsidRDefault="00745FEA" w:rsidP="00745FEA">
                  <w:pPr>
                    <w:pStyle w:val="TableBodyText"/>
                    <w:ind w:right="57"/>
                  </w:pPr>
                  <w:r w:rsidRPr="00824EDE">
                    <w:t>–</w:t>
                  </w:r>
                </w:p>
              </w:tc>
              <w:tc>
                <w:tcPr>
                  <w:tcW w:w="462" w:type="pct"/>
                  <w:shd w:val="clear" w:color="auto" w:fill="auto"/>
                  <w:vAlign w:val="bottom"/>
                </w:tcPr>
                <w:p w:rsidR="00745FEA" w:rsidRPr="00824EDE" w:rsidRDefault="00745FEA" w:rsidP="00745FEA">
                  <w:pPr>
                    <w:pStyle w:val="TableBodyText"/>
                    <w:ind w:right="57"/>
                  </w:pPr>
                  <w:r w:rsidRPr="00824EDE">
                    <w:t>–</w:t>
                  </w:r>
                </w:p>
              </w:tc>
            </w:tr>
            <w:tr w:rsidR="00745FEA" w:rsidTr="00745FEA">
              <w:tc>
                <w:tcPr>
                  <w:tcW w:w="2218" w:type="pct"/>
                  <w:shd w:val="clear" w:color="auto" w:fill="auto"/>
                </w:tcPr>
                <w:p w:rsidR="00745FEA" w:rsidRPr="00E97103" w:rsidRDefault="00745FEA" w:rsidP="00745FEA">
                  <w:pPr>
                    <w:pStyle w:val="TableBodyText"/>
                    <w:spacing w:after="0"/>
                    <w:ind w:left="227" w:right="0"/>
                    <w:jc w:val="left"/>
                  </w:pPr>
                  <w:r w:rsidRPr="00E97103">
                    <w:t>National Low Emissions Coal Initiative</w:t>
                  </w:r>
                </w:p>
              </w:tc>
              <w:tc>
                <w:tcPr>
                  <w:tcW w:w="464" w:type="pct"/>
                  <w:vAlign w:val="bottom"/>
                </w:tcPr>
                <w:p w:rsidR="00745FEA" w:rsidRPr="00824EDE" w:rsidRDefault="00745FEA" w:rsidP="00745FEA">
                  <w:pPr>
                    <w:pStyle w:val="TableBodyText"/>
                    <w:ind w:right="57"/>
                  </w:pPr>
                  <w:r w:rsidRPr="00824EDE">
                    <w:t>25.6</w:t>
                  </w:r>
                </w:p>
              </w:tc>
              <w:tc>
                <w:tcPr>
                  <w:tcW w:w="464" w:type="pct"/>
                  <w:vAlign w:val="bottom"/>
                </w:tcPr>
                <w:p w:rsidR="00745FEA" w:rsidRPr="00824EDE" w:rsidRDefault="00745FEA" w:rsidP="00745FEA">
                  <w:pPr>
                    <w:pStyle w:val="TableBodyText"/>
                    <w:ind w:right="57"/>
                  </w:pPr>
                  <w:r w:rsidRPr="00824EDE">
                    <w:t>22.4</w:t>
                  </w:r>
                </w:p>
              </w:tc>
              <w:tc>
                <w:tcPr>
                  <w:tcW w:w="464" w:type="pct"/>
                  <w:vAlign w:val="bottom"/>
                </w:tcPr>
                <w:p w:rsidR="00745FEA" w:rsidRPr="00824EDE" w:rsidRDefault="00745FEA" w:rsidP="00745FEA">
                  <w:pPr>
                    <w:pStyle w:val="TableBodyText"/>
                    <w:ind w:right="57"/>
                  </w:pPr>
                  <w:r w:rsidRPr="00824EDE">
                    <w:t>43.8</w:t>
                  </w:r>
                </w:p>
              </w:tc>
              <w:tc>
                <w:tcPr>
                  <w:tcW w:w="464" w:type="pct"/>
                  <w:vAlign w:val="bottom"/>
                </w:tcPr>
                <w:p w:rsidR="00745FEA" w:rsidRPr="00824EDE" w:rsidRDefault="00745FEA" w:rsidP="00745FEA">
                  <w:pPr>
                    <w:pStyle w:val="TableBodyText"/>
                    <w:ind w:right="57"/>
                  </w:pPr>
                  <w:r w:rsidRPr="00824EDE">
                    <w:t>31.6</w:t>
                  </w:r>
                </w:p>
              </w:tc>
              <w:tc>
                <w:tcPr>
                  <w:tcW w:w="464" w:type="pct"/>
                  <w:vAlign w:val="bottom"/>
                </w:tcPr>
                <w:p w:rsidR="00745FEA" w:rsidRPr="00824EDE" w:rsidRDefault="00745FEA" w:rsidP="00745FEA">
                  <w:pPr>
                    <w:pStyle w:val="TableBodyText"/>
                    <w:ind w:right="57"/>
                  </w:pPr>
                  <w:r w:rsidRPr="00824EDE">
                    <w:t>4.4</w:t>
                  </w:r>
                </w:p>
              </w:tc>
              <w:tc>
                <w:tcPr>
                  <w:tcW w:w="462" w:type="pct"/>
                  <w:shd w:val="clear" w:color="auto" w:fill="auto"/>
                  <w:vAlign w:val="bottom"/>
                </w:tcPr>
                <w:p w:rsidR="00745FEA" w:rsidRDefault="00745FEA" w:rsidP="00745FEA">
                  <w:pPr>
                    <w:pStyle w:val="TableBodyText"/>
                    <w:ind w:right="57"/>
                  </w:pPr>
                  <w:r w:rsidRPr="00824EDE">
                    <w:t>0.6</w:t>
                  </w:r>
                </w:p>
              </w:tc>
            </w:tr>
            <w:tr w:rsidR="00745FEA" w:rsidTr="00745FEA">
              <w:tc>
                <w:tcPr>
                  <w:tcW w:w="2218" w:type="pct"/>
                  <w:shd w:val="clear" w:color="auto" w:fill="auto"/>
                </w:tcPr>
                <w:p w:rsidR="00745FEA" w:rsidRPr="00952562" w:rsidRDefault="00745FEA" w:rsidP="00745FEA">
                  <w:pPr>
                    <w:pStyle w:val="TableBodyText"/>
                    <w:spacing w:before="40" w:after="0"/>
                    <w:ind w:left="113"/>
                    <w:jc w:val="left"/>
                    <w:rPr>
                      <w:i/>
                    </w:rPr>
                  </w:pPr>
                  <w:r w:rsidRPr="00952562">
                    <w:rPr>
                      <w:i/>
                    </w:rPr>
                    <w:t>Sector-specific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76205A" w:rsidRDefault="00745FEA" w:rsidP="00745FEA">
                  <w:pPr>
                    <w:pStyle w:val="TableBodyText"/>
                    <w:spacing w:after="0"/>
                    <w:ind w:left="227" w:right="0"/>
                    <w:jc w:val="left"/>
                  </w:pPr>
                  <w:r w:rsidRPr="0076205A">
                    <w:t>Industry Growth Centres</w:t>
                  </w:r>
                </w:p>
              </w:tc>
              <w:tc>
                <w:tcPr>
                  <w:tcW w:w="464" w:type="pct"/>
                  <w:vAlign w:val="bottom"/>
                </w:tcPr>
                <w:p w:rsidR="00745FEA" w:rsidRPr="002F0777" w:rsidRDefault="00745FEA" w:rsidP="00745FEA">
                  <w:pPr>
                    <w:pStyle w:val="TableBodyText"/>
                    <w:ind w:right="57"/>
                  </w:pPr>
                  <w:r w:rsidRPr="002F0777">
                    <w:t>–</w:t>
                  </w:r>
                </w:p>
              </w:tc>
              <w:tc>
                <w:tcPr>
                  <w:tcW w:w="464" w:type="pct"/>
                  <w:vAlign w:val="bottom"/>
                </w:tcPr>
                <w:p w:rsidR="00745FEA" w:rsidRPr="002F0777" w:rsidRDefault="00745FEA" w:rsidP="00745FEA">
                  <w:pPr>
                    <w:pStyle w:val="TableBodyText"/>
                    <w:ind w:right="57"/>
                  </w:pPr>
                  <w:r w:rsidRPr="002F0777">
                    <w:t>–</w:t>
                  </w:r>
                </w:p>
              </w:tc>
              <w:tc>
                <w:tcPr>
                  <w:tcW w:w="464" w:type="pct"/>
                  <w:vAlign w:val="bottom"/>
                </w:tcPr>
                <w:p w:rsidR="00745FEA" w:rsidRPr="002F0777" w:rsidRDefault="00745FEA" w:rsidP="00745FEA">
                  <w:pPr>
                    <w:pStyle w:val="TableBodyText"/>
                    <w:ind w:right="57"/>
                  </w:pPr>
                  <w:r w:rsidRPr="002F0777">
                    <w:t>–</w:t>
                  </w:r>
                </w:p>
              </w:tc>
              <w:tc>
                <w:tcPr>
                  <w:tcW w:w="464" w:type="pct"/>
                  <w:vAlign w:val="bottom"/>
                </w:tcPr>
                <w:p w:rsidR="00745FEA" w:rsidRPr="002F0777" w:rsidRDefault="00745FEA" w:rsidP="00745FEA">
                  <w:pPr>
                    <w:pStyle w:val="TableBodyText"/>
                    <w:ind w:right="57"/>
                  </w:pPr>
                  <w:r w:rsidRPr="002F0777">
                    <w:t>0.6</w:t>
                  </w:r>
                </w:p>
              </w:tc>
              <w:tc>
                <w:tcPr>
                  <w:tcW w:w="464" w:type="pct"/>
                  <w:vAlign w:val="bottom"/>
                </w:tcPr>
                <w:p w:rsidR="00745FEA" w:rsidRPr="002F0777" w:rsidRDefault="00745FEA" w:rsidP="00745FEA">
                  <w:pPr>
                    <w:pStyle w:val="TableBodyText"/>
                    <w:ind w:right="57"/>
                  </w:pPr>
                  <w:r w:rsidRPr="002F0777">
                    <w:t>4.3</w:t>
                  </w:r>
                </w:p>
              </w:tc>
              <w:tc>
                <w:tcPr>
                  <w:tcW w:w="462" w:type="pct"/>
                  <w:shd w:val="clear" w:color="auto" w:fill="auto"/>
                  <w:vAlign w:val="bottom"/>
                </w:tcPr>
                <w:p w:rsidR="00745FEA" w:rsidRPr="002F0777" w:rsidRDefault="00745FEA" w:rsidP="00745FEA">
                  <w:pPr>
                    <w:pStyle w:val="TableBodyText"/>
                    <w:ind w:right="57"/>
                  </w:pPr>
                  <w:r w:rsidRPr="002F0777">
                    <w:t>7.3</w:t>
                  </w:r>
                </w:p>
              </w:tc>
            </w:tr>
            <w:tr w:rsidR="00745FEA" w:rsidTr="00745FEA">
              <w:tc>
                <w:tcPr>
                  <w:tcW w:w="2218" w:type="pct"/>
                  <w:shd w:val="clear" w:color="auto" w:fill="auto"/>
                </w:tcPr>
                <w:p w:rsidR="00745FEA" w:rsidRPr="0076205A" w:rsidRDefault="00745FEA" w:rsidP="00745FEA">
                  <w:pPr>
                    <w:pStyle w:val="TableBodyText"/>
                    <w:spacing w:after="0"/>
                    <w:ind w:left="227" w:right="0"/>
                    <w:jc w:val="left"/>
                  </w:pPr>
                  <w:r w:rsidRPr="0076205A">
                    <w:t>Capital expenditure deduction for mining</w:t>
                  </w:r>
                </w:p>
              </w:tc>
              <w:tc>
                <w:tcPr>
                  <w:tcW w:w="464" w:type="pct"/>
                  <w:vAlign w:val="bottom"/>
                </w:tcPr>
                <w:p w:rsidR="00745FEA" w:rsidRPr="002F0777" w:rsidRDefault="00745FEA" w:rsidP="00745FEA">
                  <w:pPr>
                    <w:pStyle w:val="TableBodyText"/>
                    <w:ind w:right="57"/>
                  </w:pPr>
                  <w:r w:rsidRPr="002F0777">
                    <w:t>2.0</w:t>
                  </w:r>
                </w:p>
              </w:tc>
              <w:tc>
                <w:tcPr>
                  <w:tcW w:w="464" w:type="pct"/>
                  <w:vAlign w:val="bottom"/>
                </w:tcPr>
                <w:p w:rsidR="00745FEA" w:rsidRPr="002F0777" w:rsidRDefault="00745FEA" w:rsidP="00745FEA">
                  <w:pPr>
                    <w:pStyle w:val="TableBodyText"/>
                    <w:ind w:right="57"/>
                  </w:pPr>
                  <w:r w:rsidRPr="002F0777">
                    <w:t>2.0</w:t>
                  </w:r>
                </w:p>
              </w:tc>
              <w:tc>
                <w:tcPr>
                  <w:tcW w:w="464" w:type="pct"/>
                  <w:vAlign w:val="bottom"/>
                </w:tcPr>
                <w:p w:rsidR="00745FEA" w:rsidRPr="002F0777" w:rsidRDefault="00745FEA" w:rsidP="00745FEA">
                  <w:pPr>
                    <w:pStyle w:val="TableBodyText"/>
                    <w:ind w:right="57"/>
                  </w:pPr>
                  <w:r w:rsidRPr="002F0777">
                    <w:t>2.0</w:t>
                  </w:r>
                </w:p>
              </w:tc>
              <w:tc>
                <w:tcPr>
                  <w:tcW w:w="464" w:type="pct"/>
                  <w:vAlign w:val="bottom"/>
                </w:tcPr>
                <w:p w:rsidR="00745FEA" w:rsidRPr="002F0777" w:rsidRDefault="00745FEA" w:rsidP="00745FEA">
                  <w:pPr>
                    <w:pStyle w:val="TableBodyText"/>
                    <w:ind w:right="57"/>
                  </w:pPr>
                  <w:r w:rsidRPr="002F0777">
                    <w:t>2.0</w:t>
                  </w:r>
                </w:p>
              </w:tc>
              <w:tc>
                <w:tcPr>
                  <w:tcW w:w="464" w:type="pct"/>
                  <w:vAlign w:val="bottom"/>
                </w:tcPr>
                <w:p w:rsidR="00745FEA" w:rsidRPr="002F0777" w:rsidRDefault="00745FEA" w:rsidP="00745FEA">
                  <w:pPr>
                    <w:pStyle w:val="TableBodyText"/>
                    <w:ind w:right="57"/>
                  </w:pPr>
                  <w:r w:rsidRPr="002F0777">
                    <w:t>2.0</w:t>
                  </w:r>
                </w:p>
              </w:tc>
              <w:tc>
                <w:tcPr>
                  <w:tcW w:w="462" w:type="pct"/>
                  <w:shd w:val="clear" w:color="auto" w:fill="auto"/>
                  <w:vAlign w:val="bottom"/>
                </w:tcPr>
                <w:p w:rsidR="00745FEA" w:rsidRPr="002F0777" w:rsidRDefault="00745FEA" w:rsidP="00745FEA">
                  <w:pPr>
                    <w:pStyle w:val="TableBodyText"/>
                    <w:ind w:right="57"/>
                  </w:pPr>
                  <w:r w:rsidRPr="002F0777">
                    <w:t>–</w:t>
                  </w:r>
                </w:p>
              </w:tc>
            </w:tr>
            <w:tr w:rsidR="00745FEA" w:rsidTr="00745FEA">
              <w:tc>
                <w:tcPr>
                  <w:tcW w:w="2218" w:type="pct"/>
                  <w:shd w:val="clear" w:color="auto" w:fill="auto"/>
                </w:tcPr>
                <w:p w:rsidR="00745FEA" w:rsidRPr="0076205A" w:rsidRDefault="00745FEA" w:rsidP="00745FEA">
                  <w:pPr>
                    <w:pStyle w:val="TableBodyText"/>
                    <w:spacing w:after="0"/>
                    <w:ind w:left="227" w:right="0"/>
                    <w:jc w:val="left"/>
                  </w:pPr>
                  <w:r w:rsidRPr="007505B6">
                    <w:t>Exploration Development Incentive</w:t>
                  </w:r>
                </w:p>
              </w:tc>
              <w:tc>
                <w:tcPr>
                  <w:tcW w:w="464" w:type="pct"/>
                  <w:vAlign w:val="bottom"/>
                </w:tcPr>
                <w:p w:rsidR="00745FEA" w:rsidRPr="002F0777" w:rsidRDefault="00745FEA" w:rsidP="00745FEA">
                  <w:pPr>
                    <w:pStyle w:val="TableBodyText"/>
                    <w:ind w:right="57"/>
                  </w:pPr>
                  <w:r w:rsidRPr="002F0777">
                    <w:t>–</w:t>
                  </w:r>
                </w:p>
              </w:tc>
              <w:tc>
                <w:tcPr>
                  <w:tcW w:w="464" w:type="pct"/>
                  <w:vAlign w:val="bottom"/>
                </w:tcPr>
                <w:p w:rsidR="00745FEA" w:rsidRPr="002F0777" w:rsidRDefault="00745FEA" w:rsidP="00745FEA">
                  <w:pPr>
                    <w:pStyle w:val="TableBodyText"/>
                    <w:ind w:right="57"/>
                  </w:pPr>
                  <w:r w:rsidRPr="002F0777">
                    <w:t>–</w:t>
                  </w:r>
                </w:p>
              </w:tc>
              <w:tc>
                <w:tcPr>
                  <w:tcW w:w="464" w:type="pct"/>
                  <w:vAlign w:val="bottom"/>
                </w:tcPr>
                <w:p w:rsidR="00745FEA" w:rsidRPr="002F0777" w:rsidRDefault="00745FEA" w:rsidP="00745FEA">
                  <w:pPr>
                    <w:pStyle w:val="TableBodyText"/>
                    <w:ind w:right="57"/>
                  </w:pPr>
                  <w:r w:rsidRPr="002F0777">
                    <w:t>–</w:t>
                  </w:r>
                </w:p>
              </w:tc>
              <w:tc>
                <w:tcPr>
                  <w:tcW w:w="464" w:type="pct"/>
                  <w:vAlign w:val="bottom"/>
                </w:tcPr>
                <w:p w:rsidR="00745FEA" w:rsidRPr="002F0777" w:rsidRDefault="00745FEA" w:rsidP="00745FEA">
                  <w:pPr>
                    <w:pStyle w:val="TableBodyText"/>
                    <w:ind w:right="57"/>
                  </w:pPr>
                  <w:r w:rsidRPr="002F0777">
                    <w:t>21.1</w:t>
                  </w:r>
                </w:p>
              </w:tc>
              <w:tc>
                <w:tcPr>
                  <w:tcW w:w="464" w:type="pct"/>
                  <w:vAlign w:val="bottom"/>
                </w:tcPr>
                <w:p w:rsidR="00745FEA" w:rsidRPr="002F0777" w:rsidRDefault="00745FEA" w:rsidP="00745FEA">
                  <w:pPr>
                    <w:pStyle w:val="TableBodyText"/>
                    <w:ind w:right="57"/>
                  </w:pPr>
                  <w:r w:rsidRPr="002F0777">
                    <w:t>13.7</w:t>
                  </w:r>
                </w:p>
              </w:tc>
              <w:tc>
                <w:tcPr>
                  <w:tcW w:w="462" w:type="pct"/>
                  <w:shd w:val="clear" w:color="auto" w:fill="auto"/>
                  <w:vAlign w:val="bottom"/>
                </w:tcPr>
                <w:p w:rsidR="00745FEA" w:rsidRDefault="00745FEA" w:rsidP="00745FEA">
                  <w:pPr>
                    <w:pStyle w:val="TableBodyText"/>
                    <w:ind w:right="57"/>
                  </w:pPr>
                  <w:r w:rsidRPr="002F0777">
                    <w:t>13.3</w:t>
                  </w:r>
                </w:p>
              </w:tc>
            </w:tr>
            <w:tr w:rsidR="00745FEA" w:rsidTr="00745FEA">
              <w:tc>
                <w:tcPr>
                  <w:tcW w:w="2218" w:type="pct"/>
                  <w:shd w:val="clear" w:color="auto" w:fill="auto"/>
                </w:tcPr>
                <w:p w:rsidR="00745FEA" w:rsidRPr="00952562" w:rsidRDefault="00745FEA" w:rsidP="00745FEA">
                  <w:pPr>
                    <w:pStyle w:val="TableBodyText"/>
                    <w:spacing w:before="40" w:after="0"/>
                    <w:ind w:left="113"/>
                    <w:jc w:val="left"/>
                    <w:rPr>
                      <w:i/>
                    </w:rPr>
                  </w:pPr>
                  <w:r w:rsidRPr="00952562">
                    <w:rPr>
                      <w:i/>
                    </w:rPr>
                    <w:t>General export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87465D" w:rsidRDefault="00745FEA" w:rsidP="00745FEA">
                  <w:pPr>
                    <w:pStyle w:val="TableBodyText"/>
                    <w:spacing w:after="0"/>
                    <w:ind w:left="227" w:right="0"/>
                    <w:jc w:val="left"/>
                  </w:pPr>
                  <w:r w:rsidRPr="0087465D">
                    <w:t>Export Market Development Grants Scheme</w:t>
                  </w:r>
                </w:p>
              </w:tc>
              <w:tc>
                <w:tcPr>
                  <w:tcW w:w="464" w:type="pct"/>
                  <w:vAlign w:val="bottom"/>
                </w:tcPr>
                <w:p w:rsidR="00745FEA" w:rsidRPr="004063F1" w:rsidRDefault="00745FEA" w:rsidP="00745FEA">
                  <w:pPr>
                    <w:pStyle w:val="TableBodyText"/>
                    <w:ind w:right="57"/>
                  </w:pPr>
                  <w:r w:rsidRPr="004063F1">
                    <w:t>1.8</w:t>
                  </w:r>
                </w:p>
              </w:tc>
              <w:tc>
                <w:tcPr>
                  <w:tcW w:w="464" w:type="pct"/>
                  <w:vAlign w:val="bottom"/>
                </w:tcPr>
                <w:p w:rsidR="00745FEA" w:rsidRPr="004063F1" w:rsidRDefault="00745FEA" w:rsidP="00745FEA">
                  <w:pPr>
                    <w:pStyle w:val="TableBodyText"/>
                    <w:ind w:right="57"/>
                  </w:pPr>
                  <w:r w:rsidRPr="004063F1">
                    <w:t>1.2</w:t>
                  </w:r>
                </w:p>
              </w:tc>
              <w:tc>
                <w:tcPr>
                  <w:tcW w:w="464" w:type="pct"/>
                  <w:vAlign w:val="bottom"/>
                </w:tcPr>
                <w:p w:rsidR="00745FEA" w:rsidRPr="004063F1" w:rsidRDefault="00745FEA" w:rsidP="00745FEA">
                  <w:pPr>
                    <w:pStyle w:val="TableBodyText"/>
                    <w:ind w:right="57"/>
                  </w:pPr>
                  <w:r w:rsidRPr="004063F1">
                    <w:t>2.0</w:t>
                  </w:r>
                </w:p>
              </w:tc>
              <w:tc>
                <w:tcPr>
                  <w:tcW w:w="464" w:type="pct"/>
                  <w:vAlign w:val="bottom"/>
                </w:tcPr>
                <w:p w:rsidR="00745FEA" w:rsidRPr="004063F1" w:rsidRDefault="00745FEA" w:rsidP="00745FEA">
                  <w:pPr>
                    <w:pStyle w:val="TableBodyText"/>
                    <w:ind w:right="57"/>
                  </w:pPr>
                  <w:r w:rsidRPr="004063F1">
                    <w:t>2.4</w:t>
                  </w:r>
                </w:p>
              </w:tc>
              <w:tc>
                <w:tcPr>
                  <w:tcW w:w="464" w:type="pct"/>
                  <w:vAlign w:val="bottom"/>
                </w:tcPr>
                <w:p w:rsidR="00745FEA" w:rsidRPr="004063F1" w:rsidRDefault="00745FEA" w:rsidP="00745FEA">
                  <w:pPr>
                    <w:pStyle w:val="TableBodyText"/>
                    <w:ind w:right="57"/>
                  </w:pPr>
                  <w:r w:rsidRPr="004063F1">
                    <w:t>1.8</w:t>
                  </w:r>
                </w:p>
              </w:tc>
              <w:tc>
                <w:tcPr>
                  <w:tcW w:w="462" w:type="pct"/>
                  <w:shd w:val="clear" w:color="auto" w:fill="auto"/>
                  <w:vAlign w:val="bottom"/>
                </w:tcPr>
                <w:p w:rsidR="00745FEA" w:rsidRPr="004063F1" w:rsidRDefault="00745FEA" w:rsidP="00745FEA">
                  <w:pPr>
                    <w:pStyle w:val="TableBodyText"/>
                    <w:ind w:right="57"/>
                  </w:pPr>
                  <w:r w:rsidRPr="004063F1">
                    <w:t>1.8</w:t>
                  </w:r>
                </w:p>
              </w:tc>
            </w:tr>
            <w:tr w:rsidR="00745FEA" w:rsidTr="00745FEA">
              <w:tc>
                <w:tcPr>
                  <w:tcW w:w="2218" w:type="pct"/>
                  <w:shd w:val="clear" w:color="auto" w:fill="auto"/>
                </w:tcPr>
                <w:p w:rsidR="00745FEA" w:rsidRPr="0087465D" w:rsidRDefault="00745FEA" w:rsidP="00745FEA">
                  <w:pPr>
                    <w:pStyle w:val="TableBodyText"/>
                    <w:spacing w:after="0"/>
                    <w:ind w:left="227" w:right="0"/>
                    <w:jc w:val="left"/>
                  </w:pPr>
                  <w:r w:rsidRPr="0087465D">
                    <w:t>TRADEX</w:t>
                  </w:r>
                </w:p>
              </w:tc>
              <w:tc>
                <w:tcPr>
                  <w:tcW w:w="464" w:type="pct"/>
                  <w:vAlign w:val="bottom"/>
                </w:tcPr>
                <w:p w:rsidR="00745FEA" w:rsidRPr="004063F1" w:rsidRDefault="00745FEA" w:rsidP="00745FEA">
                  <w:pPr>
                    <w:pStyle w:val="TableBodyText"/>
                    <w:ind w:right="57"/>
                  </w:pPr>
                  <w:r w:rsidRPr="004063F1">
                    <w:t>0.3</w:t>
                  </w:r>
                </w:p>
              </w:tc>
              <w:tc>
                <w:tcPr>
                  <w:tcW w:w="464" w:type="pct"/>
                  <w:vAlign w:val="bottom"/>
                </w:tcPr>
                <w:p w:rsidR="00745FEA" w:rsidRPr="004063F1" w:rsidRDefault="00745FEA" w:rsidP="00745FEA">
                  <w:pPr>
                    <w:pStyle w:val="TableBodyText"/>
                    <w:ind w:right="57"/>
                  </w:pPr>
                  <w:r w:rsidRPr="004063F1">
                    <w:t>0.3</w:t>
                  </w:r>
                </w:p>
              </w:tc>
              <w:tc>
                <w:tcPr>
                  <w:tcW w:w="464" w:type="pct"/>
                  <w:vAlign w:val="bottom"/>
                </w:tcPr>
                <w:p w:rsidR="00745FEA" w:rsidRPr="004063F1" w:rsidRDefault="00745FEA" w:rsidP="00745FEA">
                  <w:pPr>
                    <w:pStyle w:val="TableBodyText"/>
                    <w:ind w:right="57"/>
                  </w:pPr>
                  <w:r w:rsidRPr="004063F1">
                    <w:t>0.3</w:t>
                  </w:r>
                </w:p>
              </w:tc>
              <w:tc>
                <w:tcPr>
                  <w:tcW w:w="464" w:type="pct"/>
                  <w:vAlign w:val="bottom"/>
                </w:tcPr>
                <w:p w:rsidR="00745FEA" w:rsidRPr="004063F1" w:rsidRDefault="00745FEA" w:rsidP="00745FEA">
                  <w:pPr>
                    <w:pStyle w:val="TableBodyText"/>
                    <w:ind w:right="57"/>
                  </w:pPr>
                  <w:r w:rsidRPr="004063F1">
                    <w:t>0.3</w:t>
                  </w:r>
                </w:p>
              </w:tc>
              <w:tc>
                <w:tcPr>
                  <w:tcW w:w="464" w:type="pct"/>
                  <w:vAlign w:val="bottom"/>
                </w:tcPr>
                <w:p w:rsidR="00745FEA" w:rsidRPr="004063F1" w:rsidRDefault="00745FEA" w:rsidP="00745FEA">
                  <w:pPr>
                    <w:pStyle w:val="TableBodyText"/>
                    <w:ind w:right="57"/>
                  </w:pPr>
                  <w:r w:rsidRPr="004063F1">
                    <w:t>0.4</w:t>
                  </w:r>
                </w:p>
              </w:tc>
              <w:tc>
                <w:tcPr>
                  <w:tcW w:w="462" w:type="pct"/>
                  <w:shd w:val="clear" w:color="auto" w:fill="auto"/>
                  <w:vAlign w:val="bottom"/>
                </w:tcPr>
                <w:p w:rsidR="00745FEA" w:rsidRDefault="00745FEA" w:rsidP="00745FEA">
                  <w:pPr>
                    <w:pStyle w:val="TableBodyText"/>
                    <w:ind w:right="57"/>
                  </w:pPr>
                  <w:r w:rsidRPr="004063F1">
                    <w:t>0.4</w:t>
                  </w:r>
                </w:p>
              </w:tc>
            </w:tr>
            <w:tr w:rsidR="00745FEA" w:rsidTr="00745FEA">
              <w:tc>
                <w:tcPr>
                  <w:tcW w:w="2218" w:type="pct"/>
                  <w:shd w:val="clear" w:color="auto" w:fill="auto"/>
                </w:tcPr>
                <w:p w:rsidR="00745FEA" w:rsidRPr="00D36158" w:rsidRDefault="00745FEA" w:rsidP="00745FEA">
                  <w:pPr>
                    <w:pStyle w:val="TableBodyText"/>
                    <w:spacing w:before="40" w:after="0"/>
                    <w:ind w:left="113"/>
                    <w:jc w:val="left"/>
                    <w:rPr>
                      <w:i/>
                    </w:rPr>
                  </w:pPr>
                  <w:r w:rsidRPr="00D36158">
                    <w:rPr>
                      <w:i/>
                    </w:rPr>
                    <w:t>General R&amp;D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Commercialisation Australia</w:t>
                  </w:r>
                </w:p>
              </w:tc>
              <w:tc>
                <w:tcPr>
                  <w:tcW w:w="464" w:type="pct"/>
                  <w:vAlign w:val="bottom"/>
                </w:tcPr>
                <w:p w:rsidR="00745FEA" w:rsidRPr="00624015" w:rsidRDefault="00745FEA" w:rsidP="00745FEA">
                  <w:pPr>
                    <w:pStyle w:val="TableBodyText"/>
                    <w:ind w:right="57"/>
                  </w:pPr>
                  <w:r w:rsidRPr="00624015">
                    <w:t>0.9</w:t>
                  </w:r>
                </w:p>
              </w:tc>
              <w:tc>
                <w:tcPr>
                  <w:tcW w:w="464" w:type="pct"/>
                  <w:vAlign w:val="bottom"/>
                </w:tcPr>
                <w:p w:rsidR="00745FEA" w:rsidRPr="00624015" w:rsidRDefault="00745FEA" w:rsidP="00745FEA">
                  <w:pPr>
                    <w:pStyle w:val="TableBodyText"/>
                    <w:ind w:right="57"/>
                  </w:pPr>
                  <w:r w:rsidRPr="00624015">
                    <w:t>1.9</w:t>
                  </w:r>
                </w:p>
              </w:tc>
              <w:tc>
                <w:tcPr>
                  <w:tcW w:w="464" w:type="pct"/>
                  <w:vAlign w:val="bottom"/>
                </w:tcPr>
                <w:p w:rsidR="00745FEA" w:rsidRPr="00624015" w:rsidRDefault="00745FEA" w:rsidP="00745FEA">
                  <w:pPr>
                    <w:pStyle w:val="TableBodyText"/>
                    <w:ind w:right="57"/>
                  </w:pPr>
                  <w:r w:rsidRPr="00624015">
                    <w:t>2.5</w:t>
                  </w:r>
                </w:p>
              </w:tc>
              <w:tc>
                <w:tcPr>
                  <w:tcW w:w="464" w:type="pct"/>
                  <w:vAlign w:val="bottom"/>
                </w:tcPr>
                <w:p w:rsidR="00745FEA" w:rsidRPr="00624015" w:rsidRDefault="00745FEA" w:rsidP="00745FEA">
                  <w:pPr>
                    <w:pStyle w:val="TableBodyText"/>
                    <w:ind w:right="57"/>
                  </w:pPr>
                  <w:r w:rsidRPr="00624015">
                    <w:t>0.8</w:t>
                  </w:r>
                </w:p>
              </w:tc>
              <w:tc>
                <w:tcPr>
                  <w:tcW w:w="464" w:type="pct"/>
                  <w:vAlign w:val="bottom"/>
                </w:tcPr>
                <w:p w:rsidR="00745FEA" w:rsidRPr="00624015" w:rsidRDefault="00745FEA" w:rsidP="00745FEA">
                  <w:pPr>
                    <w:pStyle w:val="TableBodyText"/>
                    <w:ind w:right="57"/>
                  </w:pPr>
                  <w:r w:rsidRPr="00624015">
                    <w:t>–</w:t>
                  </w:r>
                </w:p>
              </w:tc>
              <w:tc>
                <w:tcPr>
                  <w:tcW w:w="462" w:type="pct"/>
                  <w:shd w:val="clear" w:color="auto" w:fill="auto"/>
                  <w:vAlign w:val="bottom"/>
                </w:tcPr>
                <w:p w:rsidR="00745FEA" w:rsidRPr="00624015" w:rsidRDefault="00745FEA" w:rsidP="00745FEA">
                  <w:pPr>
                    <w:pStyle w:val="TableBodyText"/>
                    <w:ind w:right="57"/>
                  </w:pPr>
                  <w:r w:rsidRPr="00624015">
                    <w:t>–</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COMET Program</w:t>
                  </w:r>
                </w:p>
              </w:tc>
              <w:tc>
                <w:tcPr>
                  <w:tcW w:w="464" w:type="pct"/>
                  <w:vAlign w:val="bottom"/>
                </w:tcPr>
                <w:p w:rsidR="00745FEA" w:rsidRPr="00624015" w:rsidRDefault="00745FEA" w:rsidP="00745FEA">
                  <w:pPr>
                    <w:pStyle w:val="TableBodyText"/>
                    <w:ind w:right="57"/>
                  </w:pPr>
                  <w:r w:rsidRPr="00624015">
                    <w:t>&lt;0.1</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2" w:type="pct"/>
                  <w:shd w:val="clear" w:color="auto" w:fill="auto"/>
                  <w:vAlign w:val="bottom"/>
                </w:tcPr>
                <w:p w:rsidR="00745FEA" w:rsidRPr="00624015" w:rsidRDefault="00745FEA" w:rsidP="00745FEA">
                  <w:pPr>
                    <w:pStyle w:val="TableBodyText"/>
                    <w:ind w:right="57"/>
                  </w:pPr>
                  <w:r w:rsidRPr="00624015">
                    <w:t>–</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Cooperative Research Centres</w:t>
                  </w:r>
                </w:p>
              </w:tc>
              <w:tc>
                <w:tcPr>
                  <w:tcW w:w="464" w:type="pct"/>
                  <w:vAlign w:val="bottom"/>
                </w:tcPr>
                <w:p w:rsidR="00745FEA" w:rsidRPr="00624015" w:rsidRDefault="00745FEA" w:rsidP="00745FEA">
                  <w:pPr>
                    <w:pStyle w:val="TableBodyText"/>
                    <w:ind w:right="57"/>
                  </w:pPr>
                  <w:r w:rsidRPr="00624015">
                    <w:t>11.3</w:t>
                  </w:r>
                </w:p>
              </w:tc>
              <w:tc>
                <w:tcPr>
                  <w:tcW w:w="464" w:type="pct"/>
                  <w:vAlign w:val="bottom"/>
                </w:tcPr>
                <w:p w:rsidR="00745FEA" w:rsidRPr="00624015" w:rsidRDefault="00745FEA" w:rsidP="00745FEA">
                  <w:pPr>
                    <w:pStyle w:val="TableBodyText"/>
                    <w:ind w:right="57"/>
                  </w:pPr>
                  <w:r w:rsidRPr="00624015">
                    <w:t>10.7</w:t>
                  </w:r>
                </w:p>
              </w:tc>
              <w:tc>
                <w:tcPr>
                  <w:tcW w:w="464" w:type="pct"/>
                  <w:vAlign w:val="bottom"/>
                </w:tcPr>
                <w:p w:rsidR="00745FEA" w:rsidRPr="00624015" w:rsidRDefault="00745FEA" w:rsidP="00745FEA">
                  <w:pPr>
                    <w:pStyle w:val="TableBodyText"/>
                    <w:ind w:right="57"/>
                  </w:pPr>
                  <w:r w:rsidRPr="00624015">
                    <w:t>11.3</w:t>
                  </w:r>
                </w:p>
              </w:tc>
              <w:tc>
                <w:tcPr>
                  <w:tcW w:w="464" w:type="pct"/>
                  <w:vAlign w:val="bottom"/>
                </w:tcPr>
                <w:p w:rsidR="00745FEA" w:rsidRPr="00624015" w:rsidRDefault="00745FEA" w:rsidP="00745FEA">
                  <w:pPr>
                    <w:pStyle w:val="TableBodyText"/>
                    <w:ind w:right="57"/>
                  </w:pPr>
                  <w:r w:rsidRPr="00624015">
                    <w:t>8.8</w:t>
                  </w:r>
                </w:p>
              </w:tc>
              <w:tc>
                <w:tcPr>
                  <w:tcW w:w="464" w:type="pct"/>
                  <w:vAlign w:val="bottom"/>
                </w:tcPr>
                <w:p w:rsidR="00745FEA" w:rsidRPr="00624015" w:rsidRDefault="00745FEA" w:rsidP="00745FEA">
                  <w:pPr>
                    <w:pStyle w:val="TableBodyText"/>
                    <w:ind w:right="57"/>
                  </w:pPr>
                  <w:r w:rsidRPr="00624015">
                    <w:t>8.6</w:t>
                  </w:r>
                </w:p>
              </w:tc>
              <w:tc>
                <w:tcPr>
                  <w:tcW w:w="462" w:type="pct"/>
                  <w:shd w:val="clear" w:color="auto" w:fill="auto"/>
                  <w:vAlign w:val="bottom"/>
                </w:tcPr>
                <w:p w:rsidR="00745FEA" w:rsidRPr="00624015" w:rsidRDefault="00745FEA" w:rsidP="00745FEA">
                  <w:pPr>
                    <w:pStyle w:val="TableBodyText"/>
                    <w:ind w:right="57"/>
                  </w:pPr>
                  <w:r w:rsidRPr="00624015">
                    <w:t>13.6</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Clean Business Australia - Climate Ready Program</w:t>
                  </w:r>
                </w:p>
              </w:tc>
              <w:tc>
                <w:tcPr>
                  <w:tcW w:w="464" w:type="pct"/>
                  <w:vAlign w:val="bottom"/>
                </w:tcPr>
                <w:p w:rsidR="00745FEA" w:rsidRPr="00624015" w:rsidRDefault="00745FEA" w:rsidP="00745FEA">
                  <w:pPr>
                    <w:pStyle w:val="TableBodyText"/>
                    <w:ind w:right="57"/>
                  </w:pPr>
                  <w:r w:rsidRPr="00624015">
                    <w:t>0.3</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2" w:type="pct"/>
                  <w:shd w:val="clear" w:color="auto" w:fill="auto"/>
                  <w:vAlign w:val="bottom"/>
                </w:tcPr>
                <w:p w:rsidR="00745FEA" w:rsidRPr="00624015" w:rsidRDefault="00745FEA" w:rsidP="00745FEA">
                  <w:pPr>
                    <w:pStyle w:val="TableBodyText"/>
                    <w:ind w:right="57"/>
                  </w:pPr>
                  <w:r w:rsidRPr="00624015">
                    <w:t>–</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CSIRO</w:t>
                  </w:r>
                </w:p>
              </w:tc>
              <w:tc>
                <w:tcPr>
                  <w:tcW w:w="464" w:type="pct"/>
                  <w:vAlign w:val="bottom"/>
                </w:tcPr>
                <w:p w:rsidR="00745FEA" w:rsidRPr="00624015" w:rsidRDefault="00745FEA" w:rsidP="00745FEA">
                  <w:pPr>
                    <w:pStyle w:val="TableBodyText"/>
                    <w:ind w:right="57"/>
                  </w:pPr>
                  <w:r w:rsidRPr="00624015">
                    <w:t>71.2</w:t>
                  </w:r>
                </w:p>
              </w:tc>
              <w:tc>
                <w:tcPr>
                  <w:tcW w:w="464" w:type="pct"/>
                  <w:vAlign w:val="bottom"/>
                </w:tcPr>
                <w:p w:rsidR="00745FEA" w:rsidRPr="00624015" w:rsidRDefault="00745FEA" w:rsidP="00745FEA">
                  <w:pPr>
                    <w:pStyle w:val="TableBodyText"/>
                    <w:ind w:right="57"/>
                  </w:pPr>
                  <w:r w:rsidRPr="00624015">
                    <w:t>80.7</w:t>
                  </w:r>
                </w:p>
              </w:tc>
              <w:tc>
                <w:tcPr>
                  <w:tcW w:w="464" w:type="pct"/>
                  <w:vAlign w:val="bottom"/>
                </w:tcPr>
                <w:p w:rsidR="00745FEA" w:rsidRPr="00624015" w:rsidRDefault="00745FEA" w:rsidP="00745FEA">
                  <w:pPr>
                    <w:pStyle w:val="TableBodyText"/>
                    <w:ind w:right="57"/>
                  </w:pPr>
                  <w:r w:rsidRPr="00624015">
                    <w:t>87.3</w:t>
                  </w:r>
                </w:p>
              </w:tc>
              <w:tc>
                <w:tcPr>
                  <w:tcW w:w="464" w:type="pct"/>
                  <w:vAlign w:val="bottom"/>
                </w:tcPr>
                <w:p w:rsidR="00745FEA" w:rsidRPr="00624015" w:rsidRDefault="00745FEA" w:rsidP="00745FEA">
                  <w:pPr>
                    <w:pStyle w:val="TableBodyText"/>
                    <w:ind w:right="57"/>
                  </w:pPr>
                  <w:r w:rsidRPr="00624015">
                    <w:t>68.2</w:t>
                  </w:r>
                </w:p>
              </w:tc>
              <w:tc>
                <w:tcPr>
                  <w:tcW w:w="464" w:type="pct"/>
                  <w:vAlign w:val="bottom"/>
                </w:tcPr>
                <w:p w:rsidR="00745FEA" w:rsidRPr="00624015" w:rsidRDefault="00745FEA" w:rsidP="00745FEA">
                  <w:pPr>
                    <w:pStyle w:val="TableBodyText"/>
                    <w:ind w:right="57"/>
                  </w:pPr>
                  <w:r w:rsidRPr="00624015">
                    <w:t>71.7</w:t>
                  </w:r>
                </w:p>
              </w:tc>
              <w:tc>
                <w:tcPr>
                  <w:tcW w:w="462" w:type="pct"/>
                  <w:shd w:val="clear" w:color="auto" w:fill="auto"/>
                  <w:vAlign w:val="bottom"/>
                </w:tcPr>
                <w:p w:rsidR="00745FEA" w:rsidRPr="00624015" w:rsidRDefault="00745FEA" w:rsidP="00745FEA">
                  <w:pPr>
                    <w:pStyle w:val="TableBodyText"/>
                    <w:ind w:right="57"/>
                  </w:pPr>
                  <w:r w:rsidRPr="00624015">
                    <w:t>75.6</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R&amp;D Tax Incentive - refundable tax offset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83.3</w:t>
                  </w:r>
                </w:p>
              </w:tc>
              <w:tc>
                <w:tcPr>
                  <w:tcW w:w="464" w:type="pct"/>
                  <w:vAlign w:val="bottom"/>
                </w:tcPr>
                <w:p w:rsidR="00745FEA" w:rsidRPr="00624015" w:rsidRDefault="00745FEA" w:rsidP="00745FEA">
                  <w:pPr>
                    <w:pStyle w:val="TableBodyText"/>
                    <w:ind w:right="57"/>
                  </w:pPr>
                  <w:r w:rsidRPr="00624015">
                    <w:t>80.7</w:t>
                  </w:r>
                </w:p>
              </w:tc>
              <w:tc>
                <w:tcPr>
                  <w:tcW w:w="464" w:type="pct"/>
                  <w:vAlign w:val="bottom"/>
                </w:tcPr>
                <w:p w:rsidR="00745FEA" w:rsidRPr="00624015" w:rsidRDefault="00745FEA" w:rsidP="00745FEA">
                  <w:pPr>
                    <w:pStyle w:val="TableBodyText"/>
                    <w:ind w:right="57"/>
                  </w:pPr>
                  <w:r w:rsidRPr="00624015">
                    <w:t>107.9</w:t>
                  </w:r>
                </w:p>
              </w:tc>
              <w:tc>
                <w:tcPr>
                  <w:tcW w:w="464" w:type="pct"/>
                  <w:vAlign w:val="bottom"/>
                </w:tcPr>
                <w:p w:rsidR="00745FEA" w:rsidRPr="00624015" w:rsidRDefault="00745FEA" w:rsidP="00745FEA">
                  <w:pPr>
                    <w:pStyle w:val="TableBodyText"/>
                    <w:ind w:right="57"/>
                  </w:pPr>
                  <w:r w:rsidRPr="00624015">
                    <w:t>114.7</w:t>
                  </w:r>
                </w:p>
              </w:tc>
              <w:tc>
                <w:tcPr>
                  <w:tcW w:w="462" w:type="pct"/>
                  <w:shd w:val="clear" w:color="auto" w:fill="auto"/>
                  <w:vAlign w:val="bottom"/>
                </w:tcPr>
                <w:p w:rsidR="00745FEA" w:rsidRPr="00624015" w:rsidRDefault="00745FEA" w:rsidP="00745FEA">
                  <w:pPr>
                    <w:pStyle w:val="TableBodyText"/>
                    <w:ind w:right="57"/>
                  </w:pPr>
                  <w:r w:rsidRPr="00624015">
                    <w:t>138.8</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R&amp;D tax offsets - Refundable</w:t>
                  </w:r>
                </w:p>
              </w:tc>
              <w:tc>
                <w:tcPr>
                  <w:tcW w:w="464" w:type="pct"/>
                  <w:vAlign w:val="bottom"/>
                </w:tcPr>
                <w:p w:rsidR="00745FEA" w:rsidRPr="00624015" w:rsidRDefault="00745FEA" w:rsidP="00745FEA">
                  <w:pPr>
                    <w:pStyle w:val="TableBodyText"/>
                    <w:ind w:right="57"/>
                  </w:pPr>
                  <w:r w:rsidRPr="00624015">
                    <w:t>67.7</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2" w:type="pct"/>
                  <w:shd w:val="clear" w:color="auto" w:fill="auto"/>
                  <w:vAlign w:val="bottom"/>
                </w:tcPr>
                <w:p w:rsidR="00745FEA" w:rsidRPr="00624015" w:rsidRDefault="00745FEA" w:rsidP="00745FEA">
                  <w:pPr>
                    <w:pStyle w:val="TableBodyText"/>
                    <w:ind w:right="57"/>
                  </w:pPr>
                  <w:r w:rsidRPr="00624015">
                    <w:t>–</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Premium R&amp;D tax concession</w:t>
                  </w:r>
                </w:p>
              </w:tc>
              <w:tc>
                <w:tcPr>
                  <w:tcW w:w="464" w:type="pct"/>
                  <w:vAlign w:val="bottom"/>
                </w:tcPr>
                <w:p w:rsidR="00745FEA" w:rsidRPr="00624015" w:rsidRDefault="00745FEA" w:rsidP="00745FEA">
                  <w:pPr>
                    <w:pStyle w:val="TableBodyText"/>
                    <w:ind w:right="57"/>
                  </w:pPr>
                  <w:r w:rsidRPr="00624015">
                    <w:t>88.8</w:t>
                  </w:r>
                </w:p>
              </w:tc>
              <w:tc>
                <w:tcPr>
                  <w:tcW w:w="464" w:type="pct"/>
                  <w:vAlign w:val="bottom"/>
                </w:tcPr>
                <w:p w:rsidR="00745FEA" w:rsidRPr="00624015" w:rsidRDefault="00745FEA" w:rsidP="00745FEA">
                  <w:pPr>
                    <w:pStyle w:val="TableBodyText"/>
                    <w:ind w:right="57"/>
                  </w:pPr>
                  <w:r w:rsidRPr="00624015">
                    <w:t>24.2</w:t>
                  </w:r>
                </w:p>
              </w:tc>
              <w:tc>
                <w:tcPr>
                  <w:tcW w:w="464" w:type="pct"/>
                  <w:vAlign w:val="bottom"/>
                </w:tcPr>
                <w:p w:rsidR="00745FEA" w:rsidRPr="00624015" w:rsidRDefault="00745FEA" w:rsidP="00745FEA">
                  <w:pPr>
                    <w:pStyle w:val="TableBodyText"/>
                    <w:ind w:right="57"/>
                  </w:pPr>
                  <w:r w:rsidRPr="00624015">
                    <w:t>10.1</w:t>
                  </w:r>
                </w:p>
              </w:tc>
              <w:tc>
                <w:tcPr>
                  <w:tcW w:w="464" w:type="pct"/>
                  <w:vAlign w:val="bottom"/>
                </w:tcPr>
                <w:p w:rsidR="00745FEA" w:rsidRPr="00624015" w:rsidRDefault="00745FEA" w:rsidP="00745FEA">
                  <w:pPr>
                    <w:pStyle w:val="TableBodyText"/>
                    <w:ind w:right="57"/>
                  </w:pPr>
                  <w:r w:rsidRPr="00624015">
                    <w:t>–</w:t>
                  </w:r>
                </w:p>
              </w:tc>
              <w:tc>
                <w:tcPr>
                  <w:tcW w:w="464" w:type="pct"/>
                  <w:vAlign w:val="bottom"/>
                </w:tcPr>
                <w:p w:rsidR="00745FEA" w:rsidRPr="00624015" w:rsidRDefault="00745FEA" w:rsidP="00745FEA">
                  <w:pPr>
                    <w:pStyle w:val="TableBodyText"/>
                    <w:ind w:right="57"/>
                  </w:pPr>
                  <w:r w:rsidRPr="00624015">
                    <w:t>–</w:t>
                  </w:r>
                </w:p>
              </w:tc>
              <w:tc>
                <w:tcPr>
                  <w:tcW w:w="462" w:type="pct"/>
                  <w:shd w:val="clear" w:color="auto" w:fill="auto"/>
                  <w:vAlign w:val="bottom"/>
                </w:tcPr>
                <w:p w:rsidR="00745FEA" w:rsidRPr="00624015" w:rsidRDefault="00745FEA" w:rsidP="00745FEA">
                  <w:pPr>
                    <w:pStyle w:val="TableBodyText"/>
                    <w:ind w:right="57"/>
                  </w:pPr>
                  <w:r w:rsidRPr="00624015">
                    <w:t>–</w:t>
                  </w:r>
                </w:p>
              </w:tc>
            </w:tr>
            <w:tr w:rsidR="00745FEA" w:rsidTr="00745FEA">
              <w:tc>
                <w:tcPr>
                  <w:tcW w:w="2218" w:type="pct"/>
                  <w:shd w:val="clear" w:color="auto" w:fill="auto"/>
                </w:tcPr>
                <w:p w:rsidR="00745FEA" w:rsidRPr="0071178C" w:rsidRDefault="00745FEA" w:rsidP="00745FEA">
                  <w:pPr>
                    <w:pStyle w:val="TableBodyText"/>
                    <w:spacing w:after="0"/>
                    <w:ind w:left="227" w:right="0"/>
                    <w:jc w:val="left"/>
                  </w:pPr>
                  <w:r w:rsidRPr="0071178C">
                    <w:t>R&amp;D tax concession</w:t>
                  </w:r>
                </w:p>
              </w:tc>
              <w:tc>
                <w:tcPr>
                  <w:tcW w:w="464" w:type="pct"/>
                  <w:vAlign w:val="bottom"/>
                </w:tcPr>
                <w:p w:rsidR="00745FEA" w:rsidRPr="00624015" w:rsidRDefault="00745FEA" w:rsidP="00745FEA">
                  <w:pPr>
                    <w:pStyle w:val="TableBodyText"/>
                    <w:ind w:right="57"/>
                  </w:pPr>
                  <w:r w:rsidRPr="00624015">
                    <w:t>252.5</w:t>
                  </w:r>
                </w:p>
              </w:tc>
              <w:tc>
                <w:tcPr>
                  <w:tcW w:w="464" w:type="pct"/>
                  <w:vAlign w:val="bottom"/>
                </w:tcPr>
                <w:p w:rsidR="00745FEA" w:rsidRPr="00624015" w:rsidRDefault="00745FEA" w:rsidP="00745FEA">
                  <w:pPr>
                    <w:pStyle w:val="TableBodyText"/>
                    <w:ind w:right="57"/>
                  </w:pPr>
                  <w:r w:rsidRPr="00624015">
                    <w:t>112.7</w:t>
                  </w:r>
                </w:p>
              </w:tc>
              <w:tc>
                <w:tcPr>
                  <w:tcW w:w="464" w:type="pct"/>
                  <w:vAlign w:val="bottom"/>
                </w:tcPr>
                <w:p w:rsidR="00745FEA" w:rsidRPr="00624015" w:rsidRDefault="00745FEA" w:rsidP="00745FEA">
                  <w:pPr>
                    <w:pStyle w:val="TableBodyText"/>
                    <w:ind w:right="57"/>
                  </w:pPr>
                  <w:r w:rsidRPr="00624015">
                    <w:t>38.3</w:t>
                  </w:r>
                </w:p>
              </w:tc>
              <w:tc>
                <w:tcPr>
                  <w:tcW w:w="464" w:type="pct"/>
                  <w:vAlign w:val="bottom"/>
                </w:tcPr>
                <w:p w:rsidR="00745FEA" w:rsidRPr="00624015" w:rsidRDefault="00745FEA" w:rsidP="00745FEA">
                  <w:pPr>
                    <w:pStyle w:val="TableBodyText"/>
                    <w:ind w:right="57"/>
                  </w:pPr>
                  <w:r w:rsidRPr="00624015">
                    <w:t>6.8</w:t>
                  </w:r>
                </w:p>
              </w:tc>
              <w:tc>
                <w:tcPr>
                  <w:tcW w:w="464" w:type="pct"/>
                  <w:vAlign w:val="bottom"/>
                </w:tcPr>
                <w:p w:rsidR="00745FEA" w:rsidRPr="00624015" w:rsidRDefault="00745FEA" w:rsidP="00745FEA">
                  <w:pPr>
                    <w:pStyle w:val="TableBodyText"/>
                    <w:ind w:right="57"/>
                  </w:pPr>
                  <w:r w:rsidRPr="00624015">
                    <w:t>–</w:t>
                  </w:r>
                </w:p>
              </w:tc>
              <w:tc>
                <w:tcPr>
                  <w:tcW w:w="462" w:type="pct"/>
                  <w:shd w:val="clear" w:color="auto" w:fill="auto"/>
                  <w:vAlign w:val="bottom"/>
                </w:tcPr>
                <w:p w:rsidR="00745FEA" w:rsidRPr="00624015" w:rsidRDefault="00745FEA" w:rsidP="00745FEA">
                  <w:pPr>
                    <w:pStyle w:val="TableBodyText"/>
                    <w:ind w:right="57"/>
                  </w:pPr>
                  <w:r w:rsidRPr="00624015">
                    <w:t>–</w:t>
                  </w:r>
                </w:p>
              </w:tc>
            </w:tr>
            <w:tr w:rsidR="00745FEA" w:rsidTr="00745FEA">
              <w:tc>
                <w:tcPr>
                  <w:tcW w:w="2218" w:type="pct"/>
                  <w:tcBorders>
                    <w:bottom w:val="single" w:sz="6" w:space="0" w:color="BFBFBF"/>
                  </w:tcBorders>
                  <w:shd w:val="clear" w:color="auto" w:fill="auto"/>
                  <w:vAlign w:val="bottom"/>
                </w:tcPr>
                <w:p w:rsidR="00745FEA" w:rsidRPr="00D36158" w:rsidRDefault="00745FEA" w:rsidP="00745FEA">
                  <w:pPr>
                    <w:spacing w:after="40"/>
                    <w:ind w:left="227"/>
                    <w:rPr>
                      <w:rFonts w:ascii="Arial" w:hAnsi="Arial" w:cs="Arial"/>
                      <w:color w:val="000000"/>
                      <w:sz w:val="18"/>
                      <w:szCs w:val="18"/>
                    </w:rPr>
                  </w:pPr>
                  <w:r w:rsidRPr="00F0099A">
                    <w:rPr>
                      <w:rFonts w:ascii="Arial" w:hAnsi="Arial" w:cs="Arial"/>
                      <w:color w:val="000000"/>
                      <w:sz w:val="18"/>
                      <w:szCs w:val="18"/>
                    </w:rPr>
                    <w:t>R&amp;D Tax Incentive - non-refundable tax offset</w:t>
                  </w:r>
                </w:p>
              </w:tc>
              <w:tc>
                <w:tcPr>
                  <w:tcW w:w="464" w:type="pct"/>
                  <w:tcBorders>
                    <w:bottom w:val="single" w:sz="6" w:space="0" w:color="BFBFBF"/>
                  </w:tcBorders>
                  <w:vAlign w:val="bottom"/>
                </w:tcPr>
                <w:p w:rsidR="00745FEA" w:rsidRPr="00624015" w:rsidRDefault="00745FEA" w:rsidP="00745FEA">
                  <w:pPr>
                    <w:pStyle w:val="TableBodyText"/>
                    <w:ind w:right="57"/>
                  </w:pPr>
                  <w:r w:rsidRPr="00624015">
                    <w:t>–</w:t>
                  </w:r>
                </w:p>
              </w:tc>
              <w:tc>
                <w:tcPr>
                  <w:tcW w:w="464" w:type="pct"/>
                  <w:tcBorders>
                    <w:bottom w:val="single" w:sz="6" w:space="0" w:color="BFBFBF"/>
                  </w:tcBorders>
                  <w:vAlign w:val="bottom"/>
                </w:tcPr>
                <w:p w:rsidR="00745FEA" w:rsidRPr="00624015" w:rsidRDefault="00745FEA" w:rsidP="00745FEA">
                  <w:pPr>
                    <w:pStyle w:val="TableBodyText"/>
                    <w:ind w:right="57"/>
                  </w:pPr>
                  <w:r w:rsidRPr="00624015">
                    <w:t>138.5</w:t>
                  </w:r>
                </w:p>
              </w:tc>
              <w:tc>
                <w:tcPr>
                  <w:tcW w:w="464" w:type="pct"/>
                  <w:tcBorders>
                    <w:bottom w:val="single" w:sz="6" w:space="0" w:color="BFBFBF"/>
                  </w:tcBorders>
                  <w:vAlign w:val="bottom"/>
                </w:tcPr>
                <w:p w:rsidR="00745FEA" w:rsidRPr="00624015" w:rsidRDefault="00745FEA" w:rsidP="00745FEA">
                  <w:pPr>
                    <w:pStyle w:val="TableBodyText"/>
                    <w:ind w:right="57"/>
                  </w:pPr>
                  <w:r w:rsidRPr="00624015">
                    <w:t>208.5</w:t>
                  </w:r>
                </w:p>
              </w:tc>
              <w:tc>
                <w:tcPr>
                  <w:tcW w:w="464" w:type="pct"/>
                  <w:tcBorders>
                    <w:bottom w:val="single" w:sz="6" w:space="0" w:color="BFBFBF"/>
                  </w:tcBorders>
                  <w:vAlign w:val="bottom"/>
                </w:tcPr>
                <w:p w:rsidR="00745FEA" w:rsidRPr="00624015" w:rsidRDefault="00745FEA" w:rsidP="00745FEA">
                  <w:pPr>
                    <w:pStyle w:val="TableBodyText"/>
                    <w:ind w:right="57"/>
                  </w:pPr>
                  <w:r w:rsidRPr="00624015">
                    <w:t>258.1</w:t>
                  </w:r>
                </w:p>
              </w:tc>
              <w:tc>
                <w:tcPr>
                  <w:tcW w:w="464" w:type="pct"/>
                  <w:tcBorders>
                    <w:bottom w:val="single" w:sz="6" w:space="0" w:color="BFBFBF"/>
                  </w:tcBorders>
                  <w:vAlign w:val="bottom"/>
                </w:tcPr>
                <w:p w:rsidR="00745FEA" w:rsidRPr="00624015" w:rsidRDefault="00745FEA" w:rsidP="00745FEA">
                  <w:pPr>
                    <w:pStyle w:val="TableBodyText"/>
                    <w:ind w:right="57"/>
                  </w:pPr>
                  <w:r w:rsidRPr="00624015">
                    <w:t>293.1</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624015">
                    <w:t>262.9</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357"/>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E21118" w:rsidRDefault="00745FEA" w:rsidP="00745FEA">
      <w:pPr>
        <w:rPr>
          <w:szCs w:val="20"/>
        </w:rPr>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w:t>
            </w:r>
            <w:r>
              <w:rPr>
                <w:b w:val="0"/>
                <w:noProof/>
              </w:rPr>
              <w:t>11</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17" w:type="dxa"/>
              <w:tblCellMar>
                <w:top w:w="28" w:type="dxa"/>
                <w:left w:w="0" w:type="dxa"/>
                <w:right w:w="0" w:type="dxa"/>
              </w:tblCellMar>
              <w:tblLook w:val="0000" w:firstRow="0" w:lastRow="0" w:firstColumn="0" w:lastColumn="0" w:noHBand="0" w:noVBand="0"/>
            </w:tblPr>
            <w:tblGrid>
              <w:gridCol w:w="3743"/>
              <w:gridCol w:w="794"/>
              <w:gridCol w:w="797"/>
              <w:gridCol w:w="797"/>
              <w:gridCol w:w="797"/>
              <w:gridCol w:w="797"/>
              <w:gridCol w:w="792"/>
            </w:tblGrid>
            <w:tr w:rsidR="00745FEA" w:rsidTr="00C719FB">
              <w:trPr>
                <w:tblHeader/>
              </w:trPr>
              <w:tc>
                <w:tcPr>
                  <w:tcW w:w="2197" w:type="pct"/>
                  <w:tcBorders>
                    <w:top w:val="single" w:sz="6" w:space="0" w:color="BFBFBF"/>
                    <w:bottom w:val="single" w:sz="6" w:space="0" w:color="BFBFBF"/>
                  </w:tcBorders>
                </w:tcPr>
                <w:p w:rsidR="00745FEA" w:rsidRDefault="00745FEA" w:rsidP="00745FEA">
                  <w:pPr>
                    <w:pStyle w:val="TableColumnHeading"/>
                    <w:jc w:val="left"/>
                  </w:pP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8"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8"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197" w:type="pct"/>
                  <w:tcBorders>
                    <w:top w:val="single" w:sz="6" w:space="0" w:color="BFBFBF"/>
                  </w:tcBorders>
                </w:tcPr>
                <w:p w:rsidR="00745FEA" w:rsidRPr="0063236D" w:rsidRDefault="00745FEA" w:rsidP="00745FEA">
                  <w:pPr>
                    <w:pStyle w:val="TableUnitsRow"/>
                    <w:spacing w:after="0"/>
                    <w:ind w:left="113"/>
                    <w:jc w:val="left"/>
                    <w:rPr>
                      <w:i/>
                    </w:rPr>
                  </w:pPr>
                  <w:r w:rsidRPr="0063236D">
                    <w:rPr>
                      <w:i/>
                    </w:rPr>
                    <w:t>Others measures</w:t>
                  </w:r>
                </w:p>
              </w:tc>
              <w:tc>
                <w:tcPr>
                  <w:tcW w:w="466" w:type="pct"/>
                  <w:tcBorders>
                    <w:top w:val="single" w:sz="6" w:space="0" w:color="BFBFBF"/>
                  </w:tcBorders>
                  <w:vAlign w:val="bottom"/>
                </w:tcPr>
                <w:p w:rsidR="00745FEA" w:rsidRDefault="00745FEA" w:rsidP="00745FEA">
                  <w:pPr>
                    <w:pStyle w:val="TableUnitsRow"/>
                    <w:spacing w:after="0"/>
                    <w:ind w:left="113" w:right="57"/>
                  </w:pPr>
                </w:p>
              </w:tc>
              <w:tc>
                <w:tcPr>
                  <w:tcW w:w="468" w:type="pct"/>
                  <w:tcBorders>
                    <w:top w:val="single" w:sz="6" w:space="0" w:color="BFBFBF"/>
                  </w:tcBorders>
                  <w:vAlign w:val="bottom"/>
                </w:tcPr>
                <w:p w:rsidR="00745FEA" w:rsidRDefault="00745FEA" w:rsidP="00745FEA">
                  <w:pPr>
                    <w:pStyle w:val="TableUnitsRow"/>
                    <w:spacing w:after="0"/>
                    <w:ind w:left="113" w:right="57"/>
                  </w:pPr>
                </w:p>
              </w:tc>
              <w:tc>
                <w:tcPr>
                  <w:tcW w:w="468" w:type="pct"/>
                  <w:tcBorders>
                    <w:top w:val="single" w:sz="6" w:space="0" w:color="BFBFBF"/>
                  </w:tcBorders>
                  <w:vAlign w:val="bottom"/>
                </w:tcPr>
                <w:p w:rsidR="00745FEA" w:rsidRDefault="00745FEA" w:rsidP="00745FEA">
                  <w:pPr>
                    <w:pStyle w:val="TableUnitsRow"/>
                    <w:spacing w:after="0"/>
                    <w:ind w:left="113" w:right="57"/>
                  </w:pPr>
                </w:p>
              </w:tc>
              <w:tc>
                <w:tcPr>
                  <w:tcW w:w="468" w:type="pct"/>
                  <w:tcBorders>
                    <w:top w:val="single" w:sz="6" w:space="0" w:color="BFBFBF"/>
                  </w:tcBorders>
                  <w:vAlign w:val="bottom"/>
                </w:tcPr>
                <w:p w:rsidR="00745FEA" w:rsidRDefault="00745FEA" w:rsidP="00745FEA">
                  <w:pPr>
                    <w:pStyle w:val="TableUnitsRow"/>
                    <w:spacing w:after="0"/>
                    <w:ind w:left="113" w:right="57"/>
                  </w:pPr>
                </w:p>
              </w:tc>
              <w:tc>
                <w:tcPr>
                  <w:tcW w:w="468"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197" w:type="pct"/>
                </w:tcPr>
                <w:p w:rsidR="00745FEA" w:rsidRPr="005033D4" w:rsidRDefault="00745FEA" w:rsidP="00745FEA">
                  <w:pPr>
                    <w:pStyle w:val="TableBodyText"/>
                    <w:spacing w:after="0"/>
                    <w:ind w:left="227" w:right="0"/>
                    <w:jc w:val="left"/>
                  </w:pPr>
                  <w:r w:rsidRPr="005033D4">
                    <w:t>Enterprise Connect Innovation Centres</w:t>
                  </w:r>
                </w:p>
              </w:tc>
              <w:tc>
                <w:tcPr>
                  <w:tcW w:w="466" w:type="pct"/>
                  <w:vAlign w:val="bottom"/>
                </w:tcPr>
                <w:p w:rsidR="00745FEA" w:rsidRPr="00AC5524" w:rsidRDefault="00745FEA" w:rsidP="00745FEA">
                  <w:pPr>
                    <w:pStyle w:val="TableBodyText"/>
                    <w:ind w:right="57"/>
                  </w:pPr>
                  <w:r w:rsidRPr="00AC5524">
                    <w:t>0.1</w:t>
                  </w:r>
                </w:p>
              </w:tc>
              <w:tc>
                <w:tcPr>
                  <w:tcW w:w="468" w:type="pct"/>
                  <w:vAlign w:val="bottom"/>
                </w:tcPr>
                <w:p w:rsidR="00745FEA" w:rsidRPr="00AC5524" w:rsidRDefault="00745FEA" w:rsidP="00745FEA">
                  <w:pPr>
                    <w:pStyle w:val="TableBodyText"/>
                    <w:ind w:right="57"/>
                  </w:pPr>
                  <w:r w:rsidRPr="00AC5524">
                    <w:t>0.2</w:t>
                  </w:r>
                </w:p>
              </w:tc>
              <w:tc>
                <w:tcPr>
                  <w:tcW w:w="468" w:type="pct"/>
                  <w:vAlign w:val="bottom"/>
                </w:tcPr>
                <w:p w:rsidR="00745FEA" w:rsidRPr="00AC5524" w:rsidRDefault="00745FEA" w:rsidP="00745FEA">
                  <w:pPr>
                    <w:pStyle w:val="TableBodyText"/>
                    <w:ind w:right="57"/>
                  </w:pPr>
                  <w:r w:rsidRPr="00AC5524">
                    <w:t>0.2</w:t>
                  </w:r>
                </w:p>
              </w:tc>
              <w:tc>
                <w:tcPr>
                  <w:tcW w:w="468" w:type="pct"/>
                  <w:vAlign w:val="bottom"/>
                </w:tcPr>
                <w:p w:rsidR="00745FEA" w:rsidRPr="00AC5524" w:rsidRDefault="00745FEA" w:rsidP="00745FEA">
                  <w:pPr>
                    <w:pStyle w:val="TableBodyText"/>
                    <w:ind w:right="57"/>
                  </w:pPr>
                  <w:r w:rsidRPr="00AC5524">
                    <w:t>0.1</w:t>
                  </w:r>
                </w:p>
              </w:tc>
              <w:tc>
                <w:tcPr>
                  <w:tcW w:w="468" w:type="pct"/>
                  <w:vAlign w:val="bottom"/>
                </w:tcPr>
                <w:p w:rsidR="00745FEA" w:rsidRPr="00AC5524" w:rsidRDefault="00745FEA" w:rsidP="00745FEA">
                  <w:pPr>
                    <w:pStyle w:val="TableBodyText"/>
                    <w:ind w:right="57"/>
                  </w:pPr>
                  <w:r w:rsidRPr="00AC5524">
                    <w:t>&lt;0.1</w:t>
                  </w:r>
                </w:p>
              </w:tc>
              <w:tc>
                <w:tcPr>
                  <w:tcW w:w="465" w:type="pct"/>
                  <w:vAlign w:val="bottom"/>
                </w:tcPr>
                <w:p w:rsidR="00745FEA" w:rsidRPr="00AC5524" w:rsidRDefault="00745FEA" w:rsidP="00745FEA">
                  <w:pPr>
                    <w:pStyle w:val="TableBodyText"/>
                    <w:ind w:right="57"/>
                  </w:pPr>
                  <w:r w:rsidRPr="00AC5524">
                    <w:t>–</w:t>
                  </w:r>
                </w:p>
              </w:tc>
            </w:tr>
            <w:tr w:rsidR="00745FEA" w:rsidTr="00745FEA">
              <w:tc>
                <w:tcPr>
                  <w:tcW w:w="2197" w:type="pct"/>
                </w:tcPr>
                <w:p w:rsidR="00745FEA" w:rsidRPr="005033D4" w:rsidRDefault="00745FEA" w:rsidP="00745FEA">
                  <w:pPr>
                    <w:pStyle w:val="TableBodyText"/>
                    <w:spacing w:after="0"/>
                    <w:ind w:left="227" w:right="0"/>
                    <w:jc w:val="left"/>
                  </w:pPr>
                  <w:r w:rsidRPr="005033D4">
                    <w:t>Entrepreneurs’ Infrastructure Programme - Accelerating Commercialisation</w:t>
                  </w:r>
                </w:p>
              </w:tc>
              <w:tc>
                <w:tcPr>
                  <w:tcW w:w="466"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&lt;0.1</w:t>
                  </w:r>
                </w:p>
              </w:tc>
              <w:tc>
                <w:tcPr>
                  <w:tcW w:w="468" w:type="pct"/>
                  <w:shd w:val="clear" w:color="auto" w:fill="auto"/>
                  <w:vAlign w:val="bottom"/>
                </w:tcPr>
                <w:p w:rsidR="00745FEA" w:rsidRPr="00AC5524" w:rsidRDefault="00745FEA" w:rsidP="00745FEA">
                  <w:pPr>
                    <w:pStyle w:val="TableBodyText"/>
                    <w:ind w:right="57"/>
                  </w:pPr>
                  <w:r w:rsidRPr="00AC5524">
                    <w:t>0.2</w:t>
                  </w:r>
                </w:p>
              </w:tc>
              <w:tc>
                <w:tcPr>
                  <w:tcW w:w="465" w:type="pct"/>
                  <w:shd w:val="clear" w:color="auto" w:fill="auto"/>
                  <w:vAlign w:val="bottom"/>
                </w:tcPr>
                <w:p w:rsidR="00745FEA" w:rsidRPr="00AC5524" w:rsidRDefault="00745FEA" w:rsidP="00745FEA">
                  <w:pPr>
                    <w:pStyle w:val="TableBodyText"/>
                    <w:ind w:right="57"/>
                  </w:pPr>
                  <w:r w:rsidRPr="00AC5524">
                    <w:t>0.9</w:t>
                  </w:r>
                </w:p>
              </w:tc>
            </w:tr>
            <w:tr w:rsidR="00745FEA" w:rsidTr="00745FEA">
              <w:tc>
                <w:tcPr>
                  <w:tcW w:w="2197" w:type="pct"/>
                </w:tcPr>
                <w:p w:rsidR="00745FEA" w:rsidRPr="005033D4" w:rsidRDefault="00745FEA" w:rsidP="00745FEA">
                  <w:pPr>
                    <w:pStyle w:val="TableBodyText"/>
                    <w:spacing w:after="0"/>
                    <w:ind w:left="227" w:right="0"/>
                    <w:jc w:val="left"/>
                  </w:pPr>
                  <w:r w:rsidRPr="005033D4">
                    <w:t>Entrepreneurs’ Infrastructure Programme - Business Management Skills</w:t>
                  </w:r>
                </w:p>
              </w:tc>
              <w:tc>
                <w:tcPr>
                  <w:tcW w:w="466"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0.1</w:t>
                  </w:r>
                </w:p>
              </w:tc>
              <w:tc>
                <w:tcPr>
                  <w:tcW w:w="468" w:type="pct"/>
                  <w:shd w:val="clear" w:color="auto" w:fill="auto"/>
                  <w:vAlign w:val="bottom"/>
                </w:tcPr>
                <w:p w:rsidR="00745FEA" w:rsidRPr="00AC5524" w:rsidRDefault="00745FEA" w:rsidP="00745FEA">
                  <w:pPr>
                    <w:pStyle w:val="TableBodyText"/>
                    <w:ind w:right="57"/>
                  </w:pPr>
                  <w:r w:rsidRPr="00AC5524">
                    <w:t>0.3</w:t>
                  </w:r>
                </w:p>
              </w:tc>
              <w:tc>
                <w:tcPr>
                  <w:tcW w:w="465" w:type="pct"/>
                  <w:shd w:val="clear" w:color="auto" w:fill="auto"/>
                  <w:vAlign w:val="bottom"/>
                </w:tcPr>
                <w:p w:rsidR="00745FEA" w:rsidRPr="00AC5524" w:rsidRDefault="00745FEA" w:rsidP="00745FEA">
                  <w:pPr>
                    <w:pStyle w:val="TableBodyText"/>
                    <w:ind w:right="57"/>
                  </w:pPr>
                  <w:r w:rsidRPr="00AC5524">
                    <w:t>0.1</w:t>
                  </w:r>
                </w:p>
              </w:tc>
            </w:tr>
            <w:tr w:rsidR="00745FEA" w:rsidTr="00745FEA">
              <w:tc>
                <w:tcPr>
                  <w:tcW w:w="2197" w:type="pct"/>
                </w:tcPr>
                <w:p w:rsidR="00745FEA" w:rsidRPr="005033D4" w:rsidRDefault="00745FEA" w:rsidP="00745FEA">
                  <w:pPr>
                    <w:pStyle w:val="TableBodyText"/>
                    <w:spacing w:after="0"/>
                    <w:ind w:left="227" w:right="0"/>
                    <w:jc w:val="left"/>
                  </w:pPr>
                  <w:r w:rsidRPr="005033D4">
                    <w:t>South East South Australia Innovation and Investment Fund</w:t>
                  </w:r>
                </w:p>
              </w:tc>
              <w:tc>
                <w:tcPr>
                  <w:tcW w:w="466"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0.1</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5" w:type="pct"/>
                  <w:shd w:val="clear" w:color="auto" w:fill="auto"/>
                  <w:vAlign w:val="bottom"/>
                </w:tcPr>
                <w:p w:rsidR="00745FEA" w:rsidRPr="00AC5524" w:rsidRDefault="00745FEA" w:rsidP="00745FEA">
                  <w:pPr>
                    <w:pStyle w:val="TableBodyText"/>
                    <w:ind w:right="57"/>
                  </w:pPr>
                  <w:r w:rsidRPr="00AC5524">
                    <w:t>–</w:t>
                  </w:r>
                </w:p>
              </w:tc>
            </w:tr>
            <w:tr w:rsidR="00745FEA" w:rsidTr="00745FEA">
              <w:tc>
                <w:tcPr>
                  <w:tcW w:w="2197" w:type="pct"/>
                </w:tcPr>
                <w:p w:rsidR="00745FEA" w:rsidRPr="005033D4" w:rsidRDefault="00745FEA" w:rsidP="00745FEA">
                  <w:pPr>
                    <w:pStyle w:val="TableBodyText"/>
                    <w:spacing w:after="0"/>
                    <w:ind w:left="227" w:right="0"/>
                    <w:jc w:val="left"/>
                  </w:pPr>
                  <w:r w:rsidRPr="005033D4">
                    <w:t>Temporary Assistance for Tasmanian Exporters</w:t>
                  </w:r>
                </w:p>
              </w:tc>
              <w:tc>
                <w:tcPr>
                  <w:tcW w:w="466" w:type="pct"/>
                  <w:vAlign w:val="bottom"/>
                </w:tcPr>
                <w:p w:rsidR="00745FEA" w:rsidRPr="00AC5524" w:rsidRDefault="00745FEA" w:rsidP="00745FEA">
                  <w:pPr>
                    <w:pStyle w:val="TableBodyText"/>
                    <w:ind w:right="57"/>
                  </w:pPr>
                  <w:r w:rsidRPr="00AC5524">
                    <w:t>&lt;0.1</w:t>
                  </w:r>
                </w:p>
              </w:tc>
              <w:tc>
                <w:tcPr>
                  <w:tcW w:w="468"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5" w:type="pct"/>
                  <w:shd w:val="clear" w:color="auto" w:fill="auto"/>
                  <w:vAlign w:val="bottom"/>
                </w:tcPr>
                <w:p w:rsidR="00745FEA" w:rsidRPr="00AC5524" w:rsidRDefault="00745FEA" w:rsidP="00745FEA">
                  <w:pPr>
                    <w:pStyle w:val="TableBodyText"/>
                    <w:ind w:right="57"/>
                  </w:pPr>
                  <w:r w:rsidRPr="00AC5524">
                    <w:t>–</w:t>
                  </w:r>
                </w:p>
              </w:tc>
            </w:tr>
            <w:tr w:rsidR="00745FEA" w:rsidTr="00745FEA">
              <w:tc>
                <w:tcPr>
                  <w:tcW w:w="2197" w:type="pct"/>
                </w:tcPr>
                <w:p w:rsidR="00745FEA" w:rsidRPr="005033D4" w:rsidRDefault="00745FEA" w:rsidP="00745FEA">
                  <w:pPr>
                    <w:pStyle w:val="TableBodyText"/>
                    <w:spacing w:after="0"/>
                    <w:ind w:left="227" w:right="0"/>
                    <w:jc w:val="left"/>
                  </w:pPr>
                  <w:r w:rsidRPr="005033D4">
                    <w:t>Tasmanian Freight Equalisation Scheme</w:t>
                  </w:r>
                </w:p>
              </w:tc>
              <w:tc>
                <w:tcPr>
                  <w:tcW w:w="466" w:type="pct"/>
                  <w:vAlign w:val="bottom"/>
                </w:tcPr>
                <w:p w:rsidR="00745FEA" w:rsidRPr="00AC5524" w:rsidRDefault="00745FEA" w:rsidP="00745FEA">
                  <w:pPr>
                    <w:pStyle w:val="TableBodyText"/>
                    <w:ind w:right="57"/>
                  </w:pPr>
                  <w:r w:rsidRPr="00AC5524">
                    <w:t>0.2</w:t>
                  </w:r>
                </w:p>
              </w:tc>
              <w:tc>
                <w:tcPr>
                  <w:tcW w:w="468" w:type="pct"/>
                  <w:vAlign w:val="bottom"/>
                </w:tcPr>
                <w:p w:rsidR="00745FEA" w:rsidRPr="00AC5524" w:rsidRDefault="00745FEA" w:rsidP="00745FEA">
                  <w:pPr>
                    <w:pStyle w:val="TableBodyText"/>
                    <w:ind w:right="57"/>
                  </w:pPr>
                  <w:r w:rsidRPr="00AC5524">
                    <w:t>0.2</w:t>
                  </w:r>
                </w:p>
              </w:tc>
              <w:tc>
                <w:tcPr>
                  <w:tcW w:w="468" w:type="pct"/>
                  <w:vAlign w:val="bottom"/>
                </w:tcPr>
                <w:p w:rsidR="00745FEA" w:rsidRPr="00AC5524" w:rsidRDefault="00745FEA" w:rsidP="00745FEA">
                  <w:pPr>
                    <w:pStyle w:val="TableBodyText"/>
                    <w:ind w:right="57"/>
                  </w:pPr>
                  <w:r w:rsidRPr="00AC5524">
                    <w:t>0.2</w:t>
                  </w:r>
                </w:p>
              </w:tc>
              <w:tc>
                <w:tcPr>
                  <w:tcW w:w="468" w:type="pct"/>
                  <w:shd w:val="clear" w:color="auto" w:fill="auto"/>
                  <w:vAlign w:val="bottom"/>
                </w:tcPr>
                <w:p w:rsidR="00745FEA" w:rsidRPr="00AC5524" w:rsidRDefault="00745FEA" w:rsidP="00745FEA">
                  <w:pPr>
                    <w:pStyle w:val="TableBodyText"/>
                    <w:ind w:right="57"/>
                  </w:pPr>
                  <w:r w:rsidRPr="00AC5524">
                    <w:t>0.2</w:t>
                  </w:r>
                </w:p>
              </w:tc>
              <w:tc>
                <w:tcPr>
                  <w:tcW w:w="468" w:type="pct"/>
                  <w:shd w:val="clear" w:color="auto" w:fill="auto"/>
                  <w:vAlign w:val="bottom"/>
                </w:tcPr>
                <w:p w:rsidR="00745FEA" w:rsidRPr="00AC5524" w:rsidRDefault="00745FEA" w:rsidP="00745FEA">
                  <w:pPr>
                    <w:pStyle w:val="TableBodyText"/>
                    <w:ind w:right="57"/>
                  </w:pPr>
                  <w:r w:rsidRPr="00AC5524">
                    <w:t>0.3</w:t>
                  </w:r>
                </w:p>
              </w:tc>
              <w:tc>
                <w:tcPr>
                  <w:tcW w:w="465" w:type="pct"/>
                  <w:shd w:val="clear" w:color="auto" w:fill="auto"/>
                  <w:vAlign w:val="bottom"/>
                </w:tcPr>
                <w:p w:rsidR="00745FEA" w:rsidRPr="00AC5524" w:rsidRDefault="00745FEA" w:rsidP="00745FEA">
                  <w:pPr>
                    <w:pStyle w:val="TableBodyText"/>
                    <w:ind w:right="57"/>
                  </w:pPr>
                  <w:r w:rsidRPr="00AC5524">
                    <w:t>0.3</w:t>
                  </w:r>
                </w:p>
              </w:tc>
            </w:tr>
            <w:tr w:rsidR="00745FEA" w:rsidTr="00745FEA">
              <w:tc>
                <w:tcPr>
                  <w:tcW w:w="2197" w:type="pct"/>
                </w:tcPr>
                <w:p w:rsidR="00745FEA" w:rsidRPr="005033D4" w:rsidRDefault="00745FEA" w:rsidP="00745FEA">
                  <w:pPr>
                    <w:pStyle w:val="TableBodyText"/>
                    <w:spacing w:after="0"/>
                    <w:ind w:left="227" w:right="0"/>
                    <w:jc w:val="left"/>
                  </w:pPr>
                  <w:r w:rsidRPr="005033D4">
                    <w:t xml:space="preserve">Small business </w:t>
                  </w:r>
                  <w:r>
                    <w:t xml:space="preserve">capital gains tax </w:t>
                  </w:r>
                  <w:r w:rsidRPr="005033D4">
                    <w:t>rollover deferral</w:t>
                  </w:r>
                </w:p>
              </w:tc>
              <w:tc>
                <w:tcPr>
                  <w:tcW w:w="466"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0.6</w:t>
                  </w:r>
                </w:p>
              </w:tc>
              <w:tc>
                <w:tcPr>
                  <w:tcW w:w="468" w:type="pct"/>
                  <w:shd w:val="clear" w:color="auto" w:fill="auto"/>
                  <w:vAlign w:val="bottom"/>
                </w:tcPr>
                <w:p w:rsidR="00745FEA" w:rsidRPr="00AC5524" w:rsidRDefault="00745FEA" w:rsidP="00745FEA">
                  <w:pPr>
                    <w:pStyle w:val="TableBodyText"/>
                    <w:ind w:right="57"/>
                  </w:pPr>
                  <w:r w:rsidRPr="00AC5524">
                    <w:t>0.1</w:t>
                  </w:r>
                </w:p>
              </w:tc>
              <w:tc>
                <w:tcPr>
                  <w:tcW w:w="465" w:type="pct"/>
                  <w:shd w:val="clear" w:color="auto" w:fill="auto"/>
                  <w:vAlign w:val="bottom"/>
                </w:tcPr>
                <w:p w:rsidR="00745FEA" w:rsidRPr="00AC5524" w:rsidRDefault="00745FEA" w:rsidP="00745FEA">
                  <w:pPr>
                    <w:pStyle w:val="TableBodyText"/>
                    <w:ind w:right="57"/>
                  </w:pPr>
                  <w:r w:rsidRPr="00AC5524">
                    <w:t>0.1</w:t>
                  </w:r>
                </w:p>
              </w:tc>
            </w:tr>
            <w:tr w:rsidR="00745FEA" w:rsidTr="00745FEA">
              <w:tc>
                <w:tcPr>
                  <w:tcW w:w="2197" w:type="pct"/>
                </w:tcPr>
                <w:p w:rsidR="00745FEA" w:rsidRPr="005033D4" w:rsidRDefault="00745FEA" w:rsidP="00745FEA">
                  <w:pPr>
                    <w:pStyle w:val="TableBodyText"/>
                    <w:spacing w:after="0"/>
                    <w:ind w:left="227" w:right="0"/>
                    <w:jc w:val="left"/>
                  </w:pPr>
                  <w:r w:rsidRPr="005033D4">
                    <w:t>The Small Business and General Business Tax Break</w:t>
                  </w:r>
                </w:p>
              </w:tc>
              <w:tc>
                <w:tcPr>
                  <w:tcW w:w="466" w:type="pct"/>
                  <w:vAlign w:val="bottom"/>
                </w:tcPr>
                <w:p w:rsidR="00745FEA" w:rsidRPr="00AC5524" w:rsidRDefault="00745FEA" w:rsidP="00745FEA">
                  <w:pPr>
                    <w:pStyle w:val="TableBodyText"/>
                    <w:ind w:right="57"/>
                  </w:pPr>
                  <w:r w:rsidRPr="00AC5524">
                    <w:t>0.1</w:t>
                  </w:r>
                </w:p>
              </w:tc>
              <w:tc>
                <w:tcPr>
                  <w:tcW w:w="468" w:type="pct"/>
                  <w:vAlign w:val="bottom"/>
                </w:tcPr>
                <w:p w:rsidR="00745FEA" w:rsidRPr="00AC5524" w:rsidRDefault="00745FEA" w:rsidP="00745FEA">
                  <w:pPr>
                    <w:pStyle w:val="TableBodyText"/>
                    <w:ind w:right="57"/>
                  </w:pPr>
                  <w:r w:rsidRPr="00AC5524">
                    <w:t>&lt;0.1</w:t>
                  </w:r>
                </w:p>
              </w:tc>
              <w:tc>
                <w:tcPr>
                  <w:tcW w:w="468" w:type="pct"/>
                  <w:vAlign w:val="bottom"/>
                </w:tcPr>
                <w:p w:rsidR="00745FEA" w:rsidRPr="00AC5524" w:rsidRDefault="00745FEA" w:rsidP="00745FEA">
                  <w:pPr>
                    <w:pStyle w:val="TableBodyText"/>
                    <w:ind w:right="57"/>
                  </w:pPr>
                  <w:r w:rsidRPr="00AC5524">
                    <w:t>&lt;0.1</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5" w:type="pct"/>
                  <w:shd w:val="clear" w:color="auto" w:fill="auto"/>
                  <w:vAlign w:val="bottom"/>
                </w:tcPr>
                <w:p w:rsidR="00745FEA" w:rsidRPr="00AC5524" w:rsidRDefault="00745FEA" w:rsidP="00745FEA">
                  <w:pPr>
                    <w:pStyle w:val="TableBodyText"/>
                    <w:ind w:right="57"/>
                  </w:pPr>
                  <w:r w:rsidRPr="00AC5524">
                    <w:t>–</w:t>
                  </w:r>
                </w:p>
              </w:tc>
            </w:tr>
            <w:tr w:rsidR="00745FEA" w:rsidTr="00745FEA">
              <w:tc>
                <w:tcPr>
                  <w:tcW w:w="2197" w:type="pct"/>
                </w:tcPr>
                <w:p w:rsidR="00745FEA" w:rsidRPr="005033D4" w:rsidRDefault="00745FEA" w:rsidP="00745FEA">
                  <w:pPr>
                    <w:pStyle w:val="TableBodyText"/>
                    <w:spacing w:after="0"/>
                    <w:ind w:left="227" w:right="0"/>
                    <w:jc w:val="left"/>
                  </w:pPr>
                  <w:r w:rsidRPr="005033D4">
                    <w:t>Small Business - Simplified depreciation rules</w:t>
                  </w:r>
                </w:p>
              </w:tc>
              <w:tc>
                <w:tcPr>
                  <w:tcW w:w="466" w:type="pct"/>
                  <w:vAlign w:val="bottom"/>
                </w:tcPr>
                <w:p w:rsidR="00745FEA" w:rsidRPr="00AC5524" w:rsidRDefault="00745FEA" w:rsidP="00745FEA">
                  <w:pPr>
                    <w:pStyle w:val="TableBodyText"/>
                    <w:ind w:right="57"/>
                  </w:pPr>
                  <w:r w:rsidRPr="00AC5524">
                    <w:t>&lt;0.1</w:t>
                  </w:r>
                </w:p>
              </w:tc>
              <w:tc>
                <w:tcPr>
                  <w:tcW w:w="468" w:type="pct"/>
                  <w:vAlign w:val="bottom"/>
                </w:tcPr>
                <w:p w:rsidR="00745FEA" w:rsidRPr="00AC5524" w:rsidRDefault="00745FEA" w:rsidP="00745FEA">
                  <w:pPr>
                    <w:pStyle w:val="TableBodyText"/>
                    <w:ind w:right="57"/>
                  </w:pPr>
                  <w:r w:rsidRPr="00AC5524">
                    <w:t>-0.2</w:t>
                  </w:r>
                </w:p>
              </w:tc>
              <w:tc>
                <w:tcPr>
                  <w:tcW w:w="468" w:type="pct"/>
                  <w:vAlign w:val="bottom"/>
                </w:tcPr>
                <w:p w:rsidR="00745FEA" w:rsidRPr="00AC5524" w:rsidRDefault="00745FEA" w:rsidP="00745FEA">
                  <w:pPr>
                    <w:pStyle w:val="TableBodyText"/>
                    <w:ind w:right="57"/>
                  </w:pPr>
                  <w:r w:rsidRPr="00AC5524">
                    <w:t>0.7</w:t>
                  </w:r>
                </w:p>
              </w:tc>
              <w:tc>
                <w:tcPr>
                  <w:tcW w:w="468" w:type="pct"/>
                  <w:shd w:val="clear" w:color="auto" w:fill="auto"/>
                  <w:vAlign w:val="bottom"/>
                </w:tcPr>
                <w:p w:rsidR="00745FEA" w:rsidRPr="00AC5524" w:rsidRDefault="00745FEA" w:rsidP="00745FEA">
                  <w:pPr>
                    <w:pStyle w:val="TableBodyText"/>
                    <w:ind w:right="57"/>
                  </w:pPr>
                  <w:r w:rsidRPr="00AC5524">
                    <w:t>-0.4</w:t>
                  </w:r>
                </w:p>
              </w:tc>
              <w:tc>
                <w:tcPr>
                  <w:tcW w:w="468" w:type="pct"/>
                  <w:shd w:val="clear" w:color="auto" w:fill="auto"/>
                  <w:vAlign w:val="bottom"/>
                </w:tcPr>
                <w:p w:rsidR="00745FEA" w:rsidRPr="00AC5524" w:rsidRDefault="00745FEA" w:rsidP="00745FEA">
                  <w:pPr>
                    <w:pStyle w:val="TableBodyText"/>
                    <w:ind w:right="57"/>
                  </w:pPr>
                  <w:r w:rsidRPr="00AC5524">
                    <w:t>-0.7</w:t>
                  </w:r>
                </w:p>
              </w:tc>
              <w:tc>
                <w:tcPr>
                  <w:tcW w:w="465" w:type="pct"/>
                  <w:shd w:val="clear" w:color="auto" w:fill="auto"/>
                  <w:vAlign w:val="bottom"/>
                </w:tcPr>
                <w:p w:rsidR="00745FEA" w:rsidRPr="00AC5524" w:rsidRDefault="00745FEA" w:rsidP="00745FEA">
                  <w:pPr>
                    <w:pStyle w:val="TableBodyText"/>
                    <w:ind w:right="57"/>
                  </w:pPr>
                  <w:r w:rsidRPr="00AC5524">
                    <w:t>3.7</w:t>
                  </w:r>
                </w:p>
              </w:tc>
            </w:tr>
            <w:tr w:rsidR="00745FEA" w:rsidTr="00745FEA">
              <w:tc>
                <w:tcPr>
                  <w:tcW w:w="2197" w:type="pct"/>
                </w:tcPr>
                <w:p w:rsidR="00745FEA" w:rsidRPr="005033D4" w:rsidRDefault="00745FEA" w:rsidP="00745FEA">
                  <w:pPr>
                    <w:pStyle w:val="TableBodyText"/>
                    <w:spacing w:after="0"/>
                    <w:ind w:left="227" w:right="0"/>
                    <w:jc w:val="left"/>
                  </w:pPr>
                  <w:r w:rsidRPr="005033D4">
                    <w:t xml:space="preserve">Small business </w:t>
                  </w:r>
                  <w:r>
                    <w:t>capital gains tax</w:t>
                  </w:r>
                  <w:r w:rsidRPr="005033D4">
                    <w:t xml:space="preserve"> 15-year asset exemption</w:t>
                  </w:r>
                </w:p>
              </w:tc>
              <w:tc>
                <w:tcPr>
                  <w:tcW w:w="466"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0.3</w:t>
                  </w:r>
                </w:p>
              </w:tc>
              <w:tc>
                <w:tcPr>
                  <w:tcW w:w="468" w:type="pct"/>
                  <w:shd w:val="clear" w:color="auto" w:fill="auto"/>
                  <w:vAlign w:val="bottom"/>
                </w:tcPr>
                <w:p w:rsidR="00745FEA" w:rsidRPr="00AC5524" w:rsidRDefault="00745FEA" w:rsidP="00745FEA">
                  <w:pPr>
                    <w:pStyle w:val="TableBodyText"/>
                    <w:ind w:right="57"/>
                  </w:pPr>
                  <w:r w:rsidRPr="00AC5524">
                    <w:t>&lt;0.1</w:t>
                  </w:r>
                </w:p>
              </w:tc>
              <w:tc>
                <w:tcPr>
                  <w:tcW w:w="465" w:type="pct"/>
                  <w:shd w:val="clear" w:color="auto" w:fill="auto"/>
                  <w:vAlign w:val="bottom"/>
                </w:tcPr>
                <w:p w:rsidR="00745FEA" w:rsidRPr="00AC5524" w:rsidRDefault="00745FEA" w:rsidP="00745FEA">
                  <w:pPr>
                    <w:pStyle w:val="TableBodyText"/>
                    <w:ind w:right="57"/>
                  </w:pPr>
                  <w:r w:rsidRPr="00AC5524">
                    <w:t>&lt;0.1</w:t>
                  </w:r>
                </w:p>
              </w:tc>
            </w:tr>
            <w:tr w:rsidR="00745FEA" w:rsidTr="00745FEA">
              <w:tc>
                <w:tcPr>
                  <w:tcW w:w="2197" w:type="pct"/>
                </w:tcPr>
                <w:p w:rsidR="00745FEA" w:rsidRPr="005033D4" w:rsidRDefault="00745FEA" w:rsidP="00745FEA">
                  <w:pPr>
                    <w:pStyle w:val="TableBodyText"/>
                    <w:spacing w:after="0"/>
                    <w:ind w:left="227" w:right="0"/>
                    <w:jc w:val="left"/>
                  </w:pPr>
                  <w:r w:rsidRPr="005033D4">
                    <w:t xml:space="preserve">Small business </w:t>
                  </w:r>
                  <w:r>
                    <w:t>capital gains tax</w:t>
                  </w:r>
                  <w:r w:rsidRPr="005033D4">
                    <w:t xml:space="preserve"> retirement exemption</w:t>
                  </w:r>
                </w:p>
              </w:tc>
              <w:tc>
                <w:tcPr>
                  <w:tcW w:w="466" w:type="pct"/>
                  <w:vAlign w:val="bottom"/>
                </w:tcPr>
                <w:p w:rsidR="00745FEA" w:rsidRPr="00AC5524" w:rsidRDefault="00745FEA" w:rsidP="00745FEA">
                  <w:pPr>
                    <w:pStyle w:val="TableBodyText"/>
                    <w:ind w:right="57"/>
                  </w:pPr>
                  <w:r w:rsidRPr="00AC5524">
                    <w:t>0.9</w:t>
                  </w:r>
                </w:p>
              </w:tc>
              <w:tc>
                <w:tcPr>
                  <w:tcW w:w="468" w:type="pct"/>
                  <w:vAlign w:val="bottom"/>
                </w:tcPr>
                <w:p w:rsidR="00745FEA" w:rsidRPr="00AC5524" w:rsidRDefault="00745FEA" w:rsidP="00745FEA">
                  <w:pPr>
                    <w:pStyle w:val="TableBodyText"/>
                    <w:ind w:right="57"/>
                  </w:pPr>
                  <w:r w:rsidRPr="00AC5524">
                    <w:t>0.9</w:t>
                  </w:r>
                </w:p>
              </w:tc>
              <w:tc>
                <w:tcPr>
                  <w:tcW w:w="468" w:type="pct"/>
                  <w:vAlign w:val="bottom"/>
                </w:tcPr>
                <w:p w:rsidR="00745FEA" w:rsidRPr="00AC5524" w:rsidRDefault="00745FEA" w:rsidP="00745FEA">
                  <w:pPr>
                    <w:pStyle w:val="TableBodyText"/>
                    <w:ind w:right="57"/>
                  </w:pPr>
                  <w:r w:rsidRPr="00AC5524">
                    <w:t>0.9</w:t>
                  </w:r>
                </w:p>
              </w:tc>
              <w:tc>
                <w:tcPr>
                  <w:tcW w:w="468" w:type="pct"/>
                  <w:shd w:val="clear" w:color="auto" w:fill="auto"/>
                  <w:vAlign w:val="bottom"/>
                </w:tcPr>
                <w:p w:rsidR="00745FEA" w:rsidRPr="00AC5524" w:rsidRDefault="00745FEA" w:rsidP="00745FEA">
                  <w:pPr>
                    <w:pStyle w:val="TableBodyText"/>
                    <w:ind w:right="57"/>
                  </w:pPr>
                  <w:r w:rsidRPr="00AC5524">
                    <w:t>0.3</w:t>
                  </w:r>
                </w:p>
              </w:tc>
              <w:tc>
                <w:tcPr>
                  <w:tcW w:w="468" w:type="pct"/>
                  <w:shd w:val="clear" w:color="auto" w:fill="auto"/>
                  <w:vAlign w:val="bottom"/>
                </w:tcPr>
                <w:p w:rsidR="00745FEA" w:rsidRPr="00AC5524" w:rsidRDefault="00745FEA" w:rsidP="00745FEA">
                  <w:pPr>
                    <w:pStyle w:val="TableBodyText"/>
                    <w:ind w:right="57"/>
                  </w:pPr>
                  <w:r w:rsidRPr="00AC5524">
                    <w:t>0.1</w:t>
                  </w:r>
                </w:p>
              </w:tc>
              <w:tc>
                <w:tcPr>
                  <w:tcW w:w="465" w:type="pct"/>
                  <w:shd w:val="clear" w:color="auto" w:fill="auto"/>
                  <w:vAlign w:val="bottom"/>
                </w:tcPr>
                <w:p w:rsidR="00745FEA" w:rsidRPr="00AC5524" w:rsidRDefault="00745FEA" w:rsidP="00745FEA">
                  <w:pPr>
                    <w:pStyle w:val="TableBodyText"/>
                    <w:ind w:right="57"/>
                  </w:pPr>
                  <w:r w:rsidRPr="00AC5524">
                    <w:t>0.5</w:t>
                  </w:r>
                </w:p>
              </w:tc>
            </w:tr>
            <w:tr w:rsidR="00745FEA" w:rsidTr="00745FEA">
              <w:tc>
                <w:tcPr>
                  <w:tcW w:w="2197" w:type="pct"/>
                </w:tcPr>
                <w:p w:rsidR="00745FEA" w:rsidRPr="005033D4" w:rsidRDefault="00745FEA" w:rsidP="00745FEA">
                  <w:pPr>
                    <w:pStyle w:val="TableBodyText"/>
                    <w:spacing w:after="0"/>
                    <w:ind w:left="227" w:right="0"/>
                    <w:jc w:val="left"/>
                  </w:pPr>
                  <w:r w:rsidRPr="005033D4">
                    <w:t xml:space="preserve">Small business </w:t>
                  </w:r>
                  <w:r>
                    <w:t>capital gains tax</w:t>
                  </w:r>
                  <w:r w:rsidRPr="005033D4">
                    <w:t xml:space="preserve"> 50 per cent reduction</w:t>
                  </w:r>
                </w:p>
              </w:tc>
              <w:tc>
                <w:tcPr>
                  <w:tcW w:w="466" w:type="pct"/>
                  <w:vAlign w:val="bottom"/>
                </w:tcPr>
                <w:p w:rsidR="00745FEA" w:rsidRPr="00AC5524" w:rsidRDefault="00745FEA" w:rsidP="00745FEA">
                  <w:pPr>
                    <w:pStyle w:val="TableBodyText"/>
                    <w:ind w:right="57"/>
                  </w:pPr>
                  <w:r w:rsidRPr="00AC5524">
                    <w:t>2.6</w:t>
                  </w:r>
                </w:p>
              </w:tc>
              <w:tc>
                <w:tcPr>
                  <w:tcW w:w="468" w:type="pct"/>
                  <w:vAlign w:val="bottom"/>
                </w:tcPr>
                <w:p w:rsidR="00745FEA" w:rsidRPr="00AC5524" w:rsidRDefault="00745FEA" w:rsidP="00745FEA">
                  <w:pPr>
                    <w:pStyle w:val="TableBodyText"/>
                    <w:ind w:right="57"/>
                  </w:pPr>
                  <w:r w:rsidRPr="00AC5524">
                    <w:t>2.8</w:t>
                  </w:r>
                </w:p>
              </w:tc>
              <w:tc>
                <w:tcPr>
                  <w:tcW w:w="468" w:type="pct"/>
                  <w:vAlign w:val="bottom"/>
                </w:tcPr>
                <w:p w:rsidR="00745FEA" w:rsidRPr="00AC5524" w:rsidRDefault="00745FEA" w:rsidP="00745FEA">
                  <w:pPr>
                    <w:pStyle w:val="TableBodyText"/>
                    <w:ind w:right="57"/>
                  </w:pPr>
                  <w:r w:rsidRPr="00AC5524">
                    <w:t>2.8</w:t>
                  </w:r>
                </w:p>
              </w:tc>
              <w:tc>
                <w:tcPr>
                  <w:tcW w:w="468" w:type="pct"/>
                  <w:shd w:val="clear" w:color="auto" w:fill="auto"/>
                  <w:vAlign w:val="bottom"/>
                </w:tcPr>
                <w:p w:rsidR="00745FEA" w:rsidRPr="00AC5524" w:rsidRDefault="00745FEA" w:rsidP="00745FEA">
                  <w:pPr>
                    <w:pStyle w:val="TableBodyText"/>
                    <w:ind w:right="57"/>
                  </w:pPr>
                  <w:r w:rsidRPr="00AC5524">
                    <w:t>0.7</w:t>
                  </w:r>
                </w:p>
              </w:tc>
              <w:tc>
                <w:tcPr>
                  <w:tcW w:w="468" w:type="pct"/>
                  <w:shd w:val="clear" w:color="auto" w:fill="auto"/>
                  <w:vAlign w:val="bottom"/>
                </w:tcPr>
                <w:p w:rsidR="00745FEA" w:rsidRPr="00AC5524" w:rsidRDefault="00745FEA" w:rsidP="00745FEA">
                  <w:pPr>
                    <w:pStyle w:val="TableBodyText"/>
                    <w:ind w:right="57"/>
                  </w:pPr>
                  <w:r w:rsidRPr="00AC5524">
                    <w:t>0.9</w:t>
                  </w:r>
                </w:p>
              </w:tc>
              <w:tc>
                <w:tcPr>
                  <w:tcW w:w="465" w:type="pct"/>
                  <w:shd w:val="clear" w:color="auto" w:fill="auto"/>
                  <w:vAlign w:val="bottom"/>
                </w:tcPr>
                <w:p w:rsidR="00745FEA" w:rsidRPr="00AC5524" w:rsidRDefault="00745FEA" w:rsidP="00745FEA">
                  <w:pPr>
                    <w:pStyle w:val="TableBodyText"/>
                    <w:ind w:right="57"/>
                  </w:pPr>
                  <w:r w:rsidRPr="00AC5524">
                    <w:t>1.9</w:t>
                  </w:r>
                </w:p>
              </w:tc>
            </w:tr>
            <w:tr w:rsidR="00745FEA" w:rsidTr="00745FEA">
              <w:tc>
                <w:tcPr>
                  <w:tcW w:w="2197" w:type="pct"/>
                </w:tcPr>
                <w:p w:rsidR="00745FEA" w:rsidRPr="005033D4" w:rsidRDefault="00745FEA" w:rsidP="00745FEA">
                  <w:pPr>
                    <w:pStyle w:val="TableBodyText"/>
                    <w:spacing w:after="0"/>
                    <w:ind w:left="227" w:right="0"/>
                    <w:jc w:val="left"/>
                  </w:pPr>
                  <w:r w:rsidRPr="005033D4">
                    <w:t>25 per cent entrepreneurs' tax offset</w:t>
                  </w:r>
                </w:p>
              </w:tc>
              <w:tc>
                <w:tcPr>
                  <w:tcW w:w="466" w:type="pct"/>
                  <w:vAlign w:val="bottom"/>
                </w:tcPr>
                <w:p w:rsidR="00745FEA" w:rsidRPr="00AC5524" w:rsidRDefault="00745FEA" w:rsidP="00745FEA">
                  <w:pPr>
                    <w:pStyle w:val="TableBodyText"/>
                    <w:ind w:right="57"/>
                  </w:pPr>
                  <w:r w:rsidRPr="00AC5524">
                    <w:t>0.2</w:t>
                  </w:r>
                </w:p>
              </w:tc>
              <w:tc>
                <w:tcPr>
                  <w:tcW w:w="468" w:type="pct"/>
                  <w:vAlign w:val="bottom"/>
                </w:tcPr>
                <w:p w:rsidR="00745FEA" w:rsidRPr="00AC5524" w:rsidRDefault="00745FEA" w:rsidP="00745FEA">
                  <w:pPr>
                    <w:pStyle w:val="TableBodyText"/>
                    <w:ind w:right="57"/>
                  </w:pPr>
                  <w:r w:rsidRPr="00AC5524">
                    <w:t>0.3</w:t>
                  </w:r>
                </w:p>
              </w:tc>
              <w:tc>
                <w:tcPr>
                  <w:tcW w:w="468" w:type="pct"/>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8" w:type="pct"/>
                  <w:shd w:val="clear" w:color="auto" w:fill="auto"/>
                  <w:vAlign w:val="bottom"/>
                </w:tcPr>
                <w:p w:rsidR="00745FEA" w:rsidRPr="00AC5524" w:rsidRDefault="00745FEA" w:rsidP="00745FEA">
                  <w:pPr>
                    <w:pStyle w:val="TableBodyText"/>
                    <w:ind w:right="57"/>
                  </w:pPr>
                  <w:r w:rsidRPr="00AC5524">
                    <w:t>–</w:t>
                  </w:r>
                </w:p>
              </w:tc>
              <w:tc>
                <w:tcPr>
                  <w:tcW w:w="465" w:type="pct"/>
                  <w:shd w:val="clear" w:color="auto" w:fill="auto"/>
                  <w:vAlign w:val="bottom"/>
                </w:tcPr>
                <w:p w:rsidR="00745FEA" w:rsidRDefault="00745FEA" w:rsidP="00745FEA">
                  <w:pPr>
                    <w:pStyle w:val="TableBodyText"/>
                    <w:ind w:right="57"/>
                  </w:pPr>
                  <w:r w:rsidRPr="00AC5524">
                    <w:t>–</w:t>
                  </w:r>
                </w:p>
              </w:tc>
            </w:tr>
            <w:tr w:rsidR="00745FEA" w:rsidTr="00745FEA">
              <w:tc>
                <w:tcPr>
                  <w:tcW w:w="2197" w:type="pct"/>
                  <w:vAlign w:val="bottom"/>
                </w:tcPr>
                <w:p w:rsidR="00745FEA" w:rsidRPr="00E649CE" w:rsidRDefault="00745FEA" w:rsidP="00745FEA">
                  <w:pPr>
                    <w:spacing w:before="20" w:after="20"/>
                    <w:rPr>
                      <w:rFonts w:ascii="Arial" w:hAnsi="Arial" w:cs="Arial"/>
                      <w:i/>
                      <w:color w:val="000000"/>
                      <w:sz w:val="18"/>
                      <w:szCs w:val="18"/>
                    </w:rPr>
                  </w:pPr>
                  <w:r w:rsidRPr="00E649CE">
                    <w:rPr>
                      <w:rFonts w:ascii="Arial" w:hAnsi="Arial" w:cs="Arial"/>
                      <w:i/>
                      <w:color w:val="000000"/>
                      <w:sz w:val="18"/>
                      <w:szCs w:val="18"/>
                    </w:rPr>
                    <w:t>Total</w:t>
                  </w:r>
                </w:p>
              </w:tc>
              <w:tc>
                <w:tcPr>
                  <w:tcW w:w="466" w:type="pct"/>
                  <w:vAlign w:val="bottom"/>
                </w:tcPr>
                <w:p w:rsidR="00745FEA" w:rsidRPr="00C33882" w:rsidRDefault="00745FEA" w:rsidP="00745FEA">
                  <w:pPr>
                    <w:pStyle w:val="TableBodyText"/>
                    <w:spacing w:before="20" w:after="20"/>
                    <w:ind w:right="57"/>
                    <w:rPr>
                      <w:i/>
                    </w:rPr>
                  </w:pPr>
                  <w:r>
                    <w:rPr>
                      <w:i/>
                    </w:rPr>
                    <w:t>745.6</w:t>
                  </w:r>
                </w:p>
              </w:tc>
              <w:tc>
                <w:tcPr>
                  <w:tcW w:w="468" w:type="pct"/>
                  <w:vAlign w:val="bottom"/>
                </w:tcPr>
                <w:p w:rsidR="00745FEA" w:rsidRPr="00C33882" w:rsidRDefault="00745FEA" w:rsidP="00745FEA">
                  <w:pPr>
                    <w:pStyle w:val="TableBodyText"/>
                    <w:spacing w:before="20" w:after="20"/>
                    <w:ind w:right="57"/>
                    <w:rPr>
                      <w:i/>
                    </w:rPr>
                  </w:pPr>
                  <w:r>
                    <w:rPr>
                      <w:i/>
                    </w:rPr>
                    <w:t>483.3</w:t>
                  </w:r>
                </w:p>
              </w:tc>
              <w:tc>
                <w:tcPr>
                  <w:tcW w:w="468" w:type="pct"/>
                </w:tcPr>
                <w:p w:rsidR="00745FEA" w:rsidRPr="002F2D74" w:rsidRDefault="00745FEA" w:rsidP="00745FEA">
                  <w:pPr>
                    <w:pStyle w:val="TableBodyText"/>
                    <w:spacing w:before="20" w:after="20"/>
                    <w:ind w:right="57"/>
                    <w:rPr>
                      <w:i/>
                    </w:rPr>
                  </w:pPr>
                  <w:r>
                    <w:rPr>
                      <w:i/>
                    </w:rPr>
                    <w:t>515.6</w:t>
                  </w:r>
                </w:p>
              </w:tc>
              <w:tc>
                <w:tcPr>
                  <w:tcW w:w="468" w:type="pct"/>
                  <w:shd w:val="clear" w:color="auto" w:fill="auto"/>
                </w:tcPr>
                <w:p w:rsidR="00745FEA" w:rsidRPr="002F2D74" w:rsidRDefault="00745FEA" w:rsidP="00745FEA">
                  <w:pPr>
                    <w:pStyle w:val="TableBodyText"/>
                    <w:spacing w:before="20" w:after="20"/>
                    <w:ind w:right="57"/>
                    <w:rPr>
                      <w:i/>
                    </w:rPr>
                  </w:pPr>
                  <w:r>
                    <w:rPr>
                      <w:i/>
                    </w:rPr>
                    <w:t>524.6</w:t>
                  </w:r>
                </w:p>
              </w:tc>
              <w:tc>
                <w:tcPr>
                  <w:tcW w:w="468" w:type="pct"/>
                  <w:shd w:val="clear" w:color="auto" w:fill="auto"/>
                </w:tcPr>
                <w:p w:rsidR="00745FEA" w:rsidRPr="002F2D74" w:rsidRDefault="00745FEA" w:rsidP="00745FEA">
                  <w:pPr>
                    <w:pStyle w:val="TableBodyText"/>
                    <w:spacing w:before="20" w:after="20"/>
                    <w:ind w:right="57"/>
                    <w:rPr>
                      <w:i/>
                    </w:rPr>
                  </w:pPr>
                  <w:r>
                    <w:rPr>
                      <w:i/>
                    </w:rPr>
                    <w:t>515.7</w:t>
                  </w:r>
                </w:p>
              </w:tc>
              <w:tc>
                <w:tcPr>
                  <w:tcW w:w="465" w:type="pct"/>
                  <w:shd w:val="clear" w:color="auto" w:fill="auto"/>
                </w:tcPr>
                <w:p w:rsidR="00745FEA" w:rsidRPr="002F2D74" w:rsidRDefault="00745FEA" w:rsidP="00745FEA">
                  <w:pPr>
                    <w:pStyle w:val="TableBodyText"/>
                    <w:spacing w:before="20" w:after="20"/>
                    <w:ind w:right="57"/>
                    <w:rPr>
                      <w:i/>
                    </w:rPr>
                  </w:pPr>
                  <w:r>
                    <w:rPr>
                      <w:i/>
                    </w:rPr>
                    <w:t>521.8</w:t>
                  </w:r>
                </w:p>
              </w:tc>
            </w:tr>
            <w:tr w:rsidR="00745FEA" w:rsidTr="00745FEA">
              <w:tc>
                <w:tcPr>
                  <w:tcW w:w="2197" w:type="pct"/>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outlays</w:t>
                  </w:r>
                </w:p>
              </w:tc>
              <w:tc>
                <w:tcPr>
                  <w:tcW w:w="466" w:type="pct"/>
                  <w:vAlign w:val="center"/>
                </w:tcPr>
                <w:p w:rsidR="00745FEA" w:rsidRPr="00D00B19" w:rsidRDefault="00745FEA" w:rsidP="00745FEA">
                  <w:pPr>
                    <w:pStyle w:val="TableBodyText"/>
                    <w:spacing w:after="0"/>
                    <w:ind w:left="0" w:right="57"/>
                    <w:rPr>
                      <w:b/>
                    </w:rPr>
                  </w:pPr>
                  <w:r>
                    <w:rPr>
                      <w:b/>
                    </w:rPr>
                    <w:t>398.1</w:t>
                  </w:r>
                </w:p>
              </w:tc>
              <w:tc>
                <w:tcPr>
                  <w:tcW w:w="468" w:type="pct"/>
                  <w:vAlign w:val="center"/>
                </w:tcPr>
                <w:p w:rsidR="00745FEA" w:rsidRPr="00D00B19" w:rsidRDefault="00745FEA" w:rsidP="00745FEA">
                  <w:pPr>
                    <w:pStyle w:val="TableBodyText"/>
                    <w:spacing w:after="0"/>
                    <w:ind w:left="0" w:right="57"/>
                    <w:rPr>
                      <w:b/>
                    </w:rPr>
                  </w:pPr>
                  <w:r>
                    <w:rPr>
                      <w:b/>
                    </w:rPr>
                    <w:t>201.7</w:t>
                  </w:r>
                </w:p>
              </w:tc>
              <w:tc>
                <w:tcPr>
                  <w:tcW w:w="468" w:type="pct"/>
                  <w:vAlign w:val="center"/>
                </w:tcPr>
                <w:p w:rsidR="00745FEA" w:rsidRPr="002F2D74" w:rsidRDefault="00745FEA" w:rsidP="00745FEA">
                  <w:pPr>
                    <w:pStyle w:val="TableBodyText"/>
                    <w:spacing w:after="0"/>
                    <w:ind w:left="0" w:right="57"/>
                    <w:rPr>
                      <w:b/>
                    </w:rPr>
                  </w:pPr>
                  <w:r>
                    <w:rPr>
                      <w:b/>
                    </w:rPr>
                    <w:t>252.0</w:t>
                  </w:r>
                </w:p>
              </w:tc>
              <w:tc>
                <w:tcPr>
                  <w:tcW w:w="468" w:type="pct"/>
                  <w:shd w:val="clear" w:color="auto" w:fill="auto"/>
                  <w:vAlign w:val="center"/>
                </w:tcPr>
                <w:p w:rsidR="00745FEA" w:rsidRPr="002F2D74" w:rsidRDefault="00745FEA" w:rsidP="00745FEA">
                  <w:pPr>
                    <w:pStyle w:val="TableBodyText"/>
                    <w:spacing w:after="0"/>
                    <w:ind w:left="0" w:right="57"/>
                    <w:rPr>
                      <w:b/>
                    </w:rPr>
                  </w:pPr>
                  <w:r>
                    <w:rPr>
                      <w:b/>
                    </w:rPr>
                    <w:t>234.8</w:t>
                  </w:r>
                </w:p>
              </w:tc>
              <w:tc>
                <w:tcPr>
                  <w:tcW w:w="468" w:type="pct"/>
                  <w:shd w:val="clear" w:color="auto" w:fill="auto"/>
                  <w:vAlign w:val="center"/>
                </w:tcPr>
                <w:p w:rsidR="00745FEA" w:rsidRPr="002F2D74" w:rsidRDefault="00745FEA" w:rsidP="00745FEA">
                  <w:pPr>
                    <w:pStyle w:val="TableBodyText"/>
                    <w:spacing w:after="0"/>
                    <w:ind w:left="0" w:right="57"/>
                    <w:rPr>
                      <w:b/>
                    </w:rPr>
                  </w:pPr>
                  <w:r>
                    <w:rPr>
                      <w:b/>
                    </w:rPr>
                    <w:t>206.1</w:t>
                  </w:r>
                </w:p>
              </w:tc>
              <w:tc>
                <w:tcPr>
                  <w:tcW w:w="465" w:type="pct"/>
                  <w:shd w:val="clear" w:color="auto" w:fill="auto"/>
                  <w:vAlign w:val="center"/>
                </w:tcPr>
                <w:p w:rsidR="00745FEA" w:rsidRPr="002F2D74" w:rsidRDefault="00745FEA" w:rsidP="00745FEA">
                  <w:pPr>
                    <w:pStyle w:val="TableBodyText"/>
                    <w:spacing w:after="0"/>
                    <w:ind w:left="0" w:right="57"/>
                    <w:rPr>
                      <w:b/>
                    </w:rPr>
                  </w:pPr>
                  <w:r>
                    <w:rPr>
                      <w:b/>
                    </w:rPr>
                    <w:t>238.9</w:t>
                  </w:r>
                </w:p>
              </w:tc>
            </w:tr>
            <w:tr w:rsidR="00745FEA" w:rsidTr="00745FEA">
              <w:tc>
                <w:tcPr>
                  <w:tcW w:w="2197" w:type="pct"/>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tax concessions</w:t>
                  </w:r>
                </w:p>
              </w:tc>
              <w:tc>
                <w:tcPr>
                  <w:tcW w:w="466" w:type="pct"/>
                  <w:vAlign w:val="center"/>
                </w:tcPr>
                <w:p w:rsidR="00745FEA" w:rsidRPr="00D00B19" w:rsidRDefault="00745FEA" w:rsidP="00745FEA">
                  <w:pPr>
                    <w:pStyle w:val="TableBodyText"/>
                    <w:spacing w:after="0"/>
                    <w:ind w:left="0" w:right="57"/>
                    <w:rPr>
                      <w:b/>
                    </w:rPr>
                  </w:pPr>
                  <w:r>
                    <w:rPr>
                      <w:b/>
                    </w:rPr>
                    <w:t>347.5</w:t>
                  </w:r>
                </w:p>
              </w:tc>
              <w:tc>
                <w:tcPr>
                  <w:tcW w:w="468" w:type="pct"/>
                  <w:vAlign w:val="center"/>
                </w:tcPr>
                <w:p w:rsidR="00745FEA" w:rsidRPr="00D00B19" w:rsidRDefault="00745FEA" w:rsidP="00745FEA">
                  <w:pPr>
                    <w:pStyle w:val="TableBodyText"/>
                    <w:spacing w:after="0"/>
                    <w:ind w:left="0" w:right="57"/>
                    <w:rPr>
                      <w:b/>
                    </w:rPr>
                  </w:pPr>
                  <w:r>
                    <w:rPr>
                      <w:b/>
                    </w:rPr>
                    <w:t>281.6</w:t>
                  </w:r>
                </w:p>
              </w:tc>
              <w:tc>
                <w:tcPr>
                  <w:tcW w:w="468" w:type="pct"/>
                  <w:vAlign w:val="center"/>
                </w:tcPr>
                <w:p w:rsidR="00745FEA" w:rsidRPr="002F2D74" w:rsidRDefault="00745FEA" w:rsidP="00745FEA">
                  <w:pPr>
                    <w:pStyle w:val="TableBodyText"/>
                    <w:spacing w:after="0"/>
                    <w:ind w:left="0" w:right="57"/>
                    <w:rPr>
                      <w:b/>
                    </w:rPr>
                  </w:pPr>
                  <w:r>
                    <w:rPr>
                      <w:b/>
                    </w:rPr>
                    <w:t>263.7</w:t>
                  </w:r>
                </w:p>
              </w:tc>
              <w:tc>
                <w:tcPr>
                  <w:tcW w:w="468" w:type="pct"/>
                  <w:shd w:val="clear" w:color="auto" w:fill="auto"/>
                  <w:vAlign w:val="center"/>
                </w:tcPr>
                <w:p w:rsidR="00745FEA" w:rsidRPr="002F2D74" w:rsidRDefault="00745FEA" w:rsidP="00745FEA">
                  <w:pPr>
                    <w:pStyle w:val="TableBodyText"/>
                    <w:spacing w:after="0"/>
                    <w:ind w:left="0" w:right="57"/>
                    <w:rPr>
                      <w:b/>
                    </w:rPr>
                  </w:pPr>
                  <w:r>
                    <w:rPr>
                      <w:b/>
                    </w:rPr>
                    <w:t>289.8</w:t>
                  </w:r>
                </w:p>
              </w:tc>
              <w:tc>
                <w:tcPr>
                  <w:tcW w:w="468" w:type="pct"/>
                  <w:shd w:val="clear" w:color="auto" w:fill="auto"/>
                  <w:vAlign w:val="center"/>
                </w:tcPr>
                <w:p w:rsidR="00745FEA" w:rsidRPr="002F2D74" w:rsidRDefault="00745FEA" w:rsidP="00745FEA">
                  <w:pPr>
                    <w:pStyle w:val="TableBodyText"/>
                    <w:spacing w:after="0"/>
                    <w:ind w:left="0" w:right="57"/>
                    <w:rPr>
                      <w:b/>
                    </w:rPr>
                  </w:pPr>
                  <w:r>
                    <w:rPr>
                      <w:b/>
                    </w:rPr>
                    <w:t>309.6</w:t>
                  </w:r>
                </w:p>
              </w:tc>
              <w:tc>
                <w:tcPr>
                  <w:tcW w:w="465" w:type="pct"/>
                  <w:shd w:val="clear" w:color="auto" w:fill="auto"/>
                  <w:vAlign w:val="center"/>
                </w:tcPr>
                <w:p w:rsidR="00745FEA" w:rsidRPr="002F2D74" w:rsidRDefault="00745FEA" w:rsidP="00745FEA">
                  <w:pPr>
                    <w:pStyle w:val="TableBodyText"/>
                    <w:spacing w:after="0"/>
                    <w:ind w:left="0" w:right="57"/>
                    <w:rPr>
                      <w:b/>
                    </w:rPr>
                  </w:pPr>
                  <w:r>
                    <w:rPr>
                      <w:b/>
                    </w:rPr>
                    <w:t>282.9</w:t>
                  </w:r>
                </w:p>
              </w:tc>
            </w:tr>
            <w:tr w:rsidR="00745FEA" w:rsidTr="00745FEA">
              <w:tc>
                <w:tcPr>
                  <w:tcW w:w="2197" w:type="pct"/>
                  <w:tcBorders>
                    <w:bottom w:val="single" w:sz="6" w:space="0" w:color="BFBFBF"/>
                  </w:tcBorders>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budgetary assistance</w:t>
                  </w:r>
                </w:p>
              </w:tc>
              <w:tc>
                <w:tcPr>
                  <w:tcW w:w="466" w:type="pct"/>
                  <w:tcBorders>
                    <w:bottom w:val="single" w:sz="6" w:space="0" w:color="BFBFBF"/>
                  </w:tcBorders>
                  <w:vAlign w:val="center"/>
                </w:tcPr>
                <w:p w:rsidR="00745FEA" w:rsidRPr="00D00B19" w:rsidRDefault="00745FEA" w:rsidP="00745FEA">
                  <w:pPr>
                    <w:pStyle w:val="TableBodyText"/>
                    <w:spacing w:after="0"/>
                    <w:ind w:left="0" w:right="57"/>
                    <w:rPr>
                      <w:b/>
                    </w:rPr>
                  </w:pPr>
                  <w:r>
                    <w:rPr>
                      <w:b/>
                    </w:rPr>
                    <w:t>745.6</w:t>
                  </w:r>
                </w:p>
              </w:tc>
              <w:tc>
                <w:tcPr>
                  <w:tcW w:w="468" w:type="pct"/>
                  <w:tcBorders>
                    <w:bottom w:val="single" w:sz="6" w:space="0" w:color="BFBFBF"/>
                  </w:tcBorders>
                  <w:vAlign w:val="center"/>
                </w:tcPr>
                <w:p w:rsidR="00745FEA" w:rsidRPr="00D00B19" w:rsidRDefault="00745FEA" w:rsidP="00745FEA">
                  <w:pPr>
                    <w:pStyle w:val="TableBodyText"/>
                    <w:spacing w:after="0"/>
                    <w:ind w:left="0" w:right="57"/>
                    <w:rPr>
                      <w:b/>
                    </w:rPr>
                  </w:pPr>
                  <w:r>
                    <w:rPr>
                      <w:b/>
                    </w:rPr>
                    <w:t>483.3</w:t>
                  </w:r>
                </w:p>
              </w:tc>
              <w:tc>
                <w:tcPr>
                  <w:tcW w:w="468" w:type="pct"/>
                  <w:tcBorders>
                    <w:bottom w:val="single" w:sz="6" w:space="0" w:color="BFBFBF"/>
                  </w:tcBorders>
                  <w:vAlign w:val="center"/>
                </w:tcPr>
                <w:p w:rsidR="00745FEA" w:rsidRPr="002F2D74" w:rsidRDefault="00745FEA" w:rsidP="00745FEA">
                  <w:pPr>
                    <w:pStyle w:val="TableBodyText"/>
                    <w:spacing w:after="0"/>
                    <w:ind w:left="0" w:right="57"/>
                    <w:rPr>
                      <w:b/>
                    </w:rPr>
                  </w:pPr>
                  <w:r>
                    <w:rPr>
                      <w:b/>
                    </w:rPr>
                    <w:t>515.6</w:t>
                  </w:r>
                </w:p>
              </w:tc>
              <w:tc>
                <w:tcPr>
                  <w:tcW w:w="468" w:type="pct"/>
                  <w:tcBorders>
                    <w:bottom w:val="single" w:sz="6" w:space="0" w:color="BFBFBF"/>
                  </w:tcBorders>
                  <w:shd w:val="clear" w:color="auto" w:fill="auto"/>
                  <w:vAlign w:val="center"/>
                </w:tcPr>
                <w:p w:rsidR="00745FEA" w:rsidRPr="002F2D74" w:rsidRDefault="00745FEA" w:rsidP="00745FEA">
                  <w:pPr>
                    <w:pStyle w:val="TableBodyText"/>
                    <w:spacing w:after="0"/>
                    <w:ind w:left="0" w:right="57"/>
                    <w:rPr>
                      <w:b/>
                    </w:rPr>
                  </w:pPr>
                  <w:r>
                    <w:rPr>
                      <w:b/>
                    </w:rPr>
                    <w:t>524.6</w:t>
                  </w:r>
                </w:p>
              </w:tc>
              <w:tc>
                <w:tcPr>
                  <w:tcW w:w="468" w:type="pct"/>
                  <w:tcBorders>
                    <w:bottom w:val="single" w:sz="6" w:space="0" w:color="BFBFBF"/>
                  </w:tcBorders>
                  <w:shd w:val="clear" w:color="auto" w:fill="auto"/>
                  <w:vAlign w:val="center"/>
                </w:tcPr>
                <w:p w:rsidR="00745FEA" w:rsidRPr="002F2D74" w:rsidRDefault="00745FEA" w:rsidP="00745FEA">
                  <w:pPr>
                    <w:pStyle w:val="TableBodyText"/>
                    <w:spacing w:after="0"/>
                    <w:ind w:left="0" w:right="57"/>
                    <w:rPr>
                      <w:b/>
                    </w:rPr>
                  </w:pPr>
                  <w:r>
                    <w:rPr>
                      <w:b/>
                    </w:rPr>
                    <w:t>515.7</w:t>
                  </w:r>
                </w:p>
              </w:tc>
              <w:tc>
                <w:tcPr>
                  <w:tcW w:w="465" w:type="pct"/>
                  <w:tcBorders>
                    <w:bottom w:val="single" w:sz="6" w:space="0" w:color="BFBFBF"/>
                  </w:tcBorders>
                  <w:shd w:val="clear" w:color="auto" w:fill="auto"/>
                  <w:vAlign w:val="center"/>
                </w:tcPr>
                <w:p w:rsidR="00745FEA" w:rsidRPr="002F2D74" w:rsidRDefault="00745FEA" w:rsidP="00745FEA">
                  <w:pPr>
                    <w:pStyle w:val="TableBodyText"/>
                    <w:spacing w:after="0"/>
                    <w:ind w:left="0" w:right="57"/>
                    <w:rPr>
                      <w:b/>
                    </w:rPr>
                  </w:pPr>
                  <w:r>
                    <w:rPr>
                      <w:b/>
                    </w:rPr>
                    <w:t>521.8</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Note"/>
              <w:rPr>
                <w:i/>
              </w:rPr>
            </w:pPr>
            <w:r w:rsidRPr="00DF5738">
              <w:t xml:space="preserve">– Nil. Figures may not add to totals due to rounding. </w:t>
            </w:r>
            <w:r w:rsidRPr="008E77FE">
              <w:rPr>
                <w:rStyle w:val="NoteLabel"/>
              </w:rPr>
              <w:t>a</w:t>
            </w:r>
            <w:r>
              <w:t> </w:t>
            </w:r>
            <w:r w:rsidRPr="00DF5738">
              <w:t>The estimates are derived primarily from Australian Government departmental annual reports and Treasury’s Tax Expenditure Statements and unpublished information provided by relevant agencies.</w:t>
            </w: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Pr="00E21118" w:rsidRDefault="00745FEA" w:rsidP="00745FEA">
      <w:pPr>
        <w:rPr>
          <w:szCs w:val="20"/>
        </w:rPr>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12</w:t>
            </w:r>
            <w:r>
              <w:tab/>
              <w:t>Australian Government budgetary assistance to manufacturing, 2011</w:t>
            </w:r>
            <w:r>
              <w:noBreakHyphen/>
              <w:t>12 to 2016</w:t>
            </w:r>
            <w:r>
              <w:noBreakHyphen/>
              <w:t>17</w:t>
            </w:r>
            <w:r w:rsidRPr="0018442B">
              <w:rPr>
                <w:rStyle w:val="NoteLabel"/>
                <w:b/>
                <w:position w:val="10"/>
              </w:rPr>
              <w:t>a</w:t>
            </w:r>
          </w:p>
          <w:p w:rsidR="00745FEA" w:rsidRPr="00784A05" w:rsidRDefault="00745FEA" w:rsidP="00745FEA">
            <w:pPr>
              <w:pStyle w:val="Subtitle"/>
            </w:pPr>
            <w:r>
              <w:t>$ million (nominal)</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5"/>
              <w:gridCol w:w="794"/>
              <w:gridCol w:w="794"/>
              <w:gridCol w:w="794"/>
              <w:gridCol w:w="794"/>
              <w:gridCol w:w="791"/>
            </w:tblGrid>
            <w:tr w:rsidR="00745FEA" w:rsidTr="00C719FB">
              <w:trPr>
                <w:tblHeader/>
              </w:trPr>
              <w:tc>
                <w:tcPr>
                  <w:tcW w:w="22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Borders>
                    <w:top w:val="single" w:sz="6" w:space="0" w:color="BFBFBF"/>
                  </w:tcBorders>
                </w:tcPr>
                <w:p w:rsidR="00745FEA" w:rsidRPr="00E4189F" w:rsidRDefault="00745FEA" w:rsidP="00745FEA">
                  <w:pPr>
                    <w:pStyle w:val="TableUnitsRow"/>
                    <w:jc w:val="left"/>
                    <w:rPr>
                      <w:b/>
                    </w:rPr>
                  </w:pPr>
                  <w:r w:rsidRPr="00E4189F">
                    <w:rPr>
                      <w:b/>
                    </w:rPr>
                    <w:t>Food, beverages and tobacco</w:t>
                  </w:r>
                </w:p>
              </w:tc>
              <w:tc>
                <w:tcPr>
                  <w:tcW w:w="464" w:type="pct"/>
                  <w:tcBorders>
                    <w:top w:val="single" w:sz="6" w:space="0" w:color="BFBFBF"/>
                  </w:tcBorders>
                  <w:vAlign w:val="bottom"/>
                </w:tcPr>
                <w:p w:rsidR="00745FEA" w:rsidRDefault="00745FEA" w:rsidP="00745FEA">
                  <w:pPr>
                    <w:pStyle w:val="TableUnitsRow"/>
                    <w:ind w:right="57"/>
                  </w:pPr>
                </w:p>
              </w:tc>
              <w:tc>
                <w:tcPr>
                  <w:tcW w:w="464" w:type="pct"/>
                  <w:tcBorders>
                    <w:top w:val="single" w:sz="6" w:space="0" w:color="BFBFBF"/>
                  </w:tcBorders>
                  <w:vAlign w:val="bottom"/>
                </w:tcPr>
                <w:p w:rsidR="00745FEA" w:rsidRDefault="00745FEA" w:rsidP="00745FEA">
                  <w:pPr>
                    <w:pStyle w:val="TableUnitsRow"/>
                    <w:ind w:right="57"/>
                  </w:pPr>
                </w:p>
              </w:tc>
              <w:tc>
                <w:tcPr>
                  <w:tcW w:w="464" w:type="pct"/>
                  <w:tcBorders>
                    <w:top w:val="single" w:sz="6" w:space="0" w:color="BFBFBF"/>
                  </w:tcBorders>
                  <w:vAlign w:val="bottom"/>
                </w:tcPr>
                <w:p w:rsidR="00745FEA" w:rsidRDefault="00745FEA" w:rsidP="00745FEA">
                  <w:pPr>
                    <w:pStyle w:val="TableUnitsRow"/>
                    <w:ind w:right="57"/>
                  </w:pPr>
                </w:p>
              </w:tc>
              <w:tc>
                <w:tcPr>
                  <w:tcW w:w="464" w:type="pct"/>
                  <w:tcBorders>
                    <w:top w:val="single" w:sz="6" w:space="0" w:color="BFBFBF"/>
                  </w:tcBorders>
                  <w:vAlign w:val="bottom"/>
                </w:tcPr>
                <w:p w:rsidR="00745FEA" w:rsidRDefault="00745FEA" w:rsidP="00745FEA">
                  <w:pPr>
                    <w:pStyle w:val="TableUnitsRow"/>
                    <w:ind w:right="57"/>
                  </w:pPr>
                </w:p>
              </w:tc>
              <w:tc>
                <w:tcPr>
                  <w:tcW w:w="464" w:type="pct"/>
                  <w:tcBorders>
                    <w:top w:val="single" w:sz="6" w:space="0" w:color="BFBFBF"/>
                  </w:tcBorders>
                  <w:vAlign w:val="bottom"/>
                </w:tcPr>
                <w:p w:rsidR="00745FEA" w:rsidRDefault="00745FEA" w:rsidP="00745FEA">
                  <w:pPr>
                    <w:pStyle w:val="TableUnitsRow"/>
                    <w:ind w:right="57"/>
                  </w:pPr>
                </w:p>
              </w:tc>
              <w:tc>
                <w:tcPr>
                  <w:tcW w:w="462" w:type="pct"/>
                  <w:tcBorders>
                    <w:top w:val="single" w:sz="6" w:space="0" w:color="BFBFBF"/>
                  </w:tcBorders>
                  <w:vAlign w:val="bottom"/>
                </w:tcPr>
                <w:p w:rsidR="00745FEA" w:rsidRDefault="00745FEA" w:rsidP="00745FEA">
                  <w:pPr>
                    <w:pStyle w:val="TableUnitsRow"/>
                    <w:ind w:right="57"/>
                  </w:pPr>
                </w:p>
              </w:tc>
            </w:tr>
            <w:tr w:rsidR="00745FEA" w:rsidTr="00745FEA">
              <w:tc>
                <w:tcPr>
                  <w:tcW w:w="2218" w:type="pct"/>
                  <w:vAlign w:val="bottom"/>
                </w:tcPr>
                <w:p w:rsidR="00745FEA" w:rsidRPr="0096460E" w:rsidRDefault="00745FEA" w:rsidP="00745FEA">
                  <w:pPr>
                    <w:spacing w:before="40"/>
                    <w:ind w:left="113"/>
                    <w:rPr>
                      <w:rFonts w:ascii="Arial" w:hAnsi="Arial" w:cs="Arial"/>
                      <w:i/>
                      <w:color w:val="000000"/>
                      <w:sz w:val="18"/>
                      <w:szCs w:val="18"/>
                    </w:rPr>
                  </w:pPr>
                  <w:r w:rsidRPr="0096460E">
                    <w:rPr>
                      <w:rFonts w:ascii="Arial" w:hAnsi="Arial" w:cs="Arial"/>
                      <w:i/>
                      <w:color w:val="000000"/>
                      <w:sz w:val="18"/>
                      <w:szCs w:val="18"/>
                    </w:rPr>
                    <w:t>Industry-specific measures</w:t>
                  </w: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2" w:type="pct"/>
                  <w:vAlign w:val="bottom"/>
                </w:tcPr>
                <w:p w:rsidR="00745FEA" w:rsidRDefault="00745FEA" w:rsidP="00745FEA">
                  <w:pPr>
                    <w:spacing w:before="40"/>
                    <w:ind w:left="113" w:right="57"/>
                    <w:jc w:val="right"/>
                    <w:rPr>
                      <w:rFonts w:ascii="Arial" w:hAnsi="Arial" w:cs="Arial"/>
                      <w:sz w:val="18"/>
                      <w:szCs w:val="18"/>
                    </w:rPr>
                  </w:pPr>
                </w:p>
              </w:tc>
            </w:tr>
            <w:tr w:rsidR="00745FEA" w:rsidTr="00745FEA">
              <w:tc>
                <w:tcPr>
                  <w:tcW w:w="2218" w:type="pct"/>
                </w:tcPr>
                <w:p w:rsidR="00745FEA" w:rsidRPr="00AB7BAC" w:rsidRDefault="00745FEA" w:rsidP="00745FEA">
                  <w:pPr>
                    <w:pStyle w:val="TableBodyText"/>
                    <w:spacing w:after="0"/>
                    <w:ind w:left="227" w:right="0"/>
                    <w:jc w:val="left"/>
                  </w:pPr>
                  <w:r w:rsidRPr="00AB7BAC">
                    <w:t>Australian Wine Industry Support</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0.5</w:t>
                  </w:r>
                </w:p>
              </w:tc>
              <w:tc>
                <w:tcPr>
                  <w:tcW w:w="464" w:type="pct"/>
                  <w:vAlign w:val="bottom"/>
                </w:tcPr>
                <w:p w:rsidR="00745FEA" w:rsidRPr="00987C80" w:rsidRDefault="00745FEA" w:rsidP="00745FEA">
                  <w:pPr>
                    <w:pStyle w:val="TableBodyText"/>
                    <w:ind w:right="57"/>
                  </w:pPr>
                  <w:r w:rsidRPr="00987C80">
                    <w:t>0.5</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2" w:type="pct"/>
                  <w:vAlign w:val="bottom"/>
                </w:tcPr>
                <w:p w:rsidR="00745FEA" w:rsidRPr="00987C80" w:rsidRDefault="00745FEA" w:rsidP="00745FEA">
                  <w:pPr>
                    <w:pStyle w:val="TableBodyText"/>
                    <w:ind w:right="57"/>
                  </w:pPr>
                  <w:r w:rsidRPr="00987C80">
                    <w:t>–</w:t>
                  </w:r>
                </w:p>
              </w:tc>
            </w:tr>
            <w:tr w:rsidR="00745FEA" w:rsidTr="00745FEA">
              <w:tc>
                <w:tcPr>
                  <w:tcW w:w="2218" w:type="pct"/>
                  <w:shd w:val="clear" w:color="auto" w:fill="auto"/>
                </w:tcPr>
                <w:p w:rsidR="00745FEA" w:rsidRPr="00AB7BAC" w:rsidRDefault="00745FEA" w:rsidP="00745FEA">
                  <w:pPr>
                    <w:pStyle w:val="TableBodyText"/>
                    <w:spacing w:after="0"/>
                    <w:ind w:left="227" w:right="0"/>
                    <w:jc w:val="left"/>
                  </w:pPr>
                  <w:r w:rsidRPr="00AB7BAC">
                    <w:t>Bindaree Beef assistance</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0.4</w:t>
                  </w:r>
                </w:p>
              </w:tc>
              <w:tc>
                <w:tcPr>
                  <w:tcW w:w="464" w:type="pct"/>
                  <w:shd w:val="clear" w:color="auto" w:fill="auto"/>
                  <w:vAlign w:val="bottom"/>
                </w:tcPr>
                <w:p w:rsidR="00745FEA" w:rsidRPr="00987C80" w:rsidRDefault="00745FEA" w:rsidP="00745FEA">
                  <w:pPr>
                    <w:pStyle w:val="TableBodyText"/>
                    <w:ind w:right="57"/>
                  </w:pPr>
                  <w:r w:rsidRPr="00987C80">
                    <w:t>11.1</w:t>
                  </w:r>
                </w:p>
              </w:tc>
              <w:tc>
                <w:tcPr>
                  <w:tcW w:w="462" w:type="pct"/>
                  <w:shd w:val="clear" w:color="auto" w:fill="auto"/>
                  <w:vAlign w:val="bottom"/>
                </w:tcPr>
                <w:p w:rsidR="00745FEA" w:rsidRPr="00987C80" w:rsidRDefault="00745FEA" w:rsidP="00745FEA">
                  <w:pPr>
                    <w:pStyle w:val="TableBodyText"/>
                    <w:ind w:right="57"/>
                  </w:pPr>
                  <w:r w:rsidRPr="00987C80">
                    <w:t>–</w:t>
                  </w:r>
                </w:p>
              </w:tc>
            </w:tr>
            <w:tr w:rsidR="00745FEA" w:rsidTr="00745FEA">
              <w:tc>
                <w:tcPr>
                  <w:tcW w:w="2218" w:type="pct"/>
                  <w:shd w:val="clear" w:color="auto" w:fill="auto"/>
                </w:tcPr>
                <w:p w:rsidR="00745FEA" w:rsidRPr="00AB7BAC" w:rsidRDefault="00745FEA" w:rsidP="00745FEA">
                  <w:pPr>
                    <w:pStyle w:val="TableBodyText"/>
                    <w:spacing w:after="0"/>
                    <w:ind w:left="227" w:right="0"/>
                    <w:jc w:val="left"/>
                  </w:pPr>
                  <w:r w:rsidRPr="00AB7BAC">
                    <w:t>Clean Technology Investment - Food and Foundries Program</w:t>
                  </w:r>
                </w:p>
              </w:tc>
              <w:tc>
                <w:tcPr>
                  <w:tcW w:w="464" w:type="pct"/>
                  <w:vAlign w:val="bottom"/>
                </w:tcPr>
                <w:p w:rsidR="00745FEA" w:rsidRPr="00987C80" w:rsidRDefault="00745FEA" w:rsidP="00745FEA">
                  <w:pPr>
                    <w:pStyle w:val="TableBodyText"/>
                    <w:ind w:right="57"/>
                  </w:pPr>
                  <w:r w:rsidRPr="00987C80">
                    <w:t>1.2</w:t>
                  </w:r>
                </w:p>
              </w:tc>
              <w:tc>
                <w:tcPr>
                  <w:tcW w:w="464" w:type="pct"/>
                  <w:vAlign w:val="bottom"/>
                </w:tcPr>
                <w:p w:rsidR="00745FEA" w:rsidRPr="00987C80" w:rsidRDefault="00745FEA" w:rsidP="00745FEA">
                  <w:pPr>
                    <w:pStyle w:val="TableBodyText"/>
                    <w:ind w:right="57"/>
                  </w:pPr>
                  <w:r w:rsidRPr="00987C80">
                    <w:t>20.8</w:t>
                  </w:r>
                </w:p>
              </w:tc>
              <w:tc>
                <w:tcPr>
                  <w:tcW w:w="464" w:type="pct"/>
                  <w:vAlign w:val="bottom"/>
                </w:tcPr>
                <w:p w:rsidR="00745FEA" w:rsidRPr="00987C80" w:rsidRDefault="00745FEA" w:rsidP="00745FEA">
                  <w:pPr>
                    <w:pStyle w:val="TableBodyText"/>
                    <w:ind w:right="57"/>
                  </w:pPr>
                  <w:r w:rsidRPr="00987C80">
                    <w:t>61.1</w:t>
                  </w:r>
                </w:p>
              </w:tc>
              <w:tc>
                <w:tcPr>
                  <w:tcW w:w="464" w:type="pct"/>
                  <w:vAlign w:val="bottom"/>
                </w:tcPr>
                <w:p w:rsidR="00745FEA" w:rsidRPr="00987C80" w:rsidRDefault="00745FEA" w:rsidP="00745FEA">
                  <w:pPr>
                    <w:pStyle w:val="TableBodyText"/>
                    <w:ind w:right="57"/>
                  </w:pPr>
                  <w:r w:rsidRPr="00987C80">
                    <w:t>35.7</w:t>
                  </w:r>
                </w:p>
              </w:tc>
              <w:tc>
                <w:tcPr>
                  <w:tcW w:w="464" w:type="pct"/>
                  <w:shd w:val="clear" w:color="auto" w:fill="auto"/>
                  <w:vAlign w:val="bottom"/>
                </w:tcPr>
                <w:p w:rsidR="00745FEA" w:rsidRPr="00987C80" w:rsidRDefault="00745FEA" w:rsidP="00745FEA">
                  <w:pPr>
                    <w:pStyle w:val="TableBodyText"/>
                    <w:ind w:right="57"/>
                  </w:pPr>
                  <w:r w:rsidRPr="00987C80">
                    <w:t>17.1</w:t>
                  </w:r>
                </w:p>
              </w:tc>
              <w:tc>
                <w:tcPr>
                  <w:tcW w:w="462" w:type="pct"/>
                  <w:shd w:val="clear" w:color="auto" w:fill="auto"/>
                  <w:vAlign w:val="bottom"/>
                </w:tcPr>
                <w:p w:rsidR="00745FEA" w:rsidRPr="00987C80" w:rsidRDefault="00745FEA" w:rsidP="00745FEA">
                  <w:pPr>
                    <w:pStyle w:val="TableBodyText"/>
                    <w:ind w:right="57"/>
                  </w:pPr>
                  <w:r w:rsidRPr="00987C80">
                    <w:t>0.1</w:t>
                  </w:r>
                </w:p>
              </w:tc>
            </w:tr>
            <w:tr w:rsidR="00745FEA" w:rsidTr="00745FEA">
              <w:tc>
                <w:tcPr>
                  <w:tcW w:w="2218" w:type="pct"/>
                  <w:shd w:val="clear" w:color="auto" w:fill="auto"/>
                </w:tcPr>
                <w:p w:rsidR="00745FEA" w:rsidRPr="00AB7BAC" w:rsidRDefault="00745FEA" w:rsidP="00745FEA">
                  <w:pPr>
                    <w:pStyle w:val="TableBodyText"/>
                    <w:spacing w:after="0"/>
                    <w:ind w:left="227" w:right="0"/>
                    <w:jc w:val="left"/>
                  </w:pPr>
                  <w:r w:rsidRPr="00AB7BAC">
                    <w:t>Regional Food Producers' Innovation and Productivity Program</w:t>
                  </w:r>
                </w:p>
              </w:tc>
              <w:tc>
                <w:tcPr>
                  <w:tcW w:w="464" w:type="pct"/>
                  <w:vAlign w:val="bottom"/>
                </w:tcPr>
                <w:p w:rsidR="00745FEA" w:rsidRPr="00987C80" w:rsidRDefault="00745FEA" w:rsidP="00745FEA">
                  <w:pPr>
                    <w:pStyle w:val="TableBodyText"/>
                    <w:ind w:right="57"/>
                  </w:pPr>
                  <w:r w:rsidRPr="00987C80">
                    <w:t>0.4</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4" w:type="pct"/>
                  <w:shd w:val="clear" w:color="auto" w:fill="auto"/>
                  <w:vAlign w:val="bottom"/>
                </w:tcPr>
                <w:p w:rsidR="00745FEA" w:rsidRPr="00987C80" w:rsidRDefault="00745FEA" w:rsidP="00745FEA">
                  <w:pPr>
                    <w:pStyle w:val="TableBodyText"/>
                    <w:ind w:right="57"/>
                  </w:pPr>
                  <w:r w:rsidRPr="00987C80">
                    <w:t>–</w:t>
                  </w:r>
                </w:p>
              </w:tc>
              <w:tc>
                <w:tcPr>
                  <w:tcW w:w="462" w:type="pct"/>
                  <w:shd w:val="clear" w:color="auto" w:fill="auto"/>
                  <w:vAlign w:val="bottom"/>
                </w:tcPr>
                <w:p w:rsidR="00745FEA" w:rsidRPr="00987C80" w:rsidRDefault="00745FEA" w:rsidP="00745FEA">
                  <w:pPr>
                    <w:pStyle w:val="TableBodyText"/>
                    <w:ind w:right="57"/>
                  </w:pPr>
                  <w:r w:rsidRPr="00987C80">
                    <w:t>–</w:t>
                  </w:r>
                </w:p>
              </w:tc>
            </w:tr>
            <w:tr w:rsidR="00745FEA" w:rsidTr="00745FEA">
              <w:tc>
                <w:tcPr>
                  <w:tcW w:w="2218" w:type="pct"/>
                  <w:shd w:val="clear" w:color="auto" w:fill="auto"/>
                </w:tcPr>
                <w:p w:rsidR="00745FEA" w:rsidRPr="00AB7BAC" w:rsidRDefault="00745FEA" w:rsidP="00745FEA">
                  <w:pPr>
                    <w:pStyle w:val="TableBodyText"/>
                    <w:spacing w:after="0"/>
                    <w:ind w:left="227" w:right="0"/>
                    <w:jc w:val="left"/>
                  </w:pPr>
                  <w:r w:rsidRPr="00AB7BAC">
                    <w:t>Assistance for upgrade of Simplot Processing Plant (Tasmania)</w:t>
                  </w:r>
                </w:p>
              </w:tc>
              <w:tc>
                <w:tcPr>
                  <w:tcW w:w="464" w:type="pct"/>
                  <w:vAlign w:val="bottom"/>
                </w:tcPr>
                <w:p w:rsidR="00745FEA" w:rsidRPr="00987C80" w:rsidRDefault="00745FEA" w:rsidP="00745FEA">
                  <w:pPr>
                    <w:pStyle w:val="TableBodyText"/>
                    <w:ind w:right="57"/>
                  </w:pPr>
                  <w:r w:rsidRPr="00987C80">
                    <w:t>1.0</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4" w:type="pct"/>
                  <w:vAlign w:val="bottom"/>
                </w:tcPr>
                <w:p w:rsidR="00745FEA" w:rsidRPr="00987C80" w:rsidRDefault="00745FEA" w:rsidP="00745FEA">
                  <w:pPr>
                    <w:pStyle w:val="TableBodyText"/>
                    <w:ind w:right="57"/>
                  </w:pPr>
                  <w:r w:rsidRPr="00987C80">
                    <w:t>–</w:t>
                  </w:r>
                </w:p>
              </w:tc>
              <w:tc>
                <w:tcPr>
                  <w:tcW w:w="464" w:type="pct"/>
                  <w:shd w:val="clear" w:color="auto" w:fill="auto"/>
                  <w:vAlign w:val="bottom"/>
                </w:tcPr>
                <w:p w:rsidR="00745FEA" w:rsidRPr="00987C80" w:rsidRDefault="00745FEA" w:rsidP="00745FEA">
                  <w:pPr>
                    <w:pStyle w:val="TableBodyText"/>
                    <w:ind w:right="57"/>
                  </w:pPr>
                  <w:r w:rsidRPr="00987C80">
                    <w:t>–</w:t>
                  </w:r>
                </w:p>
              </w:tc>
              <w:tc>
                <w:tcPr>
                  <w:tcW w:w="462" w:type="pct"/>
                  <w:shd w:val="clear" w:color="auto" w:fill="auto"/>
                  <w:vAlign w:val="bottom"/>
                </w:tcPr>
                <w:p w:rsidR="00745FEA" w:rsidRPr="00987C80" w:rsidRDefault="00745FEA" w:rsidP="00745FEA">
                  <w:pPr>
                    <w:pStyle w:val="TableBodyText"/>
                    <w:ind w:right="57"/>
                  </w:pPr>
                  <w:r w:rsidRPr="00987C80">
                    <w:t>–</w:t>
                  </w:r>
                </w:p>
              </w:tc>
            </w:tr>
            <w:tr w:rsidR="00745FEA" w:rsidTr="00745FEA">
              <w:tc>
                <w:tcPr>
                  <w:tcW w:w="2218" w:type="pct"/>
                  <w:shd w:val="clear" w:color="auto" w:fill="auto"/>
                </w:tcPr>
                <w:p w:rsidR="00745FEA" w:rsidRPr="00AB7BAC" w:rsidRDefault="00745FEA" w:rsidP="00745FEA">
                  <w:pPr>
                    <w:pStyle w:val="TableBodyText"/>
                    <w:spacing w:after="0"/>
                    <w:ind w:left="227" w:right="0"/>
                    <w:jc w:val="left"/>
                  </w:pPr>
                  <w:r w:rsidRPr="00AB7BAC">
                    <w:t>Wine Australia Corporation</w:t>
                  </w:r>
                </w:p>
              </w:tc>
              <w:tc>
                <w:tcPr>
                  <w:tcW w:w="464" w:type="pct"/>
                  <w:vAlign w:val="bottom"/>
                </w:tcPr>
                <w:p w:rsidR="00745FEA" w:rsidRPr="00987C80" w:rsidRDefault="00745FEA" w:rsidP="00745FEA">
                  <w:pPr>
                    <w:pStyle w:val="TableBodyText"/>
                    <w:ind w:right="57"/>
                  </w:pPr>
                  <w:r w:rsidRPr="00987C80">
                    <w:t>2.8</w:t>
                  </w:r>
                </w:p>
              </w:tc>
              <w:tc>
                <w:tcPr>
                  <w:tcW w:w="464" w:type="pct"/>
                  <w:vAlign w:val="bottom"/>
                </w:tcPr>
                <w:p w:rsidR="00745FEA" w:rsidRPr="00987C80" w:rsidRDefault="00745FEA" w:rsidP="00745FEA">
                  <w:pPr>
                    <w:pStyle w:val="TableBodyText"/>
                    <w:ind w:right="57"/>
                  </w:pPr>
                  <w:r w:rsidRPr="00987C80">
                    <w:t>2.7</w:t>
                  </w:r>
                </w:p>
              </w:tc>
              <w:tc>
                <w:tcPr>
                  <w:tcW w:w="464" w:type="pct"/>
                  <w:vAlign w:val="bottom"/>
                </w:tcPr>
                <w:p w:rsidR="00745FEA" w:rsidRPr="00987C80" w:rsidRDefault="00745FEA" w:rsidP="00745FEA">
                  <w:pPr>
                    <w:pStyle w:val="TableBodyText"/>
                    <w:ind w:right="57"/>
                  </w:pPr>
                  <w:r w:rsidRPr="00987C80">
                    <w:t>2.9</w:t>
                  </w:r>
                </w:p>
              </w:tc>
              <w:tc>
                <w:tcPr>
                  <w:tcW w:w="464" w:type="pct"/>
                  <w:vAlign w:val="bottom"/>
                </w:tcPr>
                <w:p w:rsidR="00745FEA" w:rsidRPr="00987C80" w:rsidRDefault="00745FEA" w:rsidP="00745FEA">
                  <w:pPr>
                    <w:pStyle w:val="TableBodyText"/>
                    <w:ind w:right="57"/>
                  </w:pPr>
                  <w:r w:rsidRPr="00987C80">
                    <w:t>–</w:t>
                  </w:r>
                </w:p>
              </w:tc>
              <w:tc>
                <w:tcPr>
                  <w:tcW w:w="464" w:type="pct"/>
                  <w:shd w:val="clear" w:color="auto" w:fill="auto"/>
                  <w:vAlign w:val="bottom"/>
                </w:tcPr>
                <w:p w:rsidR="00745FEA" w:rsidRPr="00987C80" w:rsidRDefault="00745FEA" w:rsidP="00745FEA">
                  <w:pPr>
                    <w:pStyle w:val="TableBodyText"/>
                    <w:ind w:right="57"/>
                  </w:pPr>
                  <w:r w:rsidRPr="00987C80">
                    <w:t>–</w:t>
                  </w:r>
                </w:p>
              </w:tc>
              <w:tc>
                <w:tcPr>
                  <w:tcW w:w="462" w:type="pct"/>
                  <w:shd w:val="clear" w:color="auto" w:fill="auto"/>
                  <w:vAlign w:val="bottom"/>
                </w:tcPr>
                <w:p w:rsidR="00745FEA" w:rsidRPr="00987C80" w:rsidRDefault="00745FEA" w:rsidP="00745FEA">
                  <w:pPr>
                    <w:pStyle w:val="TableBodyText"/>
                    <w:ind w:right="57"/>
                  </w:pPr>
                  <w:r w:rsidRPr="00987C80">
                    <w:t>–</w:t>
                  </w:r>
                </w:p>
              </w:tc>
            </w:tr>
            <w:tr w:rsidR="00745FEA" w:rsidTr="00745FEA">
              <w:tc>
                <w:tcPr>
                  <w:tcW w:w="2218" w:type="pct"/>
                  <w:shd w:val="clear" w:color="auto" w:fill="auto"/>
                </w:tcPr>
                <w:p w:rsidR="00745FEA" w:rsidRPr="00AB7BAC" w:rsidRDefault="00745FEA" w:rsidP="00745FEA">
                  <w:pPr>
                    <w:pStyle w:val="TableBodyText"/>
                    <w:spacing w:after="0"/>
                    <w:ind w:left="227" w:right="0"/>
                    <w:jc w:val="left"/>
                  </w:pPr>
                  <w:r w:rsidRPr="00AB7BAC">
                    <w:t>Brandy preferential excise rate</w:t>
                  </w:r>
                </w:p>
              </w:tc>
              <w:tc>
                <w:tcPr>
                  <w:tcW w:w="464" w:type="pct"/>
                  <w:vAlign w:val="bottom"/>
                </w:tcPr>
                <w:p w:rsidR="00745FEA" w:rsidRPr="00987C80" w:rsidRDefault="00745FEA" w:rsidP="00745FEA">
                  <w:pPr>
                    <w:pStyle w:val="TableBodyText"/>
                    <w:ind w:right="57"/>
                  </w:pPr>
                  <w:r w:rsidRPr="00987C80">
                    <w:t>4.0</w:t>
                  </w:r>
                </w:p>
              </w:tc>
              <w:tc>
                <w:tcPr>
                  <w:tcW w:w="464" w:type="pct"/>
                  <w:vAlign w:val="bottom"/>
                </w:tcPr>
                <w:p w:rsidR="00745FEA" w:rsidRPr="00987C80" w:rsidRDefault="00745FEA" w:rsidP="00745FEA">
                  <w:pPr>
                    <w:pStyle w:val="TableBodyText"/>
                    <w:ind w:right="57"/>
                  </w:pPr>
                  <w:r w:rsidRPr="00987C80">
                    <w:t>4.0</w:t>
                  </w:r>
                </w:p>
              </w:tc>
              <w:tc>
                <w:tcPr>
                  <w:tcW w:w="464" w:type="pct"/>
                  <w:vAlign w:val="bottom"/>
                </w:tcPr>
                <w:p w:rsidR="00745FEA" w:rsidRPr="00987C80" w:rsidRDefault="00745FEA" w:rsidP="00745FEA">
                  <w:pPr>
                    <w:pStyle w:val="TableBodyText"/>
                    <w:ind w:right="57"/>
                  </w:pPr>
                  <w:r w:rsidRPr="00987C80">
                    <w:t>4.0</w:t>
                  </w:r>
                </w:p>
              </w:tc>
              <w:tc>
                <w:tcPr>
                  <w:tcW w:w="464" w:type="pct"/>
                  <w:vAlign w:val="bottom"/>
                </w:tcPr>
                <w:p w:rsidR="00745FEA" w:rsidRPr="00987C80" w:rsidRDefault="00745FEA" w:rsidP="00745FEA">
                  <w:pPr>
                    <w:pStyle w:val="TableBodyText"/>
                    <w:ind w:right="57"/>
                  </w:pPr>
                  <w:r w:rsidRPr="00987C80">
                    <w:t>5.0</w:t>
                  </w:r>
                </w:p>
              </w:tc>
              <w:tc>
                <w:tcPr>
                  <w:tcW w:w="464" w:type="pct"/>
                  <w:shd w:val="clear" w:color="auto" w:fill="auto"/>
                  <w:vAlign w:val="bottom"/>
                </w:tcPr>
                <w:p w:rsidR="00745FEA" w:rsidRPr="00987C80" w:rsidRDefault="00745FEA" w:rsidP="00745FEA">
                  <w:pPr>
                    <w:pStyle w:val="TableBodyText"/>
                    <w:ind w:right="57"/>
                  </w:pPr>
                  <w:r w:rsidRPr="00987C80">
                    <w:t>5.0</w:t>
                  </w:r>
                </w:p>
              </w:tc>
              <w:tc>
                <w:tcPr>
                  <w:tcW w:w="462" w:type="pct"/>
                  <w:shd w:val="clear" w:color="auto" w:fill="auto"/>
                  <w:vAlign w:val="bottom"/>
                </w:tcPr>
                <w:p w:rsidR="00745FEA" w:rsidRDefault="00745FEA" w:rsidP="00745FEA">
                  <w:pPr>
                    <w:pStyle w:val="TableBodyText"/>
                    <w:ind w:right="57"/>
                  </w:pPr>
                  <w:r w:rsidRPr="00987C80">
                    <w:t>4.0</w:t>
                  </w:r>
                </w:p>
              </w:tc>
            </w:tr>
            <w:tr w:rsidR="00745FEA" w:rsidTr="00745FEA">
              <w:tc>
                <w:tcPr>
                  <w:tcW w:w="2218" w:type="pct"/>
                  <w:shd w:val="clear" w:color="auto" w:fill="auto"/>
                </w:tcPr>
                <w:p w:rsidR="00745FEA" w:rsidRPr="0096460E" w:rsidRDefault="00745FEA" w:rsidP="00745FEA">
                  <w:pPr>
                    <w:pStyle w:val="TableBodyText"/>
                    <w:spacing w:before="40" w:after="0"/>
                    <w:ind w:left="113"/>
                    <w:jc w:val="left"/>
                    <w:rPr>
                      <w:i/>
                    </w:rPr>
                  </w:pPr>
                  <w:r w:rsidRPr="0096460E">
                    <w:rPr>
                      <w:i/>
                    </w:rPr>
                    <w:t>Sector-specific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31459A" w:rsidRDefault="00745FEA" w:rsidP="00745FEA">
                  <w:pPr>
                    <w:pStyle w:val="TableBodyText"/>
                    <w:spacing w:after="0"/>
                    <w:ind w:left="227" w:right="0"/>
                    <w:jc w:val="left"/>
                  </w:pPr>
                  <w:r w:rsidRPr="0031459A">
                    <w:t>Clean Technology Investment - General Program</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0.2</w:t>
                  </w:r>
                </w:p>
              </w:tc>
              <w:tc>
                <w:tcPr>
                  <w:tcW w:w="464" w:type="pct"/>
                  <w:vAlign w:val="bottom"/>
                </w:tcPr>
                <w:p w:rsidR="00745FEA" w:rsidRPr="00B34705" w:rsidRDefault="00745FEA" w:rsidP="00745FEA">
                  <w:pPr>
                    <w:pStyle w:val="TableBodyText"/>
                    <w:ind w:right="57"/>
                  </w:pPr>
                  <w:r w:rsidRPr="00B34705">
                    <w:t>–</w:t>
                  </w:r>
                </w:p>
              </w:tc>
              <w:tc>
                <w:tcPr>
                  <w:tcW w:w="464" w:type="pct"/>
                  <w:shd w:val="clear" w:color="auto" w:fill="auto"/>
                  <w:vAlign w:val="bottom"/>
                </w:tcPr>
                <w:p w:rsidR="00745FEA" w:rsidRPr="00B34705" w:rsidRDefault="00745FEA" w:rsidP="00745FEA">
                  <w:pPr>
                    <w:pStyle w:val="TableBodyText"/>
                    <w:ind w:right="57"/>
                  </w:pPr>
                  <w:r w:rsidRPr="00B34705">
                    <w:t>–</w:t>
                  </w:r>
                </w:p>
              </w:tc>
              <w:tc>
                <w:tcPr>
                  <w:tcW w:w="462" w:type="pct"/>
                  <w:shd w:val="clear" w:color="auto" w:fill="auto"/>
                  <w:vAlign w:val="bottom"/>
                </w:tcPr>
                <w:p w:rsidR="00745FEA" w:rsidRPr="00B34705" w:rsidRDefault="00745FEA" w:rsidP="00745FEA">
                  <w:pPr>
                    <w:pStyle w:val="TableBodyText"/>
                    <w:ind w:right="57"/>
                  </w:pPr>
                  <w:r w:rsidRPr="00B34705">
                    <w:t>–</w:t>
                  </w:r>
                </w:p>
              </w:tc>
            </w:tr>
            <w:tr w:rsidR="00745FEA" w:rsidTr="00745FEA">
              <w:tc>
                <w:tcPr>
                  <w:tcW w:w="2218" w:type="pct"/>
                  <w:shd w:val="clear" w:color="auto" w:fill="auto"/>
                </w:tcPr>
                <w:p w:rsidR="00745FEA" w:rsidRPr="0031459A" w:rsidRDefault="00745FEA" w:rsidP="00745FEA">
                  <w:pPr>
                    <w:pStyle w:val="TableBodyText"/>
                    <w:spacing w:after="0"/>
                    <w:ind w:left="227" w:right="0"/>
                    <w:jc w:val="left"/>
                  </w:pPr>
                  <w:r w:rsidRPr="0031459A">
                    <w:t>Industry Growth Centres</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0.6</w:t>
                  </w:r>
                </w:p>
              </w:tc>
              <w:tc>
                <w:tcPr>
                  <w:tcW w:w="464" w:type="pct"/>
                  <w:shd w:val="clear" w:color="auto" w:fill="auto"/>
                  <w:vAlign w:val="bottom"/>
                </w:tcPr>
                <w:p w:rsidR="00745FEA" w:rsidRPr="00B34705" w:rsidRDefault="00745FEA" w:rsidP="00745FEA">
                  <w:pPr>
                    <w:pStyle w:val="TableBodyText"/>
                    <w:ind w:right="57"/>
                  </w:pPr>
                  <w:r w:rsidRPr="00B34705">
                    <w:t>4.3</w:t>
                  </w:r>
                </w:p>
              </w:tc>
              <w:tc>
                <w:tcPr>
                  <w:tcW w:w="462" w:type="pct"/>
                  <w:shd w:val="clear" w:color="auto" w:fill="auto"/>
                  <w:vAlign w:val="bottom"/>
                </w:tcPr>
                <w:p w:rsidR="00745FEA" w:rsidRPr="00B34705" w:rsidRDefault="00745FEA" w:rsidP="00745FEA">
                  <w:pPr>
                    <w:pStyle w:val="TableBodyText"/>
                    <w:ind w:right="57"/>
                  </w:pPr>
                  <w:r w:rsidRPr="00B34705">
                    <w:t>7.3</w:t>
                  </w:r>
                </w:p>
              </w:tc>
            </w:tr>
            <w:tr w:rsidR="00745FEA" w:rsidTr="00745FEA">
              <w:tc>
                <w:tcPr>
                  <w:tcW w:w="2218" w:type="pct"/>
                  <w:shd w:val="clear" w:color="auto" w:fill="auto"/>
                </w:tcPr>
                <w:p w:rsidR="00745FEA" w:rsidRPr="0031459A" w:rsidRDefault="00745FEA" w:rsidP="00745FEA">
                  <w:pPr>
                    <w:pStyle w:val="TableBodyText"/>
                    <w:spacing w:after="0"/>
                    <w:ind w:left="227" w:right="0"/>
                    <w:jc w:val="left"/>
                  </w:pPr>
                  <w:r w:rsidRPr="0031459A">
                    <w:t>Manufacturing Transition Grants Programme</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0.2</w:t>
                  </w:r>
                </w:p>
              </w:tc>
              <w:tc>
                <w:tcPr>
                  <w:tcW w:w="464" w:type="pct"/>
                  <w:shd w:val="clear" w:color="auto" w:fill="auto"/>
                  <w:vAlign w:val="bottom"/>
                </w:tcPr>
                <w:p w:rsidR="00745FEA" w:rsidRPr="00B34705" w:rsidRDefault="00745FEA" w:rsidP="00745FEA">
                  <w:pPr>
                    <w:pStyle w:val="TableBodyText"/>
                    <w:ind w:right="57"/>
                  </w:pPr>
                  <w:r w:rsidRPr="00B34705">
                    <w:t>1.5</w:t>
                  </w:r>
                </w:p>
              </w:tc>
              <w:tc>
                <w:tcPr>
                  <w:tcW w:w="462" w:type="pct"/>
                  <w:shd w:val="clear" w:color="auto" w:fill="auto"/>
                  <w:vAlign w:val="bottom"/>
                </w:tcPr>
                <w:p w:rsidR="00745FEA" w:rsidRPr="00B34705" w:rsidRDefault="00745FEA" w:rsidP="00745FEA">
                  <w:pPr>
                    <w:pStyle w:val="TableBodyText"/>
                    <w:ind w:right="57"/>
                  </w:pPr>
                  <w:r w:rsidRPr="00B34705">
                    <w:t>0.2</w:t>
                  </w:r>
                </w:p>
              </w:tc>
            </w:tr>
            <w:tr w:rsidR="00745FEA" w:rsidTr="00745FEA">
              <w:tc>
                <w:tcPr>
                  <w:tcW w:w="2218" w:type="pct"/>
                  <w:shd w:val="clear" w:color="auto" w:fill="auto"/>
                </w:tcPr>
                <w:p w:rsidR="00745FEA" w:rsidRPr="0031459A" w:rsidRDefault="00745FEA" w:rsidP="00745FEA">
                  <w:pPr>
                    <w:pStyle w:val="TableBodyText"/>
                    <w:spacing w:after="0"/>
                    <w:ind w:left="227" w:right="0"/>
                    <w:jc w:val="left"/>
                  </w:pPr>
                  <w:r w:rsidRPr="0031459A">
                    <w:t>Next Generation Manufacturing Investment Programme</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shd w:val="clear" w:color="auto" w:fill="auto"/>
                  <w:vAlign w:val="bottom"/>
                </w:tcPr>
                <w:p w:rsidR="00745FEA" w:rsidRPr="00B34705" w:rsidRDefault="00745FEA" w:rsidP="00745FEA">
                  <w:pPr>
                    <w:pStyle w:val="TableBodyText"/>
                    <w:ind w:right="57"/>
                  </w:pPr>
                  <w:r w:rsidRPr="00B34705">
                    <w:t>0.6</w:t>
                  </w:r>
                </w:p>
              </w:tc>
              <w:tc>
                <w:tcPr>
                  <w:tcW w:w="462" w:type="pct"/>
                  <w:shd w:val="clear" w:color="auto" w:fill="auto"/>
                  <w:vAlign w:val="bottom"/>
                </w:tcPr>
                <w:p w:rsidR="00745FEA" w:rsidRPr="00B34705" w:rsidRDefault="00745FEA" w:rsidP="00745FEA">
                  <w:pPr>
                    <w:pStyle w:val="TableBodyText"/>
                    <w:ind w:right="57"/>
                  </w:pPr>
                  <w:r w:rsidRPr="00B34705">
                    <w:t>1.3</w:t>
                  </w:r>
                </w:p>
              </w:tc>
            </w:tr>
            <w:tr w:rsidR="00745FEA" w:rsidTr="00745FEA">
              <w:tc>
                <w:tcPr>
                  <w:tcW w:w="2218" w:type="pct"/>
                  <w:shd w:val="clear" w:color="auto" w:fill="auto"/>
                </w:tcPr>
                <w:p w:rsidR="00745FEA" w:rsidRPr="0031459A" w:rsidRDefault="00745FEA" w:rsidP="00745FEA">
                  <w:pPr>
                    <w:pStyle w:val="TableBodyText"/>
                    <w:spacing w:after="0"/>
                    <w:ind w:left="227" w:right="0"/>
                    <w:jc w:val="left"/>
                  </w:pPr>
                  <w:r w:rsidRPr="0031459A">
                    <w:t>Victorian Innovation and Investment Fund - Ford Assistance</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w:t>
                  </w:r>
                </w:p>
              </w:tc>
              <w:tc>
                <w:tcPr>
                  <w:tcW w:w="464" w:type="pct"/>
                  <w:vAlign w:val="bottom"/>
                </w:tcPr>
                <w:p w:rsidR="00745FEA" w:rsidRPr="00B34705" w:rsidRDefault="00745FEA" w:rsidP="00745FEA">
                  <w:pPr>
                    <w:pStyle w:val="TableBodyText"/>
                    <w:ind w:right="57"/>
                  </w:pPr>
                  <w:r w:rsidRPr="00B34705">
                    <w:t>2.0</w:t>
                  </w:r>
                </w:p>
              </w:tc>
              <w:tc>
                <w:tcPr>
                  <w:tcW w:w="464" w:type="pct"/>
                  <w:shd w:val="clear" w:color="auto" w:fill="auto"/>
                  <w:vAlign w:val="bottom"/>
                </w:tcPr>
                <w:p w:rsidR="00745FEA" w:rsidRPr="00B34705" w:rsidRDefault="00745FEA" w:rsidP="00745FEA">
                  <w:pPr>
                    <w:pStyle w:val="TableBodyText"/>
                    <w:ind w:right="57"/>
                  </w:pPr>
                  <w:r w:rsidRPr="00B34705">
                    <w:t>1.8</w:t>
                  </w:r>
                </w:p>
              </w:tc>
              <w:tc>
                <w:tcPr>
                  <w:tcW w:w="462" w:type="pct"/>
                  <w:shd w:val="clear" w:color="auto" w:fill="auto"/>
                  <w:vAlign w:val="bottom"/>
                </w:tcPr>
                <w:p w:rsidR="00745FEA" w:rsidRDefault="00745FEA" w:rsidP="00745FEA">
                  <w:pPr>
                    <w:pStyle w:val="TableBodyText"/>
                    <w:ind w:right="57"/>
                  </w:pPr>
                  <w:r w:rsidRPr="00B34705">
                    <w:t>6.0</w:t>
                  </w:r>
                </w:p>
              </w:tc>
            </w:tr>
            <w:tr w:rsidR="00745FEA" w:rsidTr="00745FEA">
              <w:tc>
                <w:tcPr>
                  <w:tcW w:w="2218" w:type="pct"/>
                  <w:shd w:val="clear" w:color="auto" w:fill="auto"/>
                </w:tcPr>
                <w:p w:rsidR="00745FEA" w:rsidRPr="0096460E" w:rsidRDefault="00745FEA" w:rsidP="00745FEA">
                  <w:pPr>
                    <w:pStyle w:val="TableBodyText"/>
                    <w:spacing w:before="40" w:after="0"/>
                    <w:ind w:left="113"/>
                    <w:jc w:val="left"/>
                    <w:rPr>
                      <w:i/>
                    </w:rPr>
                  </w:pPr>
                  <w:r w:rsidRPr="0096460E">
                    <w:rPr>
                      <w:i/>
                    </w:rPr>
                    <w:t>General export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C27661" w:rsidRDefault="00745FEA" w:rsidP="00745FEA">
                  <w:pPr>
                    <w:pStyle w:val="TableBodyText"/>
                    <w:spacing w:after="0"/>
                    <w:ind w:left="227" w:right="0"/>
                    <w:jc w:val="left"/>
                  </w:pPr>
                  <w:r w:rsidRPr="00C27661">
                    <w:t>Export Market Development Grants Scheme</w:t>
                  </w:r>
                </w:p>
              </w:tc>
              <w:tc>
                <w:tcPr>
                  <w:tcW w:w="464" w:type="pct"/>
                  <w:vAlign w:val="bottom"/>
                </w:tcPr>
                <w:p w:rsidR="00745FEA" w:rsidRPr="00E67AF4" w:rsidRDefault="00745FEA" w:rsidP="00745FEA">
                  <w:pPr>
                    <w:pStyle w:val="TableBodyText"/>
                    <w:ind w:right="57"/>
                  </w:pPr>
                  <w:r w:rsidRPr="00E67AF4">
                    <w:t>8.1</w:t>
                  </w:r>
                </w:p>
              </w:tc>
              <w:tc>
                <w:tcPr>
                  <w:tcW w:w="464" w:type="pct"/>
                  <w:vAlign w:val="bottom"/>
                </w:tcPr>
                <w:p w:rsidR="00745FEA" w:rsidRPr="00E67AF4" w:rsidRDefault="00745FEA" w:rsidP="00745FEA">
                  <w:pPr>
                    <w:pStyle w:val="TableBodyText"/>
                    <w:ind w:right="57"/>
                  </w:pPr>
                  <w:r w:rsidRPr="00E67AF4">
                    <w:t>6.6</w:t>
                  </w:r>
                </w:p>
              </w:tc>
              <w:tc>
                <w:tcPr>
                  <w:tcW w:w="464" w:type="pct"/>
                  <w:vAlign w:val="bottom"/>
                </w:tcPr>
                <w:p w:rsidR="00745FEA" w:rsidRPr="00E67AF4" w:rsidRDefault="00745FEA" w:rsidP="00745FEA">
                  <w:pPr>
                    <w:pStyle w:val="TableBodyText"/>
                    <w:ind w:right="57"/>
                  </w:pPr>
                  <w:r w:rsidRPr="00E67AF4">
                    <w:t>4.9</w:t>
                  </w:r>
                </w:p>
              </w:tc>
              <w:tc>
                <w:tcPr>
                  <w:tcW w:w="464" w:type="pct"/>
                  <w:vAlign w:val="bottom"/>
                </w:tcPr>
                <w:p w:rsidR="00745FEA" w:rsidRPr="00E67AF4" w:rsidRDefault="00745FEA" w:rsidP="00745FEA">
                  <w:pPr>
                    <w:pStyle w:val="TableBodyText"/>
                    <w:ind w:right="57"/>
                  </w:pPr>
                  <w:r w:rsidRPr="00E67AF4">
                    <w:t>7.6</w:t>
                  </w:r>
                </w:p>
              </w:tc>
              <w:tc>
                <w:tcPr>
                  <w:tcW w:w="464" w:type="pct"/>
                  <w:shd w:val="clear" w:color="auto" w:fill="auto"/>
                  <w:vAlign w:val="bottom"/>
                </w:tcPr>
                <w:p w:rsidR="00745FEA" w:rsidRPr="00E67AF4" w:rsidRDefault="00745FEA" w:rsidP="00745FEA">
                  <w:pPr>
                    <w:pStyle w:val="TableBodyText"/>
                    <w:ind w:right="57"/>
                  </w:pPr>
                  <w:r w:rsidRPr="00E67AF4">
                    <w:t>6.3</w:t>
                  </w:r>
                </w:p>
              </w:tc>
              <w:tc>
                <w:tcPr>
                  <w:tcW w:w="462" w:type="pct"/>
                  <w:shd w:val="clear" w:color="auto" w:fill="auto"/>
                  <w:vAlign w:val="bottom"/>
                </w:tcPr>
                <w:p w:rsidR="00745FEA" w:rsidRPr="00E67AF4" w:rsidRDefault="00745FEA" w:rsidP="00745FEA">
                  <w:pPr>
                    <w:pStyle w:val="TableBodyText"/>
                    <w:ind w:right="57"/>
                  </w:pPr>
                  <w:r w:rsidRPr="00E67AF4">
                    <w:t>7.1</w:t>
                  </w:r>
                </w:p>
              </w:tc>
            </w:tr>
            <w:tr w:rsidR="00745FEA" w:rsidTr="00745FEA">
              <w:tc>
                <w:tcPr>
                  <w:tcW w:w="2218" w:type="pct"/>
                  <w:shd w:val="clear" w:color="auto" w:fill="auto"/>
                </w:tcPr>
                <w:p w:rsidR="00745FEA" w:rsidRPr="00C27661" w:rsidRDefault="00745FEA" w:rsidP="00745FEA">
                  <w:pPr>
                    <w:pStyle w:val="TableBodyText"/>
                    <w:spacing w:after="0"/>
                    <w:ind w:left="227" w:right="0"/>
                    <w:jc w:val="left"/>
                  </w:pPr>
                  <w:r w:rsidRPr="00C27661">
                    <w:t>TRADEX</w:t>
                  </w:r>
                </w:p>
              </w:tc>
              <w:tc>
                <w:tcPr>
                  <w:tcW w:w="464" w:type="pct"/>
                  <w:vAlign w:val="bottom"/>
                </w:tcPr>
                <w:p w:rsidR="00745FEA" w:rsidRPr="00E67AF4" w:rsidRDefault="00745FEA" w:rsidP="00745FEA">
                  <w:pPr>
                    <w:pStyle w:val="TableBodyText"/>
                    <w:ind w:right="57"/>
                  </w:pPr>
                  <w:r w:rsidRPr="00E67AF4">
                    <w:t>0.5</w:t>
                  </w:r>
                </w:p>
              </w:tc>
              <w:tc>
                <w:tcPr>
                  <w:tcW w:w="464" w:type="pct"/>
                  <w:vAlign w:val="bottom"/>
                </w:tcPr>
                <w:p w:rsidR="00745FEA" w:rsidRPr="00E67AF4" w:rsidRDefault="00745FEA" w:rsidP="00745FEA">
                  <w:pPr>
                    <w:pStyle w:val="TableBodyText"/>
                    <w:ind w:right="57"/>
                  </w:pPr>
                  <w:r w:rsidRPr="00E67AF4">
                    <w:t>0.5</w:t>
                  </w:r>
                </w:p>
              </w:tc>
              <w:tc>
                <w:tcPr>
                  <w:tcW w:w="464" w:type="pct"/>
                  <w:vAlign w:val="bottom"/>
                </w:tcPr>
                <w:p w:rsidR="00745FEA" w:rsidRPr="00E67AF4" w:rsidRDefault="00745FEA" w:rsidP="00745FEA">
                  <w:pPr>
                    <w:pStyle w:val="TableBodyText"/>
                    <w:ind w:right="57"/>
                  </w:pPr>
                  <w:r w:rsidRPr="00E67AF4">
                    <w:t>0.5</w:t>
                  </w:r>
                </w:p>
              </w:tc>
              <w:tc>
                <w:tcPr>
                  <w:tcW w:w="464" w:type="pct"/>
                  <w:vAlign w:val="bottom"/>
                </w:tcPr>
                <w:p w:rsidR="00745FEA" w:rsidRPr="00E67AF4" w:rsidRDefault="00745FEA" w:rsidP="00745FEA">
                  <w:pPr>
                    <w:pStyle w:val="TableBodyText"/>
                    <w:ind w:right="57"/>
                  </w:pPr>
                  <w:r w:rsidRPr="00E67AF4">
                    <w:t>0.5</w:t>
                  </w:r>
                </w:p>
              </w:tc>
              <w:tc>
                <w:tcPr>
                  <w:tcW w:w="464" w:type="pct"/>
                  <w:shd w:val="clear" w:color="auto" w:fill="auto"/>
                  <w:vAlign w:val="bottom"/>
                </w:tcPr>
                <w:p w:rsidR="00745FEA" w:rsidRPr="00E67AF4" w:rsidRDefault="00745FEA" w:rsidP="00745FEA">
                  <w:pPr>
                    <w:pStyle w:val="TableBodyText"/>
                    <w:ind w:right="57"/>
                  </w:pPr>
                  <w:r w:rsidRPr="00E67AF4">
                    <w:t>0.6</w:t>
                  </w:r>
                </w:p>
              </w:tc>
              <w:tc>
                <w:tcPr>
                  <w:tcW w:w="462" w:type="pct"/>
                  <w:shd w:val="clear" w:color="auto" w:fill="auto"/>
                  <w:vAlign w:val="bottom"/>
                </w:tcPr>
                <w:p w:rsidR="00745FEA" w:rsidRDefault="00745FEA" w:rsidP="00745FEA">
                  <w:pPr>
                    <w:pStyle w:val="TableBodyText"/>
                    <w:ind w:right="57"/>
                  </w:pPr>
                  <w:r w:rsidRPr="00E67AF4">
                    <w:t>0.6</w:t>
                  </w:r>
                </w:p>
              </w:tc>
            </w:tr>
            <w:tr w:rsidR="00745FEA" w:rsidTr="00745FEA">
              <w:tc>
                <w:tcPr>
                  <w:tcW w:w="2218" w:type="pct"/>
                  <w:shd w:val="clear" w:color="auto" w:fill="auto"/>
                </w:tcPr>
                <w:p w:rsidR="00745FEA" w:rsidRPr="0096460E" w:rsidRDefault="00745FEA" w:rsidP="00745FEA">
                  <w:pPr>
                    <w:pStyle w:val="TableBodyText"/>
                    <w:spacing w:before="40" w:after="0"/>
                    <w:ind w:left="113"/>
                    <w:jc w:val="left"/>
                    <w:rPr>
                      <w:i/>
                    </w:rPr>
                  </w:pPr>
                  <w:r w:rsidRPr="0096460E">
                    <w:rPr>
                      <w:i/>
                    </w:rPr>
                    <w:t>General R&amp;D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Commercialisation Australia</w:t>
                  </w:r>
                </w:p>
              </w:tc>
              <w:tc>
                <w:tcPr>
                  <w:tcW w:w="464" w:type="pct"/>
                  <w:vAlign w:val="bottom"/>
                </w:tcPr>
                <w:p w:rsidR="00745FEA" w:rsidRPr="009A6D5F" w:rsidRDefault="00745FEA" w:rsidP="00745FEA">
                  <w:pPr>
                    <w:pStyle w:val="TableBodyText"/>
                    <w:ind w:right="57"/>
                  </w:pPr>
                  <w:r w:rsidRPr="009A6D5F">
                    <w:t>0.4</w:t>
                  </w:r>
                </w:p>
              </w:tc>
              <w:tc>
                <w:tcPr>
                  <w:tcW w:w="464" w:type="pct"/>
                  <w:vAlign w:val="bottom"/>
                </w:tcPr>
                <w:p w:rsidR="00745FEA" w:rsidRPr="009A6D5F" w:rsidRDefault="00745FEA" w:rsidP="00745FEA">
                  <w:pPr>
                    <w:pStyle w:val="TableBodyText"/>
                    <w:ind w:right="57"/>
                  </w:pPr>
                  <w:r w:rsidRPr="009A6D5F">
                    <w:t>1.4</w:t>
                  </w:r>
                </w:p>
              </w:tc>
              <w:tc>
                <w:tcPr>
                  <w:tcW w:w="464" w:type="pct"/>
                  <w:vAlign w:val="bottom"/>
                </w:tcPr>
                <w:p w:rsidR="00745FEA" w:rsidRPr="009A6D5F" w:rsidRDefault="00745FEA" w:rsidP="00745FEA">
                  <w:pPr>
                    <w:pStyle w:val="TableBodyText"/>
                    <w:ind w:right="57"/>
                  </w:pPr>
                  <w:r w:rsidRPr="009A6D5F">
                    <w:t>3.0</w:t>
                  </w:r>
                </w:p>
              </w:tc>
              <w:tc>
                <w:tcPr>
                  <w:tcW w:w="464" w:type="pct"/>
                  <w:vAlign w:val="bottom"/>
                </w:tcPr>
                <w:p w:rsidR="00745FEA" w:rsidRPr="009A6D5F" w:rsidRDefault="00745FEA" w:rsidP="00745FEA">
                  <w:pPr>
                    <w:pStyle w:val="TableBodyText"/>
                    <w:ind w:right="57"/>
                  </w:pPr>
                  <w:r w:rsidRPr="009A6D5F">
                    <w:t>2.3</w:t>
                  </w:r>
                </w:p>
              </w:tc>
              <w:tc>
                <w:tcPr>
                  <w:tcW w:w="464" w:type="pct"/>
                  <w:shd w:val="clear" w:color="auto" w:fill="auto"/>
                  <w:vAlign w:val="bottom"/>
                </w:tcPr>
                <w:p w:rsidR="00745FEA" w:rsidRPr="009A6D5F" w:rsidRDefault="00745FEA" w:rsidP="00745FEA">
                  <w:pPr>
                    <w:pStyle w:val="TableBodyText"/>
                    <w:ind w:right="57"/>
                  </w:pPr>
                  <w:r w:rsidRPr="009A6D5F">
                    <w:t>0.1</w:t>
                  </w:r>
                </w:p>
              </w:tc>
              <w:tc>
                <w:tcPr>
                  <w:tcW w:w="462" w:type="pct"/>
                  <w:shd w:val="clear" w:color="auto" w:fill="auto"/>
                  <w:vAlign w:val="bottom"/>
                </w:tcPr>
                <w:p w:rsidR="00745FEA" w:rsidRPr="009A6D5F" w:rsidRDefault="00745FEA" w:rsidP="00745FEA">
                  <w:pPr>
                    <w:pStyle w:val="TableBodyText"/>
                    <w:ind w:right="57"/>
                  </w:pPr>
                  <w:r w:rsidRPr="009A6D5F">
                    <w:t>–</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Clean Business Australia - Climate Ready Program</w:t>
                  </w:r>
                </w:p>
              </w:tc>
              <w:tc>
                <w:tcPr>
                  <w:tcW w:w="464" w:type="pct"/>
                  <w:vAlign w:val="bottom"/>
                </w:tcPr>
                <w:p w:rsidR="00745FEA" w:rsidRPr="009A6D5F" w:rsidRDefault="00745FEA" w:rsidP="00745FEA">
                  <w:pPr>
                    <w:pStyle w:val="TableBodyText"/>
                    <w:ind w:right="57"/>
                  </w:pPr>
                  <w:r w:rsidRPr="009A6D5F">
                    <w:t>0.3</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w:t>
                  </w:r>
                </w:p>
              </w:tc>
              <w:tc>
                <w:tcPr>
                  <w:tcW w:w="464" w:type="pct"/>
                  <w:shd w:val="clear" w:color="auto" w:fill="auto"/>
                  <w:vAlign w:val="bottom"/>
                </w:tcPr>
                <w:p w:rsidR="00745FEA" w:rsidRPr="009A6D5F" w:rsidRDefault="00745FEA" w:rsidP="00745FEA">
                  <w:pPr>
                    <w:pStyle w:val="TableBodyText"/>
                    <w:ind w:right="57"/>
                  </w:pPr>
                  <w:r w:rsidRPr="009A6D5F">
                    <w:t>–</w:t>
                  </w:r>
                </w:p>
              </w:tc>
              <w:tc>
                <w:tcPr>
                  <w:tcW w:w="462" w:type="pct"/>
                  <w:shd w:val="clear" w:color="auto" w:fill="auto"/>
                  <w:vAlign w:val="bottom"/>
                </w:tcPr>
                <w:p w:rsidR="00745FEA" w:rsidRPr="009A6D5F" w:rsidRDefault="00745FEA" w:rsidP="00745FEA">
                  <w:pPr>
                    <w:pStyle w:val="TableBodyText"/>
                    <w:ind w:right="57"/>
                  </w:pPr>
                  <w:r w:rsidRPr="009A6D5F">
                    <w:t>–</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CSIRO</w:t>
                  </w:r>
                </w:p>
              </w:tc>
              <w:tc>
                <w:tcPr>
                  <w:tcW w:w="464" w:type="pct"/>
                  <w:vAlign w:val="bottom"/>
                </w:tcPr>
                <w:p w:rsidR="00745FEA" w:rsidRPr="009A6D5F" w:rsidRDefault="00745FEA" w:rsidP="00745FEA">
                  <w:pPr>
                    <w:pStyle w:val="TableBodyText"/>
                    <w:ind w:right="57"/>
                  </w:pPr>
                  <w:r w:rsidRPr="009A6D5F">
                    <w:t>5.1</w:t>
                  </w:r>
                </w:p>
              </w:tc>
              <w:tc>
                <w:tcPr>
                  <w:tcW w:w="464" w:type="pct"/>
                  <w:vAlign w:val="bottom"/>
                </w:tcPr>
                <w:p w:rsidR="00745FEA" w:rsidRPr="009A6D5F" w:rsidRDefault="00745FEA" w:rsidP="00745FEA">
                  <w:pPr>
                    <w:pStyle w:val="TableBodyText"/>
                    <w:ind w:right="57"/>
                  </w:pPr>
                  <w:r w:rsidRPr="009A6D5F">
                    <w:t>3.1</w:t>
                  </w:r>
                </w:p>
              </w:tc>
              <w:tc>
                <w:tcPr>
                  <w:tcW w:w="464" w:type="pct"/>
                  <w:vAlign w:val="bottom"/>
                </w:tcPr>
                <w:p w:rsidR="00745FEA" w:rsidRPr="009A6D5F" w:rsidRDefault="00745FEA" w:rsidP="00745FEA">
                  <w:pPr>
                    <w:pStyle w:val="TableBodyText"/>
                    <w:ind w:right="57"/>
                  </w:pPr>
                  <w:r w:rsidRPr="009A6D5F">
                    <w:t>2.6</w:t>
                  </w:r>
                </w:p>
              </w:tc>
              <w:tc>
                <w:tcPr>
                  <w:tcW w:w="464" w:type="pct"/>
                  <w:vAlign w:val="bottom"/>
                </w:tcPr>
                <w:p w:rsidR="00745FEA" w:rsidRPr="009A6D5F" w:rsidRDefault="00745FEA" w:rsidP="00745FEA">
                  <w:pPr>
                    <w:pStyle w:val="TableBodyText"/>
                    <w:ind w:right="57"/>
                  </w:pPr>
                  <w:r w:rsidRPr="009A6D5F">
                    <w:t>11.7</w:t>
                  </w:r>
                </w:p>
              </w:tc>
              <w:tc>
                <w:tcPr>
                  <w:tcW w:w="464" w:type="pct"/>
                  <w:shd w:val="clear" w:color="auto" w:fill="auto"/>
                  <w:vAlign w:val="bottom"/>
                </w:tcPr>
                <w:p w:rsidR="00745FEA" w:rsidRPr="009A6D5F" w:rsidRDefault="00745FEA" w:rsidP="00745FEA">
                  <w:pPr>
                    <w:pStyle w:val="TableBodyText"/>
                    <w:ind w:right="57"/>
                  </w:pPr>
                  <w:r w:rsidRPr="009A6D5F">
                    <w:t>10.9</w:t>
                  </w:r>
                </w:p>
              </w:tc>
              <w:tc>
                <w:tcPr>
                  <w:tcW w:w="462" w:type="pct"/>
                  <w:shd w:val="clear" w:color="auto" w:fill="auto"/>
                  <w:vAlign w:val="bottom"/>
                </w:tcPr>
                <w:p w:rsidR="00745FEA" w:rsidRPr="009A6D5F" w:rsidRDefault="00745FEA" w:rsidP="00745FEA">
                  <w:pPr>
                    <w:pStyle w:val="TableBodyText"/>
                    <w:ind w:right="57"/>
                  </w:pPr>
                  <w:r w:rsidRPr="009A6D5F">
                    <w:t>12.5</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Manufacturing Technology Innovation Centre</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4.0</w:t>
                  </w:r>
                </w:p>
              </w:tc>
              <w:tc>
                <w:tcPr>
                  <w:tcW w:w="464" w:type="pct"/>
                  <w:vAlign w:val="bottom"/>
                </w:tcPr>
                <w:p w:rsidR="00745FEA" w:rsidRPr="009A6D5F" w:rsidRDefault="00745FEA" w:rsidP="00745FEA">
                  <w:pPr>
                    <w:pStyle w:val="TableBodyText"/>
                    <w:ind w:right="57"/>
                  </w:pPr>
                  <w:r w:rsidRPr="009A6D5F">
                    <w:t>1.7</w:t>
                  </w:r>
                </w:p>
              </w:tc>
              <w:tc>
                <w:tcPr>
                  <w:tcW w:w="464" w:type="pct"/>
                  <w:shd w:val="clear" w:color="auto" w:fill="auto"/>
                  <w:vAlign w:val="bottom"/>
                </w:tcPr>
                <w:p w:rsidR="00745FEA" w:rsidRPr="009A6D5F" w:rsidRDefault="00745FEA" w:rsidP="00745FEA">
                  <w:pPr>
                    <w:pStyle w:val="TableBodyText"/>
                    <w:ind w:right="57"/>
                  </w:pPr>
                  <w:r w:rsidRPr="009A6D5F">
                    <w:t>–</w:t>
                  </w:r>
                </w:p>
              </w:tc>
              <w:tc>
                <w:tcPr>
                  <w:tcW w:w="462" w:type="pct"/>
                  <w:shd w:val="clear" w:color="auto" w:fill="auto"/>
                  <w:vAlign w:val="bottom"/>
                </w:tcPr>
                <w:p w:rsidR="00745FEA" w:rsidRPr="009A6D5F" w:rsidRDefault="00745FEA" w:rsidP="00745FEA">
                  <w:pPr>
                    <w:pStyle w:val="TableBodyText"/>
                    <w:ind w:right="57"/>
                  </w:pPr>
                  <w:r w:rsidRPr="009A6D5F">
                    <w:t>–</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R&amp;D Tax Incentive - refundable tax offset</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27.6</w:t>
                  </w:r>
                </w:p>
              </w:tc>
              <w:tc>
                <w:tcPr>
                  <w:tcW w:w="464" w:type="pct"/>
                  <w:vAlign w:val="bottom"/>
                </w:tcPr>
                <w:p w:rsidR="00745FEA" w:rsidRPr="009A6D5F" w:rsidRDefault="00745FEA" w:rsidP="00745FEA">
                  <w:pPr>
                    <w:pStyle w:val="TableBodyText"/>
                    <w:ind w:right="57"/>
                  </w:pPr>
                  <w:r w:rsidRPr="009A6D5F">
                    <w:t>26.7</w:t>
                  </w:r>
                </w:p>
              </w:tc>
              <w:tc>
                <w:tcPr>
                  <w:tcW w:w="464" w:type="pct"/>
                  <w:vAlign w:val="bottom"/>
                </w:tcPr>
                <w:p w:rsidR="00745FEA" w:rsidRPr="009A6D5F" w:rsidRDefault="00745FEA" w:rsidP="00745FEA">
                  <w:pPr>
                    <w:pStyle w:val="TableBodyText"/>
                    <w:ind w:right="57"/>
                  </w:pPr>
                  <w:r w:rsidRPr="009A6D5F">
                    <w:t>35.7</w:t>
                  </w:r>
                </w:p>
              </w:tc>
              <w:tc>
                <w:tcPr>
                  <w:tcW w:w="464" w:type="pct"/>
                  <w:shd w:val="clear" w:color="auto" w:fill="auto"/>
                  <w:vAlign w:val="bottom"/>
                </w:tcPr>
                <w:p w:rsidR="00745FEA" w:rsidRPr="009A6D5F" w:rsidRDefault="00745FEA" w:rsidP="00745FEA">
                  <w:pPr>
                    <w:pStyle w:val="TableBodyText"/>
                    <w:ind w:right="57"/>
                  </w:pPr>
                  <w:r w:rsidRPr="009A6D5F">
                    <w:t>38.0</w:t>
                  </w:r>
                </w:p>
              </w:tc>
              <w:tc>
                <w:tcPr>
                  <w:tcW w:w="462" w:type="pct"/>
                  <w:shd w:val="clear" w:color="auto" w:fill="auto"/>
                  <w:vAlign w:val="bottom"/>
                </w:tcPr>
                <w:p w:rsidR="00745FEA" w:rsidRPr="009A6D5F" w:rsidRDefault="00745FEA" w:rsidP="00745FEA">
                  <w:pPr>
                    <w:pStyle w:val="TableBodyText"/>
                    <w:ind w:right="57"/>
                  </w:pPr>
                  <w:r w:rsidRPr="009A6D5F">
                    <w:t>46.0</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R&amp;D tax offsets - Refundable</w:t>
                  </w:r>
                </w:p>
              </w:tc>
              <w:tc>
                <w:tcPr>
                  <w:tcW w:w="464" w:type="pct"/>
                  <w:vAlign w:val="bottom"/>
                </w:tcPr>
                <w:p w:rsidR="00745FEA" w:rsidRPr="009A6D5F" w:rsidRDefault="00745FEA" w:rsidP="00745FEA">
                  <w:pPr>
                    <w:pStyle w:val="TableBodyText"/>
                    <w:ind w:right="57"/>
                  </w:pPr>
                  <w:r w:rsidRPr="009A6D5F">
                    <w:t>6.9</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w:t>
                  </w:r>
                </w:p>
              </w:tc>
              <w:tc>
                <w:tcPr>
                  <w:tcW w:w="464" w:type="pct"/>
                  <w:vAlign w:val="bottom"/>
                </w:tcPr>
                <w:p w:rsidR="00745FEA" w:rsidRPr="009A6D5F" w:rsidRDefault="00745FEA" w:rsidP="00745FEA">
                  <w:pPr>
                    <w:pStyle w:val="TableBodyText"/>
                    <w:ind w:right="57"/>
                  </w:pPr>
                  <w:r w:rsidRPr="009A6D5F">
                    <w:t>–</w:t>
                  </w:r>
                </w:p>
              </w:tc>
              <w:tc>
                <w:tcPr>
                  <w:tcW w:w="464" w:type="pct"/>
                  <w:shd w:val="clear" w:color="auto" w:fill="auto"/>
                  <w:vAlign w:val="bottom"/>
                </w:tcPr>
                <w:p w:rsidR="00745FEA" w:rsidRPr="009A6D5F" w:rsidRDefault="00745FEA" w:rsidP="00745FEA">
                  <w:pPr>
                    <w:pStyle w:val="TableBodyText"/>
                    <w:ind w:right="57"/>
                  </w:pPr>
                  <w:r w:rsidRPr="009A6D5F">
                    <w:t>–</w:t>
                  </w:r>
                </w:p>
              </w:tc>
              <w:tc>
                <w:tcPr>
                  <w:tcW w:w="462" w:type="pct"/>
                  <w:shd w:val="clear" w:color="auto" w:fill="auto"/>
                  <w:vAlign w:val="bottom"/>
                </w:tcPr>
                <w:p w:rsidR="00745FEA" w:rsidRPr="009A6D5F" w:rsidRDefault="00745FEA" w:rsidP="00745FEA">
                  <w:pPr>
                    <w:pStyle w:val="TableBodyText"/>
                    <w:ind w:right="57"/>
                  </w:pPr>
                  <w:r w:rsidRPr="009A6D5F">
                    <w:t>–</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Premium R&amp;D tax concession</w:t>
                  </w:r>
                </w:p>
              </w:tc>
              <w:tc>
                <w:tcPr>
                  <w:tcW w:w="464" w:type="pct"/>
                  <w:vAlign w:val="bottom"/>
                </w:tcPr>
                <w:p w:rsidR="00745FEA" w:rsidRPr="009A6D5F" w:rsidRDefault="00745FEA" w:rsidP="00745FEA">
                  <w:pPr>
                    <w:pStyle w:val="TableBodyText"/>
                    <w:ind w:right="57"/>
                  </w:pPr>
                  <w:r w:rsidRPr="009A6D5F">
                    <w:t>15.6</w:t>
                  </w:r>
                </w:p>
              </w:tc>
              <w:tc>
                <w:tcPr>
                  <w:tcW w:w="464" w:type="pct"/>
                  <w:vAlign w:val="bottom"/>
                </w:tcPr>
                <w:p w:rsidR="00745FEA" w:rsidRPr="009A6D5F" w:rsidRDefault="00745FEA" w:rsidP="00745FEA">
                  <w:pPr>
                    <w:pStyle w:val="TableBodyText"/>
                    <w:ind w:right="57"/>
                  </w:pPr>
                  <w:r w:rsidRPr="009A6D5F">
                    <w:t>4.2</w:t>
                  </w:r>
                </w:p>
              </w:tc>
              <w:tc>
                <w:tcPr>
                  <w:tcW w:w="464" w:type="pct"/>
                  <w:vAlign w:val="bottom"/>
                </w:tcPr>
                <w:p w:rsidR="00745FEA" w:rsidRPr="009A6D5F" w:rsidRDefault="00745FEA" w:rsidP="00745FEA">
                  <w:pPr>
                    <w:pStyle w:val="TableBodyText"/>
                    <w:ind w:right="57"/>
                  </w:pPr>
                  <w:r w:rsidRPr="009A6D5F">
                    <w:t>1.8</w:t>
                  </w:r>
                </w:p>
              </w:tc>
              <w:tc>
                <w:tcPr>
                  <w:tcW w:w="464" w:type="pct"/>
                  <w:vAlign w:val="bottom"/>
                </w:tcPr>
                <w:p w:rsidR="00745FEA" w:rsidRPr="009A6D5F" w:rsidRDefault="00745FEA" w:rsidP="00745FEA">
                  <w:pPr>
                    <w:pStyle w:val="TableBodyText"/>
                    <w:ind w:right="57"/>
                  </w:pPr>
                  <w:r w:rsidRPr="009A6D5F">
                    <w:t>–</w:t>
                  </w:r>
                </w:p>
              </w:tc>
              <w:tc>
                <w:tcPr>
                  <w:tcW w:w="464" w:type="pct"/>
                  <w:shd w:val="clear" w:color="auto" w:fill="auto"/>
                  <w:vAlign w:val="bottom"/>
                </w:tcPr>
                <w:p w:rsidR="00745FEA" w:rsidRPr="009A6D5F" w:rsidRDefault="00745FEA" w:rsidP="00745FEA">
                  <w:pPr>
                    <w:pStyle w:val="TableBodyText"/>
                    <w:ind w:right="57"/>
                  </w:pPr>
                  <w:r w:rsidRPr="009A6D5F">
                    <w:t>–</w:t>
                  </w:r>
                </w:p>
              </w:tc>
              <w:tc>
                <w:tcPr>
                  <w:tcW w:w="462" w:type="pct"/>
                  <w:shd w:val="clear" w:color="auto" w:fill="auto"/>
                  <w:vAlign w:val="bottom"/>
                </w:tcPr>
                <w:p w:rsidR="00745FEA" w:rsidRPr="009A6D5F" w:rsidRDefault="00745FEA" w:rsidP="00745FEA">
                  <w:pPr>
                    <w:pStyle w:val="TableBodyText"/>
                    <w:ind w:right="57"/>
                  </w:pPr>
                  <w:r w:rsidRPr="009A6D5F">
                    <w:t>–</w:t>
                  </w:r>
                </w:p>
              </w:tc>
            </w:tr>
            <w:tr w:rsidR="00745FEA" w:rsidTr="00745FEA">
              <w:tc>
                <w:tcPr>
                  <w:tcW w:w="2218" w:type="pct"/>
                  <w:shd w:val="clear" w:color="auto" w:fill="auto"/>
                </w:tcPr>
                <w:p w:rsidR="00745FEA" w:rsidRPr="00CC18D0" w:rsidRDefault="00745FEA" w:rsidP="00745FEA">
                  <w:pPr>
                    <w:pStyle w:val="TableBodyText"/>
                    <w:spacing w:after="0"/>
                    <w:ind w:left="227" w:right="0"/>
                    <w:jc w:val="left"/>
                  </w:pPr>
                  <w:r w:rsidRPr="00CC18D0">
                    <w:t>R&amp;D tax concession</w:t>
                  </w:r>
                </w:p>
              </w:tc>
              <w:tc>
                <w:tcPr>
                  <w:tcW w:w="464" w:type="pct"/>
                  <w:vAlign w:val="bottom"/>
                </w:tcPr>
                <w:p w:rsidR="00745FEA" w:rsidRPr="009A6D5F" w:rsidRDefault="00745FEA" w:rsidP="00745FEA">
                  <w:pPr>
                    <w:pStyle w:val="TableBodyText"/>
                    <w:ind w:right="57"/>
                  </w:pPr>
                  <w:r w:rsidRPr="009A6D5F">
                    <w:t>40.8</w:t>
                  </w:r>
                </w:p>
              </w:tc>
              <w:tc>
                <w:tcPr>
                  <w:tcW w:w="464" w:type="pct"/>
                  <w:vAlign w:val="bottom"/>
                </w:tcPr>
                <w:p w:rsidR="00745FEA" w:rsidRPr="009A6D5F" w:rsidRDefault="00745FEA" w:rsidP="00745FEA">
                  <w:pPr>
                    <w:pStyle w:val="TableBodyText"/>
                    <w:ind w:right="57"/>
                  </w:pPr>
                  <w:r w:rsidRPr="009A6D5F">
                    <w:t>18.2</w:t>
                  </w:r>
                </w:p>
              </w:tc>
              <w:tc>
                <w:tcPr>
                  <w:tcW w:w="464" w:type="pct"/>
                  <w:vAlign w:val="bottom"/>
                </w:tcPr>
                <w:p w:rsidR="00745FEA" w:rsidRPr="009A6D5F" w:rsidRDefault="00745FEA" w:rsidP="00745FEA">
                  <w:pPr>
                    <w:pStyle w:val="TableBodyText"/>
                    <w:ind w:right="57"/>
                  </w:pPr>
                  <w:r w:rsidRPr="009A6D5F">
                    <w:t>6.2</w:t>
                  </w:r>
                </w:p>
              </w:tc>
              <w:tc>
                <w:tcPr>
                  <w:tcW w:w="464" w:type="pct"/>
                  <w:vAlign w:val="bottom"/>
                </w:tcPr>
                <w:p w:rsidR="00745FEA" w:rsidRPr="009A6D5F" w:rsidRDefault="00745FEA" w:rsidP="00745FEA">
                  <w:pPr>
                    <w:pStyle w:val="TableBodyText"/>
                    <w:ind w:right="57"/>
                  </w:pPr>
                  <w:r w:rsidRPr="009A6D5F">
                    <w:t>1.1</w:t>
                  </w:r>
                </w:p>
              </w:tc>
              <w:tc>
                <w:tcPr>
                  <w:tcW w:w="464" w:type="pct"/>
                  <w:shd w:val="clear" w:color="auto" w:fill="auto"/>
                  <w:vAlign w:val="bottom"/>
                </w:tcPr>
                <w:p w:rsidR="00745FEA" w:rsidRPr="009A6D5F" w:rsidRDefault="00745FEA" w:rsidP="00745FEA">
                  <w:pPr>
                    <w:pStyle w:val="TableBodyText"/>
                    <w:ind w:right="57"/>
                  </w:pPr>
                  <w:r w:rsidRPr="009A6D5F">
                    <w:t>–</w:t>
                  </w:r>
                </w:p>
              </w:tc>
              <w:tc>
                <w:tcPr>
                  <w:tcW w:w="462" w:type="pct"/>
                  <w:shd w:val="clear" w:color="auto" w:fill="auto"/>
                  <w:vAlign w:val="bottom"/>
                </w:tcPr>
                <w:p w:rsidR="00745FEA" w:rsidRPr="009A6D5F" w:rsidRDefault="00745FEA" w:rsidP="00745FEA">
                  <w:pPr>
                    <w:pStyle w:val="TableBodyText"/>
                    <w:ind w:right="57"/>
                  </w:pPr>
                  <w:r w:rsidRPr="009A6D5F">
                    <w:t>–</w:t>
                  </w:r>
                </w:p>
              </w:tc>
            </w:tr>
            <w:tr w:rsidR="00745FEA" w:rsidTr="00745FEA">
              <w:tc>
                <w:tcPr>
                  <w:tcW w:w="2218" w:type="pct"/>
                  <w:tcBorders>
                    <w:bottom w:val="single" w:sz="6" w:space="0" w:color="BFBFBF"/>
                  </w:tcBorders>
                  <w:shd w:val="clear" w:color="auto" w:fill="auto"/>
                </w:tcPr>
                <w:p w:rsidR="00745FEA" w:rsidRPr="00CC18D0" w:rsidRDefault="00745FEA" w:rsidP="00745FEA">
                  <w:pPr>
                    <w:pStyle w:val="TableBodyText"/>
                    <w:ind w:left="227" w:right="0"/>
                    <w:jc w:val="left"/>
                  </w:pPr>
                  <w:r w:rsidRPr="00CC18D0">
                    <w:t>R&amp;D Tax Incentive - non-refundable tax offset</w:t>
                  </w:r>
                </w:p>
              </w:tc>
              <w:tc>
                <w:tcPr>
                  <w:tcW w:w="464" w:type="pct"/>
                  <w:tcBorders>
                    <w:bottom w:val="single" w:sz="6" w:space="0" w:color="BFBFBF"/>
                  </w:tcBorders>
                  <w:vAlign w:val="bottom"/>
                </w:tcPr>
                <w:p w:rsidR="00745FEA" w:rsidRPr="009A6D5F" w:rsidRDefault="00745FEA" w:rsidP="00745FEA">
                  <w:pPr>
                    <w:pStyle w:val="TableBodyText"/>
                    <w:ind w:right="57"/>
                  </w:pPr>
                  <w:r w:rsidRPr="009A6D5F">
                    <w:t>–</w:t>
                  </w:r>
                </w:p>
              </w:tc>
              <w:tc>
                <w:tcPr>
                  <w:tcW w:w="464" w:type="pct"/>
                  <w:tcBorders>
                    <w:bottom w:val="single" w:sz="6" w:space="0" w:color="BFBFBF"/>
                  </w:tcBorders>
                  <w:vAlign w:val="bottom"/>
                </w:tcPr>
                <w:p w:rsidR="00745FEA" w:rsidRPr="009A6D5F" w:rsidRDefault="00745FEA" w:rsidP="00745FEA">
                  <w:pPr>
                    <w:pStyle w:val="TableBodyText"/>
                    <w:ind w:right="57"/>
                  </w:pPr>
                  <w:r w:rsidRPr="009A6D5F">
                    <w:t>22.2</w:t>
                  </w:r>
                </w:p>
              </w:tc>
              <w:tc>
                <w:tcPr>
                  <w:tcW w:w="464" w:type="pct"/>
                  <w:tcBorders>
                    <w:bottom w:val="single" w:sz="6" w:space="0" w:color="BFBFBF"/>
                  </w:tcBorders>
                  <w:vAlign w:val="bottom"/>
                </w:tcPr>
                <w:p w:rsidR="00745FEA" w:rsidRPr="009A6D5F" w:rsidRDefault="00745FEA" w:rsidP="00745FEA">
                  <w:pPr>
                    <w:pStyle w:val="TableBodyText"/>
                    <w:ind w:right="57"/>
                  </w:pPr>
                  <w:r w:rsidRPr="009A6D5F">
                    <w:t>53.6</w:t>
                  </w:r>
                </w:p>
              </w:tc>
              <w:tc>
                <w:tcPr>
                  <w:tcW w:w="464" w:type="pct"/>
                  <w:tcBorders>
                    <w:bottom w:val="single" w:sz="6" w:space="0" w:color="BFBFBF"/>
                  </w:tcBorders>
                  <w:vAlign w:val="bottom"/>
                </w:tcPr>
                <w:p w:rsidR="00745FEA" w:rsidRPr="009A6D5F" w:rsidRDefault="00745FEA" w:rsidP="00745FEA">
                  <w:pPr>
                    <w:pStyle w:val="TableBodyText"/>
                    <w:ind w:right="57"/>
                  </w:pPr>
                  <w:r w:rsidRPr="009A6D5F">
                    <w:t>56.5</w:t>
                  </w:r>
                </w:p>
              </w:tc>
              <w:tc>
                <w:tcPr>
                  <w:tcW w:w="464" w:type="pct"/>
                  <w:tcBorders>
                    <w:bottom w:val="single" w:sz="6" w:space="0" w:color="BFBFBF"/>
                  </w:tcBorders>
                  <w:shd w:val="clear" w:color="auto" w:fill="auto"/>
                  <w:vAlign w:val="bottom"/>
                </w:tcPr>
                <w:p w:rsidR="00745FEA" w:rsidRPr="009A6D5F" w:rsidRDefault="00745FEA" w:rsidP="00745FEA">
                  <w:pPr>
                    <w:pStyle w:val="TableBodyText"/>
                    <w:ind w:right="57"/>
                  </w:pPr>
                  <w:r w:rsidRPr="009A6D5F">
                    <w:t>39.0</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9A6D5F">
                    <w:t>31.1</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499"/>
            </w:pPr>
            <w:r>
              <w:t>(continued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5"/>
              <w:gridCol w:w="794"/>
              <w:gridCol w:w="794"/>
              <w:gridCol w:w="794"/>
              <w:gridCol w:w="794"/>
              <w:gridCol w:w="791"/>
            </w:tblGrid>
            <w:tr w:rsidR="00745FEA" w:rsidTr="00C719FB">
              <w:trPr>
                <w:tblHeader/>
              </w:trPr>
              <w:tc>
                <w:tcPr>
                  <w:tcW w:w="22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Borders>
                    <w:top w:val="single" w:sz="6" w:space="0" w:color="BFBFBF"/>
                  </w:tcBorders>
                </w:tcPr>
                <w:p w:rsidR="00745FEA" w:rsidRPr="00A641B1" w:rsidRDefault="00745FEA" w:rsidP="00745FEA">
                  <w:pPr>
                    <w:pStyle w:val="TableUnitsRow"/>
                    <w:spacing w:after="0"/>
                    <w:ind w:left="113"/>
                    <w:jc w:val="left"/>
                    <w:rPr>
                      <w:i/>
                    </w:rPr>
                  </w:pPr>
                  <w:r w:rsidRPr="00A641B1">
                    <w:rPr>
                      <w:i/>
                    </w:rPr>
                    <w:t>Other measures</w:t>
                  </w: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8" w:type="pct"/>
                </w:tcPr>
                <w:p w:rsidR="00745FEA" w:rsidRPr="00E70364" w:rsidRDefault="00745FEA" w:rsidP="00745FEA">
                  <w:pPr>
                    <w:pStyle w:val="TableBodyText"/>
                    <w:spacing w:after="0"/>
                    <w:ind w:left="227" w:right="0"/>
                    <w:jc w:val="left"/>
                  </w:pPr>
                  <w:r w:rsidRPr="00E70364">
                    <w:t>Australian Government Innovation and Investment Fund - Tasmania</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1.5</w:t>
                  </w:r>
                </w:p>
              </w:tc>
              <w:tc>
                <w:tcPr>
                  <w:tcW w:w="464" w:type="pct"/>
                  <w:vAlign w:val="bottom"/>
                </w:tcPr>
                <w:p w:rsidR="00745FEA" w:rsidRPr="00002230" w:rsidRDefault="00745FEA" w:rsidP="00745FEA">
                  <w:pPr>
                    <w:pStyle w:val="TableBodyText"/>
                    <w:ind w:right="57"/>
                  </w:pPr>
                  <w:r w:rsidRPr="00002230">
                    <w:t>1.5</w:t>
                  </w:r>
                </w:p>
              </w:tc>
              <w:tc>
                <w:tcPr>
                  <w:tcW w:w="462" w:type="pct"/>
                  <w:vAlign w:val="bottom"/>
                </w:tcPr>
                <w:p w:rsidR="00745FEA" w:rsidRPr="00002230" w:rsidRDefault="00745FEA" w:rsidP="00745FEA">
                  <w:pPr>
                    <w:pStyle w:val="TableBodyText"/>
                    <w:ind w:right="57"/>
                  </w:pPr>
                  <w:r w:rsidRPr="00002230">
                    <w:t>0.6</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Enterprise Connect Innovation Centres</w:t>
                  </w:r>
                </w:p>
              </w:tc>
              <w:tc>
                <w:tcPr>
                  <w:tcW w:w="464" w:type="pct"/>
                  <w:vAlign w:val="bottom"/>
                </w:tcPr>
                <w:p w:rsidR="00745FEA" w:rsidRPr="00002230" w:rsidRDefault="00745FEA" w:rsidP="00745FEA">
                  <w:pPr>
                    <w:pStyle w:val="TableBodyText"/>
                    <w:ind w:right="57"/>
                  </w:pPr>
                  <w:r w:rsidRPr="00002230">
                    <w:t>0.8</w:t>
                  </w:r>
                </w:p>
              </w:tc>
              <w:tc>
                <w:tcPr>
                  <w:tcW w:w="464" w:type="pct"/>
                  <w:vAlign w:val="bottom"/>
                </w:tcPr>
                <w:p w:rsidR="00745FEA" w:rsidRPr="00002230" w:rsidRDefault="00745FEA" w:rsidP="00745FEA">
                  <w:pPr>
                    <w:pStyle w:val="TableBodyText"/>
                    <w:ind w:right="57"/>
                  </w:pPr>
                  <w:r w:rsidRPr="00002230">
                    <w:t>0.6</w:t>
                  </w:r>
                </w:p>
              </w:tc>
              <w:tc>
                <w:tcPr>
                  <w:tcW w:w="464" w:type="pct"/>
                  <w:vAlign w:val="bottom"/>
                </w:tcPr>
                <w:p w:rsidR="00745FEA" w:rsidRPr="00002230" w:rsidRDefault="00745FEA" w:rsidP="00745FEA">
                  <w:pPr>
                    <w:pStyle w:val="TableBodyText"/>
                    <w:ind w:right="57"/>
                  </w:pPr>
                  <w:r w:rsidRPr="00002230">
                    <w:t>0.7</w:t>
                  </w:r>
                </w:p>
              </w:tc>
              <w:tc>
                <w:tcPr>
                  <w:tcW w:w="464" w:type="pct"/>
                  <w:vAlign w:val="bottom"/>
                </w:tcPr>
                <w:p w:rsidR="00745FEA" w:rsidRPr="00002230" w:rsidRDefault="00745FEA" w:rsidP="00745FEA">
                  <w:pPr>
                    <w:pStyle w:val="TableBodyText"/>
                    <w:ind w:right="57"/>
                  </w:pPr>
                  <w:r w:rsidRPr="00002230">
                    <w:t>0.7</w:t>
                  </w:r>
                </w:p>
              </w:tc>
              <w:tc>
                <w:tcPr>
                  <w:tcW w:w="464" w:type="pct"/>
                  <w:shd w:val="clear" w:color="auto" w:fill="auto"/>
                  <w:vAlign w:val="bottom"/>
                </w:tcPr>
                <w:p w:rsidR="00745FEA" w:rsidRPr="00002230" w:rsidRDefault="00745FEA" w:rsidP="00745FEA">
                  <w:pPr>
                    <w:pStyle w:val="TableBodyText"/>
                    <w:ind w:right="57"/>
                  </w:pPr>
                  <w:r w:rsidRPr="00002230">
                    <w:t>&lt;0.1</w:t>
                  </w:r>
                </w:p>
              </w:tc>
              <w:tc>
                <w:tcPr>
                  <w:tcW w:w="462" w:type="pct"/>
                  <w:shd w:val="clear" w:color="auto" w:fill="auto"/>
                  <w:vAlign w:val="bottom"/>
                </w:tcPr>
                <w:p w:rsidR="00745FEA" w:rsidRPr="00002230" w:rsidRDefault="00745FEA" w:rsidP="00745FEA">
                  <w:pPr>
                    <w:pStyle w:val="TableBodyText"/>
                    <w:ind w:right="57"/>
                  </w:pPr>
                  <w:r w:rsidRPr="00002230">
                    <w:t>–</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Entrepreneurs’ Infrastructure Programme - Accelerating Commercialisation</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&lt;0.1</w:t>
                  </w:r>
                </w:p>
              </w:tc>
              <w:tc>
                <w:tcPr>
                  <w:tcW w:w="464" w:type="pct"/>
                  <w:shd w:val="clear" w:color="auto" w:fill="auto"/>
                  <w:vAlign w:val="bottom"/>
                </w:tcPr>
                <w:p w:rsidR="00745FEA" w:rsidRPr="00002230" w:rsidRDefault="00745FEA" w:rsidP="00745FEA">
                  <w:pPr>
                    <w:pStyle w:val="TableBodyText"/>
                    <w:ind w:right="57"/>
                  </w:pPr>
                  <w:r w:rsidRPr="00002230">
                    <w:t>0.4</w:t>
                  </w:r>
                </w:p>
              </w:tc>
              <w:tc>
                <w:tcPr>
                  <w:tcW w:w="462" w:type="pct"/>
                  <w:shd w:val="clear" w:color="auto" w:fill="auto"/>
                  <w:vAlign w:val="bottom"/>
                </w:tcPr>
                <w:p w:rsidR="00745FEA" w:rsidRPr="00002230" w:rsidRDefault="00745FEA" w:rsidP="00745FEA">
                  <w:pPr>
                    <w:pStyle w:val="TableBodyText"/>
                    <w:ind w:right="57"/>
                  </w:pPr>
                  <w:r w:rsidRPr="00002230">
                    <w:t>0.5</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Entrepreneurs’ Infrastructure Programme - Business Management Skills</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0.2</w:t>
                  </w:r>
                </w:p>
              </w:tc>
              <w:tc>
                <w:tcPr>
                  <w:tcW w:w="464" w:type="pct"/>
                  <w:shd w:val="clear" w:color="auto" w:fill="auto"/>
                  <w:vAlign w:val="bottom"/>
                </w:tcPr>
                <w:p w:rsidR="00745FEA" w:rsidRPr="00002230" w:rsidRDefault="00745FEA" w:rsidP="00745FEA">
                  <w:pPr>
                    <w:pStyle w:val="TableBodyText"/>
                    <w:ind w:right="57"/>
                  </w:pPr>
                  <w:r w:rsidRPr="00002230">
                    <w:t>0.8</w:t>
                  </w:r>
                </w:p>
              </w:tc>
              <w:tc>
                <w:tcPr>
                  <w:tcW w:w="462" w:type="pct"/>
                  <w:shd w:val="clear" w:color="auto" w:fill="auto"/>
                  <w:vAlign w:val="bottom"/>
                </w:tcPr>
                <w:p w:rsidR="00745FEA" w:rsidRPr="00002230" w:rsidRDefault="00745FEA" w:rsidP="00745FEA">
                  <w:pPr>
                    <w:pStyle w:val="TableBodyText"/>
                    <w:ind w:right="57"/>
                  </w:pPr>
                  <w:r w:rsidRPr="00002230">
                    <w:t>0.9</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Illawarra Region Innovation and Investment Fund</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0.2</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shd w:val="clear" w:color="auto" w:fill="auto"/>
                  <w:vAlign w:val="bottom"/>
                </w:tcPr>
                <w:p w:rsidR="00745FEA" w:rsidRPr="00002230" w:rsidRDefault="00745FEA" w:rsidP="00745FEA">
                  <w:pPr>
                    <w:pStyle w:val="TableBodyText"/>
                    <w:ind w:right="57"/>
                  </w:pPr>
                  <w:r w:rsidRPr="00002230">
                    <w:t>–</w:t>
                  </w:r>
                </w:p>
              </w:tc>
              <w:tc>
                <w:tcPr>
                  <w:tcW w:w="462" w:type="pct"/>
                  <w:shd w:val="clear" w:color="auto" w:fill="auto"/>
                  <w:vAlign w:val="bottom"/>
                </w:tcPr>
                <w:p w:rsidR="00745FEA" w:rsidRPr="00002230" w:rsidRDefault="00745FEA" w:rsidP="00745FEA">
                  <w:pPr>
                    <w:pStyle w:val="TableBodyText"/>
                    <w:ind w:right="57"/>
                  </w:pPr>
                  <w:r w:rsidRPr="00002230">
                    <w:t>–</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South East South Australia Innovation and Investment Fund</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&lt;0.1</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shd w:val="clear" w:color="auto" w:fill="auto"/>
                  <w:vAlign w:val="bottom"/>
                </w:tcPr>
                <w:p w:rsidR="00745FEA" w:rsidRPr="00002230" w:rsidRDefault="00745FEA" w:rsidP="00745FEA">
                  <w:pPr>
                    <w:pStyle w:val="TableBodyText"/>
                    <w:ind w:right="57"/>
                  </w:pPr>
                  <w:r w:rsidRPr="00002230">
                    <w:t>–</w:t>
                  </w:r>
                </w:p>
              </w:tc>
              <w:tc>
                <w:tcPr>
                  <w:tcW w:w="462" w:type="pct"/>
                  <w:shd w:val="clear" w:color="auto" w:fill="auto"/>
                  <w:vAlign w:val="bottom"/>
                </w:tcPr>
                <w:p w:rsidR="00745FEA" w:rsidRPr="00002230" w:rsidRDefault="00745FEA" w:rsidP="00745FEA">
                  <w:pPr>
                    <w:pStyle w:val="TableBodyText"/>
                    <w:ind w:right="57"/>
                  </w:pPr>
                  <w:r w:rsidRPr="00002230">
                    <w:t>–</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Tasmanian Innovation and Investment Fund</w:t>
                  </w:r>
                </w:p>
              </w:tc>
              <w:tc>
                <w:tcPr>
                  <w:tcW w:w="464" w:type="pct"/>
                  <w:vAlign w:val="bottom"/>
                </w:tcPr>
                <w:p w:rsidR="00745FEA" w:rsidRPr="00002230" w:rsidRDefault="00745FEA" w:rsidP="00745FEA">
                  <w:pPr>
                    <w:pStyle w:val="TableBodyText"/>
                    <w:ind w:right="57"/>
                  </w:pPr>
                  <w:r w:rsidRPr="00002230">
                    <w:t>0.5</w:t>
                  </w:r>
                </w:p>
              </w:tc>
              <w:tc>
                <w:tcPr>
                  <w:tcW w:w="464" w:type="pct"/>
                  <w:vAlign w:val="bottom"/>
                </w:tcPr>
                <w:p w:rsidR="00745FEA" w:rsidRPr="00002230" w:rsidRDefault="00745FEA" w:rsidP="00745FEA">
                  <w:pPr>
                    <w:pStyle w:val="TableBodyText"/>
                    <w:ind w:right="57"/>
                  </w:pPr>
                  <w:r w:rsidRPr="00002230">
                    <w:t>0.5</w:t>
                  </w:r>
                </w:p>
              </w:tc>
              <w:tc>
                <w:tcPr>
                  <w:tcW w:w="464" w:type="pct"/>
                  <w:vAlign w:val="bottom"/>
                </w:tcPr>
                <w:p w:rsidR="00745FEA" w:rsidRPr="00002230" w:rsidRDefault="00745FEA" w:rsidP="00745FEA">
                  <w:pPr>
                    <w:pStyle w:val="TableBodyText"/>
                    <w:ind w:right="57"/>
                  </w:pPr>
                  <w:r w:rsidRPr="00002230">
                    <w:t>0.3</w:t>
                  </w:r>
                </w:p>
              </w:tc>
              <w:tc>
                <w:tcPr>
                  <w:tcW w:w="464" w:type="pct"/>
                  <w:vAlign w:val="bottom"/>
                </w:tcPr>
                <w:p w:rsidR="00745FEA" w:rsidRPr="00002230" w:rsidRDefault="00745FEA" w:rsidP="00745FEA">
                  <w:pPr>
                    <w:pStyle w:val="TableBodyText"/>
                    <w:ind w:right="57"/>
                  </w:pPr>
                  <w:r w:rsidRPr="00002230">
                    <w:t>–</w:t>
                  </w:r>
                </w:p>
              </w:tc>
              <w:tc>
                <w:tcPr>
                  <w:tcW w:w="464" w:type="pct"/>
                  <w:shd w:val="clear" w:color="auto" w:fill="auto"/>
                  <w:vAlign w:val="bottom"/>
                </w:tcPr>
                <w:p w:rsidR="00745FEA" w:rsidRPr="00002230" w:rsidRDefault="00745FEA" w:rsidP="00745FEA">
                  <w:pPr>
                    <w:pStyle w:val="TableBodyText"/>
                    <w:ind w:right="57"/>
                  </w:pPr>
                  <w:r w:rsidRPr="00002230">
                    <w:t>–</w:t>
                  </w:r>
                </w:p>
              </w:tc>
              <w:tc>
                <w:tcPr>
                  <w:tcW w:w="462" w:type="pct"/>
                  <w:shd w:val="clear" w:color="auto" w:fill="auto"/>
                  <w:vAlign w:val="bottom"/>
                </w:tcPr>
                <w:p w:rsidR="00745FEA" w:rsidRPr="00002230" w:rsidRDefault="00745FEA" w:rsidP="00745FEA">
                  <w:pPr>
                    <w:pStyle w:val="TableBodyText"/>
                    <w:ind w:right="57"/>
                  </w:pPr>
                  <w:r w:rsidRPr="00002230">
                    <w:t>–</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Tasmanian Jobs and Investment Fund</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shd w:val="clear" w:color="auto" w:fill="auto"/>
                  <w:vAlign w:val="bottom"/>
                </w:tcPr>
                <w:p w:rsidR="00745FEA" w:rsidRPr="00002230" w:rsidRDefault="00745FEA" w:rsidP="00745FEA">
                  <w:pPr>
                    <w:pStyle w:val="TableBodyText"/>
                    <w:ind w:right="57"/>
                  </w:pPr>
                  <w:r w:rsidRPr="00002230">
                    <w:t>0.8</w:t>
                  </w:r>
                </w:p>
              </w:tc>
              <w:tc>
                <w:tcPr>
                  <w:tcW w:w="462" w:type="pct"/>
                  <w:shd w:val="clear" w:color="auto" w:fill="auto"/>
                  <w:vAlign w:val="bottom"/>
                </w:tcPr>
                <w:p w:rsidR="00745FEA" w:rsidRPr="00002230" w:rsidRDefault="00745FEA" w:rsidP="00745FEA">
                  <w:pPr>
                    <w:pStyle w:val="TableBodyText"/>
                    <w:ind w:right="57"/>
                  </w:pPr>
                  <w:r w:rsidRPr="00002230">
                    <w:t>0.6</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 xml:space="preserve">Small business </w:t>
                  </w:r>
                  <w:r>
                    <w:t>capital gains tax</w:t>
                  </w:r>
                  <w:r w:rsidRPr="00E70364">
                    <w:t xml:space="preserve"> rollover deferral</w:t>
                  </w:r>
                </w:p>
              </w:tc>
              <w:tc>
                <w:tcPr>
                  <w:tcW w:w="464" w:type="pct"/>
                  <w:vAlign w:val="bottom"/>
                </w:tcPr>
                <w:p w:rsidR="00745FEA" w:rsidRPr="00002230" w:rsidRDefault="00745FEA" w:rsidP="00745FEA">
                  <w:pPr>
                    <w:pStyle w:val="TableBodyText"/>
                    <w:ind w:right="57"/>
                  </w:pPr>
                  <w:r w:rsidRPr="00002230">
                    <w:t>1.3</w:t>
                  </w:r>
                </w:p>
              </w:tc>
              <w:tc>
                <w:tcPr>
                  <w:tcW w:w="464" w:type="pct"/>
                  <w:vAlign w:val="bottom"/>
                </w:tcPr>
                <w:p w:rsidR="00745FEA" w:rsidRPr="00002230" w:rsidRDefault="00745FEA" w:rsidP="00745FEA">
                  <w:pPr>
                    <w:pStyle w:val="TableBodyText"/>
                    <w:ind w:right="57"/>
                  </w:pPr>
                  <w:r w:rsidRPr="00002230">
                    <w:t>1.5</w:t>
                  </w:r>
                </w:p>
              </w:tc>
              <w:tc>
                <w:tcPr>
                  <w:tcW w:w="464" w:type="pct"/>
                  <w:vAlign w:val="bottom"/>
                </w:tcPr>
                <w:p w:rsidR="00745FEA" w:rsidRPr="00002230" w:rsidRDefault="00745FEA" w:rsidP="00745FEA">
                  <w:pPr>
                    <w:pStyle w:val="TableBodyText"/>
                    <w:ind w:right="57"/>
                  </w:pPr>
                  <w:r w:rsidRPr="00002230">
                    <w:t>1.6</w:t>
                  </w:r>
                </w:p>
              </w:tc>
              <w:tc>
                <w:tcPr>
                  <w:tcW w:w="464" w:type="pct"/>
                  <w:vAlign w:val="bottom"/>
                </w:tcPr>
                <w:p w:rsidR="00745FEA" w:rsidRPr="00002230" w:rsidRDefault="00745FEA" w:rsidP="00745FEA">
                  <w:pPr>
                    <w:pStyle w:val="TableBodyText"/>
                    <w:ind w:right="57"/>
                  </w:pPr>
                  <w:r w:rsidRPr="00002230">
                    <w:t>2.9</w:t>
                  </w:r>
                </w:p>
              </w:tc>
              <w:tc>
                <w:tcPr>
                  <w:tcW w:w="464" w:type="pct"/>
                  <w:shd w:val="clear" w:color="auto" w:fill="auto"/>
                  <w:vAlign w:val="bottom"/>
                </w:tcPr>
                <w:p w:rsidR="00745FEA" w:rsidRPr="00002230" w:rsidRDefault="00745FEA" w:rsidP="00745FEA">
                  <w:pPr>
                    <w:pStyle w:val="TableBodyText"/>
                    <w:ind w:right="57"/>
                  </w:pPr>
                  <w:r w:rsidRPr="00002230">
                    <w:t>2.4</w:t>
                  </w:r>
                </w:p>
              </w:tc>
              <w:tc>
                <w:tcPr>
                  <w:tcW w:w="462" w:type="pct"/>
                  <w:shd w:val="clear" w:color="auto" w:fill="auto"/>
                  <w:vAlign w:val="bottom"/>
                </w:tcPr>
                <w:p w:rsidR="00745FEA" w:rsidRPr="00002230" w:rsidRDefault="00745FEA" w:rsidP="00745FEA">
                  <w:pPr>
                    <w:pStyle w:val="TableBodyText"/>
                    <w:ind w:right="57"/>
                  </w:pPr>
                  <w:r w:rsidRPr="00002230">
                    <w:t>2.5</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The Small Business and General Business Tax Break</w:t>
                  </w:r>
                </w:p>
              </w:tc>
              <w:tc>
                <w:tcPr>
                  <w:tcW w:w="464" w:type="pct"/>
                  <w:vAlign w:val="bottom"/>
                </w:tcPr>
                <w:p w:rsidR="00745FEA" w:rsidRPr="00002230" w:rsidRDefault="00745FEA" w:rsidP="00745FEA">
                  <w:pPr>
                    <w:pStyle w:val="TableBodyText"/>
                    <w:ind w:right="57"/>
                  </w:pPr>
                  <w:r w:rsidRPr="00002230">
                    <w:t>10.9</w:t>
                  </w:r>
                </w:p>
              </w:tc>
              <w:tc>
                <w:tcPr>
                  <w:tcW w:w="464" w:type="pct"/>
                  <w:vAlign w:val="bottom"/>
                </w:tcPr>
                <w:p w:rsidR="00745FEA" w:rsidRPr="00002230" w:rsidRDefault="00745FEA" w:rsidP="00745FEA">
                  <w:pPr>
                    <w:pStyle w:val="TableBodyText"/>
                    <w:ind w:right="57"/>
                  </w:pPr>
                  <w:r w:rsidRPr="00002230">
                    <w:t>3.8</w:t>
                  </w:r>
                </w:p>
              </w:tc>
              <w:tc>
                <w:tcPr>
                  <w:tcW w:w="464" w:type="pct"/>
                  <w:vAlign w:val="bottom"/>
                </w:tcPr>
                <w:p w:rsidR="00745FEA" w:rsidRPr="00002230" w:rsidRDefault="00745FEA" w:rsidP="00745FEA">
                  <w:pPr>
                    <w:pStyle w:val="TableBodyText"/>
                    <w:ind w:right="57"/>
                  </w:pPr>
                  <w:r w:rsidRPr="00002230">
                    <w:t>0.5</w:t>
                  </w:r>
                </w:p>
              </w:tc>
              <w:tc>
                <w:tcPr>
                  <w:tcW w:w="464" w:type="pct"/>
                  <w:vAlign w:val="bottom"/>
                </w:tcPr>
                <w:p w:rsidR="00745FEA" w:rsidRPr="00002230" w:rsidRDefault="00745FEA" w:rsidP="00745FEA">
                  <w:pPr>
                    <w:pStyle w:val="TableBodyText"/>
                    <w:ind w:right="57"/>
                  </w:pPr>
                  <w:r w:rsidRPr="00002230">
                    <w:t>–</w:t>
                  </w:r>
                </w:p>
              </w:tc>
              <w:tc>
                <w:tcPr>
                  <w:tcW w:w="464" w:type="pct"/>
                  <w:shd w:val="clear" w:color="auto" w:fill="auto"/>
                  <w:vAlign w:val="bottom"/>
                </w:tcPr>
                <w:p w:rsidR="00745FEA" w:rsidRPr="00002230" w:rsidRDefault="00745FEA" w:rsidP="00745FEA">
                  <w:pPr>
                    <w:pStyle w:val="TableBodyText"/>
                    <w:ind w:right="57"/>
                  </w:pPr>
                  <w:r w:rsidRPr="00002230">
                    <w:t>–</w:t>
                  </w:r>
                </w:p>
              </w:tc>
              <w:tc>
                <w:tcPr>
                  <w:tcW w:w="462" w:type="pct"/>
                  <w:shd w:val="clear" w:color="auto" w:fill="auto"/>
                  <w:vAlign w:val="bottom"/>
                </w:tcPr>
                <w:p w:rsidR="00745FEA" w:rsidRPr="00002230" w:rsidRDefault="00745FEA" w:rsidP="00745FEA">
                  <w:pPr>
                    <w:pStyle w:val="TableBodyText"/>
                    <w:ind w:right="57"/>
                  </w:pPr>
                  <w:r w:rsidRPr="00002230">
                    <w:t>–</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Small Business - Simplified depreciation rules</w:t>
                  </w:r>
                </w:p>
              </w:tc>
              <w:tc>
                <w:tcPr>
                  <w:tcW w:w="464" w:type="pct"/>
                  <w:vAlign w:val="bottom"/>
                </w:tcPr>
                <w:p w:rsidR="00745FEA" w:rsidRPr="00002230" w:rsidRDefault="00745FEA" w:rsidP="00745FEA">
                  <w:pPr>
                    <w:pStyle w:val="TableBodyText"/>
                    <w:ind w:right="57"/>
                  </w:pPr>
                  <w:r w:rsidRPr="00002230">
                    <w:t>0.1</w:t>
                  </w:r>
                </w:p>
              </w:tc>
              <w:tc>
                <w:tcPr>
                  <w:tcW w:w="464" w:type="pct"/>
                  <w:vAlign w:val="bottom"/>
                </w:tcPr>
                <w:p w:rsidR="00745FEA" w:rsidRPr="00002230" w:rsidRDefault="00745FEA" w:rsidP="00745FEA">
                  <w:pPr>
                    <w:pStyle w:val="TableBodyText"/>
                    <w:ind w:right="57"/>
                  </w:pPr>
                  <w:r w:rsidRPr="00002230">
                    <w:t>-0.3</w:t>
                  </w:r>
                </w:p>
              </w:tc>
              <w:tc>
                <w:tcPr>
                  <w:tcW w:w="464" w:type="pct"/>
                  <w:vAlign w:val="bottom"/>
                </w:tcPr>
                <w:p w:rsidR="00745FEA" w:rsidRPr="00002230" w:rsidRDefault="00745FEA" w:rsidP="00745FEA">
                  <w:pPr>
                    <w:pStyle w:val="TableBodyText"/>
                    <w:ind w:right="57"/>
                  </w:pPr>
                  <w:r w:rsidRPr="00002230">
                    <w:t>1.2</w:t>
                  </w:r>
                </w:p>
              </w:tc>
              <w:tc>
                <w:tcPr>
                  <w:tcW w:w="464" w:type="pct"/>
                  <w:vAlign w:val="bottom"/>
                </w:tcPr>
                <w:p w:rsidR="00745FEA" w:rsidRPr="00002230" w:rsidRDefault="00745FEA" w:rsidP="00745FEA">
                  <w:pPr>
                    <w:pStyle w:val="TableBodyText"/>
                    <w:ind w:right="57"/>
                  </w:pPr>
                  <w:r w:rsidRPr="00002230">
                    <w:t>-0.6</w:t>
                  </w:r>
                </w:p>
              </w:tc>
              <w:tc>
                <w:tcPr>
                  <w:tcW w:w="464" w:type="pct"/>
                  <w:shd w:val="clear" w:color="auto" w:fill="auto"/>
                  <w:vAlign w:val="bottom"/>
                </w:tcPr>
                <w:p w:rsidR="00745FEA" w:rsidRPr="00002230" w:rsidRDefault="00745FEA" w:rsidP="00745FEA">
                  <w:pPr>
                    <w:pStyle w:val="TableBodyText"/>
                    <w:ind w:right="57"/>
                  </w:pPr>
                  <w:r w:rsidRPr="00002230">
                    <w:t>-1.1</w:t>
                  </w:r>
                </w:p>
              </w:tc>
              <w:tc>
                <w:tcPr>
                  <w:tcW w:w="462" w:type="pct"/>
                  <w:shd w:val="clear" w:color="auto" w:fill="auto"/>
                  <w:vAlign w:val="bottom"/>
                </w:tcPr>
                <w:p w:rsidR="00745FEA" w:rsidRPr="00002230" w:rsidRDefault="00745FEA" w:rsidP="00745FEA">
                  <w:pPr>
                    <w:pStyle w:val="TableBodyText"/>
                    <w:ind w:right="57"/>
                  </w:pPr>
                  <w:r w:rsidRPr="00002230">
                    <w:t>6.5</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 xml:space="preserve">Small business </w:t>
                  </w:r>
                  <w:r>
                    <w:t>capital gains tax</w:t>
                  </w:r>
                  <w:r w:rsidRPr="00E70364">
                    <w:t xml:space="preserve"> retirement exemption</w:t>
                  </w:r>
                </w:p>
              </w:tc>
              <w:tc>
                <w:tcPr>
                  <w:tcW w:w="464" w:type="pct"/>
                  <w:vAlign w:val="bottom"/>
                </w:tcPr>
                <w:p w:rsidR="00745FEA" w:rsidRPr="00002230" w:rsidRDefault="00745FEA" w:rsidP="00745FEA">
                  <w:pPr>
                    <w:pStyle w:val="TableBodyText"/>
                    <w:ind w:right="57"/>
                  </w:pPr>
                  <w:r w:rsidRPr="00002230">
                    <w:t>3.3</w:t>
                  </w:r>
                </w:p>
              </w:tc>
              <w:tc>
                <w:tcPr>
                  <w:tcW w:w="464" w:type="pct"/>
                  <w:vAlign w:val="bottom"/>
                </w:tcPr>
                <w:p w:rsidR="00745FEA" w:rsidRPr="00002230" w:rsidRDefault="00745FEA" w:rsidP="00745FEA">
                  <w:pPr>
                    <w:pStyle w:val="TableBodyText"/>
                    <w:ind w:right="57"/>
                  </w:pPr>
                  <w:r w:rsidRPr="00002230">
                    <w:t>3.4</w:t>
                  </w:r>
                </w:p>
              </w:tc>
              <w:tc>
                <w:tcPr>
                  <w:tcW w:w="464" w:type="pct"/>
                  <w:vAlign w:val="bottom"/>
                </w:tcPr>
                <w:p w:rsidR="00745FEA" w:rsidRPr="00002230" w:rsidRDefault="00745FEA" w:rsidP="00745FEA">
                  <w:pPr>
                    <w:pStyle w:val="TableBodyText"/>
                    <w:ind w:right="57"/>
                  </w:pPr>
                  <w:r w:rsidRPr="00002230">
                    <w:t>3.5</w:t>
                  </w:r>
                </w:p>
              </w:tc>
              <w:tc>
                <w:tcPr>
                  <w:tcW w:w="464" w:type="pct"/>
                  <w:vAlign w:val="bottom"/>
                </w:tcPr>
                <w:p w:rsidR="00745FEA" w:rsidRPr="00002230" w:rsidRDefault="00745FEA" w:rsidP="00745FEA">
                  <w:pPr>
                    <w:pStyle w:val="TableBodyText"/>
                    <w:ind w:right="57"/>
                  </w:pPr>
                  <w:r w:rsidRPr="00002230">
                    <w:t>3.7</w:t>
                  </w:r>
                </w:p>
              </w:tc>
              <w:tc>
                <w:tcPr>
                  <w:tcW w:w="464" w:type="pct"/>
                  <w:shd w:val="clear" w:color="auto" w:fill="auto"/>
                  <w:vAlign w:val="bottom"/>
                </w:tcPr>
                <w:p w:rsidR="00745FEA" w:rsidRPr="00002230" w:rsidRDefault="00745FEA" w:rsidP="00745FEA">
                  <w:pPr>
                    <w:pStyle w:val="TableBodyText"/>
                    <w:ind w:right="57"/>
                  </w:pPr>
                  <w:r w:rsidRPr="00002230">
                    <w:t>3.8</w:t>
                  </w:r>
                </w:p>
              </w:tc>
              <w:tc>
                <w:tcPr>
                  <w:tcW w:w="462" w:type="pct"/>
                  <w:shd w:val="clear" w:color="auto" w:fill="auto"/>
                  <w:vAlign w:val="bottom"/>
                </w:tcPr>
                <w:p w:rsidR="00745FEA" w:rsidRPr="00002230" w:rsidRDefault="00745FEA" w:rsidP="00745FEA">
                  <w:pPr>
                    <w:pStyle w:val="TableBodyText"/>
                    <w:ind w:right="57"/>
                  </w:pPr>
                  <w:r w:rsidRPr="00002230">
                    <w:t>3.8</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 xml:space="preserve">Small business </w:t>
                  </w:r>
                  <w:r>
                    <w:t>capital gains tax</w:t>
                  </w:r>
                  <w:r w:rsidRPr="00E70364">
                    <w:t xml:space="preserve"> 50 per cent reduction</w:t>
                  </w:r>
                </w:p>
              </w:tc>
              <w:tc>
                <w:tcPr>
                  <w:tcW w:w="464" w:type="pct"/>
                  <w:vAlign w:val="bottom"/>
                </w:tcPr>
                <w:p w:rsidR="00745FEA" w:rsidRPr="00002230" w:rsidRDefault="00745FEA" w:rsidP="00745FEA">
                  <w:pPr>
                    <w:pStyle w:val="TableBodyText"/>
                    <w:ind w:right="57"/>
                  </w:pPr>
                  <w:r w:rsidRPr="00002230">
                    <w:t>4.6</w:t>
                  </w:r>
                </w:p>
              </w:tc>
              <w:tc>
                <w:tcPr>
                  <w:tcW w:w="464" w:type="pct"/>
                  <w:vAlign w:val="bottom"/>
                </w:tcPr>
                <w:p w:rsidR="00745FEA" w:rsidRPr="00002230" w:rsidRDefault="00745FEA" w:rsidP="00745FEA">
                  <w:pPr>
                    <w:pStyle w:val="TableBodyText"/>
                    <w:ind w:right="57"/>
                  </w:pPr>
                  <w:r w:rsidRPr="00002230">
                    <w:t>4.8</w:t>
                  </w:r>
                </w:p>
              </w:tc>
              <w:tc>
                <w:tcPr>
                  <w:tcW w:w="464" w:type="pct"/>
                  <w:vAlign w:val="bottom"/>
                </w:tcPr>
                <w:p w:rsidR="00745FEA" w:rsidRPr="00002230" w:rsidRDefault="00745FEA" w:rsidP="00745FEA">
                  <w:pPr>
                    <w:pStyle w:val="TableBodyText"/>
                    <w:ind w:right="57"/>
                  </w:pPr>
                  <w:r w:rsidRPr="00002230">
                    <w:t>4.8</w:t>
                  </w:r>
                </w:p>
              </w:tc>
              <w:tc>
                <w:tcPr>
                  <w:tcW w:w="464" w:type="pct"/>
                  <w:vAlign w:val="bottom"/>
                </w:tcPr>
                <w:p w:rsidR="00745FEA" w:rsidRPr="00002230" w:rsidRDefault="00745FEA" w:rsidP="00745FEA">
                  <w:pPr>
                    <w:pStyle w:val="TableBodyText"/>
                    <w:ind w:right="57"/>
                  </w:pPr>
                  <w:r w:rsidRPr="00002230">
                    <w:t>3.6</w:t>
                  </w:r>
                </w:p>
              </w:tc>
              <w:tc>
                <w:tcPr>
                  <w:tcW w:w="464" w:type="pct"/>
                  <w:shd w:val="clear" w:color="auto" w:fill="auto"/>
                  <w:vAlign w:val="bottom"/>
                </w:tcPr>
                <w:p w:rsidR="00745FEA" w:rsidRPr="00002230" w:rsidRDefault="00745FEA" w:rsidP="00745FEA">
                  <w:pPr>
                    <w:pStyle w:val="TableBodyText"/>
                    <w:ind w:right="57"/>
                  </w:pPr>
                  <w:r w:rsidRPr="00002230">
                    <w:t>4.1</w:t>
                  </w:r>
                </w:p>
              </w:tc>
              <w:tc>
                <w:tcPr>
                  <w:tcW w:w="462" w:type="pct"/>
                  <w:shd w:val="clear" w:color="auto" w:fill="auto"/>
                  <w:vAlign w:val="bottom"/>
                </w:tcPr>
                <w:p w:rsidR="00745FEA" w:rsidRPr="00002230" w:rsidRDefault="00745FEA" w:rsidP="00745FEA">
                  <w:pPr>
                    <w:pStyle w:val="TableBodyText"/>
                    <w:ind w:right="57"/>
                  </w:pPr>
                  <w:r w:rsidRPr="00002230">
                    <w:t>3.2</w:t>
                  </w:r>
                </w:p>
              </w:tc>
            </w:tr>
            <w:tr w:rsidR="00745FEA" w:rsidTr="00745FEA">
              <w:tc>
                <w:tcPr>
                  <w:tcW w:w="2218" w:type="pct"/>
                  <w:shd w:val="clear" w:color="auto" w:fill="auto"/>
                </w:tcPr>
                <w:p w:rsidR="00745FEA" w:rsidRPr="00E70364" w:rsidRDefault="00745FEA" w:rsidP="00745FEA">
                  <w:pPr>
                    <w:pStyle w:val="TableBodyText"/>
                    <w:spacing w:after="0"/>
                    <w:ind w:left="227" w:right="0"/>
                    <w:jc w:val="left"/>
                  </w:pPr>
                  <w:r w:rsidRPr="00E70364">
                    <w:t>25 per cent entrepreneurs' tax offset</w:t>
                  </w:r>
                </w:p>
              </w:tc>
              <w:tc>
                <w:tcPr>
                  <w:tcW w:w="464" w:type="pct"/>
                  <w:vAlign w:val="bottom"/>
                </w:tcPr>
                <w:p w:rsidR="00745FEA" w:rsidRPr="00002230" w:rsidRDefault="00745FEA" w:rsidP="00745FEA">
                  <w:pPr>
                    <w:pStyle w:val="TableBodyText"/>
                    <w:ind w:right="57"/>
                  </w:pPr>
                  <w:r w:rsidRPr="00002230">
                    <w:t>0.2</w:t>
                  </w:r>
                </w:p>
              </w:tc>
              <w:tc>
                <w:tcPr>
                  <w:tcW w:w="464" w:type="pct"/>
                  <w:vAlign w:val="bottom"/>
                </w:tcPr>
                <w:p w:rsidR="00745FEA" w:rsidRPr="00002230" w:rsidRDefault="00745FEA" w:rsidP="00745FEA">
                  <w:pPr>
                    <w:pStyle w:val="TableBodyText"/>
                    <w:ind w:right="57"/>
                  </w:pPr>
                  <w:r w:rsidRPr="00002230">
                    <w:t>0.3</w:t>
                  </w:r>
                </w:p>
              </w:tc>
              <w:tc>
                <w:tcPr>
                  <w:tcW w:w="464" w:type="pct"/>
                  <w:vAlign w:val="bottom"/>
                </w:tcPr>
                <w:p w:rsidR="00745FEA" w:rsidRPr="00002230" w:rsidRDefault="00745FEA" w:rsidP="00745FEA">
                  <w:pPr>
                    <w:pStyle w:val="TableBodyText"/>
                    <w:ind w:right="57"/>
                  </w:pPr>
                  <w:r w:rsidRPr="00002230">
                    <w:t>–</w:t>
                  </w:r>
                </w:p>
              </w:tc>
              <w:tc>
                <w:tcPr>
                  <w:tcW w:w="464" w:type="pct"/>
                  <w:vAlign w:val="bottom"/>
                </w:tcPr>
                <w:p w:rsidR="00745FEA" w:rsidRPr="00002230" w:rsidRDefault="00745FEA" w:rsidP="00745FEA">
                  <w:pPr>
                    <w:pStyle w:val="TableBodyText"/>
                    <w:ind w:right="57"/>
                  </w:pPr>
                  <w:r w:rsidRPr="00002230">
                    <w:t>–</w:t>
                  </w:r>
                </w:p>
              </w:tc>
              <w:tc>
                <w:tcPr>
                  <w:tcW w:w="464" w:type="pct"/>
                  <w:shd w:val="clear" w:color="auto" w:fill="auto"/>
                  <w:vAlign w:val="bottom"/>
                </w:tcPr>
                <w:p w:rsidR="00745FEA" w:rsidRPr="00002230" w:rsidRDefault="00745FEA" w:rsidP="00745FEA">
                  <w:pPr>
                    <w:pStyle w:val="TableBodyText"/>
                    <w:ind w:right="57"/>
                  </w:pPr>
                  <w:r w:rsidRPr="00002230">
                    <w:t>–</w:t>
                  </w:r>
                </w:p>
              </w:tc>
              <w:tc>
                <w:tcPr>
                  <w:tcW w:w="462" w:type="pct"/>
                  <w:shd w:val="clear" w:color="auto" w:fill="auto"/>
                  <w:vAlign w:val="bottom"/>
                </w:tcPr>
                <w:p w:rsidR="00745FEA" w:rsidRDefault="00745FEA" w:rsidP="00745FEA">
                  <w:pPr>
                    <w:pStyle w:val="TableBodyText"/>
                    <w:ind w:right="57"/>
                  </w:pPr>
                  <w:r w:rsidRPr="00002230">
                    <w:t>–</w:t>
                  </w:r>
                </w:p>
              </w:tc>
            </w:tr>
            <w:tr w:rsidR="00745FEA" w:rsidTr="00745FEA">
              <w:tc>
                <w:tcPr>
                  <w:tcW w:w="2218" w:type="pct"/>
                  <w:shd w:val="clear" w:color="auto" w:fill="auto"/>
                  <w:vAlign w:val="bottom"/>
                </w:tcPr>
                <w:p w:rsidR="00745FEA" w:rsidRPr="007D3F4A" w:rsidRDefault="00745FEA" w:rsidP="00745FEA">
                  <w:pPr>
                    <w:pStyle w:val="TableBodyText"/>
                    <w:spacing w:before="20" w:after="20"/>
                    <w:jc w:val="left"/>
                    <w:rPr>
                      <w:i/>
                    </w:rPr>
                  </w:pPr>
                  <w:r w:rsidRPr="007D3F4A">
                    <w:rPr>
                      <w:i/>
                    </w:rPr>
                    <w:t>Total</w:t>
                  </w:r>
                </w:p>
              </w:tc>
              <w:tc>
                <w:tcPr>
                  <w:tcW w:w="464" w:type="pct"/>
                  <w:vAlign w:val="bottom"/>
                </w:tcPr>
                <w:p w:rsidR="00745FEA" w:rsidRPr="00B40CE3" w:rsidRDefault="00745FEA" w:rsidP="00745FEA">
                  <w:pPr>
                    <w:pStyle w:val="TableBodyText"/>
                    <w:spacing w:before="20" w:after="20"/>
                    <w:ind w:right="57"/>
                    <w:rPr>
                      <w:i/>
                    </w:rPr>
                  </w:pPr>
                  <w:r>
                    <w:rPr>
                      <w:i/>
                    </w:rPr>
                    <w:t>108.5</w:t>
                  </w:r>
                </w:p>
              </w:tc>
              <w:tc>
                <w:tcPr>
                  <w:tcW w:w="464" w:type="pct"/>
                  <w:vAlign w:val="bottom"/>
                </w:tcPr>
                <w:p w:rsidR="00745FEA" w:rsidRPr="00B40CE3" w:rsidRDefault="00745FEA" w:rsidP="00745FEA">
                  <w:pPr>
                    <w:pStyle w:val="TableBodyText"/>
                    <w:spacing w:before="20" w:after="20"/>
                    <w:ind w:right="57"/>
                    <w:rPr>
                      <w:i/>
                    </w:rPr>
                  </w:pPr>
                  <w:r>
                    <w:rPr>
                      <w:i/>
                    </w:rPr>
                    <w:t>126.7</w:t>
                  </w:r>
                </w:p>
              </w:tc>
              <w:tc>
                <w:tcPr>
                  <w:tcW w:w="464" w:type="pct"/>
                </w:tcPr>
                <w:p w:rsidR="00745FEA" w:rsidRPr="005B1CF0" w:rsidRDefault="00745FEA" w:rsidP="00745FEA">
                  <w:pPr>
                    <w:pStyle w:val="TableBodyText"/>
                    <w:spacing w:before="20" w:after="20"/>
                    <w:ind w:right="57"/>
                    <w:rPr>
                      <w:i/>
                    </w:rPr>
                  </w:pPr>
                  <w:r>
                    <w:rPr>
                      <w:i/>
                    </w:rPr>
                    <w:t>184.5</w:t>
                  </w:r>
                </w:p>
              </w:tc>
              <w:tc>
                <w:tcPr>
                  <w:tcW w:w="464" w:type="pct"/>
                </w:tcPr>
                <w:p w:rsidR="00745FEA" w:rsidRPr="005B1CF0" w:rsidRDefault="00745FEA" w:rsidP="00745FEA">
                  <w:pPr>
                    <w:pStyle w:val="TableBodyText"/>
                    <w:spacing w:before="20" w:after="20"/>
                    <w:ind w:right="57"/>
                    <w:rPr>
                      <w:i/>
                    </w:rPr>
                  </w:pPr>
                  <w:r>
                    <w:rPr>
                      <w:i/>
                    </w:rPr>
                    <w:t>173.0</w:t>
                  </w:r>
                </w:p>
              </w:tc>
              <w:tc>
                <w:tcPr>
                  <w:tcW w:w="464" w:type="pct"/>
                  <w:shd w:val="clear" w:color="auto" w:fill="auto"/>
                </w:tcPr>
                <w:p w:rsidR="00745FEA" w:rsidRPr="005B1CF0" w:rsidRDefault="00745FEA" w:rsidP="00745FEA">
                  <w:pPr>
                    <w:pStyle w:val="TableBodyText"/>
                    <w:spacing w:before="20" w:after="20"/>
                    <w:ind w:right="57"/>
                    <w:rPr>
                      <w:i/>
                    </w:rPr>
                  </w:pPr>
                  <w:r>
                    <w:rPr>
                      <w:i/>
                    </w:rPr>
                    <w:t>149.0</w:t>
                  </w:r>
                </w:p>
              </w:tc>
              <w:tc>
                <w:tcPr>
                  <w:tcW w:w="462" w:type="pct"/>
                  <w:shd w:val="clear" w:color="auto" w:fill="auto"/>
                </w:tcPr>
                <w:p w:rsidR="00745FEA" w:rsidRPr="005B1CF0" w:rsidRDefault="00745FEA" w:rsidP="00745FEA">
                  <w:pPr>
                    <w:pStyle w:val="TableBodyText"/>
                    <w:spacing w:before="20" w:after="20"/>
                    <w:ind w:right="57"/>
                    <w:rPr>
                      <w:i/>
                    </w:rPr>
                  </w:pPr>
                  <w:r>
                    <w:rPr>
                      <w:i/>
                    </w:rPr>
                    <w:t>134.7</w:t>
                  </w:r>
                </w:p>
              </w:tc>
            </w:tr>
            <w:tr w:rsidR="00745FEA" w:rsidTr="00745FEA">
              <w:tc>
                <w:tcPr>
                  <w:tcW w:w="2218" w:type="pct"/>
                  <w:shd w:val="clear" w:color="auto" w:fill="auto"/>
                </w:tcPr>
                <w:p w:rsidR="00745FEA" w:rsidRPr="001F630E" w:rsidRDefault="00745FEA" w:rsidP="00745FEA">
                  <w:pPr>
                    <w:pStyle w:val="TableBodyText"/>
                    <w:spacing w:before="80"/>
                    <w:jc w:val="left"/>
                    <w:rPr>
                      <w:b/>
                    </w:rPr>
                  </w:pPr>
                  <w:r w:rsidRPr="001F630E">
                    <w:rPr>
                      <w:b/>
                    </w:rPr>
                    <w:t>Textile, leather, clothing and footwear</w:t>
                  </w:r>
                </w:p>
              </w:tc>
              <w:tc>
                <w:tcPr>
                  <w:tcW w:w="464" w:type="pct"/>
                  <w:vAlign w:val="bottom"/>
                </w:tcPr>
                <w:p w:rsidR="00745FEA" w:rsidRDefault="00745FEA" w:rsidP="00745FEA">
                  <w:pPr>
                    <w:pStyle w:val="TableBodyText"/>
                    <w:spacing w:before="80"/>
                    <w:ind w:right="57"/>
                  </w:pPr>
                </w:p>
              </w:tc>
              <w:tc>
                <w:tcPr>
                  <w:tcW w:w="464" w:type="pct"/>
                  <w:vAlign w:val="bottom"/>
                </w:tcPr>
                <w:p w:rsidR="00745FEA" w:rsidRDefault="00745FEA" w:rsidP="00745FEA">
                  <w:pPr>
                    <w:pStyle w:val="TableBodyText"/>
                    <w:spacing w:before="80"/>
                    <w:ind w:right="57"/>
                  </w:pPr>
                </w:p>
              </w:tc>
              <w:tc>
                <w:tcPr>
                  <w:tcW w:w="464" w:type="pct"/>
                  <w:vAlign w:val="bottom"/>
                </w:tcPr>
                <w:p w:rsidR="00745FEA" w:rsidRDefault="00745FEA" w:rsidP="00745FEA">
                  <w:pPr>
                    <w:pStyle w:val="TableBodyText"/>
                    <w:spacing w:before="80"/>
                    <w:ind w:right="57"/>
                  </w:pPr>
                </w:p>
              </w:tc>
              <w:tc>
                <w:tcPr>
                  <w:tcW w:w="464" w:type="pct"/>
                  <w:vAlign w:val="bottom"/>
                </w:tcPr>
                <w:p w:rsidR="00745FEA" w:rsidRDefault="00745FEA" w:rsidP="00745FEA">
                  <w:pPr>
                    <w:pStyle w:val="TableBodyText"/>
                    <w:spacing w:before="80"/>
                    <w:ind w:right="57"/>
                  </w:pPr>
                </w:p>
              </w:tc>
              <w:tc>
                <w:tcPr>
                  <w:tcW w:w="464" w:type="pct"/>
                  <w:shd w:val="clear" w:color="auto" w:fill="auto"/>
                  <w:vAlign w:val="bottom"/>
                </w:tcPr>
                <w:p w:rsidR="00745FEA" w:rsidRDefault="00745FEA" w:rsidP="00745FEA">
                  <w:pPr>
                    <w:pStyle w:val="TableBodyText"/>
                    <w:spacing w:before="80"/>
                    <w:ind w:right="57"/>
                  </w:pPr>
                </w:p>
              </w:tc>
              <w:tc>
                <w:tcPr>
                  <w:tcW w:w="462" w:type="pct"/>
                  <w:shd w:val="clear" w:color="auto" w:fill="auto"/>
                  <w:vAlign w:val="bottom"/>
                </w:tcPr>
                <w:p w:rsidR="00745FEA" w:rsidRDefault="00745FEA" w:rsidP="00745FEA">
                  <w:pPr>
                    <w:pStyle w:val="TableBodyText"/>
                    <w:spacing w:before="80"/>
                    <w:ind w:right="57"/>
                  </w:pPr>
                </w:p>
              </w:tc>
            </w:tr>
            <w:tr w:rsidR="00745FEA" w:rsidTr="00745FEA">
              <w:tc>
                <w:tcPr>
                  <w:tcW w:w="2218" w:type="pct"/>
                  <w:shd w:val="clear" w:color="auto" w:fill="auto"/>
                </w:tcPr>
                <w:p w:rsidR="00745FEA" w:rsidRPr="001F630E" w:rsidRDefault="00745FEA" w:rsidP="00745FEA">
                  <w:pPr>
                    <w:pStyle w:val="TableBodyText"/>
                    <w:spacing w:before="40" w:after="0"/>
                    <w:ind w:left="113"/>
                    <w:jc w:val="left"/>
                    <w:rPr>
                      <w:i/>
                    </w:rPr>
                  </w:pPr>
                  <w:r w:rsidRPr="001F630E">
                    <w:rPr>
                      <w:i/>
                    </w:rPr>
                    <w:t>Industry-specific measures</w:t>
                  </w: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8" w:type="pct"/>
                  <w:shd w:val="clear" w:color="auto" w:fill="auto"/>
                </w:tcPr>
                <w:p w:rsidR="00745FEA" w:rsidRPr="00D6026B" w:rsidRDefault="00745FEA" w:rsidP="00745FEA">
                  <w:pPr>
                    <w:pStyle w:val="TableBodyText"/>
                    <w:spacing w:after="0"/>
                    <w:ind w:left="227" w:right="0"/>
                    <w:jc w:val="left"/>
                  </w:pPr>
                  <w:r w:rsidRPr="00D6026B">
                    <w:t>Clothing and Household Textile Building Innovative Capability Program</w:t>
                  </w:r>
                </w:p>
              </w:tc>
              <w:tc>
                <w:tcPr>
                  <w:tcW w:w="464" w:type="pct"/>
                  <w:vAlign w:val="bottom"/>
                </w:tcPr>
                <w:p w:rsidR="00745FEA" w:rsidRPr="005E517E" w:rsidRDefault="00745FEA" w:rsidP="00745FEA">
                  <w:pPr>
                    <w:pStyle w:val="TableBodyText"/>
                    <w:ind w:right="57"/>
                  </w:pPr>
                  <w:r w:rsidRPr="005E517E">
                    <w:t>22.6</w:t>
                  </w:r>
                </w:p>
              </w:tc>
              <w:tc>
                <w:tcPr>
                  <w:tcW w:w="464" w:type="pct"/>
                  <w:vAlign w:val="bottom"/>
                </w:tcPr>
                <w:p w:rsidR="00745FEA" w:rsidRPr="005E517E" w:rsidRDefault="00745FEA" w:rsidP="00745FEA">
                  <w:pPr>
                    <w:pStyle w:val="TableBodyText"/>
                    <w:ind w:right="57"/>
                  </w:pPr>
                  <w:r w:rsidRPr="005E517E">
                    <w:t>22.3</w:t>
                  </w:r>
                </w:p>
              </w:tc>
              <w:tc>
                <w:tcPr>
                  <w:tcW w:w="464" w:type="pct"/>
                  <w:vAlign w:val="bottom"/>
                </w:tcPr>
                <w:p w:rsidR="00745FEA" w:rsidRPr="005E517E" w:rsidRDefault="00745FEA" w:rsidP="00745FEA">
                  <w:pPr>
                    <w:pStyle w:val="TableBodyText"/>
                    <w:ind w:right="57"/>
                  </w:pPr>
                  <w:r w:rsidRPr="005E517E">
                    <w:t>22.0</w:t>
                  </w:r>
                </w:p>
              </w:tc>
              <w:tc>
                <w:tcPr>
                  <w:tcW w:w="464" w:type="pct"/>
                  <w:vAlign w:val="bottom"/>
                </w:tcPr>
                <w:p w:rsidR="00745FEA" w:rsidRPr="005E517E" w:rsidRDefault="00745FEA" w:rsidP="00745FEA">
                  <w:pPr>
                    <w:pStyle w:val="TableBodyText"/>
                    <w:ind w:right="57"/>
                  </w:pPr>
                  <w:r w:rsidRPr="005E517E">
                    <w:t>21.8</w:t>
                  </w:r>
                </w:p>
              </w:tc>
              <w:tc>
                <w:tcPr>
                  <w:tcW w:w="464" w:type="pct"/>
                  <w:shd w:val="clear" w:color="auto" w:fill="auto"/>
                  <w:vAlign w:val="bottom"/>
                </w:tcPr>
                <w:p w:rsidR="00745FEA" w:rsidRPr="005E517E" w:rsidRDefault="00745FEA" w:rsidP="00745FEA">
                  <w:pPr>
                    <w:pStyle w:val="TableBodyText"/>
                    <w:ind w:right="57"/>
                  </w:pPr>
                  <w:r w:rsidRPr="005E517E">
                    <w:t>21.2</w:t>
                  </w:r>
                </w:p>
              </w:tc>
              <w:tc>
                <w:tcPr>
                  <w:tcW w:w="462" w:type="pct"/>
                  <w:shd w:val="clear" w:color="auto" w:fill="auto"/>
                  <w:vAlign w:val="bottom"/>
                </w:tcPr>
                <w:p w:rsidR="00745FEA" w:rsidRPr="005E517E" w:rsidRDefault="00745FEA" w:rsidP="00745FEA">
                  <w:pPr>
                    <w:pStyle w:val="TableBodyText"/>
                    <w:ind w:right="57"/>
                  </w:pPr>
                  <w:r w:rsidRPr="005E517E">
                    <w:t>–</w:t>
                  </w:r>
                </w:p>
              </w:tc>
            </w:tr>
            <w:tr w:rsidR="00745FEA" w:rsidTr="00745FEA">
              <w:tc>
                <w:tcPr>
                  <w:tcW w:w="2218" w:type="pct"/>
                  <w:shd w:val="clear" w:color="auto" w:fill="auto"/>
                </w:tcPr>
                <w:p w:rsidR="00745FEA" w:rsidRPr="00D6026B" w:rsidRDefault="00745FEA" w:rsidP="00745FEA">
                  <w:pPr>
                    <w:pStyle w:val="TableBodyText"/>
                    <w:spacing w:after="0"/>
                    <w:ind w:left="227" w:right="0"/>
                    <w:jc w:val="left"/>
                  </w:pPr>
                  <w:r w:rsidRPr="00D6026B">
                    <w:t>TCF Strategic Capability Program</w:t>
                  </w:r>
                </w:p>
              </w:tc>
              <w:tc>
                <w:tcPr>
                  <w:tcW w:w="464" w:type="pct"/>
                  <w:vAlign w:val="bottom"/>
                </w:tcPr>
                <w:p w:rsidR="00745FEA" w:rsidRPr="005E517E" w:rsidRDefault="00745FEA" w:rsidP="00745FEA">
                  <w:pPr>
                    <w:pStyle w:val="TableBodyText"/>
                    <w:ind w:right="57"/>
                  </w:pPr>
                  <w:r w:rsidRPr="005E517E">
                    <w:t>8.7</w:t>
                  </w:r>
                </w:p>
              </w:tc>
              <w:tc>
                <w:tcPr>
                  <w:tcW w:w="464" w:type="pct"/>
                  <w:vAlign w:val="bottom"/>
                </w:tcPr>
                <w:p w:rsidR="00745FEA" w:rsidRPr="005E517E" w:rsidRDefault="00745FEA" w:rsidP="00745FEA">
                  <w:pPr>
                    <w:pStyle w:val="TableBodyText"/>
                    <w:ind w:right="57"/>
                  </w:pPr>
                  <w:r w:rsidRPr="005E517E">
                    <w:t>7.2</w:t>
                  </w:r>
                </w:p>
              </w:tc>
              <w:tc>
                <w:tcPr>
                  <w:tcW w:w="464" w:type="pct"/>
                  <w:vAlign w:val="bottom"/>
                </w:tcPr>
                <w:p w:rsidR="00745FEA" w:rsidRPr="005E517E" w:rsidRDefault="00745FEA" w:rsidP="00745FEA">
                  <w:pPr>
                    <w:pStyle w:val="TableBodyText"/>
                    <w:ind w:right="57"/>
                  </w:pPr>
                  <w:r w:rsidRPr="005E517E">
                    <w:t>7.2</w:t>
                  </w:r>
                </w:p>
              </w:tc>
              <w:tc>
                <w:tcPr>
                  <w:tcW w:w="464" w:type="pct"/>
                  <w:vAlign w:val="bottom"/>
                </w:tcPr>
                <w:p w:rsidR="00745FEA" w:rsidRPr="005E517E" w:rsidRDefault="00745FEA" w:rsidP="00745FEA">
                  <w:pPr>
                    <w:pStyle w:val="TableBodyText"/>
                    <w:ind w:right="57"/>
                  </w:pPr>
                  <w:r w:rsidRPr="005E517E">
                    <w:t>2.6</w:t>
                  </w:r>
                </w:p>
              </w:tc>
              <w:tc>
                <w:tcPr>
                  <w:tcW w:w="464" w:type="pct"/>
                  <w:shd w:val="clear" w:color="auto" w:fill="auto"/>
                  <w:vAlign w:val="bottom"/>
                </w:tcPr>
                <w:p w:rsidR="00745FEA" w:rsidRPr="005E517E" w:rsidRDefault="00745FEA" w:rsidP="00745FEA">
                  <w:pPr>
                    <w:pStyle w:val="TableBodyText"/>
                    <w:ind w:right="57"/>
                  </w:pPr>
                  <w:r w:rsidRPr="005E517E">
                    <w:t>–</w:t>
                  </w:r>
                </w:p>
              </w:tc>
              <w:tc>
                <w:tcPr>
                  <w:tcW w:w="462" w:type="pct"/>
                  <w:shd w:val="clear" w:color="auto" w:fill="auto"/>
                  <w:vAlign w:val="bottom"/>
                </w:tcPr>
                <w:p w:rsidR="00745FEA" w:rsidRPr="005E517E" w:rsidRDefault="00745FEA" w:rsidP="00745FEA">
                  <w:pPr>
                    <w:pStyle w:val="TableBodyText"/>
                    <w:ind w:right="57"/>
                  </w:pPr>
                  <w:r w:rsidRPr="005E517E">
                    <w:t>–</w:t>
                  </w:r>
                </w:p>
              </w:tc>
            </w:tr>
            <w:tr w:rsidR="00745FEA" w:rsidTr="00745FEA">
              <w:tc>
                <w:tcPr>
                  <w:tcW w:w="2218" w:type="pct"/>
                  <w:shd w:val="clear" w:color="auto" w:fill="auto"/>
                </w:tcPr>
                <w:p w:rsidR="00745FEA" w:rsidRPr="00D6026B" w:rsidRDefault="00745FEA" w:rsidP="00745FEA">
                  <w:pPr>
                    <w:pStyle w:val="TableBodyText"/>
                    <w:spacing w:after="0"/>
                    <w:ind w:left="227" w:right="0"/>
                    <w:jc w:val="left"/>
                  </w:pPr>
                  <w:r w:rsidRPr="00D6026B">
                    <w:t>TCF Structural Adjustment Scheme</w:t>
                  </w:r>
                </w:p>
              </w:tc>
              <w:tc>
                <w:tcPr>
                  <w:tcW w:w="464" w:type="pct"/>
                  <w:vAlign w:val="bottom"/>
                </w:tcPr>
                <w:p w:rsidR="00745FEA" w:rsidRPr="005E517E" w:rsidRDefault="00745FEA" w:rsidP="00745FEA">
                  <w:pPr>
                    <w:pStyle w:val="TableBodyText"/>
                    <w:ind w:right="57"/>
                  </w:pPr>
                  <w:r w:rsidRPr="005E517E">
                    <w:t>6.2</w:t>
                  </w:r>
                </w:p>
              </w:tc>
              <w:tc>
                <w:tcPr>
                  <w:tcW w:w="464" w:type="pct"/>
                  <w:vAlign w:val="bottom"/>
                </w:tcPr>
                <w:p w:rsidR="00745FEA" w:rsidRPr="005E517E" w:rsidRDefault="00745FEA" w:rsidP="00745FEA">
                  <w:pPr>
                    <w:pStyle w:val="TableBodyText"/>
                    <w:ind w:right="57"/>
                  </w:pPr>
                  <w:r w:rsidRPr="005E517E">
                    <w:t>1.3</w:t>
                  </w:r>
                </w:p>
              </w:tc>
              <w:tc>
                <w:tcPr>
                  <w:tcW w:w="464" w:type="pct"/>
                  <w:vAlign w:val="bottom"/>
                </w:tcPr>
                <w:p w:rsidR="00745FEA" w:rsidRPr="005E517E" w:rsidRDefault="00745FEA" w:rsidP="00745FEA">
                  <w:pPr>
                    <w:pStyle w:val="TableBodyText"/>
                    <w:ind w:right="57"/>
                  </w:pPr>
                  <w:r w:rsidRPr="005E517E">
                    <w:t>1.3</w:t>
                  </w:r>
                </w:p>
              </w:tc>
              <w:tc>
                <w:tcPr>
                  <w:tcW w:w="464" w:type="pct"/>
                  <w:vAlign w:val="bottom"/>
                </w:tcPr>
                <w:p w:rsidR="00745FEA" w:rsidRPr="005E517E" w:rsidRDefault="00745FEA" w:rsidP="00745FEA">
                  <w:pPr>
                    <w:pStyle w:val="TableBodyText"/>
                    <w:ind w:right="57"/>
                  </w:pPr>
                  <w:r w:rsidRPr="005E517E">
                    <w:t>1.0</w:t>
                  </w:r>
                </w:p>
              </w:tc>
              <w:tc>
                <w:tcPr>
                  <w:tcW w:w="464" w:type="pct"/>
                  <w:shd w:val="clear" w:color="auto" w:fill="auto"/>
                  <w:vAlign w:val="bottom"/>
                </w:tcPr>
                <w:p w:rsidR="00745FEA" w:rsidRPr="005E517E" w:rsidRDefault="00745FEA" w:rsidP="00745FEA">
                  <w:pPr>
                    <w:pStyle w:val="TableBodyText"/>
                    <w:ind w:right="57"/>
                  </w:pPr>
                  <w:r w:rsidRPr="005E517E">
                    <w:t>–</w:t>
                  </w:r>
                </w:p>
              </w:tc>
              <w:tc>
                <w:tcPr>
                  <w:tcW w:w="462" w:type="pct"/>
                  <w:shd w:val="clear" w:color="auto" w:fill="auto"/>
                  <w:vAlign w:val="bottom"/>
                </w:tcPr>
                <w:p w:rsidR="00745FEA" w:rsidRPr="005E517E" w:rsidRDefault="00745FEA" w:rsidP="00745FEA">
                  <w:pPr>
                    <w:pStyle w:val="TableBodyText"/>
                    <w:ind w:right="57"/>
                  </w:pPr>
                  <w:r w:rsidRPr="005E517E">
                    <w:t>–</w:t>
                  </w:r>
                </w:p>
              </w:tc>
            </w:tr>
            <w:tr w:rsidR="00745FEA" w:rsidTr="00745FEA">
              <w:tc>
                <w:tcPr>
                  <w:tcW w:w="2218" w:type="pct"/>
                  <w:shd w:val="clear" w:color="auto" w:fill="auto"/>
                </w:tcPr>
                <w:p w:rsidR="00745FEA" w:rsidRPr="00D6026B" w:rsidRDefault="00745FEA" w:rsidP="00745FEA">
                  <w:pPr>
                    <w:pStyle w:val="TableBodyText"/>
                    <w:spacing w:after="0"/>
                    <w:ind w:left="227" w:right="0"/>
                    <w:jc w:val="left"/>
                  </w:pPr>
                  <w:r w:rsidRPr="00D6026B">
                    <w:t>TCF Small Business Program</w:t>
                  </w:r>
                </w:p>
              </w:tc>
              <w:tc>
                <w:tcPr>
                  <w:tcW w:w="464" w:type="pct"/>
                  <w:vAlign w:val="bottom"/>
                </w:tcPr>
                <w:p w:rsidR="00745FEA" w:rsidRPr="005E517E" w:rsidRDefault="00745FEA" w:rsidP="00745FEA">
                  <w:pPr>
                    <w:pStyle w:val="TableBodyText"/>
                    <w:ind w:right="57"/>
                  </w:pPr>
                  <w:r w:rsidRPr="005E517E">
                    <w:t>2.0</w:t>
                  </w:r>
                </w:p>
              </w:tc>
              <w:tc>
                <w:tcPr>
                  <w:tcW w:w="464" w:type="pct"/>
                  <w:vAlign w:val="bottom"/>
                </w:tcPr>
                <w:p w:rsidR="00745FEA" w:rsidRPr="005E517E" w:rsidRDefault="00745FEA" w:rsidP="00745FEA">
                  <w:pPr>
                    <w:pStyle w:val="TableBodyText"/>
                    <w:ind w:right="57"/>
                  </w:pPr>
                  <w:r w:rsidRPr="005E517E">
                    <w:t>1.8</w:t>
                  </w:r>
                </w:p>
              </w:tc>
              <w:tc>
                <w:tcPr>
                  <w:tcW w:w="464" w:type="pct"/>
                  <w:vAlign w:val="bottom"/>
                </w:tcPr>
                <w:p w:rsidR="00745FEA" w:rsidRPr="005E517E" w:rsidRDefault="00745FEA" w:rsidP="00745FEA">
                  <w:pPr>
                    <w:pStyle w:val="TableBodyText"/>
                    <w:ind w:right="57"/>
                  </w:pPr>
                  <w:r w:rsidRPr="005E517E">
                    <w:t>2.5</w:t>
                  </w:r>
                </w:p>
              </w:tc>
              <w:tc>
                <w:tcPr>
                  <w:tcW w:w="464" w:type="pct"/>
                  <w:vAlign w:val="bottom"/>
                </w:tcPr>
                <w:p w:rsidR="00745FEA" w:rsidRPr="005E517E" w:rsidRDefault="00745FEA" w:rsidP="00745FEA">
                  <w:pPr>
                    <w:pStyle w:val="TableBodyText"/>
                    <w:ind w:right="57"/>
                  </w:pPr>
                  <w:r w:rsidRPr="005E517E">
                    <w:t>2.3</w:t>
                  </w:r>
                </w:p>
              </w:tc>
              <w:tc>
                <w:tcPr>
                  <w:tcW w:w="464" w:type="pct"/>
                  <w:shd w:val="clear" w:color="auto" w:fill="auto"/>
                  <w:vAlign w:val="bottom"/>
                </w:tcPr>
                <w:p w:rsidR="00745FEA" w:rsidRPr="005E517E" w:rsidRDefault="00745FEA" w:rsidP="00745FEA">
                  <w:pPr>
                    <w:pStyle w:val="TableBodyText"/>
                    <w:ind w:right="57"/>
                  </w:pPr>
                  <w:r w:rsidRPr="005E517E">
                    <w:t>–</w:t>
                  </w:r>
                </w:p>
              </w:tc>
              <w:tc>
                <w:tcPr>
                  <w:tcW w:w="462" w:type="pct"/>
                  <w:shd w:val="clear" w:color="auto" w:fill="auto"/>
                  <w:vAlign w:val="bottom"/>
                </w:tcPr>
                <w:p w:rsidR="00745FEA" w:rsidRDefault="00745FEA" w:rsidP="00745FEA">
                  <w:pPr>
                    <w:pStyle w:val="TableBodyText"/>
                    <w:ind w:right="57"/>
                  </w:pPr>
                  <w:r w:rsidRPr="005E517E">
                    <w:t>–</w:t>
                  </w:r>
                </w:p>
              </w:tc>
            </w:tr>
            <w:tr w:rsidR="00745FEA" w:rsidTr="00745FEA">
              <w:tc>
                <w:tcPr>
                  <w:tcW w:w="2218" w:type="pct"/>
                  <w:shd w:val="clear" w:color="auto" w:fill="auto"/>
                </w:tcPr>
                <w:p w:rsidR="00745FEA" w:rsidRPr="001F630E" w:rsidRDefault="00745FEA" w:rsidP="00745FEA">
                  <w:pPr>
                    <w:pStyle w:val="TableBodyText"/>
                    <w:spacing w:before="40" w:after="0"/>
                    <w:ind w:left="113"/>
                    <w:jc w:val="left"/>
                    <w:rPr>
                      <w:i/>
                    </w:rPr>
                  </w:pPr>
                  <w:r w:rsidRPr="001F630E">
                    <w:rPr>
                      <w:i/>
                    </w:rPr>
                    <w:t>Sector-specific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EB5655" w:rsidRDefault="00745FEA" w:rsidP="00745FEA">
                  <w:pPr>
                    <w:pStyle w:val="TableBodyText"/>
                    <w:spacing w:after="0"/>
                    <w:ind w:left="227" w:right="0"/>
                    <w:jc w:val="left"/>
                  </w:pPr>
                  <w:r w:rsidRPr="00EB5655">
                    <w:t>Clean Technology Investment - General Program</w:t>
                  </w:r>
                </w:p>
              </w:tc>
              <w:tc>
                <w:tcPr>
                  <w:tcW w:w="464" w:type="pct"/>
                  <w:vAlign w:val="bottom"/>
                </w:tcPr>
                <w:p w:rsidR="00745FEA" w:rsidRPr="00C5260A" w:rsidRDefault="00745FEA" w:rsidP="00745FEA">
                  <w:pPr>
                    <w:pStyle w:val="TableBodyText"/>
                    <w:ind w:right="57"/>
                  </w:pPr>
                  <w:r w:rsidRPr="00C5260A">
                    <w:t>–</w:t>
                  </w:r>
                </w:p>
              </w:tc>
              <w:tc>
                <w:tcPr>
                  <w:tcW w:w="464" w:type="pct"/>
                  <w:vAlign w:val="bottom"/>
                </w:tcPr>
                <w:p w:rsidR="00745FEA" w:rsidRPr="00C5260A" w:rsidRDefault="00745FEA" w:rsidP="00745FEA">
                  <w:pPr>
                    <w:pStyle w:val="TableBodyText"/>
                    <w:ind w:right="57"/>
                  </w:pPr>
                  <w:r w:rsidRPr="00C5260A">
                    <w:t>0.3</w:t>
                  </w:r>
                </w:p>
              </w:tc>
              <w:tc>
                <w:tcPr>
                  <w:tcW w:w="464" w:type="pct"/>
                  <w:vAlign w:val="bottom"/>
                </w:tcPr>
                <w:p w:rsidR="00745FEA" w:rsidRPr="00C5260A" w:rsidRDefault="00745FEA" w:rsidP="00745FEA">
                  <w:pPr>
                    <w:pStyle w:val="TableBodyText"/>
                    <w:ind w:right="57"/>
                  </w:pPr>
                  <w:r w:rsidRPr="00C5260A">
                    <w:t>4.3</w:t>
                  </w:r>
                </w:p>
              </w:tc>
              <w:tc>
                <w:tcPr>
                  <w:tcW w:w="464" w:type="pct"/>
                  <w:vAlign w:val="bottom"/>
                </w:tcPr>
                <w:p w:rsidR="00745FEA" w:rsidRPr="00C5260A" w:rsidRDefault="00745FEA" w:rsidP="00745FEA">
                  <w:pPr>
                    <w:pStyle w:val="TableBodyText"/>
                    <w:ind w:right="57"/>
                  </w:pPr>
                  <w:r w:rsidRPr="00C5260A">
                    <w:t>1.0</w:t>
                  </w:r>
                </w:p>
              </w:tc>
              <w:tc>
                <w:tcPr>
                  <w:tcW w:w="464" w:type="pct"/>
                  <w:shd w:val="clear" w:color="auto" w:fill="auto"/>
                  <w:vAlign w:val="bottom"/>
                </w:tcPr>
                <w:p w:rsidR="00745FEA" w:rsidRPr="00C5260A" w:rsidRDefault="00745FEA" w:rsidP="00745FEA">
                  <w:pPr>
                    <w:pStyle w:val="TableBodyText"/>
                    <w:ind w:right="57"/>
                  </w:pPr>
                  <w:r w:rsidRPr="00C5260A">
                    <w:t>0.2</w:t>
                  </w:r>
                </w:p>
              </w:tc>
              <w:tc>
                <w:tcPr>
                  <w:tcW w:w="462" w:type="pct"/>
                  <w:shd w:val="clear" w:color="auto" w:fill="auto"/>
                  <w:vAlign w:val="bottom"/>
                </w:tcPr>
                <w:p w:rsidR="00745FEA" w:rsidRPr="00C5260A" w:rsidRDefault="00745FEA" w:rsidP="00745FEA">
                  <w:pPr>
                    <w:pStyle w:val="TableBodyText"/>
                    <w:ind w:right="57"/>
                  </w:pPr>
                  <w:r w:rsidRPr="00C5260A">
                    <w:t>–</w:t>
                  </w:r>
                </w:p>
              </w:tc>
            </w:tr>
            <w:tr w:rsidR="00745FEA" w:rsidTr="00745FEA">
              <w:tc>
                <w:tcPr>
                  <w:tcW w:w="2218" w:type="pct"/>
                  <w:shd w:val="clear" w:color="auto" w:fill="auto"/>
                </w:tcPr>
                <w:p w:rsidR="00745FEA" w:rsidRPr="00EB5655" w:rsidRDefault="00745FEA" w:rsidP="00745FEA">
                  <w:pPr>
                    <w:pStyle w:val="TableBodyText"/>
                    <w:spacing w:after="0"/>
                    <w:ind w:left="227" w:right="0"/>
                    <w:jc w:val="left"/>
                  </w:pPr>
                  <w:r w:rsidRPr="00EB5655">
                    <w:t>Next Generation Manufacturing Investment Programme</w:t>
                  </w:r>
                </w:p>
              </w:tc>
              <w:tc>
                <w:tcPr>
                  <w:tcW w:w="464" w:type="pct"/>
                  <w:vAlign w:val="bottom"/>
                </w:tcPr>
                <w:p w:rsidR="00745FEA" w:rsidRPr="00C5260A" w:rsidRDefault="00745FEA" w:rsidP="00745FEA">
                  <w:pPr>
                    <w:pStyle w:val="TableBodyText"/>
                    <w:ind w:right="57"/>
                  </w:pPr>
                  <w:r w:rsidRPr="00C5260A">
                    <w:t>–</w:t>
                  </w:r>
                </w:p>
              </w:tc>
              <w:tc>
                <w:tcPr>
                  <w:tcW w:w="464" w:type="pct"/>
                  <w:vAlign w:val="bottom"/>
                </w:tcPr>
                <w:p w:rsidR="00745FEA" w:rsidRPr="00C5260A" w:rsidRDefault="00745FEA" w:rsidP="00745FEA">
                  <w:pPr>
                    <w:pStyle w:val="TableBodyText"/>
                    <w:ind w:right="57"/>
                  </w:pPr>
                  <w:r w:rsidRPr="00C5260A">
                    <w:t>–</w:t>
                  </w:r>
                </w:p>
              </w:tc>
              <w:tc>
                <w:tcPr>
                  <w:tcW w:w="464" w:type="pct"/>
                  <w:vAlign w:val="bottom"/>
                </w:tcPr>
                <w:p w:rsidR="00745FEA" w:rsidRPr="00C5260A" w:rsidRDefault="00745FEA" w:rsidP="00745FEA">
                  <w:pPr>
                    <w:pStyle w:val="TableBodyText"/>
                    <w:ind w:right="57"/>
                  </w:pPr>
                  <w:r w:rsidRPr="00C5260A">
                    <w:t>–</w:t>
                  </w:r>
                </w:p>
              </w:tc>
              <w:tc>
                <w:tcPr>
                  <w:tcW w:w="464" w:type="pct"/>
                  <w:vAlign w:val="bottom"/>
                </w:tcPr>
                <w:p w:rsidR="00745FEA" w:rsidRPr="00C5260A" w:rsidRDefault="00745FEA" w:rsidP="00745FEA">
                  <w:pPr>
                    <w:pStyle w:val="TableBodyText"/>
                    <w:ind w:right="57"/>
                  </w:pPr>
                  <w:r w:rsidRPr="00C5260A">
                    <w:t>–</w:t>
                  </w:r>
                </w:p>
              </w:tc>
              <w:tc>
                <w:tcPr>
                  <w:tcW w:w="464" w:type="pct"/>
                  <w:shd w:val="clear" w:color="auto" w:fill="auto"/>
                  <w:vAlign w:val="bottom"/>
                </w:tcPr>
                <w:p w:rsidR="00745FEA" w:rsidRPr="00C5260A" w:rsidRDefault="00745FEA" w:rsidP="00745FEA">
                  <w:pPr>
                    <w:pStyle w:val="TableBodyText"/>
                    <w:ind w:right="57"/>
                  </w:pPr>
                  <w:r w:rsidRPr="00C5260A">
                    <w:t>0.4</w:t>
                  </w:r>
                </w:p>
              </w:tc>
              <w:tc>
                <w:tcPr>
                  <w:tcW w:w="462" w:type="pct"/>
                  <w:shd w:val="clear" w:color="auto" w:fill="auto"/>
                  <w:vAlign w:val="bottom"/>
                </w:tcPr>
                <w:p w:rsidR="00745FEA" w:rsidRDefault="00745FEA" w:rsidP="00745FEA">
                  <w:pPr>
                    <w:pStyle w:val="TableBodyText"/>
                    <w:ind w:right="57"/>
                  </w:pPr>
                  <w:r w:rsidRPr="00C5260A">
                    <w:t>1.1</w:t>
                  </w:r>
                </w:p>
              </w:tc>
            </w:tr>
            <w:tr w:rsidR="00745FEA" w:rsidTr="00745FEA">
              <w:tc>
                <w:tcPr>
                  <w:tcW w:w="2218" w:type="pct"/>
                  <w:shd w:val="clear" w:color="auto" w:fill="auto"/>
                </w:tcPr>
                <w:p w:rsidR="00745FEA" w:rsidRPr="001F630E" w:rsidRDefault="00745FEA" w:rsidP="00745FEA">
                  <w:pPr>
                    <w:pStyle w:val="TableBodyText"/>
                    <w:spacing w:before="40" w:after="0"/>
                    <w:ind w:left="113"/>
                    <w:jc w:val="left"/>
                    <w:rPr>
                      <w:i/>
                    </w:rPr>
                  </w:pPr>
                  <w:r w:rsidRPr="001F630E">
                    <w:rPr>
                      <w:i/>
                    </w:rPr>
                    <w:t>General export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6E6D48" w:rsidRDefault="00745FEA" w:rsidP="00745FEA">
                  <w:pPr>
                    <w:pStyle w:val="TableBodyText"/>
                    <w:spacing w:after="0"/>
                    <w:ind w:left="227" w:right="0"/>
                    <w:jc w:val="left"/>
                  </w:pPr>
                  <w:r w:rsidRPr="006E6D48">
                    <w:t>Export Market Development Grants Scheme</w:t>
                  </w:r>
                </w:p>
              </w:tc>
              <w:tc>
                <w:tcPr>
                  <w:tcW w:w="464" w:type="pct"/>
                  <w:vAlign w:val="bottom"/>
                </w:tcPr>
                <w:p w:rsidR="00745FEA" w:rsidRPr="00D930AC" w:rsidRDefault="00745FEA" w:rsidP="00745FEA">
                  <w:pPr>
                    <w:pStyle w:val="TableBodyText"/>
                    <w:ind w:right="57"/>
                  </w:pPr>
                  <w:r w:rsidRPr="00D930AC">
                    <w:t>4.6</w:t>
                  </w:r>
                </w:p>
              </w:tc>
              <w:tc>
                <w:tcPr>
                  <w:tcW w:w="464" w:type="pct"/>
                  <w:vAlign w:val="bottom"/>
                </w:tcPr>
                <w:p w:rsidR="00745FEA" w:rsidRPr="00D930AC" w:rsidRDefault="00745FEA" w:rsidP="00745FEA">
                  <w:pPr>
                    <w:pStyle w:val="TableBodyText"/>
                    <w:ind w:right="57"/>
                  </w:pPr>
                  <w:r w:rsidRPr="00D930AC">
                    <w:t>6.4</w:t>
                  </w:r>
                </w:p>
              </w:tc>
              <w:tc>
                <w:tcPr>
                  <w:tcW w:w="464" w:type="pct"/>
                  <w:vAlign w:val="bottom"/>
                </w:tcPr>
                <w:p w:rsidR="00745FEA" w:rsidRPr="00D930AC" w:rsidRDefault="00745FEA" w:rsidP="00745FEA">
                  <w:pPr>
                    <w:pStyle w:val="TableBodyText"/>
                    <w:ind w:right="57"/>
                  </w:pPr>
                  <w:r w:rsidRPr="00D930AC">
                    <w:t>5.6</w:t>
                  </w:r>
                </w:p>
              </w:tc>
              <w:tc>
                <w:tcPr>
                  <w:tcW w:w="464" w:type="pct"/>
                  <w:vAlign w:val="bottom"/>
                </w:tcPr>
                <w:p w:rsidR="00745FEA" w:rsidRPr="00D930AC" w:rsidRDefault="00745FEA" w:rsidP="00745FEA">
                  <w:pPr>
                    <w:pStyle w:val="TableBodyText"/>
                    <w:ind w:right="57"/>
                  </w:pPr>
                  <w:r w:rsidRPr="00D930AC">
                    <w:t>7.6</w:t>
                  </w:r>
                </w:p>
              </w:tc>
              <w:tc>
                <w:tcPr>
                  <w:tcW w:w="464" w:type="pct"/>
                  <w:shd w:val="clear" w:color="auto" w:fill="auto"/>
                  <w:vAlign w:val="bottom"/>
                </w:tcPr>
                <w:p w:rsidR="00745FEA" w:rsidRPr="00D930AC" w:rsidRDefault="00745FEA" w:rsidP="00745FEA">
                  <w:pPr>
                    <w:pStyle w:val="TableBodyText"/>
                    <w:ind w:right="57"/>
                  </w:pPr>
                  <w:r w:rsidRPr="00D930AC">
                    <w:t>7.2</w:t>
                  </w:r>
                </w:p>
              </w:tc>
              <w:tc>
                <w:tcPr>
                  <w:tcW w:w="462" w:type="pct"/>
                  <w:shd w:val="clear" w:color="auto" w:fill="auto"/>
                  <w:vAlign w:val="bottom"/>
                </w:tcPr>
                <w:p w:rsidR="00745FEA" w:rsidRPr="00D930AC" w:rsidRDefault="00745FEA" w:rsidP="00745FEA">
                  <w:pPr>
                    <w:pStyle w:val="TableBodyText"/>
                    <w:ind w:right="57"/>
                  </w:pPr>
                  <w:r w:rsidRPr="00D930AC">
                    <w:t>8.3</w:t>
                  </w:r>
                </w:p>
              </w:tc>
            </w:tr>
            <w:tr w:rsidR="00745FEA" w:rsidTr="00745FEA">
              <w:tc>
                <w:tcPr>
                  <w:tcW w:w="2218" w:type="pct"/>
                  <w:tcBorders>
                    <w:bottom w:val="single" w:sz="6" w:space="0" w:color="BFBFBF"/>
                  </w:tcBorders>
                  <w:shd w:val="clear" w:color="auto" w:fill="auto"/>
                </w:tcPr>
                <w:p w:rsidR="00745FEA" w:rsidRPr="006E6D48" w:rsidRDefault="00745FEA" w:rsidP="00745FEA">
                  <w:pPr>
                    <w:pStyle w:val="TableBodyText"/>
                    <w:ind w:left="227" w:right="0"/>
                    <w:jc w:val="left"/>
                  </w:pPr>
                  <w:r w:rsidRPr="006E6D48">
                    <w:t>TRADEX</w:t>
                  </w:r>
                </w:p>
              </w:tc>
              <w:tc>
                <w:tcPr>
                  <w:tcW w:w="464" w:type="pct"/>
                  <w:tcBorders>
                    <w:bottom w:val="single" w:sz="6" w:space="0" w:color="BFBFBF"/>
                  </w:tcBorders>
                  <w:vAlign w:val="bottom"/>
                </w:tcPr>
                <w:p w:rsidR="00745FEA" w:rsidRPr="00D930AC" w:rsidRDefault="00745FEA" w:rsidP="00745FEA">
                  <w:pPr>
                    <w:pStyle w:val="TableBodyText"/>
                    <w:ind w:right="57"/>
                  </w:pPr>
                  <w:r w:rsidRPr="00D930AC">
                    <w:t>3.7</w:t>
                  </w:r>
                </w:p>
              </w:tc>
              <w:tc>
                <w:tcPr>
                  <w:tcW w:w="464" w:type="pct"/>
                  <w:tcBorders>
                    <w:bottom w:val="single" w:sz="6" w:space="0" w:color="BFBFBF"/>
                  </w:tcBorders>
                  <w:vAlign w:val="bottom"/>
                </w:tcPr>
                <w:p w:rsidR="00745FEA" w:rsidRPr="00D930AC" w:rsidRDefault="00745FEA" w:rsidP="00745FEA">
                  <w:pPr>
                    <w:pStyle w:val="TableBodyText"/>
                    <w:ind w:right="57"/>
                  </w:pPr>
                  <w:r w:rsidRPr="00D930AC">
                    <w:t>3.9</w:t>
                  </w:r>
                </w:p>
              </w:tc>
              <w:tc>
                <w:tcPr>
                  <w:tcW w:w="464" w:type="pct"/>
                  <w:tcBorders>
                    <w:bottom w:val="single" w:sz="6" w:space="0" w:color="BFBFBF"/>
                  </w:tcBorders>
                  <w:vAlign w:val="bottom"/>
                </w:tcPr>
                <w:p w:rsidR="00745FEA" w:rsidRPr="00D930AC" w:rsidRDefault="00745FEA" w:rsidP="00745FEA">
                  <w:pPr>
                    <w:pStyle w:val="TableBodyText"/>
                    <w:ind w:right="57"/>
                  </w:pPr>
                  <w:r w:rsidRPr="00D930AC">
                    <w:t>3.9</w:t>
                  </w:r>
                </w:p>
              </w:tc>
              <w:tc>
                <w:tcPr>
                  <w:tcW w:w="464" w:type="pct"/>
                  <w:tcBorders>
                    <w:bottom w:val="single" w:sz="6" w:space="0" w:color="BFBFBF"/>
                  </w:tcBorders>
                  <w:vAlign w:val="bottom"/>
                </w:tcPr>
                <w:p w:rsidR="00745FEA" w:rsidRPr="00D930AC" w:rsidRDefault="00745FEA" w:rsidP="00745FEA">
                  <w:pPr>
                    <w:pStyle w:val="TableBodyText"/>
                    <w:ind w:right="57"/>
                  </w:pPr>
                  <w:r w:rsidRPr="00D930AC">
                    <w:t>4.2</w:t>
                  </w:r>
                </w:p>
              </w:tc>
              <w:tc>
                <w:tcPr>
                  <w:tcW w:w="464" w:type="pct"/>
                  <w:tcBorders>
                    <w:bottom w:val="single" w:sz="6" w:space="0" w:color="BFBFBF"/>
                  </w:tcBorders>
                  <w:shd w:val="clear" w:color="auto" w:fill="auto"/>
                  <w:vAlign w:val="bottom"/>
                </w:tcPr>
                <w:p w:rsidR="00745FEA" w:rsidRPr="00D930AC" w:rsidRDefault="00745FEA" w:rsidP="00745FEA">
                  <w:pPr>
                    <w:pStyle w:val="TableBodyText"/>
                    <w:ind w:right="57"/>
                  </w:pPr>
                  <w:r w:rsidRPr="00D930AC">
                    <w:t>4.8</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D930AC">
                    <w:t>4.4</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vAlign w:val="bottom"/>
          </w:tcPr>
          <w:p w:rsidR="00745FEA" w:rsidRDefault="00745FEA" w:rsidP="00745FEA">
            <w:pPr>
              <w:pStyle w:val="Source"/>
              <w:ind w:left="6499"/>
              <w:jc w:val="right"/>
            </w:pPr>
            <w:r>
              <w:t>(continued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5"/>
              <w:gridCol w:w="794"/>
              <w:gridCol w:w="794"/>
              <w:gridCol w:w="794"/>
              <w:gridCol w:w="794"/>
              <w:gridCol w:w="791"/>
            </w:tblGrid>
            <w:tr w:rsidR="00745FEA" w:rsidTr="00C719FB">
              <w:trPr>
                <w:tblHeader/>
              </w:trPr>
              <w:tc>
                <w:tcPr>
                  <w:tcW w:w="22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Borders>
                    <w:top w:val="single" w:sz="6" w:space="0" w:color="BFBFBF"/>
                  </w:tcBorders>
                </w:tcPr>
                <w:p w:rsidR="00745FEA" w:rsidRPr="00BB6ABA" w:rsidRDefault="00745FEA" w:rsidP="00745FEA">
                  <w:pPr>
                    <w:pStyle w:val="TableUnitsRow"/>
                    <w:spacing w:after="0"/>
                    <w:ind w:left="113"/>
                    <w:jc w:val="left"/>
                    <w:rPr>
                      <w:i/>
                    </w:rPr>
                  </w:pPr>
                  <w:r w:rsidRPr="00BB6ABA">
                    <w:rPr>
                      <w:i/>
                    </w:rPr>
                    <w:t>General R&amp;D measures</w:t>
                  </w: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c>
                <w:tcPr>
                  <w:tcW w:w="46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8" w:type="pct"/>
                </w:tcPr>
                <w:p w:rsidR="00745FEA" w:rsidRPr="002C5D23" w:rsidRDefault="00745FEA" w:rsidP="00745FEA">
                  <w:pPr>
                    <w:pStyle w:val="TableBodyText"/>
                    <w:spacing w:after="0"/>
                    <w:ind w:left="227" w:right="0"/>
                    <w:jc w:val="left"/>
                  </w:pPr>
                  <w:r w:rsidRPr="002C5D23">
                    <w:t>Commercialisation Australia</w:t>
                  </w:r>
                </w:p>
              </w:tc>
              <w:tc>
                <w:tcPr>
                  <w:tcW w:w="464" w:type="pct"/>
                  <w:vAlign w:val="bottom"/>
                </w:tcPr>
                <w:p w:rsidR="00745FEA" w:rsidRPr="00AD2DF5" w:rsidRDefault="00745FEA" w:rsidP="00745FEA">
                  <w:pPr>
                    <w:pStyle w:val="TableBodyText"/>
                    <w:ind w:right="57"/>
                  </w:pPr>
                  <w:r w:rsidRPr="00AD2DF5">
                    <w:t>0.1</w:t>
                  </w:r>
                </w:p>
              </w:tc>
              <w:tc>
                <w:tcPr>
                  <w:tcW w:w="464" w:type="pct"/>
                  <w:vAlign w:val="bottom"/>
                </w:tcPr>
                <w:p w:rsidR="00745FEA" w:rsidRPr="00AD2DF5" w:rsidRDefault="00745FEA" w:rsidP="00745FEA">
                  <w:pPr>
                    <w:pStyle w:val="TableBodyText"/>
                    <w:ind w:right="57"/>
                  </w:pPr>
                  <w:r w:rsidRPr="00AD2DF5">
                    <w:t>0.1</w:t>
                  </w:r>
                </w:p>
              </w:tc>
              <w:tc>
                <w:tcPr>
                  <w:tcW w:w="464" w:type="pct"/>
                  <w:vAlign w:val="bottom"/>
                </w:tcPr>
                <w:p w:rsidR="00745FEA" w:rsidRPr="00AD2DF5" w:rsidRDefault="00745FEA" w:rsidP="00745FEA">
                  <w:pPr>
                    <w:pStyle w:val="TableBodyText"/>
                    <w:ind w:right="57"/>
                  </w:pPr>
                  <w:r w:rsidRPr="00AD2DF5">
                    <w:t>0.1</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w:t>
                  </w:r>
                </w:p>
              </w:tc>
              <w:tc>
                <w:tcPr>
                  <w:tcW w:w="462" w:type="pct"/>
                  <w:vAlign w:val="bottom"/>
                </w:tcPr>
                <w:p w:rsidR="00745FEA" w:rsidRPr="00AD2DF5" w:rsidRDefault="00745FEA" w:rsidP="00745FEA">
                  <w:pPr>
                    <w:pStyle w:val="TableBodyText"/>
                    <w:ind w:right="57"/>
                  </w:pPr>
                  <w:r w:rsidRPr="00AD2DF5">
                    <w:t>–</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CSIRO</w:t>
                  </w:r>
                </w:p>
              </w:tc>
              <w:tc>
                <w:tcPr>
                  <w:tcW w:w="464" w:type="pct"/>
                  <w:vAlign w:val="bottom"/>
                </w:tcPr>
                <w:p w:rsidR="00745FEA" w:rsidRPr="00AD2DF5" w:rsidRDefault="00745FEA" w:rsidP="00745FEA">
                  <w:pPr>
                    <w:pStyle w:val="TableBodyText"/>
                    <w:ind w:right="57"/>
                  </w:pPr>
                  <w:r w:rsidRPr="00AD2DF5">
                    <w:t>3.1</w:t>
                  </w:r>
                </w:p>
              </w:tc>
              <w:tc>
                <w:tcPr>
                  <w:tcW w:w="464" w:type="pct"/>
                  <w:vAlign w:val="bottom"/>
                </w:tcPr>
                <w:p w:rsidR="00745FEA" w:rsidRPr="00AD2DF5" w:rsidRDefault="00745FEA" w:rsidP="00745FEA">
                  <w:pPr>
                    <w:pStyle w:val="TableBodyText"/>
                    <w:ind w:right="57"/>
                  </w:pPr>
                  <w:r w:rsidRPr="00AD2DF5">
                    <w:t>4.1</w:t>
                  </w:r>
                </w:p>
              </w:tc>
              <w:tc>
                <w:tcPr>
                  <w:tcW w:w="464" w:type="pct"/>
                  <w:vAlign w:val="bottom"/>
                </w:tcPr>
                <w:p w:rsidR="00745FEA" w:rsidRPr="00AD2DF5" w:rsidRDefault="00745FEA" w:rsidP="00745FEA">
                  <w:pPr>
                    <w:pStyle w:val="TableBodyText"/>
                    <w:ind w:right="57"/>
                  </w:pPr>
                  <w:r w:rsidRPr="00AD2DF5">
                    <w:t>3.9</w:t>
                  </w:r>
                </w:p>
              </w:tc>
              <w:tc>
                <w:tcPr>
                  <w:tcW w:w="464" w:type="pct"/>
                  <w:vAlign w:val="bottom"/>
                </w:tcPr>
                <w:p w:rsidR="00745FEA" w:rsidRPr="00AD2DF5" w:rsidRDefault="00745FEA" w:rsidP="00745FEA">
                  <w:pPr>
                    <w:pStyle w:val="TableBodyText"/>
                    <w:ind w:right="57"/>
                  </w:pPr>
                  <w:r w:rsidRPr="00AD2DF5">
                    <w:t>7.2</w:t>
                  </w:r>
                </w:p>
              </w:tc>
              <w:tc>
                <w:tcPr>
                  <w:tcW w:w="464" w:type="pct"/>
                  <w:shd w:val="clear" w:color="auto" w:fill="auto"/>
                  <w:vAlign w:val="bottom"/>
                </w:tcPr>
                <w:p w:rsidR="00745FEA" w:rsidRPr="00AD2DF5" w:rsidRDefault="00745FEA" w:rsidP="00745FEA">
                  <w:pPr>
                    <w:pStyle w:val="TableBodyText"/>
                    <w:ind w:right="57"/>
                  </w:pPr>
                  <w:r w:rsidRPr="00AD2DF5">
                    <w:t>8.7</w:t>
                  </w:r>
                </w:p>
              </w:tc>
              <w:tc>
                <w:tcPr>
                  <w:tcW w:w="462" w:type="pct"/>
                  <w:shd w:val="clear" w:color="auto" w:fill="auto"/>
                  <w:vAlign w:val="bottom"/>
                </w:tcPr>
                <w:p w:rsidR="00745FEA" w:rsidRPr="00AD2DF5" w:rsidRDefault="00745FEA" w:rsidP="00745FEA">
                  <w:pPr>
                    <w:pStyle w:val="TableBodyText"/>
                    <w:ind w:right="57"/>
                  </w:pPr>
                  <w:r w:rsidRPr="00AD2DF5">
                    <w:t>6.9</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Manufacturing Technology Innovation Centre</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1.2</w:t>
                  </w:r>
                </w:p>
              </w:tc>
              <w:tc>
                <w:tcPr>
                  <w:tcW w:w="464" w:type="pct"/>
                  <w:vAlign w:val="bottom"/>
                </w:tcPr>
                <w:p w:rsidR="00745FEA" w:rsidRPr="00AD2DF5" w:rsidRDefault="00745FEA" w:rsidP="00745FEA">
                  <w:pPr>
                    <w:pStyle w:val="TableBodyText"/>
                    <w:ind w:right="57"/>
                  </w:pPr>
                  <w:r w:rsidRPr="00AD2DF5">
                    <w:t>–</w:t>
                  </w:r>
                </w:p>
              </w:tc>
              <w:tc>
                <w:tcPr>
                  <w:tcW w:w="464" w:type="pct"/>
                  <w:shd w:val="clear" w:color="auto" w:fill="auto"/>
                  <w:vAlign w:val="bottom"/>
                </w:tcPr>
                <w:p w:rsidR="00745FEA" w:rsidRPr="00AD2DF5" w:rsidRDefault="00745FEA" w:rsidP="00745FEA">
                  <w:pPr>
                    <w:pStyle w:val="TableBodyText"/>
                    <w:ind w:right="57"/>
                  </w:pPr>
                  <w:r w:rsidRPr="00AD2DF5">
                    <w:t>–</w:t>
                  </w:r>
                </w:p>
              </w:tc>
              <w:tc>
                <w:tcPr>
                  <w:tcW w:w="462" w:type="pct"/>
                  <w:shd w:val="clear" w:color="auto" w:fill="auto"/>
                  <w:vAlign w:val="bottom"/>
                </w:tcPr>
                <w:p w:rsidR="00745FEA" w:rsidRPr="00AD2DF5" w:rsidRDefault="00745FEA" w:rsidP="00745FEA">
                  <w:pPr>
                    <w:pStyle w:val="TableBodyText"/>
                    <w:ind w:right="57"/>
                  </w:pPr>
                  <w:r w:rsidRPr="00AD2DF5">
                    <w:t>–</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R&amp;D Tax Incentive - refundable tax offset</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4.4</w:t>
                  </w:r>
                </w:p>
              </w:tc>
              <w:tc>
                <w:tcPr>
                  <w:tcW w:w="464" w:type="pct"/>
                  <w:vAlign w:val="bottom"/>
                </w:tcPr>
                <w:p w:rsidR="00745FEA" w:rsidRPr="00AD2DF5" w:rsidRDefault="00745FEA" w:rsidP="00745FEA">
                  <w:pPr>
                    <w:pStyle w:val="TableBodyText"/>
                    <w:ind w:right="57"/>
                  </w:pPr>
                  <w:r w:rsidRPr="00AD2DF5">
                    <w:t>4.2</w:t>
                  </w:r>
                </w:p>
              </w:tc>
              <w:tc>
                <w:tcPr>
                  <w:tcW w:w="464" w:type="pct"/>
                  <w:vAlign w:val="bottom"/>
                </w:tcPr>
                <w:p w:rsidR="00745FEA" w:rsidRPr="00AD2DF5" w:rsidRDefault="00745FEA" w:rsidP="00745FEA">
                  <w:pPr>
                    <w:pStyle w:val="TableBodyText"/>
                    <w:ind w:right="57"/>
                  </w:pPr>
                  <w:r w:rsidRPr="00AD2DF5">
                    <w:t>5.7</w:t>
                  </w:r>
                </w:p>
              </w:tc>
              <w:tc>
                <w:tcPr>
                  <w:tcW w:w="464" w:type="pct"/>
                  <w:shd w:val="clear" w:color="auto" w:fill="auto"/>
                  <w:vAlign w:val="bottom"/>
                </w:tcPr>
                <w:p w:rsidR="00745FEA" w:rsidRPr="00AD2DF5" w:rsidRDefault="00745FEA" w:rsidP="00745FEA">
                  <w:pPr>
                    <w:pStyle w:val="TableBodyText"/>
                    <w:ind w:right="57"/>
                  </w:pPr>
                  <w:r w:rsidRPr="00AD2DF5">
                    <w:t>6.0</w:t>
                  </w:r>
                </w:p>
              </w:tc>
              <w:tc>
                <w:tcPr>
                  <w:tcW w:w="462" w:type="pct"/>
                  <w:shd w:val="clear" w:color="auto" w:fill="auto"/>
                  <w:vAlign w:val="bottom"/>
                </w:tcPr>
                <w:p w:rsidR="00745FEA" w:rsidRPr="00AD2DF5" w:rsidRDefault="00745FEA" w:rsidP="00745FEA">
                  <w:pPr>
                    <w:pStyle w:val="TableBodyText"/>
                    <w:ind w:right="57"/>
                  </w:pPr>
                  <w:r w:rsidRPr="00AD2DF5">
                    <w:t>7.3</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R&amp;D tax offsets - Refundable</w:t>
                  </w:r>
                </w:p>
              </w:tc>
              <w:tc>
                <w:tcPr>
                  <w:tcW w:w="464" w:type="pct"/>
                  <w:vAlign w:val="bottom"/>
                </w:tcPr>
                <w:p w:rsidR="00745FEA" w:rsidRPr="00AD2DF5" w:rsidRDefault="00745FEA" w:rsidP="00745FEA">
                  <w:pPr>
                    <w:pStyle w:val="TableBodyText"/>
                    <w:ind w:right="57"/>
                  </w:pPr>
                  <w:r w:rsidRPr="00AD2DF5">
                    <w:t>2.6</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w:t>
                  </w:r>
                </w:p>
              </w:tc>
              <w:tc>
                <w:tcPr>
                  <w:tcW w:w="464" w:type="pct"/>
                  <w:shd w:val="clear" w:color="auto" w:fill="auto"/>
                  <w:vAlign w:val="bottom"/>
                </w:tcPr>
                <w:p w:rsidR="00745FEA" w:rsidRPr="00AD2DF5" w:rsidRDefault="00745FEA" w:rsidP="00745FEA">
                  <w:pPr>
                    <w:pStyle w:val="TableBodyText"/>
                    <w:ind w:right="57"/>
                  </w:pPr>
                  <w:r w:rsidRPr="00AD2DF5">
                    <w:t>–</w:t>
                  </w:r>
                </w:p>
              </w:tc>
              <w:tc>
                <w:tcPr>
                  <w:tcW w:w="462" w:type="pct"/>
                  <w:shd w:val="clear" w:color="auto" w:fill="auto"/>
                  <w:vAlign w:val="bottom"/>
                </w:tcPr>
                <w:p w:rsidR="00745FEA" w:rsidRPr="00AD2DF5" w:rsidRDefault="00745FEA" w:rsidP="00745FEA">
                  <w:pPr>
                    <w:pStyle w:val="TableBodyText"/>
                    <w:ind w:right="57"/>
                  </w:pPr>
                  <w:r w:rsidRPr="00AD2DF5">
                    <w:t>–</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Premium R&amp;D tax concession</w:t>
                  </w:r>
                </w:p>
              </w:tc>
              <w:tc>
                <w:tcPr>
                  <w:tcW w:w="464" w:type="pct"/>
                  <w:vAlign w:val="bottom"/>
                </w:tcPr>
                <w:p w:rsidR="00745FEA" w:rsidRPr="00AD2DF5" w:rsidRDefault="00745FEA" w:rsidP="00745FEA">
                  <w:pPr>
                    <w:pStyle w:val="TableBodyText"/>
                    <w:ind w:right="57"/>
                  </w:pPr>
                  <w:r w:rsidRPr="00AD2DF5">
                    <w:t>0.9</w:t>
                  </w:r>
                </w:p>
              </w:tc>
              <w:tc>
                <w:tcPr>
                  <w:tcW w:w="464" w:type="pct"/>
                  <w:vAlign w:val="bottom"/>
                </w:tcPr>
                <w:p w:rsidR="00745FEA" w:rsidRPr="00AD2DF5" w:rsidRDefault="00745FEA" w:rsidP="00745FEA">
                  <w:pPr>
                    <w:pStyle w:val="TableBodyText"/>
                    <w:ind w:right="57"/>
                  </w:pPr>
                  <w:r w:rsidRPr="00AD2DF5">
                    <w:t>0.3</w:t>
                  </w:r>
                </w:p>
              </w:tc>
              <w:tc>
                <w:tcPr>
                  <w:tcW w:w="464" w:type="pct"/>
                  <w:vAlign w:val="bottom"/>
                </w:tcPr>
                <w:p w:rsidR="00745FEA" w:rsidRPr="00AD2DF5" w:rsidRDefault="00745FEA" w:rsidP="00745FEA">
                  <w:pPr>
                    <w:pStyle w:val="TableBodyText"/>
                    <w:ind w:right="57"/>
                  </w:pPr>
                  <w:r w:rsidRPr="00AD2DF5">
                    <w:t>0.1</w:t>
                  </w:r>
                </w:p>
              </w:tc>
              <w:tc>
                <w:tcPr>
                  <w:tcW w:w="464" w:type="pct"/>
                  <w:vAlign w:val="bottom"/>
                </w:tcPr>
                <w:p w:rsidR="00745FEA" w:rsidRPr="00AD2DF5" w:rsidRDefault="00745FEA" w:rsidP="00745FEA">
                  <w:pPr>
                    <w:pStyle w:val="TableBodyText"/>
                    <w:ind w:right="57"/>
                  </w:pPr>
                  <w:r w:rsidRPr="00AD2DF5">
                    <w:t>–</w:t>
                  </w:r>
                </w:p>
              </w:tc>
              <w:tc>
                <w:tcPr>
                  <w:tcW w:w="464" w:type="pct"/>
                  <w:shd w:val="clear" w:color="auto" w:fill="auto"/>
                  <w:vAlign w:val="bottom"/>
                </w:tcPr>
                <w:p w:rsidR="00745FEA" w:rsidRPr="00AD2DF5" w:rsidRDefault="00745FEA" w:rsidP="00745FEA">
                  <w:pPr>
                    <w:pStyle w:val="TableBodyText"/>
                    <w:ind w:right="57"/>
                  </w:pPr>
                  <w:r w:rsidRPr="00AD2DF5">
                    <w:t>–</w:t>
                  </w:r>
                </w:p>
              </w:tc>
              <w:tc>
                <w:tcPr>
                  <w:tcW w:w="462" w:type="pct"/>
                  <w:shd w:val="clear" w:color="auto" w:fill="auto"/>
                  <w:vAlign w:val="bottom"/>
                </w:tcPr>
                <w:p w:rsidR="00745FEA" w:rsidRPr="00AD2DF5" w:rsidRDefault="00745FEA" w:rsidP="00745FEA">
                  <w:pPr>
                    <w:pStyle w:val="TableBodyText"/>
                    <w:ind w:right="57"/>
                  </w:pPr>
                  <w:r w:rsidRPr="00AD2DF5">
                    <w:t>–</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R&amp;D tax concession</w:t>
                  </w:r>
                </w:p>
              </w:tc>
              <w:tc>
                <w:tcPr>
                  <w:tcW w:w="464" w:type="pct"/>
                  <w:vAlign w:val="bottom"/>
                </w:tcPr>
                <w:p w:rsidR="00745FEA" w:rsidRPr="00AD2DF5" w:rsidRDefault="00745FEA" w:rsidP="00745FEA">
                  <w:pPr>
                    <w:pStyle w:val="TableBodyText"/>
                    <w:ind w:right="57"/>
                  </w:pPr>
                  <w:r w:rsidRPr="00AD2DF5">
                    <w:t>2.4</w:t>
                  </w:r>
                </w:p>
              </w:tc>
              <w:tc>
                <w:tcPr>
                  <w:tcW w:w="464" w:type="pct"/>
                  <w:vAlign w:val="bottom"/>
                </w:tcPr>
                <w:p w:rsidR="00745FEA" w:rsidRPr="00AD2DF5" w:rsidRDefault="00745FEA" w:rsidP="00745FEA">
                  <w:pPr>
                    <w:pStyle w:val="TableBodyText"/>
                    <w:ind w:right="57"/>
                  </w:pPr>
                  <w:r w:rsidRPr="00AD2DF5">
                    <w:t>1.1</w:t>
                  </w:r>
                </w:p>
              </w:tc>
              <w:tc>
                <w:tcPr>
                  <w:tcW w:w="464" w:type="pct"/>
                  <w:vAlign w:val="bottom"/>
                </w:tcPr>
                <w:p w:rsidR="00745FEA" w:rsidRPr="00AD2DF5" w:rsidRDefault="00745FEA" w:rsidP="00745FEA">
                  <w:pPr>
                    <w:pStyle w:val="TableBodyText"/>
                    <w:ind w:right="57"/>
                  </w:pPr>
                  <w:r w:rsidRPr="00AD2DF5">
                    <w:t>0.4</w:t>
                  </w:r>
                </w:p>
              </w:tc>
              <w:tc>
                <w:tcPr>
                  <w:tcW w:w="464" w:type="pct"/>
                  <w:vAlign w:val="bottom"/>
                </w:tcPr>
                <w:p w:rsidR="00745FEA" w:rsidRPr="00AD2DF5" w:rsidRDefault="00745FEA" w:rsidP="00745FEA">
                  <w:pPr>
                    <w:pStyle w:val="TableBodyText"/>
                    <w:ind w:right="57"/>
                  </w:pPr>
                  <w:r w:rsidRPr="00AD2DF5">
                    <w:t>0.1</w:t>
                  </w:r>
                </w:p>
              </w:tc>
              <w:tc>
                <w:tcPr>
                  <w:tcW w:w="464" w:type="pct"/>
                  <w:shd w:val="clear" w:color="auto" w:fill="auto"/>
                  <w:vAlign w:val="bottom"/>
                </w:tcPr>
                <w:p w:rsidR="00745FEA" w:rsidRPr="00AD2DF5" w:rsidRDefault="00745FEA" w:rsidP="00745FEA">
                  <w:pPr>
                    <w:pStyle w:val="TableBodyText"/>
                    <w:ind w:right="57"/>
                  </w:pPr>
                  <w:r w:rsidRPr="00AD2DF5">
                    <w:t>–</w:t>
                  </w:r>
                </w:p>
              </w:tc>
              <w:tc>
                <w:tcPr>
                  <w:tcW w:w="462" w:type="pct"/>
                  <w:shd w:val="clear" w:color="auto" w:fill="auto"/>
                  <w:vAlign w:val="bottom"/>
                </w:tcPr>
                <w:p w:rsidR="00745FEA" w:rsidRPr="00AD2DF5" w:rsidRDefault="00745FEA" w:rsidP="00745FEA">
                  <w:pPr>
                    <w:pStyle w:val="TableBodyText"/>
                    <w:ind w:right="57"/>
                  </w:pPr>
                  <w:r w:rsidRPr="00AD2DF5">
                    <w:t>–</w:t>
                  </w:r>
                </w:p>
              </w:tc>
            </w:tr>
            <w:tr w:rsidR="00745FEA" w:rsidTr="00745FEA">
              <w:tc>
                <w:tcPr>
                  <w:tcW w:w="2218" w:type="pct"/>
                  <w:shd w:val="clear" w:color="auto" w:fill="auto"/>
                </w:tcPr>
                <w:p w:rsidR="00745FEA" w:rsidRPr="002C5D23" w:rsidRDefault="00745FEA" w:rsidP="00745FEA">
                  <w:pPr>
                    <w:pStyle w:val="TableBodyText"/>
                    <w:spacing w:after="0"/>
                    <w:ind w:left="227" w:right="0"/>
                    <w:jc w:val="left"/>
                  </w:pPr>
                  <w:r w:rsidRPr="002C5D23">
                    <w:t>R&amp;D Tax Incentive - non-refundable tax offset</w:t>
                  </w:r>
                </w:p>
              </w:tc>
              <w:tc>
                <w:tcPr>
                  <w:tcW w:w="464" w:type="pct"/>
                  <w:vAlign w:val="bottom"/>
                </w:tcPr>
                <w:p w:rsidR="00745FEA" w:rsidRPr="00AD2DF5" w:rsidRDefault="00745FEA" w:rsidP="00745FEA">
                  <w:pPr>
                    <w:pStyle w:val="TableBodyText"/>
                    <w:ind w:right="57"/>
                  </w:pPr>
                  <w:r w:rsidRPr="00AD2DF5">
                    <w:t>–</w:t>
                  </w:r>
                </w:p>
              </w:tc>
              <w:tc>
                <w:tcPr>
                  <w:tcW w:w="464" w:type="pct"/>
                  <w:vAlign w:val="bottom"/>
                </w:tcPr>
                <w:p w:rsidR="00745FEA" w:rsidRPr="00AD2DF5" w:rsidRDefault="00745FEA" w:rsidP="00745FEA">
                  <w:pPr>
                    <w:pStyle w:val="TableBodyText"/>
                    <w:ind w:right="57"/>
                  </w:pPr>
                  <w:r w:rsidRPr="00AD2DF5">
                    <w:t>1.2</w:t>
                  </w:r>
                </w:p>
              </w:tc>
              <w:tc>
                <w:tcPr>
                  <w:tcW w:w="464" w:type="pct"/>
                  <w:vAlign w:val="bottom"/>
                </w:tcPr>
                <w:p w:rsidR="00745FEA" w:rsidRPr="00AD2DF5" w:rsidRDefault="00745FEA" w:rsidP="00745FEA">
                  <w:pPr>
                    <w:pStyle w:val="TableBodyText"/>
                    <w:ind w:right="57"/>
                  </w:pPr>
                  <w:r w:rsidRPr="00AD2DF5">
                    <w:t>2.7</w:t>
                  </w:r>
                </w:p>
              </w:tc>
              <w:tc>
                <w:tcPr>
                  <w:tcW w:w="464" w:type="pct"/>
                  <w:vAlign w:val="bottom"/>
                </w:tcPr>
                <w:p w:rsidR="00745FEA" w:rsidRPr="00AD2DF5" w:rsidRDefault="00745FEA" w:rsidP="00745FEA">
                  <w:pPr>
                    <w:pStyle w:val="TableBodyText"/>
                    <w:ind w:right="57"/>
                  </w:pPr>
                  <w:r w:rsidRPr="00AD2DF5">
                    <w:t>1.4</w:t>
                  </w:r>
                </w:p>
              </w:tc>
              <w:tc>
                <w:tcPr>
                  <w:tcW w:w="464" w:type="pct"/>
                  <w:shd w:val="clear" w:color="auto" w:fill="auto"/>
                  <w:vAlign w:val="bottom"/>
                </w:tcPr>
                <w:p w:rsidR="00745FEA" w:rsidRPr="00AD2DF5" w:rsidRDefault="00745FEA" w:rsidP="00745FEA">
                  <w:pPr>
                    <w:pStyle w:val="TableBodyText"/>
                    <w:ind w:right="57"/>
                  </w:pPr>
                  <w:r w:rsidRPr="00AD2DF5">
                    <w:t>1.8</w:t>
                  </w:r>
                </w:p>
              </w:tc>
              <w:tc>
                <w:tcPr>
                  <w:tcW w:w="462" w:type="pct"/>
                  <w:shd w:val="clear" w:color="auto" w:fill="auto"/>
                  <w:vAlign w:val="bottom"/>
                </w:tcPr>
                <w:p w:rsidR="00745FEA" w:rsidRDefault="00745FEA" w:rsidP="00745FEA">
                  <w:pPr>
                    <w:pStyle w:val="TableBodyText"/>
                    <w:ind w:right="57"/>
                  </w:pPr>
                  <w:r w:rsidRPr="00AD2DF5">
                    <w:t>5.2</w:t>
                  </w:r>
                </w:p>
              </w:tc>
            </w:tr>
            <w:tr w:rsidR="00745FEA" w:rsidTr="00745FEA">
              <w:tc>
                <w:tcPr>
                  <w:tcW w:w="2218" w:type="pct"/>
                  <w:shd w:val="clear" w:color="auto" w:fill="auto"/>
                </w:tcPr>
                <w:p w:rsidR="00745FEA" w:rsidRPr="003643C7" w:rsidRDefault="00745FEA" w:rsidP="00745FEA">
                  <w:pPr>
                    <w:pStyle w:val="TableBodyText"/>
                    <w:spacing w:before="40" w:after="0"/>
                    <w:ind w:left="113"/>
                    <w:jc w:val="left"/>
                    <w:rPr>
                      <w:i/>
                    </w:rPr>
                  </w:pPr>
                  <w:r w:rsidRPr="003643C7">
                    <w:rPr>
                      <w:i/>
                    </w:rPr>
                    <w:t>Other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Australian Government Innovation and Investment Fund - Tasmania</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0.1</w:t>
                  </w:r>
                </w:p>
              </w:tc>
              <w:tc>
                <w:tcPr>
                  <w:tcW w:w="464" w:type="pct"/>
                  <w:shd w:val="clear" w:color="auto" w:fill="auto"/>
                  <w:vAlign w:val="bottom"/>
                </w:tcPr>
                <w:p w:rsidR="00745FEA" w:rsidRPr="00FA2386" w:rsidRDefault="00745FEA" w:rsidP="00745FEA">
                  <w:pPr>
                    <w:pStyle w:val="TableBodyText"/>
                    <w:ind w:right="57"/>
                  </w:pPr>
                  <w:r w:rsidRPr="00FA2386">
                    <w:t>0.1</w:t>
                  </w:r>
                </w:p>
              </w:tc>
              <w:tc>
                <w:tcPr>
                  <w:tcW w:w="462" w:type="pct"/>
                  <w:shd w:val="clear" w:color="auto" w:fill="auto"/>
                  <w:vAlign w:val="bottom"/>
                </w:tcPr>
                <w:p w:rsidR="00745FEA" w:rsidRPr="00FA2386" w:rsidRDefault="00745FEA" w:rsidP="00745FEA">
                  <w:pPr>
                    <w:pStyle w:val="TableBodyText"/>
                    <w:ind w:right="57"/>
                  </w:pPr>
                  <w:r w:rsidRPr="00FA2386">
                    <w:t>0.1</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Enterprise Connect Innovation Centres</w:t>
                  </w:r>
                </w:p>
              </w:tc>
              <w:tc>
                <w:tcPr>
                  <w:tcW w:w="464" w:type="pct"/>
                  <w:vAlign w:val="bottom"/>
                </w:tcPr>
                <w:p w:rsidR="00745FEA" w:rsidRPr="00FA2386" w:rsidRDefault="00745FEA" w:rsidP="00745FEA">
                  <w:pPr>
                    <w:pStyle w:val="TableBodyText"/>
                    <w:ind w:right="57"/>
                  </w:pPr>
                  <w:r w:rsidRPr="00FA2386">
                    <w:t>0.4</w:t>
                  </w:r>
                </w:p>
              </w:tc>
              <w:tc>
                <w:tcPr>
                  <w:tcW w:w="464" w:type="pct"/>
                  <w:vAlign w:val="bottom"/>
                </w:tcPr>
                <w:p w:rsidR="00745FEA" w:rsidRPr="00FA2386" w:rsidRDefault="00745FEA" w:rsidP="00745FEA">
                  <w:pPr>
                    <w:pStyle w:val="TableBodyText"/>
                    <w:ind w:right="57"/>
                  </w:pPr>
                  <w:r w:rsidRPr="00FA2386">
                    <w:t>0.4</w:t>
                  </w:r>
                </w:p>
              </w:tc>
              <w:tc>
                <w:tcPr>
                  <w:tcW w:w="464" w:type="pct"/>
                  <w:vAlign w:val="bottom"/>
                </w:tcPr>
                <w:p w:rsidR="00745FEA" w:rsidRPr="00FA2386" w:rsidRDefault="00745FEA" w:rsidP="00745FEA">
                  <w:pPr>
                    <w:pStyle w:val="TableBodyText"/>
                    <w:ind w:right="57"/>
                  </w:pPr>
                  <w:r w:rsidRPr="00FA2386">
                    <w:t>0.2</w:t>
                  </w:r>
                </w:p>
              </w:tc>
              <w:tc>
                <w:tcPr>
                  <w:tcW w:w="464" w:type="pct"/>
                  <w:vAlign w:val="bottom"/>
                </w:tcPr>
                <w:p w:rsidR="00745FEA" w:rsidRPr="00FA2386" w:rsidRDefault="00745FEA" w:rsidP="00745FEA">
                  <w:pPr>
                    <w:pStyle w:val="TableBodyText"/>
                    <w:ind w:right="57"/>
                  </w:pPr>
                  <w:r w:rsidRPr="00FA2386">
                    <w:t>0.2</w:t>
                  </w:r>
                </w:p>
              </w:tc>
              <w:tc>
                <w:tcPr>
                  <w:tcW w:w="464" w:type="pct"/>
                  <w:shd w:val="clear" w:color="auto" w:fill="auto"/>
                  <w:vAlign w:val="bottom"/>
                </w:tcPr>
                <w:p w:rsidR="00745FEA" w:rsidRPr="00FA2386" w:rsidRDefault="00745FEA" w:rsidP="00745FEA">
                  <w:pPr>
                    <w:pStyle w:val="TableBodyText"/>
                    <w:ind w:right="57"/>
                  </w:pPr>
                  <w:r w:rsidRPr="00FA2386">
                    <w:t>&lt;0.1</w:t>
                  </w:r>
                </w:p>
              </w:tc>
              <w:tc>
                <w:tcPr>
                  <w:tcW w:w="462" w:type="pct"/>
                  <w:shd w:val="clear" w:color="auto" w:fill="auto"/>
                  <w:vAlign w:val="bottom"/>
                </w:tcPr>
                <w:p w:rsidR="00745FEA" w:rsidRPr="00FA2386" w:rsidRDefault="00745FEA" w:rsidP="00745FEA">
                  <w:pPr>
                    <w:pStyle w:val="TableBodyText"/>
                    <w:ind w:right="57"/>
                  </w:pPr>
                  <w:r w:rsidRPr="00FA2386">
                    <w:t>–</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Entrepreneurs’ Infrastructure Programme - Business Management Skills</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&lt;0.1</w:t>
                  </w:r>
                </w:p>
              </w:tc>
              <w:tc>
                <w:tcPr>
                  <w:tcW w:w="464" w:type="pct"/>
                  <w:shd w:val="clear" w:color="auto" w:fill="auto"/>
                  <w:vAlign w:val="bottom"/>
                </w:tcPr>
                <w:p w:rsidR="00745FEA" w:rsidRPr="00FA2386" w:rsidRDefault="00745FEA" w:rsidP="00745FEA">
                  <w:pPr>
                    <w:pStyle w:val="TableBodyText"/>
                    <w:ind w:right="57"/>
                  </w:pPr>
                  <w:r w:rsidRPr="00FA2386">
                    <w:t>0.1</w:t>
                  </w:r>
                </w:p>
              </w:tc>
              <w:tc>
                <w:tcPr>
                  <w:tcW w:w="462" w:type="pct"/>
                  <w:shd w:val="clear" w:color="auto" w:fill="auto"/>
                  <w:vAlign w:val="bottom"/>
                </w:tcPr>
                <w:p w:rsidR="00745FEA" w:rsidRPr="00FA2386" w:rsidRDefault="00745FEA" w:rsidP="00745FEA">
                  <w:pPr>
                    <w:pStyle w:val="TableBodyText"/>
                    <w:ind w:right="57"/>
                  </w:pPr>
                  <w:r w:rsidRPr="00FA2386">
                    <w:t>0.1</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Tasmanian Jobs and Investment Fund</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shd w:val="clear" w:color="auto" w:fill="auto"/>
                  <w:vAlign w:val="bottom"/>
                </w:tcPr>
                <w:p w:rsidR="00745FEA" w:rsidRPr="00FA2386" w:rsidRDefault="00745FEA" w:rsidP="00745FEA">
                  <w:pPr>
                    <w:pStyle w:val="TableBodyText"/>
                    <w:ind w:right="57"/>
                  </w:pPr>
                  <w:r w:rsidRPr="00FA2386">
                    <w:t>&lt;0.1</w:t>
                  </w:r>
                </w:p>
              </w:tc>
              <w:tc>
                <w:tcPr>
                  <w:tcW w:w="462" w:type="pct"/>
                  <w:shd w:val="clear" w:color="auto" w:fill="auto"/>
                  <w:vAlign w:val="bottom"/>
                </w:tcPr>
                <w:p w:rsidR="00745FEA" w:rsidRPr="00FA2386" w:rsidRDefault="00745FEA" w:rsidP="00745FEA">
                  <w:pPr>
                    <w:pStyle w:val="TableBodyText"/>
                    <w:ind w:right="57"/>
                  </w:pPr>
                  <w:r w:rsidRPr="00FA2386">
                    <w:t>–</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 xml:space="preserve">Small business </w:t>
                  </w:r>
                  <w:r>
                    <w:t>capital gains tax</w:t>
                  </w:r>
                  <w:r w:rsidRPr="00DD00AF">
                    <w:t xml:space="preserve"> rollover deferral</w:t>
                  </w:r>
                </w:p>
              </w:tc>
              <w:tc>
                <w:tcPr>
                  <w:tcW w:w="464" w:type="pct"/>
                  <w:vAlign w:val="bottom"/>
                </w:tcPr>
                <w:p w:rsidR="00745FEA" w:rsidRPr="00FA2386" w:rsidRDefault="00745FEA" w:rsidP="00745FEA">
                  <w:pPr>
                    <w:pStyle w:val="TableBodyText"/>
                    <w:ind w:right="57"/>
                  </w:pPr>
                  <w:r w:rsidRPr="00FA2386">
                    <w:t>0.1</w:t>
                  </w:r>
                </w:p>
              </w:tc>
              <w:tc>
                <w:tcPr>
                  <w:tcW w:w="464" w:type="pct"/>
                  <w:vAlign w:val="bottom"/>
                </w:tcPr>
                <w:p w:rsidR="00745FEA" w:rsidRPr="00FA2386" w:rsidRDefault="00745FEA" w:rsidP="00745FEA">
                  <w:pPr>
                    <w:pStyle w:val="TableBodyText"/>
                    <w:ind w:right="57"/>
                  </w:pPr>
                  <w:r w:rsidRPr="00FA2386">
                    <w:t>0.1</w:t>
                  </w:r>
                </w:p>
              </w:tc>
              <w:tc>
                <w:tcPr>
                  <w:tcW w:w="464" w:type="pct"/>
                  <w:vAlign w:val="bottom"/>
                </w:tcPr>
                <w:p w:rsidR="00745FEA" w:rsidRPr="00FA2386" w:rsidRDefault="00745FEA" w:rsidP="00745FEA">
                  <w:pPr>
                    <w:pStyle w:val="TableBodyText"/>
                    <w:ind w:right="57"/>
                  </w:pPr>
                  <w:r w:rsidRPr="00FA2386">
                    <w:t>0.2</w:t>
                  </w:r>
                </w:p>
              </w:tc>
              <w:tc>
                <w:tcPr>
                  <w:tcW w:w="464" w:type="pct"/>
                  <w:vAlign w:val="bottom"/>
                </w:tcPr>
                <w:p w:rsidR="00745FEA" w:rsidRPr="00FA2386" w:rsidRDefault="00745FEA" w:rsidP="00745FEA">
                  <w:pPr>
                    <w:pStyle w:val="TableBodyText"/>
                    <w:ind w:right="57"/>
                  </w:pPr>
                  <w:r w:rsidRPr="00FA2386">
                    <w:t>0.3</w:t>
                  </w:r>
                </w:p>
              </w:tc>
              <w:tc>
                <w:tcPr>
                  <w:tcW w:w="464" w:type="pct"/>
                  <w:shd w:val="clear" w:color="auto" w:fill="auto"/>
                  <w:vAlign w:val="bottom"/>
                </w:tcPr>
                <w:p w:rsidR="00745FEA" w:rsidRPr="00FA2386" w:rsidRDefault="00745FEA" w:rsidP="00745FEA">
                  <w:pPr>
                    <w:pStyle w:val="TableBodyText"/>
                    <w:ind w:right="57"/>
                  </w:pPr>
                  <w:r w:rsidRPr="00FA2386">
                    <w:t>0.2</w:t>
                  </w:r>
                </w:p>
              </w:tc>
              <w:tc>
                <w:tcPr>
                  <w:tcW w:w="462" w:type="pct"/>
                  <w:shd w:val="clear" w:color="auto" w:fill="auto"/>
                  <w:vAlign w:val="bottom"/>
                </w:tcPr>
                <w:p w:rsidR="00745FEA" w:rsidRPr="00FA2386" w:rsidRDefault="00745FEA" w:rsidP="00745FEA">
                  <w:pPr>
                    <w:pStyle w:val="TableBodyText"/>
                    <w:ind w:right="57"/>
                  </w:pPr>
                  <w:r w:rsidRPr="00FA2386">
                    <w:t>0.3</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The Small Business and General Business Tax Break</w:t>
                  </w:r>
                </w:p>
              </w:tc>
              <w:tc>
                <w:tcPr>
                  <w:tcW w:w="464" w:type="pct"/>
                  <w:vAlign w:val="bottom"/>
                </w:tcPr>
                <w:p w:rsidR="00745FEA" w:rsidRPr="00FA2386" w:rsidRDefault="00745FEA" w:rsidP="00745FEA">
                  <w:pPr>
                    <w:pStyle w:val="TableBodyText"/>
                    <w:ind w:right="57"/>
                  </w:pPr>
                  <w:r w:rsidRPr="00FA2386">
                    <w:t>1.2</w:t>
                  </w:r>
                </w:p>
              </w:tc>
              <w:tc>
                <w:tcPr>
                  <w:tcW w:w="464" w:type="pct"/>
                  <w:vAlign w:val="bottom"/>
                </w:tcPr>
                <w:p w:rsidR="00745FEA" w:rsidRPr="00FA2386" w:rsidRDefault="00745FEA" w:rsidP="00745FEA">
                  <w:pPr>
                    <w:pStyle w:val="TableBodyText"/>
                    <w:ind w:right="57"/>
                  </w:pPr>
                  <w:r w:rsidRPr="00FA2386">
                    <w:t>0.4</w:t>
                  </w:r>
                </w:p>
              </w:tc>
              <w:tc>
                <w:tcPr>
                  <w:tcW w:w="464" w:type="pct"/>
                  <w:vAlign w:val="bottom"/>
                </w:tcPr>
                <w:p w:rsidR="00745FEA" w:rsidRPr="00FA2386" w:rsidRDefault="00745FEA" w:rsidP="00745FEA">
                  <w:pPr>
                    <w:pStyle w:val="TableBodyText"/>
                    <w:ind w:right="57"/>
                  </w:pPr>
                  <w:r w:rsidRPr="00FA2386">
                    <w:t>0.1</w:t>
                  </w:r>
                </w:p>
              </w:tc>
              <w:tc>
                <w:tcPr>
                  <w:tcW w:w="464" w:type="pct"/>
                  <w:vAlign w:val="bottom"/>
                </w:tcPr>
                <w:p w:rsidR="00745FEA" w:rsidRPr="00FA2386" w:rsidRDefault="00745FEA" w:rsidP="00745FEA">
                  <w:pPr>
                    <w:pStyle w:val="TableBodyText"/>
                    <w:ind w:right="57"/>
                  </w:pPr>
                  <w:r w:rsidRPr="00FA2386">
                    <w:t>–</w:t>
                  </w:r>
                </w:p>
              </w:tc>
              <w:tc>
                <w:tcPr>
                  <w:tcW w:w="464" w:type="pct"/>
                  <w:shd w:val="clear" w:color="auto" w:fill="auto"/>
                  <w:vAlign w:val="bottom"/>
                </w:tcPr>
                <w:p w:rsidR="00745FEA" w:rsidRPr="00FA2386" w:rsidRDefault="00745FEA" w:rsidP="00745FEA">
                  <w:pPr>
                    <w:pStyle w:val="TableBodyText"/>
                    <w:ind w:right="57"/>
                  </w:pPr>
                  <w:r w:rsidRPr="00FA2386">
                    <w:t>–</w:t>
                  </w:r>
                </w:p>
              </w:tc>
              <w:tc>
                <w:tcPr>
                  <w:tcW w:w="462" w:type="pct"/>
                  <w:shd w:val="clear" w:color="auto" w:fill="auto"/>
                  <w:vAlign w:val="bottom"/>
                </w:tcPr>
                <w:p w:rsidR="00745FEA" w:rsidRPr="00FA2386" w:rsidRDefault="00745FEA" w:rsidP="00745FEA">
                  <w:pPr>
                    <w:pStyle w:val="TableBodyText"/>
                    <w:ind w:right="57"/>
                  </w:pPr>
                  <w:r w:rsidRPr="00FA2386">
                    <w:t>–</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Small Business - Simplified depreciation rules</w:t>
                  </w:r>
                </w:p>
              </w:tc>
              <w:tc>
                <w:tcPr>
                  <w:tcW w:w="464" w:type="pct"/>
                  <w:vAlign w:val="bottom"/>
                </w:tcPr>
                <w:p w:rsidR="00745FEA" w:rsidRPr="00FA2386" w:rsidRDefault="00745FEA" w:rsidP="00745FEA">
                  <w:pPr>
                    <w:pStyle w:val="TableBodyText"/>
                    <w:ind w:right="57"/>
                  </w:pPr>
                  <w:r w:rsidRPr="00FA2386">
                    <w:t>&lt;0.1</w:t>
                  </w:r>
                </w:p>
              </w:tc>
              <w:tc>
                <w:tcPr>
                  <w:tcW w:w="464" w:type="pct"/>
                  <w:vAlign w:val="bottom"/>
                </w:tcPr>
                <w:p w:rsidR="00745FEA" w:rsidRPr="00FA2386" w:rsidRDefault="00745FEA" w:rsidP="00745FEA">
                  <w:pPr>
                    <w:pStyle w:val="TableBodyText"/>
                    <w:ind w:right="57"/>
                  </w:pPr>
                  <w:r w:rsidRPr="00FA2386">
                    <w:t>-0.2</w:t>
                  </w:r>
                </w:p>
              </w:tc>
              <w:tc>
                <w:tcPr>
                  <w:tcW w:w="464" w:type="pct"/>
                  <w:vAlign w:val="bottom"/>
                </w:tcPr>
                <w:p w:rsidR="00745FEA" w:rsidRPr="00FA2386" w:rsidRDefault="00745FEA" w:rsidP="00745FEA">
                  <w:pPr>
                    <w:pStyle w:val="TableBodyText"/>
                    <w:ind w:right="57"/>
                  </w:pPr>
                  <w:r w:rsidRPr="00FA2386">
                    <w:t>0.7</w:t>
                  </w:r>
                </w:p>
              </w:tc>
              <w:tc>
                <w:tcPr>
                  <w:tcW w:w="464" w:type="pct"/>
                  <w:vAlign w:val="bottom"/>
                </w:tcPr>
                <w:p w:rsidR="00745FEA" w:rsidRPr="00FA2386" w:rsidRDefault="00745FEA" w:rsidP="00745FEA">
                  <w:pPr>
                    <w:pStyle w:val="TableBodyText"/>
                    <w:ind w:right="57"/>
                  </w:pPr>
                  <w:r w:rsidRPr="00FA2386">
                    <w:t>-0.3</w:t>
                  </w:r>
                </w:p>
              </w:tc>
              <w:tc>
                <w:tcPr>
                  <w:tcW w:w="464" w:type="pct"/>
                  <w:shd w:val="clear" w:color="auto" w:fill="auto"/>
                  <w:vAlign w:val="bottom"/>
                </w:tcPr>
                <w:p w:rsidR="00745FEA" w:rsidRPr="00FA2386" w:rsidRDefault="00745FEA" w:rsidP="00745FEA">
                  <w:pPr>
                    <w:pStyle w:val="TableBodyText"/>
                    <w:ind w:right="57"/>
                  </w:pPr>
                  <w:r w:rsidRPr="00FA2386">
                    <w:t>-0.6</w:t>
                  </w:r>
                </w:p>
              </w:tc>
              <w:tc>
                <w:tcPr>
                  <w:tcW w:w="462" w:type="pct"/>
                  <w:shd w:val="clear" w:color="auto" w:fill="auto"/>
                  <w:vAlign w:val="bottom"/>
                </w:tcPr>
                <w:p w:rsidR="00745FEA" w:rsidRPr="00FA2386" w:rsidRDefault="00745FEA" w:rsidP="00745FEA">
                  <w:pPr>
                    <w:pStyle w:val="TableBodyText"/>
                    <w:ind w:right="57"/>
                  </w:pPr>
                  <w:r w:rsidRPr="00FA2386">
                    <w:t>3.2</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 xml:space="preserve">Small business </w:t>
                  </w:r>
                  <w:r>
                    <w:t>capital gains tax</w:t>
                  </w:r>
                  <w:r w:rsidRPr="00DD00AF">
                    <w:t xml:space="preserve"> retirement exemption</w:t>
                  </w:r>
                </w:p>
              </w:tc>
              <w:tc>
                <w:tcPr>
                  <w:tcW w:w="464" w:type="pct"/>
                  <w:vAlign w:val="bottom"/>
                </w:tcPr>
                <w:p w:rsidR="00745FEA" w:rsidRPr="00FA2386" w:rsidRDefault="00745FEA" w:rsidP="00745FEA">
                  <w:pPr>
                    <w:pStyle w:val="TableBodyText"/>
                    <w:ind w:right="57"/>
                  </w:pPr>
                  <w:r w:rsidRPr="00FA2386">
                    <w:t>0.6</w:t>
                  </w:r>
                </w:p>
              </w:tc>
              <w:tc>
                <w:tcPr>
                  <w:tcW w:w="464" w:type="pct"/>
                  <w:vAlign w:val="bottom"/>
                </w:tcPr>
                <w:p w:rsidR="00745FEA" w:rsidRPr="00FA2386" w:rsidRDefault="00745FEA" w:rsidP="00745FEA">
                  <w:pPr>
                    <w:pStyle w:val="TableBodyText"/>
                    <w:ind w:right="57"/>
                  </w:pPr>
                  <w:r w:rsidRPr="00FA2386">
                    <w:t>0.6</w:t>
                  </w:r>
                </w:p>
              </w:tc>
              <w:tc>
                <w:tcPr>
                  <w:tcW w:w="464" w:type="pct"/>
                  <w:vAlign w:val="bottom"/>
                </w:tcPr>
                <w:p w:rsidR="00745FEA" w:rsidRPr="00FA2386" w:rsidRDefault="00745FEA" w:rsidP="00745FEA">
                  <w:pPr>
                    <w:pStyle w:val="TableBodyText"/>
                    <w:ind w:right="57"/>
                  </w:pPr>
                  <w:r w:rsidRPr="00FA2386">
                    <w:t>0.6</w:t>
                  </w:r>
                </w:p>
              </w:tc>
              <w:tc>
                <w:tcPr>
                  <w:tcW w:w="464" w:type="pct"/>
                  <w:vAlign w:val="bottom"/>
                </w:tcPr>
                <w:p w:rsidR="00745FEA" w:rsidRPr="00FA2386" w:rsidRDefault="00745FEA" w:rsidP="00745FEA">
                  <w:pPr>
                    <w:pStyle w:val="TableBodyText"/>
                    <w:ind w:right="57"/>
                  </w:pPr>
                  <w:r w:rsidRPr="00FA2386">
                    <w:t>0.7</w:t>
                  </w:r>
                </w:p>
              </w:tc>
              <w:tc>
                <w:tcPr>
                  <w:tcW w:w="464" w:type="pct"/>
                  <w:shd w:val="clear" w:color="auto" w:fill="auto"/>
                  <w:vAlign w:val="bottom"/>
                </w:tcPr>
                <w:p w:rsidR="00745FEA" w:rsidRPr="00FA2386" w:rsidRDefault="00745FEA" w:rsidP="00745FEA">
                  <w:pPr>
                    <w:pStyle w:val="TableBodyText"/>
                    <w:ind w:right="57"/>
                  </w:pPr>
                  <w:r w:rsidRPr="00FA2386">
                    <w:t>0.7</w:t>
                  </w:r>
                </w:p>
              </w:tc>
              <w:tc>
                <w:tcPr>
                  <w:tcW w:w="462" w:type="pct"/>
                  <w:shd w:val="clear" w:color="auto" w:fill="auto"/>
                  <w:vAlign w:val="bottom"/>
                </w:tcPr>
                <w:p w:rsidR="00745FEA" w:rsidRPr="00FA2386" w:rsidRDefault="00745FEA" w:rsidP="00745FEA">
                  <w:pPr>
                    <w:pStyle w:val="TableBodyText"/>
                    <w:ind w:right="57"/>
                  </w:pPr>
                  <w:r w:rsidRPr="00FA2386">
                    <w:t>0.7</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 xml:space="preserve">Small business </w:t>
                  </w:r>
                  <w:r>
                    <w:t>capital gains tax</w:t>
                  </w:r>
                  <w:r w:rsidRPr="00DD00AF">
                    <w:t xml:space="preserve"> 50 per cent reduction</w:t>
                  </w:r>
                </w:p>
              </w:tc>
              <w:tc>
                <w:tcPr>
                  <w:tcW w:w="464" w:type="pct"/>
                  <w:vAlign w:val="bottom"/>
                </w:tcPr>
                <w:p w:rsidR="00745FEA" w:rsidRPr="00FA2386" w:rsidRDefault="00745FEA" w:rsidP="00745FEA">
                  <w:pPr>
                    <w:pStyle w:val="TableBodyText"/>
                    <w:ind w:right="57"/>
                  </w:pPr>
                  <w:r w:rsidRPr="00FA2386">
                    <w:t>0.6</w:t>
                  </w:r>
                </w:p>
              </w:tc>
              <w:tc>
                <w:tcPr>
                  <w:tcW w:w="464" w:type="pct"/>
                  <w:vAlign w:val="bottom"/>
                </w:tcPr>
                <w:p w:rsidR="00745FEA" w:rsidRPr="00FA2386" w:rsidRDefault="00745FEA" w:rsidP="00745FEA">
                  <w:pPr>
                    <w:pStyle w:val="TableBodyText"/>
                    <w:ind w:right="57"/>
                  </w:pPr>
                  <w:r w:rsidRPr="00FA2386">
                    <w:t>0.6</w:t>
                  </w:r>
                </w:p>
              </w:tc>
              <w:tc>
                <w:tcPr>
                  <w:tcW w:w="464" w:type="pct"/>
                  <w:vAlign w:val="bottom"/>
                </w:tcPr>
                <w:p w:rsidR="00745FEA" w:rsidRPr="00FA2386" w:rsidRDefault="00745FEA" w:rsidP="00745FEA">
                  <w:pPr>
                    <w:pStyle w:val="TableBodyText"/>
                    <w:ind w:right="57"/>
                  </w:pPr>
                  <w:r w:rsidRPr="00FA2386">
                    <w:t>0.6</w:t>
                  </w:r>
                </w:p>
              </w:tc>
              <w:tc>
                <w:tcPr>
                  <w:tcW w:w="464" w:type="pct"/>
                  <w:vAlign w:val="bottom"/>
                </w:tcPr>
                <w:p w:rsidR="00745FEA" w:rsidRPr="00FA2386" w:rsidRDefault="00745FEA" w:rsidP="00745FEA">
                  <w:pPr>
                    <w:pStyle w:val="TableBodyText"/>
                    <w:ind w:right="57"/>
                  </w:pPr>
                  <w:r w:rsidRPr="00FA2386">
                    <w:t>0.4</w:t>
                  </w:r>
                </w:p>
              </w:tc>
              <w:tc>
                <w:tcPr>
                  <w:tcW w:w="464" w:type="pct"/>
                  <w:shd w:val="clear" w:color="auto" w:fill="auto"/>
                  <w:vAlign w:val="bottom"/>
                </w:tcPr>
                <w:p w:rsidR="00745FEA" w:rsidRPr="00FA2386" w:rsidRDefault="00745FEA" w:rsidP="00745FEA">
                  <w:pPr>
                    <w:pStyle w:val="TableBodyText"/>
                    <w:ind w:right="57"/>
                  </w:pPr>
                  <w:r w:rsidRPr="00FA2386">
                    <w:t>0.5</w:t>
                  </w:r>
                </w:p>
              </w:tc>
              <w:tc>
                <w:tcPr>
                  <w:tcW w:w="462" w:type="pct"/>
                  <w:shd w:val="clear" w:color="auto" w:fill="auto"/>
                  <w:vAlign w:val="bottom"/>
                </w:tcPr>
                <w:p w:rsidR="00745FEA" w:rsidRPr="00FA2386" w:rsidRDefault="00745FEA" w:rsidP="00745FEA">
                  <w:pPr>
                    <w:pStyle w:val="TableBodyText"/>
                    <w:ind w:right="57"/>
                  </w:pPr>
                  <w:r w:rsidRPr="00FA2386">
                    <w:t>0.4</w:t>
                  </w:r>
                </w:p>
              </w:tc>
            </w:tr>
            <w:tr w:rsidR="00745FEA" w:rsidTr="00745FEA">
              <w:tc>
                <w:tcPr>
                  <w:tcW w:w="2218" w:type="pct"/>
                  <w:shd w:val="clear" w:color="auto" w:fill="auto"/>
                </w:tcPr>
                <w:p w:rsidR="00745FEA" w:rsidRPr="00DD00AF" w:rsidRDefault="00745FEA" w:rsidP="00745FEA">
                  <w:pPr>
                    <w:pStyle w:val="TableBodyText"/>
                    <w:spacing w:after="0"/>
                    <w:ind w:left="227" w:right="0"/>
                    <w:jc w:val="left"/>
                  </w:pPr>
                  <w:r w:rsidRPr="00DD00AF">
                    <w:t>25 per cent entrepreneurs' tax offset</w:t>
                  </w:r>
                </w:p>
              </w:tc>
              <w:tc>
                <w:tcPr>
                  <w:tcW w:w="464" w:type="pct"/>
                  <w:vAlign w:val="bottom"/>
                </w:tcPr>
                <w:p w:rsidR="00745FEA" w:rsidRPr="00FA2386" w:rsidRDefault="00745FEA" w:rsidP="00745FEA">
                  <w:pPr>
                    <w:pStyle w:val="TableBodyText"/>
                    <w:ind w:right="57"/>
                  </w:pPr>
                  <w:r w:rsidRPr="00FA2386">
                    <w:t>0.9</w:t>
                  </w:r>
                </w:p>
              </w:tc>
              <w:tc>
                <w:tcPr>
                  <w:tcW w:w="464" w:type="pct"/>
                  <w:vAlign w:val="bottom"/>
                </w:tcPr>
                <w:p w:rsidR="00745FEA" w:rsidRPr="00FA2386" w:rsidRDefault="00745FEA" w:rsidP="00745FEA">
                  <w:pPr>
                    <w:pStyle w:val="TableBodyText"/>
                    <w:ind w:right="57"/>
                  </w:pPr>
                  <w:r w:rsidRPr="00FA2386">
                    <w:t>0.7</w:t>
                  </w:r>
                </w:p>
              </w:tc>
              <w:tc>
                <w:tcPr>
                  <w:tcW w:w="464" w:type="pct"/>
                  <w:vAlign w:val="bottom"/>
                </w:tcPr>
                <w:p w:rsidR="00745FEA" w:rsidRPr="00FA2386" w:rsidRDefault="00745FEA" w:rsidP="00745FEA">
                  <w:pPr>
                    <w:pStyle w:val="TableBodyText"/>
                    <w:ind w:right="57"/>
                  </w:pPr>
                  <w:r w:rsidRPr="00FA2386">
                    <w:t>–</w:t>
                  </w:r>
                </w:p>
              </w:tc>
              <w:tc>
                <w:tcPr>
                  <w:tcW w:w="464" w:type="pct"/>
                  <w:vAlign w:val="bottom"/>
                </w:tcPr>
                <w:p w:rsidR="00745FEA" w:rsidRPr="00FA2386" w:rsidRDefault="00745FEA" w:rsidP="00745FEA">
                  <w:pPr>
                    <w:pStyle w:val="TableBodyText"/>
                    <w:ind w:right="57"/>
                  </w:pPr>
                  <w:r w:rsidRPr="00FA2386">
                    <w:t>–</w:t>
                  </w:r>
                </w:p>
              </w:tc>
              <w:tc>
                <w:tcPr>
                  <w:tcW w:w="464" w:type="pct"/>
                  <w:shd w:val="clear" w:color="auto" w:fill="auto"/>
                  <w:vAlign w:val="bottom"/>
                </w:tcPr>
                <w:p w:rsidR="00745FEA" w:rsidRPr="00FA2386" w:rsidRDefault="00745FEA" w:rsidP="00745FEA">
                  <w:pPr>
                    <w:pStyle w:val="TableBodyText"/>
                    <w:ind w:right="57"/>
                  </w:pPr>
                  <w:r w:rsidRPr="00FA2386">
                    <w:t>–</w:t>
                  </w:r>
                </w:p>
              </w:tc>
              <w:tc>
                <w:tcPr>
                  <w:tcW w:w="462" w:type="pct"/>
                  <w:shd w:val="clear" w:color="auto" w:fill="auto"/>
                  <w:vAlign w:val="bottom"/>
                </w:tcPr>
                <w:p w:rsidR="00745FEA" w:rsidRDefault="00745FEA" w:rsidP="00745FEA">
                  <w:pPr>
                    <w:pStyle w:val="TableBodyText"/>
                    <w:ind w:right="57"/>
                  </w:pPr>
                  <w:r w:rsidRPr="00FA2386">
                    <w:t>–</w:t>
                  </w:r>
                </w:p>
              </w:tc>
            </w:tr>
            <w:tr w:rsidR="00745FEA" w:rsidRPr="003643C7" w:rsidTr="00745FEA">
              <w:tc>
                <w:tcPr>
                  <w:tcW w:w="2218" w:type="pct"/>
                  <w:shd w:val="clear" w:color="auto" w:fill="auto"/>
                </w:tcPr>
                <w:p w:rsidR="00745FEA" w:rsidRPr="003643C7" w:rsidRDefault="00745FEA" w:rsidP="00745FEA">
                  <w:pPr>
                    <w:pStyle w:val="TableBodyText"/>
                    <w:spacing w:before="20" w:after="20"/>
                    <w:jc w:val="left"/>
                    <w:rPr>
                      <w:i/>
                    </w:rPr>
                  </w:pPr>
                  <w:r w:rsidRPr="003643C7">
                    <w:rPr>
                      <w:i/>
                    </w:rPr>
                    <w:t>Total</w:t>
                  </w:r>
                </w:p>
              </w:tc>
              <w:tc>
                <w:tcPr>
                  <w:tcW w:w="464" w:type="pct"/>
                  <w:vAlign w:val="bottom"/>
                </w:tcPr>
                <w:p w:rsidR="00745FEA" w:rsidRPr="00B40CE3" w:rsidRDefault="00745FEA" w:rsidP="00745FEA">
                  <w:pPr>
                    <w:pStyle w:val="TableBodyText"/>
                    <w:spacing w:before="20" w:after="20"/>
                    <w:ind w:left="0" w:right="57"/>
                    <w:rPr>
                      <w:i/>
                    </w:rPr>
                  </w:pPr>
                  <w:r>
                    <w:rPr>
                      <w:i/>
                    </w:rPr>
                    <w:t>61.0</w:t>
                  </w:r>
                </w:p>
              </w:tc>
              <w:tc>
                <w:tcPr>
                  <w:tcW w:w="464" w:type="pct"/>
                  <w:vAlign w:val="bottom"/>
                </w:tcPr>
                <w:p w:rsidR="00745FEA" w:rsidRPr="00B40CE3" w:rsidRDefault="00745FEA" w:rsidP="00745FEA">
                  <w:pPr>
                    <w:pStyle w:val="TableBodyText"/>
                    <w:spacing w:before="20" w:after="20"/>
                    <w:ind w:left="0" w:right="57"/>
                    <w:rPr>
                      <w:i/>
                    </w:rPr>
                  </w:pPr>
                  <w:r>
                    <w:rPr>
                      <w:i/>
                    </w:rPr>
                    <w:t>57.2</w:t>
                  </w:r>
                </w:p>
              </w:tc>
              <w:tc>
                <w:tcPr>
                  <w:tcW w:w="464" w:type="pct"/>
                </w:tcPr>
                <w:p w:rsidR="00745FEA" w:rsidRPr="009A135C" w:rsidRDefault="00745FEA" w:rsidP="00745FEA">
                  <w:pPr>
                    <w:pStyle w:val="TableBodyText"/>
                    <w:spacing w:before="20" w:after="20"/>
                    <w:ind w:left="0" w:right="57"/>
                    <w:rPr>
                      <w:i/>
                    </w:rPr>
                  </w:pPr>
                  <w:r>
                    <w:rPr>
                      <w:i/>
                    </w:rPr>
                    <w:t>61.6</w:t>
                  </w:r>
                </w:p>
              </w:tc>
              <w:tc>
                <w:tcPr>
                  <w:tcW w:w="464" w:type="pct"/>
                </w:tcPr>
                <w:p w:rsidR="00745FEA" w:rsidRPr="009A135C" w:rsidRDefault="00745FEA" w:rsidP="00745FEA">
                  <w:pPr>
                    <w:pStyle w:val="TableBodyText"/>
                    <w:spacing w:before="20" w:after="20"/>
                    <w:ind w:left="0" w:right="57"/>
                    <w:rPr>
                      <w:i/>
                    </w:rPr>
                  </w:pPr>
                  <w:r>
                    <w:rPr>
                      <w:i/>
                    </w:rPr>
                    <w:t>56.2</w:t>
                  </w:r>
                </w:p>
              </w:tc>
              <w:tc>
                <w:tcPr>
                  <w:tcW w:w="464" w:type="pct"/>
                  <w:shd w:val="clear" w:color="auto" w:fill="auto"/>
                </w:tcPr>
                <w:p w:rsidR="00745FEA" w:rsidRPr="009A135C" w:rsidRDefault="00745FEA" w:rsidP="00745FEA">
                  <w:pPr>
                    <w:pStyle w:val="TableBodyText"/>
                    <w:spacing w:before="20" w:after="20"/>
                    <w:ind w:left="0" w:right="57"/>
                    <w:rPr>
                      <w:i/>
                    </w:rPr>
                  </w:pPr>
                  <w:r>
                    <w:rPr>
                      <w:i/>
                    </w:rPr>
                    <w:t>51.6</w:t>
                  </w:r>
                </w:p>
              </w:tc>
              <w:tc>
                <w:tcPr>
                  <w:tcW w:w="462" w:type="pct"/>
                  <w:shd w:val="clear" w:color="auto" w:fill="auto"/>
                </w:tcPr>
                <w:p w:rsidR="00745FEA" w:rsidRPr="009A135C" w:rsidRDefault="00745FEA" w:rsidP="00745FEA">
                  <w:pPr>
                    <w:pStyle w:val="TableBodyText"/>
                    <w:spacing w:before="20" w:after="20"/>
                    <w:ind w:left="0" w:right="57"/>
                    <w:rPr>
                      <w:i/>
                    </w:rPr>
                  </w:pPr>
                  <w:r>
                    <w:rPr>
                      <w:i/>
                    </w:rPr>
                    <w:t>37.9</w:t>
                  </w:r>
                </w:p>
              </w:tc>
            </w:tr>
            <w:tr w:rsidR="00745FEA" w:rsidTr="00745FEA">
              <w:tc>
                <w:tcPr>
                  <w:tcW w:w="2218" w:type="pct"/>
                  <w:shd w:val="clear" w:color="auto" w:fill="auto"/>
                </w:tcPr>
                <w:p w:rsidR="00745FEA" w:rsidRPr="003643C7" w:rsidRDefault="00745FEA" w:rsidP="00745FEA">
                  <w:pPr>
                    <w:pStyle w:val="TableBodyText"/>
                    <w:spacing w:before="40"/>
                    <w:jc w:val="left"/>
                    <w:rPr>
                      <w:b/>
                    </w:rPr>
                  </w:pPr>
                  <w:r w:rsidRPr="003643C7">
                    <w:rPr>
                      <w:b/>
                    </w:rPr>
                    <w:t>Wood and paper products</w:t>
                  </w: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c>
                <w:tcPr>
                  <w:tcW w:w="462" w:type="pct"/>
                  <w:shd w:val="clear" w:color="auto" w:fill="auto"/>
                  <w:vAlign w:val="bottom"/>
                </w:tcPr>
                <w:p w:rsidR="00745FEA" w:rsidRDefault="00745FEA" w:rsidP="00745FEA">
                  <w:pPr>
                    <w:pStyle w:val="TableBodyText"/>
                    <w:spacing w:before="40"/>
                    <w:ind w:right="57"/>
                  </w:pPr>
                </w:p>
              </w:tc>
            </w:tr>
            <w:tr w:rsidR="00745FEA" w:rsidTr="00745FEA">
              <w:tc>
                <w:tcPr>
                  <w:tcW w:w="2218" w:type="pct"/>
                  <w:shd w:val="clear" w:color="auto" w:fill="auto"/>
                </w:tcPr>
                <w:p w:rsidR="00745FEA" w:rsidRPr="003643C7" w:rsidRDefault="00745FEA" w:rsidP="00745FEA">
                  <w:pPr>
                    <w:pStyle w:val="TableBodyText"/>
                    <w:spacing w:before="40" w:after="0"/>
                    <w:ind w:left="113"/>
                    <w:jc w:val="left"/>
                    <w:rPr>
                      <w:i/>
                    </w:rPr>
                  </w:pPr>
                  <w:r w:rsidRPr="003643C7">
                    <w:rPr>
                      <w:i/>
                    </w:rPr>
                    <w:t>Industry-specific measures</w:t>
                  </w: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2" w:type="pct"/>
                  <w:shd w:val="clear" w:color="auto" w:fill="auto"/>
                  <w:vAlign w:val="bottom"/>
                </w:tcPr>
                <w:p w:rsidR="00745FEA" w:rsidRDefault="00745FEA" w:rsidP="00745FEA">
                  <w:pPr>
                    <w:pStyle w:val="TableBodyText"/>
                    <w:spacing w:before="40" w:after="0"/>
                    <w:ind w:left="113" w:right="57"/>
                  </w:pPr>
                </w:p>
              </w:tc>
            </w:tr>
            <w:tr w:rsidR="00745FEA" w:rsidTr="00745FEA">
              <w:tc>
                <w:tcPr>
                  <w:tcW w:w="2218" w:type="pct"/>
                  <w:shd w:val="clear" w:color="auto" w:fill="auto"/>
                </w:tcPr>
                <w:p w:rsidR="00745FEA" w:rsidRPr="005F2CE9" w:rsidRDefault="00745FEA" w:rsidP="00745FEA">
                  <w:pPr>
                    <w:pStyle w:val="TableBodyText"/>
                    <w:spacing w:after="0"/>
                    <w:ind w:left="227" w:right="0"/>
                    <w:jc w:val="left"/>
                  </w:pPr>
                  <w:r w:rsidRPr="005F2CE9">
                    <w:t>Australian Paper's Maryville Pulp and Paper - Assistance</w:t>
                  </w:r>
                </w:p>
              </w:tc>
              <w:tc>
                <w:tcPr>
                  <w:tcW w:w="464" w:type="pct"/>
                  <w:vAlign w:val="bottom"/>
                </w:tcPr>
                <w:p w:rsidR="00745FEA" w:rsidRPr="006E7CA0" w:rsidRDefault="00745FEA" w:rsidP="00745FEA">
                  <w:pPr>
                    <w:pStyle w:val="TableBodyText"/>
                    <w:ind w:right="57"/>
                  </w:pPr>
                  <w:r w:rsidRPr="006E7CA0">
                    <w:t>–</w:t>
                  </w:r>
                </w:p>
              </w:tc>
              <w:tc>
                <w:tcPr>
                  <w:tcW w:w="464" w:type="pct"/>
                  <w:vAlign w:val="bottom"/>
                </w:tcPr>
                <w:p w:rsidR="00745FEA" w:rsidRPr="006E7CA0" w:rsidRDefault="00745FEA" w:rsidP="00745FEA">
                  <w:pPr>
                    <w:pStyle w:val="TableBodyText"/>
                    <w:ind w:right="57"/>
                  </w:pPr>
                  <w:r w:rsidRPr="006E7CA0">
                    <w:t>4.2</w:t>
                  </w:r>
                </w:p>
              </w:tc>
              <w:tc>
                <w:tcPr>
                  <w:tcW w:w="464" w:type="pct"/>
                  <w:vAlign w:val="bottom"/>
                </w:tcPr>
                <w:p w:rsidR="00745FEA" w:rsidRPr="006E7CA0" w:rsidRDefault="00745FEA" w:rsidP="00745FEA">
                  <w:pPr>
                    <w:pStyle w:val="TableBodyText"/>
                    <w:ind w:right="57"/>
                  </w:pPr>
                  <w:r w:rsidRPr="006E7CA0">
                    <w:t>2.9</w:t>
                  </w:r>
                </w:p>
              </w:tc>
              <w:tc>
                <w:tcPr>
                  <w:tcW w:w="464" w:type="pct"/>
                  <w:vAlign w:val="bottom"/>
                </w:tcPr>
                <w:p w:rsidR="00745FEA" w:rsidRPr="006E7CA0" w:rsidRDefault="00745FEA" w:rsidP="00745FEA">
                  <w:pPr>
                    <w:pStyle w:val="TableBodyText"/>
                    <w:ind w:right="57"/>
                  </w:pPr>
                  <w:r w:rsidRPr="006E7CA0">
                    <w:t>2.4</w:t>
                  </w:r>
                </w:p>
              </w:tc>
              <w:tc>
                <w:tcPr>
                  <w:tcW w:w="464" w:type="pct"/>
                  <w:shd w:val="clear" w:color="auto" w:fill="auto"/>
                  <w:vAlign w:val="bottom"/>
                </w:tcPr>
                <w:p w:rsidR="00745FEA" w:rsidRPr="006E7CA0" w:rsidRDefault="00745FEA" w:rsidP="00745FEA">
                  <w:pPr>
                    <w:pStyle w:val="TableBodyText"/>
                    <w:ind w:right="57"/>
                  </w:pPr>
                  <w:r w:rsidRPr="006E7CA0">
                    <w:t>–</w:t>
                  </w:r>
                </w:p>
              </w:tc>
              <w:tc>
                <w:tcPr>
                  <w:tcW w:w="462" w:type="pct"/>
                  <w:shd w:val="clear" w:color="auto" w:fill="auto"/>
                  <w:vAlign w:val="bottom"/>
                </w:tcPr>
                <w:p w:rsidR="00745FEA" w:rsidRDefault="00745FEA" w:rsidP="00745FEA">
                  <w:pPr>
                    <w:pStyle w:val="TableBodyText"/>
                    <w:ind w:right="57"/>
                  </w:pPr>
                  <w:r w:rsidRPr="006E7CA0">
                    <w:t>–</w:t>
                  </w:r>
                </w:p>
              </w:tc>
            </w:tr>
            <w:tr w:rsidR="00745FEA" w:rsidTr="00745FEA">
              <w:tc>
                <w:tcPr>
                  <w:tcW w:w="2218" w:type="pct"/>
                  <w:shd w:val="clear" w:color="auto" w:fill="auto"/>
                </w:tcPr>
                <w:p w:rsidR="00745FEA" w:rsidRPr="003643C7" w:rsidRDefault="00745FEA" w:rsidP="00745FEA">
                  <w:pPr>
                    <w:pStyle w:val="TableBodyText"/>
                    <w:spacing w:before="40" w:after="0"/>
                    <w:ind w:left="113"/>
                    <w:jc w:val="left"/>
                    <w:rPr>
                      <w:i/>
                    </w:rPr>
                  </w:pPr>
                  <w:r w:rsidRPr="003643C7">
                    <w:rPr>
                      <w:i/>
                    </w:rPr>
                    <w:t>Sector-specific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6B60F6" w:rsidRDefault="00745FEA" w:rsidP="00745FEA">
                  <w:pPr>
                    <w:pStyle w:val="TableBodyText"/>
                    <w:spacing w:after="0"/>
                    <w:ind w:left="227" w:right="0"/>
                    <w:jc w:val="left"/>
                  </w:pPr>
                  <w:r w:rsidRPr="006B60F6">
                    <w:t>Clean Technology Investment - General Program</w:t>
                  </w:r>
                </w:p>
              </w:tc>
              <w:tc>
                <w:tcPr>
                  <w:tcW w:w="464" w:type="pct"/>
                  <w:vAlign w:val="bottom"/>
                </w:tcPr>
                <w:p w:rsidR="00745FEA" w:rsidRPr="00CA6A2C" w:rsidRDefault="00745FEA" w:rsidP="00745FEA">
                  <w:pPr>
                    <w:pStyle w:val="TableBodyText"/>
                    <w:ind w:right="57"/>
                  </w:pPr>
                  <w:r w:rsidRPr="00CA6A2C">
                    <w:t>–</w:t>
                  </w:r>
                </w:p>
              </w:tc>
              <w:tc>
                <w:tcPr>
                  <w:tcW w:w="464" w:type="pct"/>
                  <w:vAlign w:val="bottom"/>
                </w:tcPr>
                <w:p w:rsidR="00745FEA" w:rsidRPr="00CA6A2C" w:rsidRDefault="00745FEA" w:rsidP="00745FEA">
                  <w:pPr>
                    <w:pStyle w:val="TableBodyText"/>
                    <w:ind w:right="57"/>
                  </w:pPr>
                  <w:r w:rsidRPr="00CA6A2C">
                    <w:t>8.0</w:t>
                  </w:r>
                </w:p>
              </w:tc>
              <w:tc>
                <w:tcPr>
                  <w:tcW w:w="464" w:type="pct"/>
                  <w:vAlign w:val="bottom"/>
                </w:tcPr>
                <w:p w:rsidR="00745FEA" w:rsidRPr="00CA6A2C" w:rsidRDefault="00745FEA" w:rsidP="00745FEA">
                  <w:pPr>
                    <w:pStyle w:val="TableBodyText"/>
                    <w:ind w:right="57"/>
                  </w:pPr>
                  <w:r w:rsidRPr="00CA6A2C">
                    <w:t>3.7</w:t>
                  </w:r>
                </w:p>
              </w:tc>
              <w:tc>
                <w:tcPr>
                  <w:tcW w:w="464" w:type="pct"/>
                  <w:vAlign w:val="bottom"/>
                </w:tcPr>
                <w:p w:rsidR="00745FEA" w:rsidRPr="00CA6A2C" w:rsidRDefault="00745FEA" w:rsidP="00745FEA">
                  <w:pPr>
                    <w:pStyle w:val="TableBodyText"/>
                    <w:ind w:right="57"/>
                  </w:pPr>
                  <w:r w:rsidRPr="00CA6A2C">
                    <w:t>2.8</w:t>
                  </w:r>
                </w:p>
              </w:tc>
              <w:tc>
                <w:tcPr>
                  <w:tcW w:w="464" w:type="pct"/>
                  <w:shd w:val="clear" w:color="auto" w:fill="auto"/>
                  <w:vAlign w:val="bottom"/>
                </w:tcPr>
                <w:p w:rsidR="00745FEA" w:rsidRPr="00CA6A2C" w:rsidRDefault="00745FEA" w:rsidP="00745FEA">
                  <w:pPr>
                    <w:pStyle w:val="TableBodyText"/>
                    <w:ind w:right="57"/>
                  </w:pPr>
                  <w:r w:rsidRPr="00CA6A2C">
                    <w:t>0.1</w:t>
                  </w:r>
                </w:p>
              </w:tc>
              <w:tc>
                <w:tcPr>
                  <w:tcW w:w="462" w:type="pct"/>
                  <w:shd w:val="clear" w:color="auto" w:fill="auto"/>
                  <w:vAlign w:val="bottom"/>
                </w:tcPr>
                <w:p w:rsidR="00745FEA" w:rsidRPr="00CA6A2C" w:rsidRDefault="00745FEA" w:rsidP="00745FEA">
                  <w:pPr>
                    <w:pStyle w:val="TableBodyText"/>
                    <w:ind w:right="57"/>
                  </w:pPr>
                  <w:r w:rsidRPr="00CA6A2C">
                    <w:t>–</w:t>
                  </w:r>
                </w:p>
              </w:tc>
            </w:tr>
            <w:tr w:rsidR="00745FEA" w:rsidTr="00745FEA">
              <w:tc>
                <w:tcPr>
                  <w:tcW w:w="2218" w:type="pct"/>
                  <w:shd w:val="clear" w:color="auto" w:fill="auto"/>
                </w:tcPr>
                <w:p w:rsidR="00745FEA" w:rsidRPr="006B60F6" w:rsidRDefault="00745FEA" w:rsidP="00745FEA">
                  <w:pPr>
                    <w:pStyle w:val="TableBodyText"/>
                    <w:spacing w:after="0"/>
                    <w:ind w:left="227" w:right="0"/>
                    <w:jc w:val="left"/>
                  </w:pPr>
                  <w:r w:rsidRPr="006B60F6">
                    <w:t>Next Generation Manufacturing Investment Programme</w:t>
                  </w:r>
                </w:p>
              </w:tc>
              <w:tc>
                <w:tcPr>
                  <w:tcW w:w="464" w:type="pct"/>
                  <w:vAlign w:val="bottom"/>
                </w:tcPr>
                <w:p w:rsidR="00745FEA" w:rsidRPr="00CA6A2C" w:rsidRDefault="00745FEA" w:rsidP="00745FEA">
                  <w:pPr>
                    <w:pStyle w:val="TableBodyText"/>
                    <w:ind w:right="57"/>
                  </w:pPr>
                  <w:r w:rsidRPr="00CA6A2C">
                    <w:t>–</w:t>
                  </w:r>
                </w:p>
              </w:tc>
              <w:tc>
                <w:tcPr>
                  <w:tcW w:w="464" w:type="pct"/>
                  <w:vAlign w:val="bottom"/>
                </w:tcPr>
                <w:p w:rsidR="00745FEA" w:rsidRPr="00CA6A2C" w:rsidRDefault="00745FEA" w:rsidP="00745FEA">
                  <w:pPr>
                    <w:pStyle w:val="TableBodyText"/>
                    <w:ind w:right="57"/>
                  </w:pPr>
                  <w:r w:rsidRPr="00CA6A2C">
                    <w:t>–</w:t>
                  </w:r>
                </w:p>
              </w:tc>
              <w:tc>
                <w:tcPr>
                  <w:tcW w:w="464" w:type="pct"/>
                  <w:vAlign w:val="bottom"/>
                </w:tcPr>
                <w:p w:rsidR="00745FEA" w:rsidRPr="00CA6A2C" w:rsidRDefault="00745FEA" w:rsidP="00745FEA">
                  <w:pPr>
                    <w:pStyle w:val="TableBodyText"/>
                    <w:ind w:right="57"/>
                  </w:pPr>
                  <w:r w:rsidRPr="00CA6A2C">
                    <w:t>–</w:t>
                  </w:r>
                </w:p>
              </w:tc>
              <w:tc>
                <w:tcPr>
                  <w:tcW w:w="464" w:type="pct"/>
                  <w:vAlign w:val="bottom"/>
                </w:tcPr>
                <w:p w:rsidR="00745FEA" w:rsidRPr="00CA6A2C" w:rsidRDefault="00745FEA" w:rsidP="00745FEA">
                  <w:pPr>
                    <w:pStyle w:val="TableBodyText"/>
                    <w:ind w:right="57"/>
                  </w:pPr>
                  <w:r w:rsidRPr="00CA6A2C">
                    <w:t>–</w:t>
                  </w:r>
                </w:p>
              </w:tc>
              <w:tc>
                <w:tcPr>
                  <w:tcW w:w="464" w:type="pct"/>
                  <w:shd w:val="clear" w:color="auto" w:fill="auto"/>
                  <w:vAlign w:val="bottom"/>
                </w:tcPr>
                <w:p w:rsidR="00745FEA" w:rsidRPr="00CA6A2C" w:rsidRDefault="00745FEA" w:rsidP="00745FEA">
                  <w:pPr>
                    <w:pStyle w:val="TableBodyText"/>
                    <w:ind w:right="57"/>
                  </w:pPr>
                  <w:r w:rsidRPr="00CA6A2C">
                    <w:t>0.5</w:t>
                  </w:r>
                </w:p>
              </w:tc>
              <w:tc>
                <w:tcPr>
                  <w:tcW w:w="462" w:type="pct"/>
                  <w:shd w:val="clear" w:color="auto" w:fill="auto"/>
                  <w:vAlign w:val="bottom"/>
                </w:tcPr>
                <w:p w:rsidR="00745FEA" w:rsidRPr="00CA6A2C" w:rsidRDefault="00745FEA" w:rsidP="00745FEA">
                  <w:pPr>
                    <w:pStyle w:val="TableBodyText"/>
                    <w:ind w:right="57"/>
                  </w:pPr>
                  <w:r w:rsidRPr="00CA6A2C">
                    <w:t>2.3</w:t>
                  </w:r>
                </w:p>
              </w:tc>
            </w:tr>
            <w:tr w:rsidR="00745FEA" w:rsidRPr="00E95472" w:rsidTr="00745FEA">
              <w:tc>
                <w:tcPr>
                  <w:tcW w:w="2218" w:type="pct"/>
                  <w:tcBorders>
                    <w:bottom w:val="single" w:sz="6" w:space="0" w:color="BFBFBF"/>
                  </w:tcBorders>
                  <w:shd w:val="clear" w:color="auto" w:fill="auto"/>
                </w:tcPr>
                <w:p w:rsidR="00745FEA" w:rsidRPr="00E95472" w:rsidRDefault="00745FEA" w:rsidP="00745FEA">
                  <w:pPr>
                    <w:pStyle w:val="TableBodyText"/>
                    <w:ind w:left="227" w:right="0"/>
                    <w:jc w:val="left"/>
                  </w:pPr>
                  <w:r>
                    <w:t>Victorian Innovation and Investment Fund – Ford Assistance</w:t>
                  </w:r>
                </w:p>
              </w:tc>
              <w:tc>
                <w:tcPr>
                  <w:tcW w:w="464" w:type="pct"/>
                  <w:tcBorders>
                    <w:bottom w:val="single" w:sz="6" w:space="0" w:color="BFBFBF"/>
                  </w:tcBorders>
                  <w:vAlign w:val="bottom"/>
                </w:tcPr>
                <w:p w:rsidR="00745FEA" w:rsidRPr="00CA6A2C" w:rsidRDefault="00745FEA" w:rsidP="00745FEA">
                  <w:pPr>
                    <w:pStyle w:val="TableBodyText"/>
                    <w:ind w:right="57"/>
                  </w:pPr>
                  <w:r w:rsidRPr="00CA6A2C">
                    <w:t>–</w:t>
                  </w:r>
                </w:p>
              </w:tc>
              <w:tc>
                <w:tcPr>
                  <w:tcW w:w="464" w:type="pct"/>
                  <w:tcBorders>
                    <w:bottom w:val="single" w:sz="6" w:space="0" w:color="BFBFBF"/>
                  </w:tcBorders>
                  <w:vAlign w:val="bottom"/>
                </w:tcPr>
                <w:p w:rsidR="00745FEA" w:rsidRPr="00CA6A2C" w:rsidRDefault="00745FEA" w:rsidP="00745FEA">
                  <w:pPr>
                    <w:pStyle w:val="TableBodyText"/>
                    <w:ind w:right="57"/>
                  </w:pPr>
                  <w:r w:rsidRPr="00CA6A2C">
                    <w:t>–</w:t>
                  </w:r>
                </w:p>
              </w:tc>
              <w:tc>
                <w:tcPr>
                  <w:tcW w:w="464" w:type="pct"/>
                  <w:tcBorders>
                    <w:bottom w:val="single" w:sz="6" w:space="0" w:color="BFBFBF"/>
                  </w:tcBorders>
                  <w:vAlign w:val="bottom"/>
                </w:tcPr>
                <w:p w:rsidR="00745FEA" w:rsidRPr="00CA6A2C" w:rsidRDefault="00745FEA" w:rsidP="00745FEA">
                  <w:pPr>
                    <w:pStyle w:val="TableBodyText"/>
                    <w:ind w:right="57"/>
                  </w:pPr>
                  <w:r w:rsidRPr="00CA6A2C">
                    <w:t>–</w:t>
                  </w:r>
                </w:p>
              </w:tc>
              <w:tc>
                <w:tcPr>
                  <w:tcW w:w="464" w:type="pct"/>
                  <w:tcBorders>
                    <w:bottom w:val="single" w:sz="6" w:space="0" w:color="BFBFBF"/>
                  </w:tcBorders>
                  <w:vAlign w:val="bottom"/>
                </w:tcPr>
                <w:p w:rsidR="00745FEA" w:rsidRPr="00CA6A2C" w:rsidRDefault="00745FEA" w:rsidP="00745FEA">
                  <w:pPr>
                    <w:pStyle w:val="TableBodyText"/>
                    <w:ind w:right="57"/>
                  </w:pPr>
                  <w:r w:rsidRPr="00CA6A2C">
                    <w:t>0.8</w:t>
                  </w:r>
                </w:p>
              </w:tc>
              <w:tc>
                <w:tcPr>
                  <w:tcW w:w="464" w:type="pct"/>
                  <w:tcBorders>
                    <w:bottom w:val="single" w:sz="6" w:space="0" w:color="BFBFBF"/>
                  </w:tcBorders>
                  <w:shd w:val="clear" w:color="auto" w:fill="auto"/>
                  <w:vAlign w:val="bottom"/>
                </w:tcPr>
                <w:p w:rsidR="00745FEA" w:rsidRPr="00CA6A2C" w:rsidRDefault="00745FEA" w:rsidP="00745FEA">
                  <w:pPr>
                    <w:pStyle w:val="TableBodyText"/>
                    <w:ind w:right="57"/>
                  </w:pPr>
                  <w:r w:rsidRPr="00CA6A2C">
                    <w:t>0.8</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CA6A2C">
                    <w:t>2.8</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vAlign w:val="bottom"/>
          </w:tcPr>
          <w:p w:rsidR="00745FEA" w:rsidRDefault="00745FEA" w:rsidP="00745FEA">
            <w:pPr>
              <w:pStyle w:val="Source"/>
              <w:ind w:left="6357"/>
              <w:jc w:val="right"/>
            </w:pPr>
            <w:r>
              <w:t>(continued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795"/>
              <w:gridCol w:w="794"/>
              <w:gridCol w:w="794"/>
              <w:gridCol w:w="794"/>
              <w:gridCol w:w="794"/>
              <w:gridCol w:w="791"/>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shd w:val="clear" w:color="auto" w:fill="auto"/>
                </w:tcPr>
                <w:p w:rsidR="00745FEA" w:rsidRPr="003643C7" w:rsidRDefault="00745FEA" w:rsidP="00745FEA">
                  <w:pPr>
                    <w:pStyle w:val="TableBodyText"/>
                    <w:spacing w:before="40" w:after="0"/>
                    <w:ind w:left="113"/>
                    <w:jc w:val="left"/>
                    <w:rPr>
                      <w:i/>
                    </w:rPr>
                  </w:pPr>
                  <w:r w:rsidRPr="003643C7">
                    <w:rPr>
                      <w:i/>
                    </w:rPr>
                    <w:t>Rural R&amp;D measures</w:t>
                  </w: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vAlign w:val="bottom"/>
                </w:tcPr>
                <w:p w:rsidR="00745FEA" w:rsidRDefault="00745FEA" w:rsidP="00745FEA">
                  <w:pPr>
                    <w:pStyle w:val="TableBodyText"/>
                    <w:spacing w:before="40" w:after="0"/>
                    <w:ind w:left="0" w:right="57"/>
                  </w:pPr>
                </w:p>
              </w:tc>
              <w:tc>
                <w:tcPr>
                  <w:tcW w:w="467" w:type="pct"/>
                  <w:shd w:val="clear" w:color="auto" w:fill="auto"/>
                  <w:vAlign w:val="bottom"/>
                </w:tcPr>
                <w:p w:rsidR="00745FEA" w:rsidRDefault="00745FEA" w:rsidP="00745FEA">
                  <w:pPr>
                    <w:pStyle w:val="TableBodyText"/>
                    <w:spacing w:before="40" w:after="0"/>
                    <w:ind w:left="0" w:right="57"/>
                  </w:pPr>
                </w:p>
              </w:tc>
              <w:tc>
                <w:tcPr>
                  <w:tcW w:w="465" w:type="pct"/>
                  <w:shd w:val="clear" w:color="auto" w:fill="auto"/>
                  <w:vAlign w:val="bottom"/>
                </w:tcPr>
                <w:p w:rsidR="00745FEA" w:rsidRDefault="00745FEA" w:rsidP="00745FEA">
                  <w:pPr>
                    <w:pStyle w:val="TableBodyText"/>
                    <w:spacing w:before="40" w:after="0"/>
                    <w:ind w:left="0" w:right="57"/>
                  </w:pPr>
                </w:p>
              </w:tc>
            </w:tr>
            <w:tr w:rsidR="00745FEA" w:rsidTr="00745FEA">
              <w:tc>
                <w:tcPr>
                  <w:tcW w:w="2200" w:type="pct"/>
                  <w:shd w:val="clear" w:color="auto" w:fill="auto"/>
                </w:tcPr>
                <w:p w:rsidR="00745FEA" w:rsidRPr="0021496C" w:rsidRDefault="00745FEA" w:rsidP="00745FEA">
                  <w:pPr>
                    <w:pStyle w:val="TableBodyText"/>
                    <w:spacing w:after="0"/>
                    <w:ind w:left="227" w:right="0"/>
                    <w:jc w:val="left"/>
                  </w:pPr>
                  <w:r w:rsidRPr="0021496C">
                    <w:t xml:space="preserve">Forest and Wood Products </w:t>
                  </w:r>
                  <w:r>
                    <w:t>R&amp;D</w:t>
                  </w:r>
                </w:p>
              </w:tc>
              <w:tc>
                <w:tcPr>
                  <w:tcW w:w="467" w:type="pct"/>
                  <w:vAlign w:val="bottom"/>
                </w:tcPr>
                <w:p w:rsidR="00745FEA" w:rsidRPr="00595175" w:rsidRDefault="00745FEA" w:rsidP="00745FEA">
                  <w:pPr>
                    <w:pStyle w:val="TableBodyText"/>
                    <w:ind w:right="57"/>
                  </w:pPr>
                  <w:r w:rsidRPr="00595175">
                    <w:t>1.5</w:t>
                  </w:r>
                </w:p>
              </w:tc>
              <w:tc>
                <w:tcPr>
                  <w:tcW w:w="467" w:type="pct"/>
                  <w:vAlign w:val="bottom"/>
                </w:tcPr>
                <w:p w:rsidR="00745FEA" w:rsidRPr="00595175" w:rsidRDefault="00745FEA" w:rsidP="00745FEA">
                  <w:pPr>
                    <w:pStyle w:val="TableBodyText"/>
                    <w:ind w:right="57"/>
                  </w:pPr>
                  <w:r w:rsidRPr="00595175">
                    <w:t>0.9</w:t>
                  </w:r>
                </w:p>
              </w:tc>
              <w:tc>
                <w:tcPr>
                  <w:tcW w:w="467" w:type="pct"/>
                  <w:vAlign w:val="bottom"/>
                </w:tcPr>
                <w:p w:rsidR="00745FEA" w:rsidRPr="00595175" w:rsidRDefault="00745FEA" w:rsidP="00745FEA">
                  <w:pPr>
                    <w:pStyle w:val="TableBodyText"/>
                    <w:ind w:right="57"/>
                  </w:pPr>
                  <w:r w:rsidRPr="00595175">
                    <w:t>0.7</w:t>
                  </w:r>
                </w:p>
              </w:tc>
              <w:tc>
                <w:tcPr>
                  <w:tcW w:w="467" w:type="pct"/>
                  <w:vAlign w:val="bottom"/>
                </w:tcPr>
                <w:p w:rsidR="00745FEA" w:rsidRPr="00595175" w:rsidRDefault="00745FEA" w:rsidP="00745FEA">
                  <w:pPr>
                    <w:pStyle w:val="TableBodyText"/>
                    <w:ind w:right="57"/>
                  </w:pPr>
                  <w:r w:rsidRPr="00595175">
                    <w:t>1.3</w:t>
                  </w:r>
                </w:p>
              </w:tc>
              <w:tc>
                <w:tcPr>
                  <w:tcW w:w="467" w:type="pct"/>
                  <w:shd w:val="clear" w:color="auto" w:fill="auto"/>
                  <w:vAlign w:val="bottom"/>
                </w:tcPr>
                <w:p w:rsidR="00745FEA" w:rsidRPr="00595175" w:rsidRDefault="00745FEA" w:rsidP="00745FEA">
                  <w:pPr>
                    <w:pStyle w:val="TableBodyText"/>
                    <w:ind w:right="57"/>
                  </w:pPr>
                  <w:r w:rsidRPr="00595175">
                    <w:t>1.5</w:t>
                  </w:r>
                </w:p>
              </w:tc>
              <w:tc>
                <w:tcPr>
                  <w:tcW w:w="465" w:type="pct"/>
                  <w:shd w:val="clear" w:color="auto" w:fill="auto"/>
                  <w:vAlign w:val="bottom"/>
                </w:tcPr>
                <w:p w:rsidR="00745FEA" w:rsidRDefault="00745FEA" w:rsidP="00745FEA">
                  <w:pPr>
                    <w:pStyle w:val="TableBodyText"/>
                    <w:ind w:right="57"/>
                  </w:pPr>
                  <w:r w:rsidRPr="00595175">
                    <w:t>1.7</w:t>
                  </w:r>
                </w:p>
              </w:tc>
            </w:tr>
            <w:tr w:rsidR="00745FEA" w:rsidTr="00745FEA">
              <w:tc>
                <w:tcPr>
                  <w:tcW w:w="2200" w:type="pct"/>
                  <w:shd w:val="clear" w:color="auto" w:fill="auto"/>
                </w:tcPr>
                <w:p w:rsidR="00745FEA" w:rsidRPr="00286075" w:rsidRDefault="00745FEA" w:rsidP="00745FEA">
                  <w:pPr>
                    <w:pStyle w:val="TableBodyText"/>
                    <w:spacing w:before="40" w:after="0"/>
                    <w:ind w:left="113"/>
                    <w:jc w:val="left"/>
                    <w:rPr>
                      <w:i/>
                    </w:rPr>
                  </w:pPr>
                  <w:r w:rsidRPr="00286075">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EB58C6" w:rsidRDefault="00745FEA" w:rsidP="00745FEA">
                  <w:pPr>
                    <w:pStyle w:val="TableBodyText"/>
                    <w:spacing w:after="0"/>
                    <w:ind w:left="227" w:right="0"/>
                    <w:jc w:val="left"/>
                  </w:pPr>
                  <w:r w:rsidRPr="00EB58C6">
                    <w:t>Export Market Development Grants Scheme</w:t>
                  </w:r>
                </w:p>
              </w:tc>
              <w:tc>
                <w:tcPr>
                  <w:tcW w:w="467" w:type="pct"/>
                  <w:vAlign w:val="bottom"/>
                </w:tcPr>
                <w:p w:rsidR="00745FEA" w:rsidRPr="006F059C" w:rsidRDefault="00745FEA" w:rsidP="00745FEA">
                  <w:pPr>
                    <w:pStyle w:val="TableBodyText"/>
                    <w:ind w:right="57"/>
                  </w:pPr>
                  <w:r w:rsidRPr="006F059C">
                    <w:t>0.4</w:t>
                  </w:r>
                </w:p>
              </w:tc>
              <w:tc>
                <w:tcPr>
                  <w:tcW w:w="467" w:type="pct"/>
                  <w:vAlign w:val="bottom"/>
                </w:tcPr>
                <w:p w:rsidR="00745FEA" w:rsidRPr="006F059C" w:rsidRDefault="00745FEA" w:rsidP="00745FEA">
                  <w:pPr>
                    <w:pStyle w:val="TableBodyText"/>
                    <w:ind w:right="57"/>
                  </w:pPr>
                  <w:r w:rsidRPr="006F059C">
                    <w:t>0.3</w:t>
                  </w:r>
                </w:p>
              </w:tc>
              <w:tc>
                <w:tcPr>
                  <w:tcW w:w="467" w:type="pct"/>
                  <w:vAlign w:val="bottom"/>
                </w:tcPr>
                <w:p w:rsidR="00745FEA" w:rsidRPr="006F059C" w:rsidRDefault="00745FEA" w:rsidP="00745FEA">
                  <w:pPr>
                    <w:pStyle w:val="TableBodyText"/>
                    <w:ind w:right="57"/>
                  </w:pPr>
                  <w:r w:rsidRPr="006F059C">
                    <w:t>0.3</w:t>
                  </w:r>
                </w:p>
              </w:tc>
              <w:tc>
                <w:tcPr>
                  <w:tcW w:w="467" w:type="pct"/>
                  <w:vAlign w:val="bottom"/>
                </w:tcPr>
                <w:p w:rsidR="00745FEA" w:rsidRPr="006F059C" w:rsidRDefault="00745FEA" w:rsidP="00745FEA">
                  <w:pPr>
                    <w:pStyle w:val="TableBodyText"/>
                    <w:ind w:right="57"/>
                  </w:pPr>
                  <w:r w:rsidRPr="006F059C">
                    <w:t>0.2</w:t>
                  </w:r>
                </w:p>
              </w:tc>
              <w:tc>
                <w:tcPr>
                  <w:tcW w:w="467" w:type="pct"/>
                  <w:shd w:val="clear" w:color="auto" w:fill="auto"/>
                  <w:vAlign w:val="bottom"/>
                </w:tcPr>
                <w:p w:rsidR="00745FEA" w:rsidRPr="006F059C" w:rsidRDefault="00745FEA" w:rsidP="00745FEA">
                  <w:pPr>
                    <w:pStyle w:val="TableBodyText"/>
                    <w:ind w:right="57"/>
                  </w:pPr>
                  <w:r w:rsidRPr="006F059C">
                    <w:t>0.2</w:t>
                  </w:r>
                </w:p>
              </w:tc>
              <w:tc>
                <w:tcPr>
                  <w:tcW w:w="465" w:type="pct"/>
                  <w:shd w:val="clear" w:color="auto" w:fill="auto"/>
                  <w:vAlign w:val="bottom"/>
                </w:tcPr>
                <w:p w:rsidR="00745FEA" w:rsidRPr="006F059C" w:rsidRDefault="00745FEA" w:rsidP="00745FEA">
                  <w:pPr>
                    <w:pStyle w:val="TableBodyText"/>
                    <w:ind w:right="57"/>
                  </w:pPr>
                  <w:r w:rsidRPr="006F059C">
                    <w:t>0.3</w:t>
                  </w:r>
                </w:p>
              </w:tc>
            </w:tr>
            <w:tr w:rsidR="00745FEA" w:rsidTr="00745FEA">
              <w:tc>
                <w:tcPr>
                  <w:tcW w:w="2200" w:type="pct"/>
                  <w:shd w:val="clear" w:color="auto" w:fill="auto"/>
                </w:tcPr>
                <w:p w:rsidR="00745FEA" w:rsidRPr="00EB58C6" w:rsidRDefault="00745FEA" w:rsidP="00745FEA">
                  <w:pPr>
                    <w:pStyle w:val="TableBodyText"/>
                    <w:spacing w:after="0"/>
                    <w:ind w:left="227" w:right="0"/>
                    <w:jc w:val="left"/>
                  </w:pPr>
                  <w:r w:rsidRPr="00EB58C6">
                    <w:t>TRADEX</w:t>
                  </w:r>
                </w:p>
              </w:tc>
              <w:tc>
                <w:tcPr>
                  <w:tcW w:w="467" w:type="pct"/>
                  <w:vAlign w:val="bottom"/>
                </w:tcPr>
                <w:p w:rsidR="00745FEA" w:rsidRPr="006F059C" w:rsidRDefault="00745FEA" w:rsidP="00745FEA">
                  <w:pPr>
                    <w:pStyle w:val="TableBodyText"/>
                    <w:ind w:right="57"/>
                  </w:pPr>
                  <w:r w:rsidRPr="006F059C">
                    <w:t>0.4</w:t>
                  </w:r>
                </w:p>
              </w:tc>
              <w:tc>
                <w:tcPr>
                  <w:tcW w:w="467" w:type="pct"/>
                  <w:vAlign w:val="bottom"/>
                </w:tcPr>
                <w:p w:rsidR="00745FEA" w:rsidRPr="006F059C" w:rsidRDefault="00745FEA" w:rsidP="00745FEA">
                  <w:pPr>
                    <w:pStyle w:val="TableBodyText"/>
                    <w:ind w:right="57"/>
                  </w:pPr>
                  <w:r w:rsidRPr="006F059C">
                    <w:t>0.4</w:t>
                  </w:r>
                </w:p>
              </w:tc>
              <w:tc>
                <w:tcPr>
                  <w:tcW w:w="467" w:type="pct"/>
                  <w:vAlign w:val="bottom"/>
                </w:tcPr>
                <w:p w:rsidR="00745FEA" w:rsidRPr="006F059C" w:rsidRDefault="00745FEA" w:rsidP="00745FEA">
                  <w:pPr>
                    <w:pStyle w:val="TableBodyText"/>
                    <w:ind w:right="57"/>
                  </w:pPr>
                  <w:r w:rsidRPr="006F059C">
                    <w:t>0.4</w:t>
                  </w:r>
                </w:p>
              </w:tc>
              <w:tc>
                <w:tcPr>
                  <w:tcW w:w="467" w:type="pct"/>
                  <w:vAlign w:val="bottom"/>
                </w:tcPr>
                <w:p w:rsidR="00745FEA" w:rsidRPr="006F059C" w:rsidRDefault="00745FEA" w:rsidP="00745FEA">
                  <w:pPr>
                    <w:pStyle w:val="TableBodyText"/>
                    <w:ind w:right="57"/>
                  </w:pPr>
                  <w:r w:rsidRPr="006F059C">
                    <w:t>0.4</w:t>
                  </w:r>
                </w:p>
              </w:tc>
              <w:tc>
                <w:tcPr>
                  <w:tcW w:w="467" w:type="pct"/>
                  <w:shd w:val="clear" w:color="auto" w:fill="auto"/>
                  <w:vAlign w:val="bottom"/>
                </w:tcPr>
                <w:p w:rsidR="00745FEA" w:rsidRPr="006F059C" w:rsidRDefault="00745FEA" w:rsidP="00745FEA">
                  <w:pPr>
                    <w:pStyle w:val="TableBodyText"/>
                    <w:ind w:right="57"/>
                  </w:pPr>
                  <w:r w:rsidRPr="006F059C">
                    <w:t>0.5</w:t>
                  </w:r>
                </w:p>
              </w:tc>
              <w:tc>
                <w:tcPr>
                  <w:tcW w:w="465" w:type="pct"/>
                  <w:shd w:val="clear" w:color="auto" w:fill="auto"/>
                  <w:vAlign w:val="bottom"/>
                </w:tcPr>
                <w:p w:rsidR="00745FEA" w:rsidRDefault="00745FEA" w:rsidP="00745FEA">
                  <w:pPr>
                    <w:pStyle w:val="TableBodyText"/>
                    <w:ind w:right="57"/>
                  </w:pPr>
                  <w:r w:rsidRPr="006F059C">
                    <w:t>0.4</w:t>
                  </w:r>
                </w:p>
              </w:tc>
            </w:tr>
            <w:tr w:rsidR="00745FEA" w:rsidTr="00745FEA">
              <w:tc>
                <w:tcPr>
                  <w:tcW w:w="2200" w:type="pct"/>
                  <w:vAlign w:val="bottom"/>
                </w:tcPr>
                <w:p w:rsidR="00745FEA" w:rsidRPr="00065E82" w:rsidRDefault="00745FEA" w:rsidP="00745FEA">
                  <w:pPr>
                    <w:pStyle w:val="TableUnitsRow"/>
                    <w:spacing w:after="0"/>
                    <w:ind w:left="113"/>
                    <w:jc w:val="left"/>
                    <w:rPr>
                      <w:i/>
                    </w:rPr>
                  </w:pPr>
                  <w:r w:rsidRPr="00065E82">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r>
            <w:tr w:rsidR="00745FEA" w:rsidTr="00745FEA">
              <w:tc>
                <w:tcPr>
                  <w:tcW w:w="2200" w:type="pct"/>
                  <w:shd w:val="clear" w:color="auto" w:fill="auto"/>
                </w:tcPr>
                <w:p w:rsidR="00745FEA" w:rsidRPr="008E6AF0" w:rsidRDefault="00745FEA" w:rsidP="00745FEA">
                  <w:pPr>
                    <w:pStyle w:val="TableBodyText"/>
                    <w:spacing w:after="0"/>
                    <w:ind w:left="227" w:right="0"/>
                    <w:jc w:val="left"/>
                  </w:pPr>
                  <w:r w:rsidRPr="008E6AF0">
                    <w:t>CSIRO</w:t>
                  </w:r>
                </w:p>
              </w:tc>
              <w:tc>
                <w:tcPr>
                  <w:tcW w:w="467" w:type="pct"/>
                  <w:vAlign w:val="bottom"/>
                </w:tcPr>
                <w:p w:rsidR="00745FEA" w:rsidRPr="00DB0312" w:rsidRDefault="00745FEA" w:rsidP="00745FEA">
                  <w:pPr>
                    <w:pStyle w:val="TableBodyText"/>
                    <w:ind w:right="57"/>
                  </w:pPr>
                  <w:r w:rsidRPr="00DB0312">
                    <w:t>0.9</w:t>
                  </w:r>
                </w:p>
              </w:tc>
              <w:tc>
                <w:tcPr>
                  <w:tcW w:w="467" w:type="pct"/>
                  <w:vAlign w:val="bottom"/>
                </w:tcPr>
                <w:p w:rsidR="00745FEA" w:rsidRPr="00DB0312" w:rsidRDefault="00745FEA" w:rsidP="00745FEA">
                  <w:pPr>
                    <w:pStyle w:val="TableBodyText"/>
                    <w:ind w:right="57"/>
                  </w:pPr>
                  <w:r w:rsidRPr="00DB0312">
                    <w:t>0.7</w:t>
                  </w:r>
                </w:p>
              </w:tc>
              <w:tc>
                <w:tcPr>
                  <w:tcW w:w="467" w:type="pct"/>
                  <w:vAlign w:val="bottom"/>
                </w:tcPr>
                <w:p w:rsidR="00745FEA" w:rsidRPr="00DB0312" w:rsidRDefault="00745FEA" w:rsidP="00745FEA">
                  <w:pPr>
                    <w:pStyle w:val="TableBodyText"/>
                    <w:ind w:right="57"/>
                  </w:pPr>
                  <w:r w:rsidRPr="00DB0312">
                    <w:t>0.7</w:t>
                  </w:r>
                </w:p>
              </w:tc>
              <w:tc>
                <w:tcPr>
                  <w:tcW w:w="467" w:type="pct"/>
                  <w:vAlign w:val="bottom"/>
                </w:tcPr>
                <w:p w:rsidR="00745FEA" w:rsidRPr="00DB0312" w:rsidRDefault="00745FEA" w:rsidP="00745FEA">
                  <w:pPr>
                    <w:pStyle w:val="TableBodyText"/>
                    <w:ind w:right="57"/>
                  </w:pPr>
                  <w:r w:rsidRPr="00DB0312">
                    <w:t>0.7</w:t>
                  </w:r>
                </w:p>
              </w:tc>
              <w:tc>
                <w:tcPr>
                  <w:tcW w:w="467" w:type="pct"/>
                  <w:shd w:val="clear" w:color="auto" w:fill="auto"/>
                  <w:vAlign w:val="bottom"/>
                </w:tcPr>
                <w:p w:rsidR="00745FEA" w:rsidRPr="00DB0312" w:rsidRDefault="00745FEA" w:rsidP="00745FEA">
                  <w:pPr>
                    <w:pStyle w:val="TableBodyText"/>
                    <w:ind w:right="57"/>
                  </w:pPr>
                  <w:r w:rsidRPr="00DB0312">
                    <w:t>0.8</w:t>
                  </w:r>
                </w:p>
              </w:tc>
              <w:tc>
                <w:tcPr>
                  <w:tcW w:w="465" w:type="pct"/>
                  <w:shd w:val="clear" w:color="auto" w:fill="auto"/>
                  <w:vAlign w:val="bottom"/>
                </w:tcPr>
                <w:p w:rsidR="00745FEA" w:rsidRPr="00DB0312" w:rsidRDefault="00745FEA" w:rsidP="00745FEA">
                  <w:pPr>
                    <w:pStyle w:val="TableBodyText"/>
                    <w:ind w:right="57"/>
                  </w:pPr>
                  <w:r w:rsidRPr="00DB0312">
                    <w:t>0.9</w:t>
                  </w:r>
                </w:p>
              </w:tc>
            </w:tr>
            <w:tr w:rsidR="00745FEA" w:rsidTr="00745FEA">
              <w:tc>
                <w:tcPr>
                  <w:tcW w:w="2200" w:type="pct"/>
                  <w:shd w:val="clear" w:color="auto" w:fill="auto"/>
                </w:tcPr>
                <w:p w:rsidR="00745FEA" w:rsidRPr="008E6AF0" w:rsidRDefault="00745FEA" w:rsidP="00745FEA">
                  <w:pPr>
                    <w:pStyle w:val="TableBodyText"/>
                    <w:spacing w:after="0"/>
                    <w:ind w:left="227" w:right="0"/>
                    <w:jc w:val="left"/>
                  </w:pPr>
                  <w:r w:rsidRPr="008E6AF0">
                    <w:t>R&amp;D Tax Incentive - refundable tax offset</w:t>
                  </w:r>
                </w:p>
              </w:tc>
              <w:tc>
                <w:tcPr>
                  <w:tcW w:w="467" w:type="pct"/>
                  <w:vAlign w:val="bottom"/>
                </w:tcPr>
                <w:p w:rsidR="00745FEA" w:rsidRPr="00DB0312" w:rsidRDefault="00745FEA" w:rsidP="00745FEA">
                  <w:pPr>
                    <w:pStyle w:val="TableBodyText"/>
                    <w:ind w:right="57"/>
                  </w:pPr>
                  <w:r w:rsidRPr="00DB0312">
                    <w:t>–</w:t>
                  </w:r>
                </w:p>
              </w:tc>
              <w:tc>
                <w:tcPr>
                  <w:tcW w:w="467" w:type="pct"/>
                  <w:vAlign w:val="bottom"/>
                </w:tcPr>
                <w:p w:rsidR="00745FEA" w:rsidRPr="00DB0312" w:rsidRDefault="00745FEA" w:rsidP="00745FEA">
                  <w:pPr>
                    <w:pStyle w:val="TableBodyText"/>
                    <w:ind w:right="57"/>
                  </w:pPr>
                  <w:r w:rsidRPr="00DB0312">
                    <w:t>3.1</w:t>
                  </w:r>
                </w:p>
              </w:tc>
              <w:tc>
                <w:tcPr>
                  <w:tcW w:w="467" w:type="pct"/>
                  <w:vAlign w:val="bottom"/>
                </w:tcPr>
                <w:p w:rsidR="00745FEA" w:rsidRPr="00DB0312" w:rsidRDefault="00745FEA" w:rsidP="00745FEA">
                  <w:pPr>
                    <w:pStyle w:val="TableBodyText"/>
                    <w:ind w:right="57"/>
                  </w:pPr>
                  <w:r w:rsidRPr="00DB0312">
                    <w:t>3.0</w:t>
                  </w:r>
                </w:p>
              </w:tc>
              <w:tc>
                <w:tcPr>
                  <w:tcW w:w="467" w:type="pct"/>
                  <w:vAlign w:val="bottom"/>
                </w:tcPr>
                <w:p w:rsidR="00745FEA" w:rsidRPr="00DB0312" w:rsidRDefault="00745FEA" w:rsidP="00745FEA">
                  <w:pPr>
                    <w:pStyle w:val="TableBodyText"/>
                    <w:ind w:right="57"/>
                  </w:pPr>
                  <w:r w:rsidRPr="00DB0312">
                    <w:t>4.0</w:t>
                  </w:r>
                </w:p>
              </w:tc>
              <w:tc>
                <w:tcPr>
                  <w:tcW w:w="467" w:type="pct"/>
                  <w:shd w:val="clear" w:color="auto" w:fill="auto"/>
                  <w:vAlign w:val="bottom"/>
                </w:tcPr>
                <w:p w:rsidR="00745FEA" w:rsidRPr="00DB0312" w:rsidRDefault="00745FEA" w:rsidP="00745FEA">
                  <w:pPr>
                    <w:pStyle w:val="TableBodyText"/>
                    <w:ind w:right="57"/>
                  </w:pPr>
                  <w:r w:rsidRPr="00DB0312">
                    <w:t>4.2</w:t>
                  </w:r>
                </w:p>
              </w:tc>
              <w:tc>
                <w:tcPr>
                  <w:tcW w:w="465" w:type="pct"/>
                  <w:shd w:val="clear" w:color="auto" w:fill="auto"/>
                  <w:vAlign w:val="bottom"/>
                </w:tcPr>
                <w:p w:rsidR="00745FEA" w:rsidRPr="00DB0312" w:rsidRDefault="00745FEA" w:rsidP="00745FEA">
                  <w:pPr>
                    <w:pStyle w:val="TableBodyText"/>
                    <w:ind w:right="57"/>
                  </w:pPr>
                  <w:r w:rsidRPr="00DB0312">
                    <w:t>5.1</w:t>
                  </w:r>
                </w:p>
              </w:tc>
            </w:tr>
            <w:tr w:rsidR="00745FEA" w:rsidTr="00745FEA">
              <w:tc>
                <w:tcPr>
                  <w:tcW w:w="2200" w:type="pct"/>
                  <w:shd w:val="clear" w:color="auto" w:fill="auto"/>
                </w:tcPr>
                <w:p w:rsidR="00745FEA" w:rsidRPr="008E6AF0" w:rsidRDefault="00745FEA" w:rsidP="00745FEA">
                  <w:pPr>
                    <w:pStyle w:val="TableBodyText"/>
                    <w:spacing w:after="0"/>
                    <w:ind w:left="227" w:right="0"/>
                    <w:jc w:val="left"/>
                  </w:pPr>
                  <w:r w:rsidRPr="008E6AF0">
                    <w:t>R&amp;D tax offsets - Refundable</w:t>
                  </w:r>
                </w:p>
              </w:tc>
              <w:tc>
                <w:tcPr>
                  <w:tcW w:w="467" w:type="pct"/>
                  <w:vAlign w:val="bottom"/>
                </w:tcPr>
                <w:p w:rsidR="00745FEA" w:rsidRPr="00DB0312" w:rsidRDefault="00745FEA" w:rsidP="00745FEA">
                  <w:pPr>
                    <w:pStyle w:val="TableBodyText"/>
                    <w:ind w:right="57"/>
                  </w:pPr>
                  <w:r w:rsidRPr="00DB0312">
                    <w:t>1.7</w:t>
                  </w:r>
                </w:p>
              </w:tc>
              <w:tc>
                <w:tcPr>
                  <w:tcW w:w="467" w:type="pct"/>
                  <w:vAlign w:val="bottom"/>
                </w:tcPr>
                <w:p w:rsidR="00745FEA" w:rsidRPr="00DB0312" w:rsidRDefault="00745FEA" w:rsidP="00745FEA">
                  <w:pPr>
                    <w:pStyle w:val="TableBodyText"/>
                    <w:ind w:right="57"/>
                  </w:pPr>
                  <w:r w:rsidRPr="00DB0312">
                    <w:t>–</w:t>
                  </w:r>
                </w:p>
              </w:tc>
              <w:tc>
                <w:tcPr>
                  <w:tcW w:w="467" w:type="pct"/>
                  <w:vAlign w:val="bottom"/>
                </w:tcPr>
                <w:p w:rsidR="00745FEA" w:rsidRPr="00DB0312" w:rsidRDefault="00745FEA" w:rsidP="00745FEA">
                  <w:pPr>
                    <w:pStyle w:val="TableBodyText"/>
                    <w:ind w:right="57"/>
                  </w:pPr>
                  <w:r w:rsidRPr="00DB0312">
                    <w:t>–</w:t>
                  </w:r>
                </w:p>
              </w:tc>
              <w:tc>
                <w:tcPr>
                  <w:tcW w:w="467" w:type="pct"/>
                  <w:vAlign w:val="bottom"/>
                </w:tcPr>
                <w:p w:rsidR="00745FEA" w:rsidRPr="00DB0312" w:rsidRDefault="00745FEA" w:rsidP="00745FEA">
                  <w:pPr>
                    <w:pStyle w:val="TableBodyText"/>
                    <w:ind w:right="57"/>
                  </w:pPr>
                  <w:r w:rsidRPr="00DB0312">
                    <w:t>–</w:t>
                  </w:r>
                </w:p>
              </w:tc>
              <w:tc>
                <w:tcPr>
                  <w:tcW w:w="467" w:type="pct"/>
                  <w:shd w:val="clear" w:color="auto" w:fill="auto"/>
                  <w:vAlign w:val="bottom"/>
                </w:tcPr>
                <w:p w:rsidR="00745FEA" w:rsidRPr="00DB0312" w:rsidRDefault="00745FEA" w:rsidP="00745FEA">
                  <w:pPr>
                    <w:pStyle w:val="TableBodyText"/>
                    <w:ind w:right="57"/>
                  </w:pPr>
                  <w:r w:rsidRPr="00DB0312">
                    <w:t>–</w:t>
                  </w:r>
                </w:p>
              </w:tc>
              <w:tc>
                <w:tcPr>
                  <w:tcW w:w="465" w:type="pct"/>
                  <w:shd w:val="clear" w:color="auto" w:fill="auto"/>
                  <w:vAlign w:val="bottom"/>
                </w:tcPr>
                <w:p w:rsidR="00745FEA" w:rsidRPr="00DB0312" w:rsidRDefault="00745FEA" w:rsidP="00745FEA">
                  <w:pPr>
                    <w:pStyle w:val="TableBodyText"/>
                    <w:ind w:right="57"/>
                  </w:pPr>
                  <w:r w:rsidRPr="00DB0312">
                    <w:t>–</w:t>
                  </w:r>
                </w:p>
              </w:tc>
            </w:tr>
            <w:tr w:rsidR="00745FEA" w:rsidTr="00745FEA">
              <w:tc>
                <w:tcPr>
                  <w:tcW w:w="2200" w:type="pct"/>
                  <w:shd w:val="clear" w:color="auto" w:fill="auto"/>
                </w:tcPr>
                <w:p w:rsidR="00745FEA" w:rsidRPr="008E6AF0" w:rsidRDefault="00745FEA" w:rsidP="00745FEA">
                  <w:pPr>
                    <w:pStyle w:val="TableBodyText"/>
                    <w:spacing w:after="0"/>
                    <w:ind w:left="227" w:right="0"/>
                    <w:jc w:val="left"/>
                  </w:pPr>
                  <w:r w:rsidRPr="008E6AF0">
                    <w:t>Premium R&amp;D tax concession</w:t>
                  </w:r>
                </w:p>
              </w:tc>
              <w:tc>
                <w:tcPr>
                  <w:tcW w:w="467" w:type="pct"/>
                  <w:vAlign w:val="bottom"/>
                </w:tcPr>
                <w:p w:rsidR="00745FEA" w:rsidRPr="00DB0312" w:rsidRDefault="00745FEA" w:rsidP="00745FEA">
                  <w:pPr>
                    <w:pStyle w:val="TableBodyText"/>
                    <w:ind w:right="57"/>
                  </w:pPr>
                  <w:r w:rsidRPr="00DB0312">
                    <w:t>0.1</w:t>
                  </w:r>
                </w:p>
              </w:tc>
              <w:tc>
                <w:tcPr>
                  <w:tcW w:w="467" w:type="pct"/>
                  <w:vAlign w:val="bottom"/>
                </w:tcPr>
                <w:p w:rsidR="00745FEA" w:rsidRPr="00DB0312" w:rsidRDefault="00745FEA" w:rsidP="00745FEA">
                  <w:pPr>
                    <w:pStyle w:val="TableBodyText"/>
                    <w:ind w:right="57"/>
                  </w:pPr>
                  <w:r w:rsidRPr="00DB0312">
                    <w:t>&lt;0.1</w:t>
                  </w:r>
                </w:p>
              </w:tc>
              <w:tc>
                <w:tcPr>
                  <w:tcW w:w="467" w:type="pct"/>
                  <w:vAlign w:val="bottom"/>
                </w:tcPr>
                <w:p w:rsidR="00745FEA" w:rsidRPr="00DB0312" w:rsidRDefault="00745FEA" w:rsidP="00745FEA">
                  <w:pPr>
                    <w:pStyle w:val="TableBodyText"/>
                    <w:ind w:right="57"/>
                  </w:pPr>
                  <w:r w:rsidRPr="00DB0312">
                    <w:t>&lt;0.1</w:t>
                  </w:r>
                </w:p>
              </w:tc>
              <w:tc>
                <w:tcPr>
                  <w:tcW w:w="467" w:type="pct"/>
                  <w:vAlign w:val="bottom"/>
                </w:tcPr>
                <w:p w:rsidR="00745FEA" w:rsidRPr="00DB0312" w:rsidRDefault="00745FEA" w:rsidP="00745FEA">
                  <w:pPr>
                    <w:pStyle w:val="TableBodyText"/>
                    <w:ind w:right="57"/>
                  </w:pPr>
                  <w:r w:rsidRPr="00DB0312">
                    <w:t>–</w:t>
                  </w:r>
                </w:p>
              </w:tc>
              <w:tc>
                <w:tcPr>
                  <w:tcW w:w="467" w:type="pct"/>
                  <w:shd w:val="clear" w:color="auto" w:fill="auto"/>
                  <w:vAlign w:val="bottom"/>
                </w:tcPr>
                <w:p w:rsidR="00745FEA" w:rsidRPr="00DB0312" w:rsidRDefault="00745FEA" w:rsidP="00745FEA">
                  <w:pPr>
                    <w:pStyle w:val="TableBodyText"/>
                    <w:ind w:right="57"/>
                  </w:pPr>
                  <w:r w:rsidRPr="00DB0312">
                    <w:t>–</w:t>
                  </w:r>
                </w:p>
              </w:tc>
              <w:tc>
                <w:tcPr>
                  <w:tcW w:w="465" w:type="pct"/>
                  <w:shd w:val="clear" w:color="auto" w:fill="auto"/>
                  <w:vAlign w:val="bottom"/>
                </w:tcPr>
                <w:p w:rsidR="00745FEA" w:rsidRPr="00DB0312" w:rsidRDefault="00745FEA" w:rsidP="00745FEA">
                  <w:pPr>
                    <w:pStyle w:val="TableBodyText"/>
                    <w:ind w:right="57"/>
                  </w:pPr>
                  <w:r w:rsidRPr="00DB0312">
                    <w:t>–</w:t>
                  </w:r>
                </w:p>
              </w:tc>
            </w:tr>
            <w:tr w:rsidR="00745FEA" w:rsidTr="00745FEA">
              <w:tc>
                <w:tcPr>
                  <w:tcW w:w="2200" w:type="pct"/>
                  <w:shd w:val="clear" w:color="auto" w:fill="auto"/>
                </w:tcPr>
                <w:p w:rsidR="00745FEA" w:rsidRPr="008E6AF0" w:rsidRDefault="00745FEA" w:rsidP="00745FEA">
                  <w:pPr>
                    <w:pStyle w:val="TableBodyText"/>
                    <w:spacing w:after="0"/>
                    <w:ind w:left="227" w:right="0"/>
                    <w:jc w:val="left"/>
                  </w:pPr>
                  <w:r w:rsidRPr="008E6AF0">
                    <w:t>R&amp;D tax concession</w:t>
                  </w:r>
                </w:p>
              </w:tc>
              <w:tc>
                <w:tcPr>
                  <w:tcW w:w="467" w:type="pct"/>
                  <w:vAlign w:val="bottom"/>
                </w:tcPr>
                <w:p w:rsidR="00745FEA" w:rsidRPr="00DB0312" w:rsidRDefault="00745FEA" w:rsidP="00745FEA">
                  <w:pPr>
                    <w:pStyle w:val="TableBodyText"/>
                    <w:ind w:right="57"/>
                  </w:pPr>
                  <w:r w:rsidRPr="00DB0312">
                    <w:t>7.4</w:t>
                  </w:r>
                </w:p>
              </w:tc>
              <w:tc>
                <w:tcPr>
                  <w:tcW w:w="467" w:type="pct"/>
                  <w:vAlign w:val="bottom"/>
                </w:tcPr>
                <w:p w:rsidR="00745FEA" w:rsidRPr="00DB0312" w:rsidRDefault="00745FEA" w:rsidP="00745FEA">
                  <w:pPr>
                    <w:pStyle w:val="TableBodyText"/>
                    <w:ind w:right="57"/>
                  </w:pPr>
                  <w:r w:rsidRPr="00DB0312">
                    <w:t>3.3</w:t>
                  </w:r>
                </w:p>
              </w:tc>
              <w:tc>
                <w:tcPr>
                  <w:tcW w:w="467" w:type="pct"/>
                  <w:vAlign w:val="bottom"/>
                </w:tcPr>
                <w:p w:rsidR="00745FEA" w:rsidRPr="00DB0312" w:rsidRDefault="00745FEA" w:rsidP="00745FEA">
                  <w:pPr>
                    <w:pStyle w:val="TableBodyText"/>
                    <w:ind w:right="57"/>
                  </w:pPr>
                  <w:r w:rsidRPr="00DB0312">
                    <w:t>1.1</w:t>
                  </w:r>
                </w:p>
              </w:tc>
              <w:tc>
                <w:tcPr>
                  <w:tcW w:w="467" w:type="pct"/>
                  <w:vAlign w:val="bottom"/>
                </w:tcPr>
                <w:p w:rsidR="00745FEA" w:rsidRPr="00DB0312" w:rsidRDefault="00745FEA" w:rsidP="00745FEA">
                  <w:pPr>
                    <w:pStyle w:val="TableBodyText"/>
                    <w:ind w:right="57"/>
                  </w:pPr>
                  <w:r w:rsidRPr="00DB0312">
                    <w:t>0.2</w:t>
                  </w:r>
                </w:p>
              </w:tc>
              <w:tc>
                <w:tcPr>
                  <w:tcW w:w="467" w:type="pct"/>
                  <w:shd w:val="clear" w:color="auto" w:fill="auto"/>
                  <w:vAlign w:val="bottom"/>
                </w:tcPr>
                <w:p w:rsidR="00745FEA" w:rsidRPr="00DB0312" w:rsidRDefault="00745FEA" w:rsidP="00745FEA">
                  <w:pPr>
                    <w:pStyle w:val="TableBodyText"/>
                    <w:ind w:right="57"/>
                  </w:pPr>
                  <w:r w:rsidRPr="00DB0312">
                    <w:t>–</w:t>
                  </w:r>
                </w:p>
              </w:tc>
              <w:tc>
                <w:tcPr>
                  <w:tcW w:w="465" w:type="pct"/>
                  <w:shd w:val="clear" w:color="auto" w:fill="auto"/>
                  <w:vAlign w:val="bottom"/>
                </w:tcPr>
                <w:p w:rsidR="00745FEA" w:rsidRPr="00DB0312" w:rsidRDefault="00745FEA" w:rsidP="00745FEA">
                  <w:pPr>
                    <w:pStyle w:val="TableBodyText"/>
                    <w:ind w:right="57"/>
                  </w:pPr>
                  <w:r w:rsidRPr="00DB0312">
                    <w:t>–</w:t>
                  </w:r>
                </w:p>
              </w:tc>
            </w:tr>
            <w:tr w:rsidR="00745FEA" w:rsidTr="00745FEA">
              <w:tc>
                <w:tcPr>
                  <w:tcW w:w="2200" w:type="pct"/>
                  <w:shd w:val="clear" w:color="auto" w:fill="auto"/>
                </w:tcPr>
                <w:p w:rsidR="00745FEA" w:rsidRPr="008E6AF0" w:rsidRDefault="00745FEA" w:rsidP="00745FEA">
                  <w:pPr>
                    <w:pStyle w:val="TableBodyText"/>
                    <w:spacing w:after="0"/>
                    <w:ind w:left="227" w:right="0"/>
                    <w:jc w:val="left"/>
                  </w:pPr>
                  <w:r w:rsidRPr="008E6AF0">
                    <w:t>R&amp;D Tax Incentive - non-refundable tax offset</w:t>
                  </w:r>
                </w:p>
              </w:tc>
              <w:tc>
                <w:tcPr>
                  <w:tcW w:w="467" w:type="pct"/>
                  <w:vAlign w:val="bottom"/>
                </w:tcPr>
                <w:p w:rsidR="00745FEA" w:rsidRPr="00DB0312" w:rsidRDefault="00745FEA" w:rsidP="00745FEA">
                  <w:pPr>
                    <w:pStyle w:val="TableBodyText"/>
                    <w:ind w:right="57"/>
                  </w:pPr>
                  <w:r w:rsidRPr="00DB0312">
                    <w:t>–</w:t>
                  </w:r>
                </w:p>
              </w:tc>
              <w:tc>
                <w:tcPr>
                  <w:tcW w:w="467" w:type="pct"/>
                  <w:vAlign w:val="bottom"/>
                </w:tcPr>
                <w:p w:rsidR="00745FEA" w:rsidRPr="00DB0312" w:rsidRDefault="00745FEA" w:rsidP="00745FEA">
                  <w:pPr>
                    <w:pStyle w:val="TableBodyText"/>
                    <w:ind w:right="57"/>
                  </w:pPr>
                  <w:r w:rsidRPr="00DB0312">
                    <w:t>2.2</w:t>
                  </w:r>
                </w:p>
              </w:tc>
              <w:tc>
                <w:tcPr>
                  <w:tcW w:w="467" w:type="pct"/>
                  <w:vAlign w:val="bottom"/>
                </w:tcPr>
                <w:p w:rsidR="00745FEA" w:rsidRPr="00DB0312" w:rsidRDefault="00745FEA" w:rsidP="00745FEA">
                  <w:pPr>
                    <w:pStyle w:val="TableBodyText"/>
                    <w:ind w:right="57"/>
                  </w:pPr>
                  <w:r w:rsidRPr="00DB0312">
                    <w:t>4.3</w:t>
                  </w:r>
                </w:p>
              </w:tc>
              <w:tc>
                <w:tcPr>
                  <w:tcW w:w="467" w:type="pct"/>
                  <w:vAlign w:val="bottom"/>
                </w:tcPr>
                <w:p w:rsidR="00745FEA" w:rsidRPr="00DB0312" w:rsidRDefault="00745FEA" w:rsidP="00745FEA">
                  <w:pPr>
                    <w:pStyle w:val="TableBodyText"/>
                    <w:ind w:right="57"/>
                  </w:pPr>
                  <w:r w:rsidRPr="00DB0312">
                    <w:t>3.3</w:t>
                  </w:r>
                </w:p>
              </w:tc>
              <w:tc>
                <w:tcPr>
                  <w:tcW w:w="467" w:type="pct"/>
                  <w:shd w:val="clear" w:color="auto" w:fill="auto"/>
                  <w:vAlign w:val="bottom"/>
                </w:tcPr>
                <w:p w:rsidR="00745FEA" w:rsidRPr="00DB0312" w:rsidRDefault="00745FEA" w:rsidP="00745FEA">
                  <w:pPr>
                    <w:pStyle w:val="TableBodyText"/>
                    <w:ind w:right="57"/>
                  </w:pPr>
                  <w:r w:rsidRPr="00DB0312">
                    <w:t>5.4</w:t>
                  </w:r>
                </w:p>
              </w:tc>
              <w:tc>
                <w:tcPr>
                  <w:tcW w:w="465" w:type="pct"/>
                  <w:shd w:val="clear" w:color="auto" w:fill="auto"/>
                  <w:vAlign w:val="bottom"/>
                </w:tcPr>
                <w:p w:rsidR="00745FEA" w:rsidRDefault="00745FEA" w:rsidP="00745FEA">
                  <w:pPr>
                    <w:pStyle w:val="TableBodyText"/>
                    <w:ind w:right="57"/>
                  </w:pPr>
                  <w:r w:rsidRPr="00DB0312">
                    <w:t>10.0</w:t>
                  </w:r>
                </w:p>
              </w:tc>
            </w:tr>
            <w:tr w:rsidR="00745FEA" w:rsidTr="00745FEA">
              <w:tc>
                <w:tcPr>
                  <w:tcW w:w="2200" w:type="pct"/>
                  <w:shd w:val="clear" w:color="auto" w:fill="auto"/>
                </w:tcPr>
                <w:p w:rsidR="00745FEA" w:rsidRPr="00065E82" w:rsidRDefault="00745FEA" w:rsidP="00745FEA">
                  <w:pPr>
                    <w:pStyle w:val="TableBodyText"/>
                    <w:spacing w:before="40" w:after="0"/>
                    <w:ind w:left="113"/>
                    <w:jc w:val="left"/>
                    <w:rPr>
                      <w:i/>
                    </w:rPr>
                  </w:pPr>
                  <w:r w:rsidRPr="00065E82">
                    <w:rPr>
                      <w:i/>
                    </w:rPr>
                    <w:t>Other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Australian Government Innovation and Investment Fund - Tasmania</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0.1</w:t>
                  </w:r>
                </w:p>
              </w:tc>
              <w:tc>
                <w:tcPr>
                  <w:tcW w:w="467" w:type="pct"/>
                  <w:shd w:val="clear" w:color="auto" w:fill="auto"/>
                  <w:vAlign w:val="bottom"/>
                </w:tcPr>
                <w:p w:rsidR="00745FEA" w:rsidRPr="005E15A0" w:rsidRDefault="00745FEA" w:rsidP="00745FEA">
                  <w:pPr>
                    <w:pStyle w:val="TableBodyText"/>
                    <w:ind w:right="57"/>
                  </w:pPr>
                  <w:r w:rsidRPr="005E15A0">
                    <w:t>0.1</w:t>
                  </w:r>
                </w:p>
              </w:tc>
              <w:tc>
                <w:tcPr>
                  <w:tcW w:w="465" w:type="pct"/>
                  <w:shd w:val="clear" w:color="auto" w:fill="auto"/>
                  <w:vAlign w:val="bottom"/>
                </w:tcPr>
                <w:p w:rsidR="00745FEA" w:rsidRPr="005E15A0" w:rsidRDefault="00745FEA" w:rsidP="00745FEA">
                  <w:pPr>
                    <w:pStyle w:val="TableBodyText"/>
                    <w:ind w:right="57"/>
                  </w:pPr>
                  <w:r w:rsidRPr="005E15A0">
                    <w:t>&lt;0.1</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Enterprise Connect Innovation Centres</w:t>
                  </w:r>
                </w:p>
              </w:tc>
              <w:tc>
                <w:tcPr>
                  <w:tcW w:w="467" w:type="pct"/>
                  <w:vAlign w:val="bottom"/>
                </w:tcPr>
                <w:p w:rsidR="00745FEA" w:rsidRPr="005E15A0" w:rsidRDefault="00745FEA" w:rsidP="00745FEA">
                  <w:pPr>
                    <w:pStyle w:val="TableBodyText"/>
                    <w:ind w:right="57"/>
                  </w:pPr>
                  <w:r w:rsidRPr="005E15A0">
                    <w:t>0.4</w:t>
                  </w:r>
                </w:p>
              </w:tc>
              <w:tc>
                <w:tcPr>
                  <w:tcW w:w="467" w:type="pct"/>
                  <w:vAlign w:val="bottom"/>
                </w:tcPr>
                <w:p w:rsidR="00745FEA" w:rsidRPr="005E15A0" w:rsidRDefault="00745FEA" w:rsidP="00745FEA">
                  <w:pPr>
                    <w:pStyle w:val="TableBodyText"/>
                    <w:ind w:right="57"/>
                  </w:pPr>
                  <w:r w:rsidRPr="005E15A0">
                    <w:t>0.4</w:t>
                  </w:r>
                </w:p>
              </w:tc>
              <w:tc>
                <w:tcPr>
                  <w:tcW w:w="467" w:type="pct"/>
                  <w:vAlign w:val="bottom"/>
                </w:tcPr>
                <w:p w:rsidR="00745FEA" w:rsidRPr="005E15A0" w:rsidRDefault="00745FEA" w:rsidP="00745FEA">
                  <w:pPr>
                    <w:pStyle w:val="TableBodyText"/>
                    <w:ind w:right="57"/>
                  </w:pPr>
                  <w:r w:rsidRPr="005E15A0">
                    <w:t>0.4</w:t>
                  </w:r>
                </w:p>
              </w:tc>
              <w:tc>
                <w:tcPr>
                  <w:tcW w:w="467" w:type="pct"/>
                  <w:vAlign w:val="bottom"/>
                </w:tcPr>
                <w:p w:rsidR="00745FEA" w:rsidRPr="005E15A0" w:rsidRDefault="00745FEA" w:rsidP="00745FEA">
                  <w:pPr>
                    <w:pStyle w:val="TableBodyText"/>
                    <w:ind w:right="57"/>
                  </w:pPr>
                  <w:r w:rsidRPr="005E15A0">
                    <w:t>0.4</w:t>
                  </w:r>
                </w:p>
              </w:tc>
              <w:tc>
                <w:tcPr>
                  <w:tcW w:w="467" w:type="pct"/>
                  <w:shd w:val="clear" w:color="auto" w:fill="auto"/>
                  <w:vAlign w:val="bottom"/>
                </w:tcPr>
                <w:p w:rsidR="00745FEA" w:rsidRPr="005E15A0" w:rsidRDefault="00745FEA" w:rsidP="00745FEA">
                  <w:pPr>
                    <w:pStyle w:val="TableBodyText"/>
                    <w:ind w:right="57"/>
                  </w:pPr>
                  <w:r w:rsidRPr="005E15A0">
                    <w:t>0.1</w:t>
                  </w:r>
                </w:p>
              </w:tc>
              <w:tc>
                <w:tcPr>
                  <w:tcW w:w="465" w:type="pct"/>
                  <w:shd w:val="clear" w:color="auto" w:fill="auto"/>
                  <w:vAlign w:val="bottom"/>
                </w:tcPr>
                <w:p w:rsidR="00745FEA" w:rsidRPr="005E15A0" w:rsidRDefault="00745FEA" w:rsidP="00745FEA">
                  <w:pPr>
                    <w:pStyle w:val="TableBodyText"/>
                    <w:ind w:right="57"/>
                  </w:pPr>
                  <w:r w:rsidRPr="005E15A0">
                    <w:t>–</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Entrepreneurs’ Infrastructure Programme - Business Management Skills</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0.1</w:t>
                  </w:r>
                </w:p>
              </w:tc>
              <w:tc>
                <w:tcPr>
                  <w:tcW w:w="467" w:type="pct"/>
                  <w:shd w:val="clear" w:color="auto" w:fill="auto"/>
                  <w:vAlign w:val="bottom"/>
                </w:tcPr>
                <w:p w:rsidR="00745FEA" w:rsidRPr="005E15A0" w:rsidRDefault="00745FEA" w:rsidP="00745FEA">
                  <w:pPr>
                    <w:pStyle w:val="TableBodyText"/>
                    <w:ind w:right="57"/>
                  </w:pPr>
                  <w:r w:rsidRPr="005E15A0">
                    <w:t>0.2</w:t>
                  </w:r>
                </w:p>
              </w:tc>
              <w:tc>
                <w:tcPr>
                  <w:tcW w:w="465" w:type="pct"/>
                  <w:shd w:val="clear" w:color="auto" w:fill="auto"/>
                  <w:vAlign w:val="bottom"/>
                </w:tcPr>
                <w:p w:rsidR="00745FEA" w:rsidRPr="005E15A0" w:rsidRDefault="00745FEA" w:rsidP="00745FEA">
                  <w:pPr>
                    <w:pStyle w:val="TableBodyText"/>
                    <w:ind w:right="57"/>
                  </w:pPr>
                  <w:r w:rsidRPr="005E15A0">
                    <w:t>0.1</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South East South Australia Innovation and Investment Fund</w:t>
                  </w:r>
                </w:p>
              </w:tc>
              <w:tc>
                <w:tcPr>
                  <w:tcW w:w="467" w:type="pct"/>
                  <w:vAlign w:val="bottom"/>
                </w:tcPr>
                <w:p w:rsidR="00745FEA" w:rsidRPr="005E15A0" w:rsidRDefault="00745FEA" w:rsidP="00745FEA">
                  <w:pPr>
                    <w:pStyle w:val="TableBodyText"/>
                    <w:ind w:right="57"/>
                  </w:pPr>
                  <w:r w:rsidRPr="005E15A0">
                    <w:t>0.3</w:t>
                  </w:r>
                </w:p>
              </w:tc>
              <w:tc>
                <w:tcPr>
                  <w:tcW w:w="467" w:type="pct"/>
                  <w:vAlign w:val="bottom"/>
                </w:tcPr>
                <w:p w:rsidR="00745FEA" w:rsidRPr="005E15A0" w:rsidRDefault="00745FEA" w:rsidP="00745FEA">
                  <w:pPr>
                    <w:pStyle w:val="TableBodyText"/>
                    <w:ind w:right="57"/>
                  </w:pPr>
                  <w:r w:rsidRPr="005E15A0">
                    <w:t>0.6</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shd w:val="clear" w:color="auto" w:fill="auto"/>
                  <w:vAlign w:val="bottom"/>
                </w:tcPr>
                <w:p w:rsidR="00745FEA" w:rsidRPr="005E15A0" w:rsidRDefault="00745FEA" w:rsidP="00745FEA">
                  <w:pPr>
                    <w:pStyle w:val="TableBodyText"/>
                    <w:ind w:right="57"/>
                  </w:pPr>
                  <w:r w:rsidRPr="005E15A0">
                    <w:t>–</w:t>
                  </w:r>
                </w:p>
              </w:tc>
              <w:tc>
                <w:tcPr>
                  <w:tcW w:w="465" w:type="pct"/>
                  <w:shd w:val="clear" w:color="auto" w:fill="auto"/>
                  <w:vAlign w:val="bottom"/>
                </w:tcPr>
                <w:p w:rsidR="00745FEA" w:rsidRPr="005E15A0" w:rsidRDefault="00745FEA" w:rsidP="00745FEA">
                  <w:pPr>
                    <w:pStyle w:val="TableBodyText"/>
                    <w:ind w:right="57"/>
                  </w:pPr>
                  <w:r w:rsidRPr="005E15A0">
                    <w:t>–</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Tasmanian Innovation and Investment Fund</w:t>
                  </w:r>
                </w:p>
              </w:tc>
              <w:tc>
                <w:tcPr>
                  <w:tcW w:w="467" w:type="pct"/>
                  <w:vAlign w:val="bottom"/>
                </w:tcPr>
                <w:p w:rsidR="00745FEA" w:rsidRPr="005E15A0" w:rsidRDefault="00745FEA" w:rsidP="00745FEA">
                  <w:pPr>
                    <w:pStyle w:val="TableBodyText"/>
                    <w:ind w:right="57"/>
                  </w:pPr>
                  <w:r w:rsidRPr="005E15A0">
                    <w:t>0.4</w:t>
                  </w:r>
                </w:p>
              </w:tc>
              <w:tc>
                <w:tcPr>
                  <w:tcW w:w="467" w:type="pct"/>
                  <w:vAlign w:val="bottom"/>
                </w:tcPr>
                <w:p w:rsidR="00745FEA" w:rsidRPr="005E15A0" w:rsidRDefault="00745FEA" w:rsidP="00745FEA">
                  <w:pPr>
                    <w:pStyle w:val="TableBodyText"/>
                    <w:ind w:right="57"/>
                  </w:pPr>
                  <w:r w:rsidRPr="005E15A0">
                    <w:t>0.3</w:t>
                  </w:r>
                </w:p>
              </w:tc>
              <w:tc>
                <w:tcPr>
                  <w:tcW w:w="467" w:type="pct"/>
                  <w:vAlign w:val="bottom"/>
                </w:tcPr>
                <w:p w:rsidR="00745FEA" w:rsidRPr="005E15A0" w:rsidRDefault="00745FEA" w:rsidP="00745FEA">
                  <w:pPr>
                    <w:pStyle w:val="TableBodyText"/>
                    <w:ind w:right="57"/>
                  </w:pPr>
                  <w:r w:rsidRPr="005E15A0">
                    <w:t>0.1</w:t>
                  </w:r>
                </w:p>
              </w:tc>
              <w:tc>
                <w:tcPr>
                  <w:tcW w:w="467" w:type="pct"/>
                  <w:vAlign w:val="bottom"/>
                </w:tcPr>
                <w:p w:rsidR="00745FEA" w:rsidRPr="005E15A0" w:rsidRDefault="00745FEA" w:rsidP="00745FEA">
                  <w:pPr>
                    <w:pStyle w:val="TableBodyText"/>
                    <w:ind w:right="57"/>
                  </w:pPr>
                  <w:r w:rsidRPr="005E15A0">
                    <w:t>–</w:t>
                  </w:r>
                </w:p>
              </w:tc>
              <w:tc>
                <w:tcPr>
                  <w:tcW w:w="467" w:type="pct"/>
                  <w:shd w:val="clear" w:color="auto" w:fill="auto"/>
                  <w:vAlign w:val="bottom"/>
                </w:tcPr>
                <w:p w:rsidR="00745FEA" w:rsidRPr="005E15A0" w:rsidRDefault="00745FEA" w:rsidP="00745FEA">
                  <w:pPr>
                    <w:pStyle w:val="TableBodyText"/>
                    <w:ind w:right="57"/>
                  </w:pPr>
                  <w:r w:rsidRPr="005E15A0">
                    <w:t>–</w:t>
                  </w:r>
                </w:p>
              </w:tc>
              <w:tc>
                <w:tcPr>
                  <w:tcW w:w="465" w:type="pct"/>
                  <w:shd w:val="clear" w:color="auto" w:fill="auto"/>
                  <w:vAlign w:val="bottom"/>
                </w:tcPr>
                <w:p w:rsidR="00745FEA" w:rsidRPr="005E15A0" w:rsidRDefault="00745FEA" w:rsidP="00745FEA">
                  <w:pPr>
                    <w:pStyle w:val="TableBodyText"/>
                    <w:ind w:right="57"/>
                  </w:pPr>
                  <w:r w:rsidRPr="005E15A0">
                    <w:t>–</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Tasmanian Jobs and Investment Fund</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shd w:val="clear" w:color="auto" w:fill="auto"/>
                  <w:vAlign w:val="bottom"/>
                </w:tcPr>
                <w:p w:rsidR="00745FEA" w:rsidRPr="005E15A0" w:rsidRDefault="00745FEA" w:rsidP="00745FEA">
                  <w:pPr>
                    <w:pStyle w:val="TableBodyText"/>
                    <w:ind w:right="57"/>
                  </w:pPr>
                  <w:r w:rsidRPr="005E15A0">
                    <w:t>0.2</w:t>
                  </w:r>
                </w:p>
              </w:tc>
              <w:tc>
                <w:tcPr>
                  <w:tcW w:w="465" w:type="pct"/>
                  <w:shd w:val="clear" w:color="auto" w:fill="auto"/>
                  <w:vAlign w:val="bottom"/>
                </w:tcPr>
                <w:p w:rsidR="00745FEA" w:rsidRPr="005E15A0" w:rsidRDefault="00745FEA" w:rsidP="00745FEA">
                  <w:pPr>
                    <w:pStyle w:val="TableBodyText"/>
                    <w:ind w:right="57"/>
                  </w:pPr>
                  <w:r w:rsidRPr="005E15A0">
                    <w:t>0.1</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Small Business - Simplified depreciation rules</w:t>
                  </w:r>
                </w:p>
              </w:tc>
              <w:tc>
                <w:tcPr>
                  <w:tcW w:w="467" w:type="pct"/>
                  <w:vAlign w:val="bottom"/>
                </w:tcPr>
                <w:p w:rsidR="00745FEA" w:rsidRPr="005E15A0" w:rsidRDefault="00745FEA" w:rsidP="00745FEA">
                  <w:pPr>
                    <w:pStyle w:val="TableBodyText"/>
                    <w:ind w:right="57"/>
                  </w:pPr>
                  <w:r w:rsidRPr="005E15A0">
                    <w:t>&lt;0.1</w:t>
                  </w:r>
                </w:p>
              </w:tc>
              <w:tc>
                <w:tcPr>
                  <w:tcW w:w="467" w:type="pct"/>
                  <w:vAlign w:val="bottom"/>
                </w:tcPr>
                <w:p w:rsidR="00745FEA" w:rsidRPr="005E15A0" w:rsidRDefault="00745FEA" w:rsidP="00745FEA">
                  <w:pPr>
                    <w:pStyle w:val="TableBodyText"/>
                    <w:ind w:right="57"/>
                  </w:pPr>
                  <w:r w:rsidRPr="005E15A0">
                    <w:t>-0.2</w:t>
                  </w:r>
                </w:p>
              </w:tc>
              <w:tc>
                <w:tcPr>
                  <w:tcW w:w="467" w:type="pct"/>
                  <w:vAlign w:val="bottom"/>
                </w:tcPr>
                <w:p w:rsidR="00745FEA" w:rsidRPr="005E15A0" w:rsidRDefault="00745FEA" w:rsidP="00745FEA">
                  <w:pPr>
                    <w:pStyle w:val="TableBodyText"/>
                    <w:ind w:right="57"/>
                  </w:pPr>
                  <w:r w:rsidRPr="005E15A0">
                    <w:t>0.6</w:t>
                  </w:r>
                </w:p>
              </w:tc>
              <w:tc>
                <w:tcPr>
                  <w:tcW w:w="467" w:type="pct"/>
                  <w:vAlign w:val="bottom"/>
                </w:tcPr>
                <w:p w:rsidR="00745FEA" w:rsidRPr="005E15A0" w:rsidRDefault="00745FEA" w:rsidP="00745FEA">
                  <w:pPr>
                    <w:pStyle w:val="TableBodyText"/>
                    <w:ind w:right="57"/>
                  </w:pPr>
                  <w:r w:rsidRPr="005E15A0">
                    <w:t>-0.3</w:t>
                  </w:r>
                </w:p>
              </w:tc>
              <w:tc>
                <w:tcPr>
                  <w:tcW w:w="467" w:type="pct"/>
                  <w:shd w:val="clear" w:color="auto" w:fill="auto"/>
                  <w:vAlign w:val="bottom"/>
                </w:tcPr>
                <w:p w:rsidR="00745FEA" w:rsidRPr="005E15A0" w:rsidRDefault="00745FEA" w:rsidP="00745FEA">
                  <w:pPr>
                    <w:pStyle w:val="TableBodyText"/>
                    <w:ind w:right="57"/>
                  </w:pPr>
                  <w:r w:rsidRPr="005E15A0">
                    <w:t>-0.5</w:t>
                  </w:r>
                </w:p>
              </w:tc>
              <w:tc>
                <w:tcPr>
                  <w:tcW w:w="465" w:type="pct"/>
                  <w:shd w:val="clear" w:color="auto" w:fill="auto"/>
                  <w:vAlign w:val="bottom"/>
                </w:tcPr>
                <w:p w:rsidR="00745FEA" w:rsidRPr="005E15A0" w:rsidRDefault="00745FEA" w:rsidP="00745FEA">
                  <w:pPr>
                    <w:pStyle w:val="TableBodyText"/>
                    <w:ind w:right="57"/>
                  </w:pPr>
                  <w:r w:rsidRPr="005E15A0">
                    <w:t>3.2</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 xml:space="preserve">Small business </w:t>
                  </w:r>
                  <w:r>
                    <w:t>capital gains tax</w:t>
                  </w:r>
                  <w:r w:rsidRPr="0002204F">
                    <w:t xml:space="preserve"> retirement exemption</w:t>
                  </w:r>
                </w:p>
              </w:tc>
              <w:tc>
                <w:tcPr>
                  <w:tcW w:w="467" w:type="pct"/>
                  <w:vAlign w:val="bottom"/>
                </w:tcPr>
                <w:p w:rsidR="00745FEA" w:rsidRPr="005E15A0" w:rsidRDefault="00745FEA" w:rsidP="00745FEA">
                  <w:pPr>
                    <w:pStyle w:val="TableBodyText"/>
                    <w:ind w:right="57"/>
                  </w:pPr>
                  <w:r w:rsidRPr="005E15A0">
                    <w:t>1.6</w:t>
                  </w:r>
                </w:p>
              </w:tc>
              <w:tc>
                <w:tcPr>
                  <w:tcW w:w="467" w:type="pct"/>
                  <w:vAlign w:val="bottom"/>
                </w:tcPr>
                <w:p w:rsidR="00745FEA" w:rsidRPr="005E15A0" w:rsidRDefault="00745FEA" w:rsidP="00745FEA">
                  <w:pPr>
                    <w:pStyle w:val="TableBodyText"/>
                    <w:ind w:right="57"/>
                  </w:pPr>
                  <w:r w:rsidRPr="005E15A0">
                    <w:t>1.7</w:t>
                  </w:r>
                </w:p>
              </w:tc>
              <w:tc>
                <w:tcPr>
                  <w:tcW w:w="467" w:type="pct"/>
                  <w:vAlign w:val="bottom"/>
                </w:tcPr>
                <w:p w:rsidR="00745FEA" w:rsidRPr="005E15A0" w:rsidRDefault="00745FEA" w:rsidP="00745FEA">
                  <w:pPr>
                    <w:pStyle w:val="TableBodyText"/>
                    <w:ind w:right="57"/>
                  </w:pPr>
                  <w:r w:rsidRPr="005E15A0">
                    <w:t>1.7</w:t>
                  </w:r>
                </w:p>
              </w:tc>
              <w:tc>
                <w:tcPr>
                  <w:tcW w:w="467" w:type="pct"/>
                  <w:vAlign w:val="bottom"/>
                </w:tcPr>
                <w:p w:rsidR="00745FEA" w:rsidRPr="005E15A0" w:rsidRDefault="00745FEA" w:rsidP="00745FEA">
                  <w:pPr>
                    <w:pStyle w:val="TableBodyText"/>
                    <w:ind w:right="57"/>
                  </w:pPr>
                  <w:r w:rsidRPr="005E15A0">
                    <w:t>1.8</w:t>
                  </w:r>
                </w:p>
              </w:tc>
              <w:tc>
                <w:tcPr>
                  <w:tcW w:w="467" w:type="pct"/>
                  <w:shd w:val="clear" w:color="auto" w:fill="auto"/>
                  <w:vAlign w:val="bottom"/>
                </w:tcPr>
                <w:p w:rsidR="00745FEA" w:rsidRPr="005E15A0" w:rsidRDefault="00745FEA" w:rsidP="00745FEA">
                  <w:pPr>
                    <w:pStyle w:val="TableBodyText"/>
                    <w:ind w:right="57"/>
                  </w:pPr>
                  <w:r w:rsidRPr="005E15A0">
                    <w:t>1.9</w:t>
                  </w:r>
                </w:p>
              </w:tc>
              <w:tc>
                <w:tcPr>
                  <w:tcW w:w="465" w:type="pct"/>
                  <w:shd w:val="clear" w:color="auto" w:fill="auto"/>
                  <w:vAlign w:val="bottom"/>
                </w:tcPr>
                <w:p w:rsidR="00745FEA" w:rsidRPr="005E15A0" w:rsidRDefault="00745FEA" w:rsidP="00745FEA">
                  <w:pPr>
                    <w:pStyle w:val="TableBodyText"/>
                    <w:ind w:right="57"/>
                  </w:pPr>
                  <w:r w:rsidRPr="005E15A0">
                    <w:t>1.9</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 xml:space="preserve">Small business </w:t>
                  </w:r>
                  <w:r>
                    <w:t>capital gains tax</w:t>
                  </w:r>
                  <w:r w:rsidRPr="0002204F">
                    <w:t xml:space="preserve"> 50 per cent reduction</w:t>
                  </w:r>
                </w:p>
              </w:tc>
              <w:tc>
                <w:tcPr>
                  <w:tcW w:w="467" w:type="pct"/>
                  <w:vAlign w:val="bottom"/>
                </w:tcPr>
                <w:p w:rsidR="00745FEA" w:rsidRPr="005E15A0" w:rsidRDefault="00745FEA" w:rsidP="00745FEA">
                  <w:pPr>
                    <w:pStyle w:val="TableBodyText"/>
                    <w:ind w:right="57"/>
                  </w:pPr>
                  <w:r w:rsidRPr="005E15A0">
                    <w:t>1.9</w:t>
                  </w:r>
                </w:p>
              </w:tc>
              <w:tc>
                <w:tcPr>
                  <w:tcW w:w="467" w:type="pct"/>
                  <w:vAlign w:val="bottom"/>
                </w:tcPr>
                <w:p w:rsidR="00745FEA" w:rsidRPr="005E15A0" w:rsidRDefault="00745FEA" w:rsidP="00745FEA">
                  <w:pPr>
                    <w:pStyle w:val="TableBodyText"/>
                    <w:ind w:right="57"/>
                  </w:pPr>
                  <w:r w:rsidRPr="005E15A0">
                    <w:t>2.0</w:t>
                  </w:r>
                </w:p>
              </w:tc>
              <w:tc>
                <w:tcPr>
                  <w:tcW w:w="467" w:type="pct"/>
                  <w:vAlign w:val="bottom"/>
                </w:tcPr>
                <w:p w:rsidR="00745FEA" w:rsidRPr="005E15A0" w:rsidRDefault="00745FEA" w:rsidP="00745FEA">
                  <w:pPr>
                    <w:pStyle w:val="TableBodyText"/>
                    <w:ind w:right="57"/>
                  </w:pPr>
                  <w:r w:rsidRPr="005E15A0">
                    <w:t>2.0</w:t>
                  </w:r>
                </w:p>
              </w:tc>
              <w:tc>
                <w:tcPr>
                  <w:tcW w:w="467" w:type="pct"/>
                  <w:vAlign w:val="bottom"/>
                </w:tcPr>
                <w:p w:rsidR="00745FEA" w:rsidRPr="005E15A0" w:rsidRDefault="00745FEA" w:rsidP="00745FEA">
                  <w:pPr>
                    <w:pStyle w:val="TableBodyText"/>
                    <w:ind w:right="57"/>
                  </w:pPr>
                  <w:r w:rsidRPr="005E15A0">
                    <w:t>1.5</w:t>
                  </w:r>
                </w:p>
              </w:tc>
              <w:tc>
                <w:tcPr>
                  <w:tcW w:w="467" w:type="pct"/>
                  <w:shd w:val="clear" w:color="auto" w:fill="auto"/>
                  <w:vAlign w:val="bottom"/>
                </w:tcPr>
                <w:p w:rsidR="00745FEA" w:rsidRPr="005E15A0" w:rsidRDefault="00745FEA" w:rsidP="00745FEA">
                  <w:pPr>
                    <w:pStyle w:val="TableBodyText"/>
                    <w:ind w:right="57"/>
                  </w:pPr>
                  <w:r w:rsidRPr="005E15A0">
                    <w:t>1.7</w:t>
                  </w:r>
                </w:p>
              </w:tc>
              <w:tc>
                <w:tcPr>
                  <w:tcW w:w="465" w:type="pct"/>
                  <w:shd w:val="clear" w:color="auto" w:fill="auto"/>
                  <w:vAlign w:val="bottom"/>
                </w:tcPr>
                <w:p w:rsidR="00745FEA" w:rsidRPr="005E15A0" w:rsidRDefault="00745FEA" w:rsidP="00745FEA">
                  <w:pPr>
                    <w:pStyle w:val="TableBodyText"/>
                    <w:ind w:right="57"/>
                  </w:pPr>
                  <w:r w:rsidRPr="005E15A0">
                    <w:t>1.3</w:t>
                  </w:r>
                </w:p>
              </w:tc>
            </w:tr>
            <w:tr w:rsidR="00745FEA" w:rsidTr="00745FEA">
              <w:tc>
                <w:tcPr>
                  <w:tcW w:w="2200" w:type="pct"/>
                  <w:shd w:val="clear" w:color="auto" w:fill="auto"/>
                </w:tcPr>
                <w:p w:rsidR="00745FEA" w:rsidRPr="0002204F" w:rsidRDefault="00745FEA" w:rsidP="00745FEA">
                  <w:pPr>
                    <w:pStyle w:val="TableBodyText"/>
                    <w:spacing w:after="0"/>
                    <w:ind w:left="227" w:right="0"/>
                    <w:jc w:val="left"/>
                  </w:pPr>
                  <w:r w:rsidRPr="0002204F">
                    <w:t>25 per cent entrepreneurs' tax offset</w:t>
                  </w:r>
                </w:p>
              </w:tc>
              <w:tc>
                <w:tcPr>
                  <w:tcW w:w="467" w:type="pct"/>
                  <w:vAlign w:val="bottom"/>
                </w:tcPr>
                <w:p w:rsidR="00745FEA" w:rsidRPr="005E15A0" w:rsidRDefault="00745FEA" w:rsidP="00745FEA">
                  <w:pPr>
                    <w:pStyle w:val="TableBodyText"/>
                    <w:ind w:right="57"/>
                  </w:pPr>
                  <w:r w:rsidRPr="005E15A0">
                    <w:t>0.3</w:t>
                  </w:r>
                </w:p>
              </w:tc>
              <w:tc>
                <w:tcPr>
                  <w:tcW w:w="467" w:type="pct"/>
                  <w:vAlign w:val="bottom"/>
                </w:tcPr>
                <w:p w:rsidR="00745FEA" w:rsidRPr="005E15A0" w:rsidRDefault="00745FEA" w:rsidP="00745FEA">
                  <w:pPr>
                    <w:pStyle w:val="TableBodyText"/>
                    <w:ind w:right="57"/>
                  </w:pPr>
                  <w:r w:rsidRPr="005E15A0">
                    <w:t>1.1</w:t>
                  </w:r>
                </w:p>
              </w:tc>
              <w:tc>
                <w:tcPr>
                  <w:tcW w:w="467" w:type="pct"/>
                  <w:vAlign w:val="bottom"/>
                </w:tcPr>
                <w:p w:rsidR="00745FEA" w:rsidRPr="005E15A0" w:rsidRDefault="00745FEA" w:rsidP="00745FEA">
                  <w:pPr>
                    <w:pStyle w:val="TableBodyText"/>
                    <w:ind w:right="57"/>
                  </w:pPr>
                  <w:r w:rsidRPr="005E15A0">
                    <w:t>–</w:t>
                  </w:r>
                </w:p>
              </w:tc>
              <w:tc>
                <w:tcPr>
                  <w:tcW w:w="467" w:type="pct"/>
                  <w:vAlign w:val="bottom"/>
                </w:tcPr>
                <w:p w:rsidR="00745FEA" w:rsidRPr="005E15A0" w:rsidRDefault="00745FEA" w:rsidP="00745FEA">
                  <w:pPr>
                    <w:pStyle w:val="TableBodyText"/>
                    <w:ind w:right="57"/>
                  </w:pPr>
                  <w:r w:rsidRPr="005E15A0">
                    <w:t>–</w:t>
                  </w:r>
                </w:p>
              </w:tc>
              <w:tc>
                <w:tcPr>
                  <w:tcW w:w="467" w:type="pct"/>
                  <w:shd w:val="clear" w:color="auto" w:fill="auto"/>
                  <w:vAlign w:val="bottom"/>
                </w:tcPr>
                <w:p w:rsidR="00745FEA" w:rsidRPr="005E15A0" w:rsidRDefault="00745FEA" w:rsidP="00745FEA">
                  <w:pPr>
                    <w:pStyle w:val="TableBodyText"/>
                    <w:ind w:right="57"/>
                  </w:pPr>
                  <w:r w:rsidRPr="005E15A0">
                    <w:t>–</w:t>
                  </w:r>
                </w:p>
              </w:tc>
              <w:tc>
                <w:tcPr>
                  <w:tcW w:w="465" w:type="pct"/>
                  <w:shd w:val="clear" w:color="auto" w:fill="auto"/>
                  <w:vAlign w:val="bottom"/>
                </w:tcPr>
                <w:p w:rsidR="00745FEA" w:rsidRDefault="00745FEA" w:rsidP="00745FEA">
                  <w:pPr>
                    <w:pStyle w:val="TableBodyText"/>
                    <w:ind w:right="57"/>
                  </w:pPr>
                  <w:r w:rsidRPr="005E15A0">
                    <w:t>–</w:t>
                  </w:r>
                </w:p>
              </w:tc>
            </w:tr>
            <w:tr w:rsidR="00745FEA" w:rsidRPr="00065E82" w:rsidTr="00745FEA">
              <w:tc>
                <w:tcPr>
                  <w:tcW w:w="2200" w:type="pct"/>
                  <w:shd w:val="clear" w:color="auto" w:fill="auto"/>
                </w:tcPr>
                <w:p w:rsidR="00745FEA" w:rsidRPr="00065E82" w:rsidRDefault="00745FEA" w:rsidP="00745FEA">
                  <w:pPr>
                    <w:pStyle w:val="TableBodyText"/>
                    <w:spacing w:before="20" w:after="20"/>
                    <w:jc w:val="left"/>
                    <w:rPr>
                      <w:i/>
                    </w:rPr>
                  </w:pPr>
                  <w:r w:rsidRPr="00065E82">
                    <w:rPr>
                      <w:i/>
                    </w:rPr>
                    <w:t>Total</w:t>
                  </w:r>
                </w:p>
              </w:tc>
              <w:tc>
                <w:tcPr>
                  <w:tcW w:w="467" w:type="pct"/>
                  <w:vAlign w:val="bottom"/>
                </w:tcPr>
                <w:p w:rsidR="00745FEA" w:rsidRPr="003C29A2" w:rsidRDefault="00745FEA" w:rsidP="00745FEA">
                  <w:pPr>
                    <w:pStyle w:val="TableBodyText"/>
                    <w:spacing w:before="20" w:after="20"/>
                    <w:ind w:left="0" w:right="57"/>
                    <w:rPr>
                      <w:i/>
                    </w:rPr>
                  </w:pPr>
                  <w:r>
                    <w:rPr>
                      <w:i/>
                    </w:rPr>
                    <w:t>17.3</w:t>
                  </w:r>
                </w:p>
              </w:tc>
              <w:tc>
                <w:tcPr>
                  <w:tcW w:w="467" w:type="pct"/>
                  <w:vAlign w:val="bottom"/>
                </w:tcPr>
                <w:p w:rsidR="00745FEA" w:rsidRPr="003C29A2" w:rsidRDefault="00745FEA" w:rsidP="00745FEA">
                  <w:pPr>
                    <w:pStyle w:val="TableBodyText"/>
                    <w:spacing w:before="20" w:after="20"/>
                    <w:ind w:left="0" w:right="57"/>
                    <w:rPr>
                      <w:i/>
                    </w:rPr>
                  </w:pPr>
                  <w:r>
                    <w:rPr>
                      <w:i/>
                    </w:rPr>
                    <w:t>29.0</w:t>
                  </w:r>
                </w:p>
              </w:tc>
              <w:tc>
                <w:tcPr>
                  <w:tcW w:w="467" w:type="pct"/>
                </w:tcPr>
                <w:p w:rsidR="00745FEA" w:rsidRPr="0033417C" w:rsidRDefault="00745FEA" w:rsidP="00745FEA">
                  <w:pPr>
                    <w:pStyle w:val="TableBodyText"/>
                    <w:spacing w:before="20" w:after="20"/>
                    <w:ind w:left="0" w:right="57"/>
                    <w:rPr>
                      <w:i/>
                    </w:rPr>
                  </w:pPr>
                  <w:r>
                    <w:rPr>
                      <w:i/>
                    </w:rPr>
                    <w:t>22.0</w:t>
                  </w:r>
                </w:p>
              </w:tc>
              <w:tc>
                <w:tcPr>
                  <w:tcW w:w="467" w:type="pct"/>
                </w:tcPr>
                <w:p w:rsidR="00745FEA" w:rsidRPr="0033417C" w:rsidRDefault="00745FEA" w:rsidP="00745FEA">
                  <w:pPr>
                    <w:pStyle w:val="TableBodyText"/>
                    <w:spacing w:before="20" w:after="20"/>
                    <w:ind w:left="0" w:right="57"/>
                    <w:rPr>
                      <w:i/>
                    </w:rPr>
                  </w:pPr>
                  <w:r>
                    <w:rPr>
                      <w:i/>
                    </w:rPr>
                    <w:t>19.6</w:t>
                  </w:r>
                </w:p>
              </w:tc>
              <w:tc>
                <w:tcPr>
                  <w:tcW w:w="467" w:type="pct"/>
                  <w:shd w:val="clear" w:color="auto" w:fill="auto"/>
                </w:tcPr>
                <w:p w:rsidR="00745FEA" w:rsidRPr="0033417C" w:rsidRDefault="00745FEA" w:rsidP="00745FEA">
                  <w:pPr>
                    <w:pStyle w:val="TableBodyText"/>
                    <w:spacing w:before="20" w:after="20"/>
                    <w:ind w:left="0" w:right="57"/>
                    <w:rPr>
                      <w:i/>
                    </w:rPr>
                  </w:pPr>
                  <w:r>
                    <w:rPr>
                      <w:i/>
                    </w:rPr>
                    <w:t>17.3</w:t>
                  </w:r>
                </w:p>
              </w:tc>
              <w:tc>
                <w:tcPr>
                  <w:tcW w:w="465" w:type="pct"/>
                  <w:shd w:val="clear" w:color="auto" w:fill="auto"/>
                </w:tcPr>
                <w:p w:rsidR="00745FEA" w:rsidRPr="0033417C" w:rsidRDefault="00745FEA" w:rsidP="00745FEA">
                  <w:pPr>
                    <w:pStyle w:val="TableBodyText"/>
                    <w:spacing w:before="20" w:after="20"/>
                    <w:ind w:left="0" w:right="57"/>
                    <w:rPr>
                      <w:i/>
                    </w:rPr>
                  </w:pPr>
                  <w:r>
                    <w:rPr>
                      <w:i/>
                    </w:rPr>
                    <w:t>30.2</w:t>
                  </w:r>
                </w:p>
              </w:tc>
            </w:tr>
            <w:tr w:rsidR="00745FEA" w:rsidTr="00745FEA">
              <w:tc>
                <w:tcPr>
                  <w:tcW w:w="2200" w:type="pct"/>
                  <w:shd w:val="clear" w:color="auto" w:fill="auto"/>
                </w:tcPr>
                <w:p w:rsidR="00745FEA" w:rsidRPr="000D784F" w:rsidRDefault="00745FEA" w:rsidP="00745FEA">
                  <w:pPr>
                    <w:pStyle w:val="TableBodyText"/>
                    <w:spacing w:before="40"/>
                    <w:jc w:val="left"/>
                    <w:rPr>
                      <w:b/>
                    </w:rPr>
                  </w:pPr>
                  <w:r w:rsidRPr="000D784F">
                    <w:rPr>
                      <w:b/>
                    </w:rPr>
                    <w:t>Printing and recorded media</w:t>
                  </w: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5" w:type="pct"/>
                  <w:shd w:val="clear" w:color="auto" w:fill="auto"/>
                  <w:vAlign w:val="bottom"/>
                </w:tcPr>
                <w:p w:rsidR="00745FEA" w:rsidRDefault="00745FEA" w:rsidP="00745FEA">
                  <w:pPr>
                    <w:pStyle w:val="TableBodyText"/>
                    <w:spacing w:before="40"/>
                    <w:ind w:right="57"/>
                  </w:pPr>
                </w:p>
              </w:tc>
            </w:tr>
            <w:tr w:rsidR="00745FEA" w:rsidTr="00745FEA">
              <w:tc>
                <w:tcPr>
                  <w:tcW w:w="2200" w:type="pct"/>
                  <w:shd w:val="clear" w:color="auto" w:fill="auto"/>
                </w:tcPr>
                <w:p w:rsidR="00745FEA" w:rsidRPr="00F128B8" w:rsidRDefault="00745FEA" w:rsidP="00745FEA">
                  <w:pPr>
                    <w:pStyle w:val="TableBodyText"/>
                    <w:spacing w:before="40" w:after="0"/>
                    <w:ind w:left="113"/>
                    <w:jc w:val="left"/>
                    <w:rPr>
                      <w:i/>
                    </w:rPr>
                  </w:pPr>
                  <w:r w:rsidRPr="00F128B8">
                    <w:rPr>
                      <w:i/>
                    </w:rPr>
                    <w:t>Sector-specific measures</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5"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4A398F" w:rsidRDefault="00745FEA" w:rsidP="00745FEA">
                  <w:pPr>
                    <w:pStyle w:val="TableBodyText"/>
                    <w:spacing w:after="0"/>
                    <w:ind w:left="227" w:right="0"/>
                    <w:jc w:val="left"/>
                  </w:pPr>
                  <w:r w:rsidRPr="004A398F">
                    <w:t>Clean Technology Investment - General Program</w:t>
                  </w:r>
                </w:p>
              </w:tc>
              <w:tc>
                <w:tcPr>
                  <w:tcW w:w="467" w:type="pct"/>
                  <w:vAlign w:val="bottom"/>
                </w:tcPr>
                <w:p w:rsidR="00745FEA" w:rsidRPr="00702EF2" w:rsidRDefault="00745FEA" w:rsidP="00745FEA">
                  <w:pPr>
                    <w:pStyle w:val="TableBodyText"/>
                    <w:ind w:right="57"/>
                  </w:pPr>
                  <w:r w:rsidRPr="00702EF2">
                    <w:t>–</w:t>
                  </w:r>
                </w:p>
              </w:tc>
              <w:tc>
                <w:tcPr>
                  <w:tcW w:w="467" w:type="pct"/>
                  <w:vAlign w:val="bottom"/>
                </w:tcPr>
                <w:p w:rsidR="00745FEA" w:rsidRPr="00702EF2" w:rsidRDefault="00745FEA" w:rsidP="00745FEA">
                  <w:pPr>
                    <w:pStyle w:val="TableBodyText"/>
                    <w:ind w:right="57"/>
                  </w:pPr>
                  <w:r w:rsidRPr="00702EF2">
                    <w:t>1.9</w:t>
                  </w:r>
                </w:p>
              </w:tc>
              <w:tc>
                <w:tcPr>
                  <w:tcW w:w="467" w:type="pct"/>
                  <w:vAlign w:val="bottom"/>
                </w:tcPr>
                <w:p w:rsidR="00745FEA" w:rsidRPr="00702EF2" w:rsidRDefault="00745FEA" w:rsidP="00745FEA">
                  <w:pPr>
                    <w:pStyle w:val="TableBodyText"/>
                    <w:ind w:right="57"/>
                  </w:pPr>
                  <w:r w:rsidRPr="00702EF2">
                    <w:t>3.1</w:t>
                  </w:r>
                </w:p>
              </w:tc>
              <w:tc>
                <w:tcPr>
                  <w:tcW w:w="467" w:type="pct"/>
                  <w:vAlign w:val="bottom"/>
                </w:tcPr>
                <w:p w:rsidR="00745FEA" w:rsidRPr="00702EF2" w:rsidRDefault="00745FEA" w:rsidP="00745FEA">
                  <w:pPr>
                    <w:pStyle w:val="TableBodyText"/>
                    <w:ind w:right="57"/>
                  </w:pPr>
                  <w:r w:rsidRPr="00702EF2">
                    <w:t>0.5</w:t>
                  </w:r>
                </w:p>
              </w:tc>
              <w:tc>
                <w:tcPr>
                  <w:tcW w:w="467" w:type="pct"/>
                  <w:shd w:val="clear" w:color="auto" w:fill="auto"/>
                  <w:vAlign w:val="bottom"/>
                </w:tcPr>
                <w:p w:rsidR="00745FEA" w:rsidRPr="00702EF2" w:rsidRDefault="00745FEA" w:rsidP="00745FEA">
                  <w:pPr>
                    <w:pStyle w:val="TableBodyText"/>
                    <w:ind w:right="57"/>
                  </w:pPr>
                  <w:r w:rsidRPr="00702EF2">
                    <w:t>–</w:t>
                  </w:r>
                </w:p>
              </w:tc>
              <w:tc>
                <w:tcPr>
                  <w:tcW w:w="465" w:type="pct"/>
                  <w:shd w:val="clear" w:color="auto" w:fill="auto"/>
                  <w:vAlign w:val="bottom"/>
                </w:tcPr>
                <w:p w:rsidR="00745FEA" w:rsidRDefault="00745FEA" w:rsidP="00745FEA">
                  <w:pPr>
                    <w:pStyle w:val="TableBodyText"/>
                    <w:ind w:right="57"/>
                  </w:pPr>
                  <w:r w:rsidRPr="00702EF2">
                    <w:t>–</w:t>
                  </w:r>
                </w:p>
              </w:tc>
            </w:tr>
            <w:tr w:rsidR="00745FEA" w:rsidTr="00745FEA">
              <w:tc>
                <w:tcPr>
                  <w:tcW w:w="2200" w:type="pct"/>
                  <w:shd w:val="clear" w:color="auto" w:fill="auto"/>
                </w:tcPr>
                <w:p w:rsidR="00745FEA" w:rsidRPr="00F128B8" w:rsidRDefault="00745FEA" w:rsidP="00745FEA">
                  <w:pPr>
                    <w:pStyle w:val="TableBodyText"/>
                    <w:spacing w:before="40" w:after="0"/>
                    <w:ind w:left="113"/>
                    <w:jc w:val="left"/>
                    <w:rPr>
                      <w:i/>
                    </w:rPr>
                  </w:pPr>
                  <w:r w:rsidRPr="00F128B8">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29566F" w:rsidRDefault="00745FEA" w:rsidP="00745FEA">
                  <w:pPr>
                    <w:pStyle w:val="TableBodyText"/>
                    <w:spacing w:after="0"/>
                    <w:ind w:left="227" w:right="0"/>
                    <w:jc w:val="left"/>
                  </w:pPr>
                  <w:r w:rsidRPr="0029566F">
                    <w:t>Export Market Development Grants Scheme</w:t>
                  </w:r>
                </w:p>
              </w:tc>
              <w:tc>
                <w:tcPr>
                  <w:tcW w:w="467" w:type="pct"/>
                  <w:vAlign w:val="bottom"/>
                </w:tcPr>
                <w:p w:rsidR="00745FEA" w:rsidRPr="007C456F" w:rsidRDefault="00745FEA" w:rsidP="00745FEA">
                  <w:pPr>
                    <w:pStyle w:val="TableBodyText"/>
                    <w:ind w:right="57"/>
                  </w:pPr>
                  <w:r w:rsidRPr="007C456F">
                    <w:t>0.2</w:t>
                  </w:r>
                </w:p>
              </w:tc>
              <w:tc>
                <w:tcPr>
                  <w:tcW w:w="467" w:type="pct"/>
                  <w:vAlign w:val="bottom"/>
                </w:tcPr>
                <w:p w:rsidR="00745FEA" w:rsidRPr="007C456F" w:rsidRDefault="00745FEA" w:rsidP="00745FEA">
                  <w:pPr>
                    <w:pStyle w:val="TableBodyText"/>
                    <w:ind w:right="57"/>
                  </w:pPr>
                  <w:r w:rsidRPr="007C456F">
                    <w:t>0.1</w:t>
                  </w:r>
                </w:p>
              </w:tc>
              <w:tc>
                <w:tcPr>
                  <w:tcW w:w="467" w:type="pct"/>
                  <w:vAlign w:val="bottom"/>
                </w:tcPr>
                <w:p w:rsidR="00745FEA" w:rsidRPr="007C456F" w:rsidRDefault="00745FEA" w:rsidP="00745FEA">
                  <w:pPr>
                    <w:pStyle w:val="TableBodyText"/>
                    <w:ind w:right="57"/>
                  </w:pPr>
                  <w:r w:rsidRPr="007C456F">
                    <w:t>0.2</w:t>
                  </w:r>
                </w:p>
              </w:tc>
              <w:tc>
                <w:tcPr>
                  <w:tcW w:w="467" w:type="pct"/>
                  <w:vAlign w:val="bottom"/>
                </w:tcPr>
                <w:p w:rsidR="00745FEA" w:rsidRPr="007C456F" w:rsidRDefault="00745FEA" w:rsidP="00745FEA">
                  <w:pPr>
                    <w:pStyle w:val="TableBodyText"/>
                    <w:ind w:right="57"/>
                  </w:pPr>
                  <w:r w:rsidRPr="007C456F">
                    <w:t>0.6</w:t>
                  </w:r>
                </w:p>
              </w:tc>
              <w:tc>
                <w:tcPr>
                  <w:tcW w:w="467" w:type="pct"/>
                  <w:shd w:val="clear" w:color="auto" w:fill="auto"/>
                  <w:vAlign w:val="bottom"/>
                </w:tcPr>
                <w:p w:rsidR="00745FEA" w:rsidRPr="007C456F" w:rsidRDefault="00745FEA" w:rsidP="00745FEA">
                  <w:pPr>
                    <w:pStyle w:val="TableBodyText"/>
                    <w:ind w:right="57"/>
                  </w:pPr>
                  <w:r w:rsidRPr="007C456F">
                    <w:t>0.7</w:t>
                  </w:r>
                </w:p>
              </w:tc>
              <w:tc>
                <w:tcPr>
                  <w:tcW w:w="465" w:type="pct"/>
                  <w:shd w:val="clear" w:color="auto" w:fill="auto"/>
                  <w:vAlign w:val="bottom"/>
                </w:tcPr>
                <w:p w:rsidR="00745FEA" w:rsidRPr="007C456F" w:rsidRDefault="00745FEA" w:rsidP="00745FEA">
                  <w:pPr>
                    <w:pStyle w:val="TableBodyText"/>
                    <w:ind w:right="57"/>
                  </w:pPr>
                  <w:r w:rsidRPr="007C456F">
                    <w:t>0.8</w:t>
                  </w:r>
                </w:p>
              </w:tc>
            </w:tr>
            <w:tr w:rsidR="00745FEA" w:rsidTr="00745FEA">
              <w:tc>
                <w:tcPr>
                  <w:tcW w:w="2200" w:type="pct"/>
                  <w:tcBorders>
                    <w:bottom w:val="single" w:sz="6" w:space="0" w:color="BFBFBF"/>
                  </w:tcBorders>
                  <w:shd w:val="clear" w:color="auto" w:fill="auto"/>
                </w:tcPr>
                <w:p w:rsidR="00745FEA" w:rsidRPr="000B44B1" w:rsidRDefault="00745FEA" w:rsidP="00745FEA">
                  <w:pPr>
                    <w:pStyle w:val="TableBodyText"/>
                    <w:ind w:left="227" w:right="0"/>
                    <w:jc w:val="left"/>
                  </w:pPr>
                  <w:r>
                    <w:t>TRADEX</w:t>
                  </w:r>
                </w:p>
              </w:tc>
              <w:tc>
                <w:tcPr>
                  <w:tcW w:w="467" w:type="pct"/>
                  <w:tcBorders>
                    <w:bottom w:val="single" w:sz="6" w:space="0" w:color="BFBFBF"/>
                  </w:tcBorders>
                  <w:vAlign w:val="bottom"/>
                </w:tcPr>
                <w:p w:rsidR="00745FEA" w:rsidRPr="007C456F" w:rsidRDefault="00745FEA" w:rsidP="00745FEA">
                  <w:pPr>
                    <w:pStyle w:val="TableBodyText"/>
                    <w:ind w:right="57"/>
                  </w:pPr>
                  <w:r w:rsidRPr="007C456F">
                    <w:t>0.1</w:t>
                  </w:r>
                </w:p>
              </w:tc>
              <w:tc>
                <w:tcPr>
                  <w:tcW w:w="467" w:type="pct"/>
                  <w:tcBorders>
                    <w:bottom w:val="single" w:sz="6" w:space="0" w:color="BFBFBF"/>
                  </w:tcBorders>
                  <w:vAlign w:val="bottom"/>
                </w:tcPr>
                <w:p w:rsidR="00745FEA" w:rsidRPr="007C456F" w:rsidRDefault="00745FEA" w:rsidP="00745FEA">
                  <w:pPr>
                    <w:pStyle w:val="TableBodyText"/>
                    <w:ind w:right="57"/>
                  </w:pPr>
                  <w:r w:rsidRPr="007C456F">
                    <w:t>0.1</w:t>
                  </w:r>
                </w:p>
              </w:tc>
              <w:tc>
                <w:tcPr>
                  <w:tcW w:w="467" w:type="pct"/>
                  <w:tcBorders>
                    <w:bottom w:val="single" w:sz="6" w:space="0" w:color="BFBFBF"/>
                  </w:tcBorders>
                  <w:vAlign w:val="bottom"/>
                </w:tcPr>
                <w:p w:rsidR="00745FEA" w:rsidRPr="007C456F" w:rsidRDefault="00745FEA" w:rsidP="00745FEA">
                  <w:pPr>
                    <w:pStyle w:val="TableBodyText"/>
                    <w:ind w:right="57"/>
                  </w:pPr>
                  <w:r w:rsidRPr="007C456F">
                    <w:t>0.1</w:t>
                  </w:r>
                </w:p>
              </w:tc>
              <w:tc>
                <w:tcPr>
                  <w:tcW w:w="467" w:type="pct"/>
                  <w:tcBorders>
                    <w:bottom w:val="single" w:sz="6" w:space="0" w:color="BFBFBF"/>
                  </w:tcBorders>
                  <w:vAlign w:val="bottom"/>
                </w:tcPr>
                <w:p w:rsidR="00745FEA" w:rsidRPr="007C456F" w:rsidRDefault="00745FEA" w:rsidP="00745FEA">
                  <w:pPr>
                    <w:pStyle w:val="TableBodyText"/>
                    <w:ind w:right="57"/>
                  </w:pPr>
                  <w:r w:rsidRPr="007C456F">
                    <w:t>0.2</w:t>
                  </w:r>
                </w:p>
              </w:tc>
              <w:tc>
                <w:tcPr>
                  <w:tcW w:w="467" w:type="pct"/>
                  <w:tcBorders>
                    <w:bottom w:val="single" w:sz="6" w:space="0" w:color="BFBFBF"/>
                  </w:tcBorders>
                  <w:shd w:val="clear" w:color="auto" w:fill="auto"/>
                  <w:vAlign w:val="bottom"/>
                </w:tcPr>
                <w:p w:rsidR="00745FEA" w:rsidRPr="007C456F" w:rsidRDefault="00745FEA" w:rsidP="00745FEA">
                  <w:pPr>
                    <w:pStyle w:val="TableBodyText"/>
                    <w:ind w:right="57"/>
                  </w:pPr>
                  <w:r w:rsidRPr="007C456F">
                    <w:t>0.2</w:t>
                  </w:r>
                </w:p>
              </w:tc>
              <w:tc>
                <w:tcPr>
                  <w:tcW w:w="465" w:type="pct"/>
                  <w:tcBorders>
                    <w:bottom w:val="single" w:sz="6" w:space="0" w:color="BFBFBF"/>
                  </w:tcBorders>
                  <w:shd w:val="clear" w:color="auto" w:fill="auto"/>
                  <w:vAlign w:val="bottom"/>
                </w:tcPr>
                <w:p w:rsidR="00745FEA" w:rsidRDefault="00745FEA" w:rsidP="00745FEA">
                  <w:pPr>
                    <w:pStyle w:val="TableBodyText"/>
                    <w:ind w:right="57"/>
                  </w:pPr>
                  <w:r w:rsidRPr="007C456F">
                    <w:t>0.2</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vAlign w:val="bottom"/>
          </w:tcPr>
          <w:p w:rsidR="00745FEA" w:rsidRDefault="00745FEA" w:rsidP="00745FEA">
            <w:pPr>
              <w:pStyle w:val="Source"/>
              <w:ind w:left="6499"/>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836"/>
              <w:gridCol w:w="794"/>
              <w:gridCol w:w="794"/>
              <w:gridCol w:w="794"/>
              <w:gridCol w:w="794"/>
              <w:gridCol w:w="750"/>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9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4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tcBorders>
                    <w:top w:val="single" w:sz="6" w:space="0" w:color="BFBFBF"/>
                  </w:tcBorders>
                </w:tcPr>
                <w:p w:rsidR="00745FEA" w:rsidRPr="00565C3F" w:rsidRDefault="00745FEA" w:rsidP="00745FEA">
                  <w:pPr>
                    <w:pStyle w:val="TableUnitsRow"/>
                    <w:spacing w:after="0"/>
                    <w:ind w:left="113"/>
                    <w:jc w:val="left"/>
                    <w:rPr>
                      <w:i/>
                    </w:rPr>
                  </w:pPr>
                  <w:r w:rsidRPr="00565C3F">
                    <w:rPr>
                      <w:i/>
                    </w:rPr>
                    <w:t>General R&amp;D measures</w:t>
                  </w:r>
                </w:p>
              </w:tc>
              <w:tc>
                <w:tcPr>
                  <w:tcW w:w="490"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42"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0" w:type="pct"/>
                  <w:shd w:val="clear" w:color="auto" w:fill="auto"/>
                </w:tcPr>
                <w:p w:rsidR="00745FEA" w:rsidRPr="000B44B1" w:rsidRDefault="00745FEA" w:rsidP="00745FEA">
                  <w:pPr>
                    <w:pStyle w:val="TableBodyText"/>
                    <w:spacing w:after="0"/>
                    <w:ind w:left="227" w:right="0"/>
                    <w:jc w:val="left"/>
                  </w:pPr>
                  <w:r w:rsidRPr="000B44B1">
                    <w:t>R&amp;D Tax Incentive - refundable tax offset</w:t>
                  </w:r>
                </w:p>
              </w:tc>
              <w:tc>
                <w:tcPr>
                  <w:tcW w:w="490" w:type="pct"/>
                  <w:vAlign w:val="bottom"/>
                </w:tcPr>
                <w:p w:rsidR="00745FEA" w:rsidRPr="00F20A89" w:rsidRDefault="00745FEA" w:rsidP="00745FEA">
                  <w:pPr>
                    <w:pStyle w:val="TableBodyText"/>
                    <w:ind w:right="57"/>
                  </w:pPr>
                  <w:r w:rsidRPr="00F20A89">
                    <w:t>–</w:t>
                  </w:r>
                </w:p>
              </w:tc>
              <w:tc>
                <w:tcPr>
                  <w:tcW w:w="467" w:type="pct"/>
                  <w:vAlign w:val="bottom"/>
                </w:tcPr>
                <w:p w:rsidR="00745FEA" w:rsidRPr="00F20A89" w:rsidRDefault="00745FEA" w:rsidP="00745FEA">
                  <w:pPr>
                    <w:pStyle w:val="TableBodyText"/>
                    <w:ind w:right="57"/>
                  </w:pPr>
                  <w:r w:rsidRPr="00F20A89">
                    <w:t>34.5</w:t>
                  </w:r>
                </w:p>
              </w:tc>
              <w:tc>
                <w:tcPr>
                  <w:tcW w:w="467" w:type="pct"/>
                  <w:vAlign w:val="bottom"/>
                </w:tcPr>
                <w:p w:rsidR="00745FEA" w:rsidRPr="00F20A89" w:rsidRDefault="00745FEA" w:rsidP="00745FEA">
                  <w:pPr>
                    <w:pStyle w:val="TableBodyText"/>
                    <w:ind w:right="57"/>
                  </w:pPr>
                  <w:r w:rsidRPr="00F20A89">
                    <w:t>33.4</w:t>
                  </w:r>
                </w:p>
              </w:tc>
              <w:tc>
                <w:tcPr>
                  <w:tcW w:w="467" w:type="pct"/>
                  <w:vAlign w:val="bottom"/>
                </w:tcPr>
                <w:p w:rsidR="00745FEA" w:rsidRPr="00F20A89" w:rsidRDefault="00745FEA" w:rsidP="00745FEA">
                  <w:pPr>
                    <w:pStyle w:val="TableBodyText"/>
                    <w:ind w:right="57"/>
                  </w:pPr>
                  <w:r w:rsidRPr="00F20A89">
                    <w:t>44.6</w:t>
                  </w:r>
                </w:p>
              </w:tc>
              <w:tc>
                <w:tcPr>
                  <w:tcW w:w="467" w:type="pct"/>
                  <w:shd w:val="clear" w:color="auto" w:fill="auto"/>
                  <w:vAlign w:val="bottom"/>
                </w:tcPr>
                <w:p w:rsidR="00745FEA" w:rsidRPr="00F20A89" w:rsidRDefault="00745FEA" w:rsidP="00745FEA">
                  <w:pPr>
                    <w:pStyle w:val="TableBodyText"/>
                    <w:ind w:right="57"/>
                  </w:pPr>
                  <w:r w:rsidRPr="00F20A89">
                    <w:t>47.4</w:t>
                  </w:r>
                </w:p>
              </w:tc>
              <w:tc>
                <w:tcPr>
                  <w:tcW w:w="442" w:type="pct"/>
                  <w:shd w:val="clear" w:color="auto" w:fill="auto"/>
                  <w:vAlign w:val="bottom"/>
                </w:tcPr>
                <w:p w:rsidR="00745FEA" w:rsidRPr="00F20A89" w:rsidRDefault="00745FEA" w:rsidP="00745FEA">
                  <w:pPr>
                    <w:pStyle w:val="TableBodyText"/>
                    <w:ind w:right="57"/>
                  </w:pPr>
                  <w:r w:rsidRPr="00F20A89">
                    <w:t>57.4</w:t>
                  </w:r>
                </w:p>
              </w:tc>
            </w:tr>
            <w:tr w:rsidR="00745FEA" w:rsidTr="00745FEA">
              <w:tc>
                <w:tcPr>
                  <w:tcW w:w="2200" w:type="pct"/>
                  <w:shd w:val="clear" w:color="auto" w:fill="auto"/>
                </w:tcPr>
                <w:p w:rsidR="00745FEA" w:rsidRPr="000B44B1" w:rsidRDefault="00745FEA" w:rsidP="00745FEA">
                  <w:pPr>
                    <w:pStyle w:val="TableBodyText"/>
                    <w:spacing w:after="0"/>
                    <w:ind w:left="227" w:right="0"/>
                    <w:jc w:val="left"/>
                  </w:pPr>
                  <w:r w:rsidRPr="000B44B1">
                    <w:t>R&amp;D tax offsets - Refundable</w:t>
                  </w:r>
                </w:p>
              </w:tc>
              <w:tc>
                <w:tcPr>
                  <w:tcW w:w="490" w:type="pct"/>
                  <w:vAlign w:val="bottom"/>
                </w:tcPr>
                <w:p w:rsidR="00745FEA" w:rsidRPr="00F20A89" w:rsidRDefault="00745FEA" w:rsidP="00745FEA">
                  <w:pPr>
                    <w:pStyle w:val="TableBodyText"/>
                    <w:ind w:right="57"/>
                  </w:pPr>
                  <w:r w:rsidRPr="00F20A89">
                    <w:t>2.6</w:t>
                  </w:r>
                </w:p>
              </w:tc>
              <w:tc>
                <w:tcPr>
                  <w:tcW w:w="467" w:type="pct"/>
                  <w:vAlign w:val="bottom"/>
                </w:tcPr>
                <w:p w:rsidR="00745FEA" w:rsidRPr="00F20A89" w:rsidRDefault="00745FEA" w:rsidP="00745FEA">
                  <w:pPr>
                    <w:pStyle w:val="TableBodyText"/>
                    <w:ind w:right="57"/>
                  </w:pPr>
                  <w:r w:rsidRPr="00F20A89">
                    <w:t>–</w:t>
                  </w:r>
                </w:p>
              </w:tc>
              <w:tc>
                <w:tcPr>
                  <w:tcW w:w="467" w:type="pct"/>
                  <w:vAlign w:val="bottom"/>
                </w:tcPr>
                <w:p w:rsidR="00745FEA" w:rsidRPr="00F20A89" w:rsidRDefault="00745FEA" w:rsidP="00745FEA">
                  <w:pPr>
                    <w:pStyle w:val="TableBodyText"/>
                    <w:ind w:right="57"/>
                  </w:pPr>
                  <w:r w:rsidRPr="00F20A89">
                    <w:t>–</w:t>
                  </w:r>
                </w:p>
              </w:tc>
              <w:tc>
                <w:tcPr>
                  <w:tcW w:w="467" w:type="pct"/>
                  <w:vAlign w:val="bottom"/>
                </w:tcPr>
                <w:p w:rsidR="00745FEA" w:rsidRPr="00F20A89" w:rsidRDefault="00745FEA" w:rsidP="00745FEA">
                  <w:pPr>
                    <w:pStyle w:val="TableBodyText"/>
                    <w:ind w:right="57"/>
                  </w:pPr>
                  <w:r w:rsidRPr="00F20A89">
                    <w:t>–</w:t>
                  </w:r>
                </w:p>
              </w:tc>
              <w:tc>
                <w:tcPr>
                  <w:tcW w:w="467" w:type="pct"/>
                  <w:shd w:val="clear" w:color="auto" w:fill="auto"/>
                  <w:vAlign w:val="bottom"/>
                </w:tcPr>
                <w:p w:rsidR="00745FEA" w:rsidRPr="00F20A89" w:rsidRDefault="00745FEA" w:rsidP="00745FEA">
                  <w:pPr>
                    <w:pStyle w:val="TableBodyText"/>
                    <w:ind w:right="57"/>
                  </w:pPr>
                  <w:r w:rsidRPr="00F20A89">
                    <w:t>–</w:t>
                  </w:r>
                </w:p>
              </w:tc>
              <w:tc>
                <w:tcPr>
                  <w:tcW w:w="442" w:type="pct"/>
                  <w:shd w:val="clear" w:color="auto" w:fill="auto"/>
                  <w:vAlign w:val="bottom"/>
                </w:tcPr>
                <w:p w:rsidR="00745FEA" w:rsidRPr="00F20A89" w:rsidRDefault="00745FEA" w:rsidP="00745FEA">
                  <w:pPr>
                    <w:pStyle w:val="TableBodyText"/>
                    <w:ind w:right="57"/>
                  </w:pPr>
                  <w:r w:rsidRPr="00F20A89">
                    <w:t>–</w:t>
                  </w:r>
                </w:p>
              </w:tc>
            </w:tr>
            <w:tr w:rsidR="00745FEA" w:rsidTr="00745FEA">
              <w:tc>
                <w:tcPr>
                  <w:tcW w:w="2200" w:type="pct"/>
                  <w:shd w:val="clear" w:color="auto" w:fill="auto"/>
                </w:tcPr>
                <w:p w:rsidR="00745FEA" w:rsidRPr="000B44B1" w:rsidRDefault="00745FEA" w:rsidP="00745FEA">
                  <w:pPr>
                    <w:pStyle w:val="TableBodyText"/>
                    <w:spacing w:after="0"/>
                    <w:ind w:left="227" w:right="0"/>
                    <w:jc w:val="left"/>
                  </w:pPr>
                  <w:r w:rsidRPr="000B44B1">
                    <w:t>Premium R&amp;D tax concession</w:t>
                  </w:r>
                </w:p>
              </w:tc>
              <w:tc>
                <w:tcPr>
                  <w:tcW w:w="490" w:type="pct"/>
                  <w:vAlign w:val="bottom"/>
                </w:tcPr>
                <w:p w:rsidR="00745FEA" w:rsidRPr="00F20A89" w:rsidRDefault="00745FEA" w:rsidP="00745FEA">
                  <w:pPr>
                    <w:pStyle w:val="TableBodyText"/>
                    <w:ind w:right="57"/>
                  </w:pPr>
                  <w:r w:rsidRPr="00F20A89">
                    <w:t>1.1</w:t>
                  </w:r>
                </w:p>
              </w:tc>
              <w:tc>
                <w:tcPr>
                  <w:tcW w:w="467" w:type="pct"/>
                  <w:vAlign w:val="bottom"/>
                </w:tcPr>
                <w:p w:rsidR="00745FEA" w:rsidRPr="00F20A89" w:rsidRDefault="00745FEA" w:rsidP="00745FEA">
                  <w:pPr>
                    <w:pStyle w:val="TableBodyText"/>
                    <w:ind w:right="57"/>
                  </w:pPr>
                  <w:r w:rsidRPr="00F20A89">
                    <w:t>0.3</w:t>
                  </w:r>
                </w:p>
              </w:tc>
              <w:tc>
                <w:tcPr>
                  <w:tcW w:w="467" w:type="pct"/>
                  <w:vAlign w:val="bottom"/>
                </w:tcPr>
                <w:p w:rsidR="00745FEA" w:rsidRPr="00F20A89" w:rsidRDefault="00745FEA" w:rsidP="00745FEA">
                  <w:pPr>
                    <w:pStyle w:val="TableBodyText"/>
                    <w:ind w:right="57"/>
                  </w:pPr>
                  <w:r w:rsidRPr="00F20A89">
                    <w:t>0.1</w:t>
                  </w:r>
                </w:p>
              </w:tc>
              <w:tc>
                <w:tcPr>
                  <w:tcW w:w="467" w:type="pct"/>
                  <w:vAlign w:val="bottom"/>
                </w:tcPr>
                <w:p w:rsidR="00745FEA" w:rsidRPr="00F20A89" w:rsidRDefault="00745FEA" w:rsidP="00745FEA">
                  <w:pPr>
                    <w:pStyle w:val="TableBodyText"/>
                    <w:ind w:right="57"/>
                  </w:pPr>
                  <w:r w:rsidRPr="00F20A89">
                    <w:t>–</w:t>
                  </w:r>
                </w:p>
              </w:tc>
              <w:tc>
                <w:tcPr>
                  <w:tcW w:w="467" w:type="pct"/>
                  <w:shd w:val="clear" w:color="auto" w:fill="auto"/>
                  <w:vAlign w:val="bottom"/>
                </w:tcPr>
                <w:p w:rsidR="00745FEA" w:rsidRPr="00F20A89" w:rsidRDefault="00745FEA" w:rsidP="00745FEA">
                  <w:pPr>
                    <w:pStyle w:val="TableBodyText"/>
                    <w:ind w:right="57"/>
                  </w:pPr>
                  <w:r w:rsidRPr="00F20A89">
                    <w:t>–</w:t>
                  </w:r>
                </w:p>
              </w:tc>
              <w:tc>
                <w:tcPr>
                  <w:tcW w:w="442" w:type="pct"/>
                  <w:shd w:val="clear" w:color="auto" w:fill="auto"/>
                  <w:vAlign w:val="bottom"/>
                </w:tcPr>
                <w:p w:rsidR="00745FEA" w:rsidRPr="00F20A89" w:rsidRDefault="00745FEA" w:rsidP="00745FEA">
                  <w:pPr>
                    <w:pStyle w:val="TableBodyText"/>
                    <w:ind w:right="57"/>
                  </w:pPr>
                  <w:r w:rsidRPr="00F20A89">
                    <w:t>–</w:t>
                  </w:r>
                </w:p>
              </w:tc>
            </w:tr>
            <w:tr w:rsidR="00745FEA" w:rsidTr="00745FEA">
              <w:tc>
                <w:tcPr>
                  <w:tcW w:w="2200" w:type="pct"/>
                  <w:shd w:val="clear" w:color="auto" w:fill="auto"/>
                </w:tcPr>
                <w:p w:rsidR="00745FEA" w:rsidRPr="000B44B1" w:rsidRDefault="00745FEA" w:rsidP="00745FEA">
                  <w:pPr>
                    <w:pStyle w:val="TableBodyText"/>
                    <w:spacing w:after="0"/>
                    <w:ind w:left="227" w:right="0"/>
                    <w:jc w:val="left"/>
                  </w:pPr>
                  <w:r w:rsidRPr="000B44B1">
                    <w:t>R&amp;D tax concession</w:t>
                  </w:r>
                </w:p>
              </w:tc>
              <w:tc>
                <w:tcPr>
                  <w:tcW w:w="490" w:type="pct"/>
                  <w:vAlign w:val="bottom"/>
                </w:tcPr>
                <w:p w:rsidR="00745FEA" w:rsidRPr="00F20A89" w:rsidRDefault="00745FEA" w:rsidP="00745FEA">
                  <w:pPr>
                    <w:pStyle w:val="TableBodyText"/>
                    <w:ind w:right="57"/>
                  </w:pPr>
                  <w:r w:rsidRPr="00F20A89">
                    <w:t>2.1</w:t>
                  </w:r>
                </w:p>
              </w:tc>
              <w:tc>
                <w:tcPr>
                  <w:tcW w:w="467" w:type="pct"/>
                  <w:vAlign w:val="bottom"/>
                </w:tcPr>
                <w:p w:rsidR="00745FEA" w:rsidRPr="00F20A89" w:rsidRDefault="00745FEA" w:rsidP="00745FEA">
                  <w:pPr>
                    <w:pStyle w:val="TableBodyText"/>
                    <w:ind w:right="57"/>
                  </w:pPr>
                  <w:r w:rsidRPr="00F20A89">
                    <w:t>0.9</w:t>
                  </w:r>
                </w:p>
              </w:tc>
              <w:tc>
                <w:tcPr>
                  <w:tcW w:w="467" w:type="pct"/>
                  <w:vAlign w:val="bottom"/>
                </w:tcPr>
                <w:p w:rsidR="00745FEA" w:rsidRPr="00F20A89" w:rsidRDefault="00745FEA" w:rsidP="00745FEA">
                  <w:pPr>
                    <w:pStyle w:val="TableBodyText"/>
                    <w:ind w:right="57"/>
                  </w:pPr>
                  <w:r w:rsidRPr="00F20A89">
                    <w:t>0.3</w:t>
                  </w:r>
                </w:p>
              </w:tc>
              <w:tc>
                <w:tcPr>
                  <w:tcW w:w="467" w:type="pct"/>
                  <w:vAlign w:val="bottom"/>
                </w:tcPr>
                <w:p w:rsidR="00745FEA" w:rsidRPr="00F20A89" w:rsidRDefault="00745FEA" w:rsidP="00745FEA">
                  <w:pPr>
                    <w:pStyle w:val="TableBodyText"/>
                    <w:ind w:right="57"/>
                  </w:pPr>
                  <w:r w:rsidRPr="00F20A89">
                    <w:t>0.1</w:t>
                  </w:r>
                </w:p>
              </w:tc>
              <w:tc>
                <w:tcPr>
                  <w:tcW w:w="467" w:type="pct"/>
                  <w:shd w:val="clear" w:color="auto" w:fill="auto"/>
                  <w:vAlign w:val="bottom"/>
                </w:tcPr>
                <w:p w:rsidR="00745FEA" w:rsidRPr="00F20A89" w:rsidRDefault="00745FEA" w:rsidP="00745FEA">
                  <w:pPr>
                    <w:pStyle w:val="TableBodyText"/>
                    <w:ind w:right="57"/>
                  </w:pPr>
                  <w:r w:rsidRPr="00F20A89">
                    <w:t>–</w:t>
                  </w:r>
                </w:p>
              </w:tc>
              <w:tc>
                <w:tcPr>
                  <w:tcW w:w="442" w:type="pct"/>
                  <w:shd w:val="clear" w:color="auto" w:fill="auto"/>
                  <w:vAlign w:val="bottom"/>
                </w:tcPr>
                <w:p w:rsidR="00745FEA" w:rsidRPr="00F20A89" w:rsidRDefault="00745FEA" w:rsidP="00745FEA">
                  <w:pPr>
                    <w:pStyle w:val="TableBodyText"/>
                    <w:ind w:right="57"/>
                  </w:pPr>
                  <w:r w:rsidRPr="00F20A89">
                    <w:t>–</w:t>
                  </w:r>
                </w:p>
              </w:tc>
            </w:tr>
            <w:tr w:rsidR="00745FEA" w:rsidTr="00745FEA">
              <w:tc>
                <w:tcPr>
                  <w:tcW w:w="2200" w:type="pct"/>
                  <w:shd w:val="clear" w:color="auto" w:fill="auto"/>
                </w:tcPr>
                <w:p w:rsidR="00745FEA" w:rsidRPr="000B44B1" w:rsidRDefault="00745FEA" w:rsidP="00745FEA">
                  <w:pPr>
                    <w:pStyle w:val="TableBodyText"/>
                    <w:spacing w:after="0"/>
                    <w:ind w:left="227" w:right="0"/>
                    <w:jc w:val="left"/>
                  </w:pPr>
                  <w:r w:rsidRPr="000B44B1">
                    <w:t>R&amp;D Tax Incentive - non-refundable tax offset</w:t>
                  </w:r>
                </w:p>
              </w:tc>
              <w:tc>
                <w:tcPr>
                  <w:tcW w:w="490" w:type="pct"/>
                  <w:vAlign w:val="bottom"/>
                </w:tcPr>
                <w:p w:rsidR="00745FEA" w:rsidRPr="00F20A89" w:rsidRDefault="00745FEA" w:rsidP="00745FEA">
                  <w:pPr>
                    <w:pStyle w:val="TableBodyText"/>
                    <w:ind w:right="57"/>
                  </w:pPr>
                  <w:r w:rsidRPr="00F20A89">
                    <w:t>–</w:t>
                  </w:r>
                </w:p>
              </w:tc>
              <w:tc>
                <w:tcPr>
                  <w:tcW w:w="467" w:type="pct"/>
                  <w:vAlign w:val="bottom"/>
                </w:tcPr>
                <w:p w:rsidR="00745FEA" w:rsidRPr="00F20A89" w:rsidRDefault="00745FEA" w:rsidP="00745FEA">
                  <w:pPr>
                    <w:pStyle w:val="TableBodyText"/>
                    <w:ind w:right="57"/>
                  </w:pPr>
                  <w:r w:rsidRPr="00F20A89">
                    <w:t>1.3</w:t>
                  </w:r>
                </w:p>
              </w:tc>
              <w:tc>
                <w:tcPr>
                  <w:tcW w:w="467" w:type="pct"/>
                  <w:vAlign w:val="bottom"/>
                </w:tcPr>
                <w:p w:rsidR="00745FEA" w:rsidRPr="00F20A89" w:rsidRDefault="00745FEA" w:rsidP="00745FEA">
                  <w:pPr>
                    <w:pStyle w:val="TableBodyText"/>
                    <w:ind w:right="57"/>
                  </w:pPr>
                  <w:r w:rsidRPr="00F20A89">
                    <w:t>1.5</w:t>
                  </w:r>
                </w:p>
              </w:tc>
              <w:tc>
                <w:tcPr>
                  <w:tcW w:w="467" w:type="pct"/>
                  <w:vAlign w:val="bottom"/>
                </w:tcPr>
                <w:p w:rsidR="00745FEA" w:rsidRPr="00F20A89" w:rsidRDefault="00745FEA" w:rsidP="00745FEA">
                  <w:pPr>
                    <w:pStyle w:val="TableBodyText"/>
                    <w:ind w:right="57"/>
                  </w:pPr>
                  <w:r w:rsidRPr="00F20A89">
                    <w:t>1.0</w:t>
                  </w:r>
                </w:p>
              </w:tc>
              <w:tc>
                <w:tcPr>
                  <w:tcW w:w="467" w:type="pct"/>
                  <w:shd w:val="clear" w:color="auto" w:fill="auto"/>
                  <w:vAlign w:val="bottom"/>
                </w:tcPr>
                <w:p w:rsidR="00745FEA" w:rsidRPr="00F20A89" w:rsidRDefault="00745FEA" w:rsidP="00745FEA">
                  <w:pPr>
                    <w:pStyle w:val="TableBodyText"/>
                    <w:ind w:right="57"/>
                  </w:pPr>
                  <w:r w:rsidRPr="00F20A89">
                    <w:t>6.1</w:t>
                  </w:r>
                </w:p>
              </w:tc>
              <w:tc>
                <w:tcPr>
                  <w:tcW w:w="442" w:type="pct"/>
                  <w:shd w:val="clear" w:color="auto" w:fill="auto"/>
                  <w:vAlign w:val="bottom"/>
                </w:tcPr>
                <w:p w:rsidR="00745FEA" w:rsidRDefault="00745FEA" w:rsidP="00745FEA">
                  <w:pPr>
                    <w:pStyle w:val="TableBodyText"/>
                    <w:ind w:right="57"/>
                  </w:pPr>
                  <w:r w:rsidRPr="00F20A89">
                    <w:t>7.2</w:t>
                  </w:r>
                </w:p>
              </w:tc>
            </w:tr>
            <w:tr w:rsidR="00745FEA" w:rsidTr="00745FEA">
              <w:tc>
                <w:tcPr>
                  <w:tcW w:w="2200" w:type="pct"/>
                  <w:shd w:val="clear" w:color="auto" w:fill="auto"/>
                </w:tcPr>
                <w:p w:rsidR="00745FEA" w:rsidRPr="006A53DA" w:rsidRDefault="00745FEA" w:rsidP="00745FEA">
                  <w:pPr>
                    <w:pStyle w:val="TableBodyText"/>
                    <w:spacing w:before="40" w:after="0"/>
                    <w:ind w:left="113"/>
                    <w:jc w:val="left"/>
                    <w:rPr>
                      <w:i/>
                    </w:rPr>
                  </w:pPr>
                  <w:r w:rsidRPr="006A53DA">
                    <w:rPr>
                      <w:i/>
                    </w:rPr>
                    <w:t>Other measures</w:t>
                  </w:r>
                </w:p>
              </w:tc>
              <w:tc>
                <w:tcPr>
                  <w:tcW w:w="490"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42"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Enterprise Connect Innovation Centres</w:t>
                  </w:r>
                </w:p>
              </w:tc>
              <w:tc>
                <w:tcPr>
                  <w:tcW w:w="490" w:type="pct"/>
                  <w:vAlign w:val="bottom"/>
                </w:tcPr>
                <w:p w:rsidR="00745FEA" w:rsidRPr="004309A1" w:rsidRDefault="00745FEA" w:rsidP="00745FEA">
                  <w:pPr>
                    <w:pStyle w:val="TableBodyText"/>
                    <w:ind w:right="57"/>
                  </w:pPr>
                  <w:r w:rsidRPr="004309A1">
                    <w:t>0.2</w:t>
                  </w:r>
                </w:p>
              </w:tc>
              <w:tc>
                <w:tcPr>
                  <w:tcW w:w="467" w:type="pct"/>
                  <w:vAlign w:val="bottom"/>
                </w:tcPr>
                <w:p w:rsidR="00745FEA" w:rsidRPr="004309A1" w:rsidRDefault="00745FEA" w:rsidP="00745FEA">
                  <w:pPr>
                    <w:pStyle w:val="TableBodyText"/>
                    <w:ind w:right="57"/>
                  </w:pPr>
                  <w:r w:rsidRPr="004309A1">
                    <w:t>0.2</w:t>
                  </w:r>
                </w:p>
              </w:tc>
              <w:tc>
                <w:tcPr>
                  <w:tcW w:w="467" w:type="pct"/>
                  <w:vAlign w:val="bottom"/>
                </w:tcPr>
                <w:p w:rsidR="00745FEA" w:rsidRPr="004309A1" w:rsidRDefault="00745FEA" w:rsidP="00745FEA">
                  <w:pPr>
                    <w:pStyle w:val="TableBodyText"/>
                    <w:ind w:right="57"/>
                  </w:pPr>
                  <w:r w:rsidRPr="004309A1">
                    <w:t>0.2</w:t>
                  </w:r>
                </w:p>
              </w:tc>
              <w:tc>
                <w:tcPr>
                  <w:tcW w:w="467" w:type="pct"/>
                  <w:vAlign w:val="bottom"/>
                </w:tcPr>
                <w:p w:rsidR="00745FEA" w:rsidRPr="004309A1" w:rsidRDefault="00745FEA" w:rsidP="00745FEA">
                  <w:pPr>
                    <w:pStyle w:val="TableBodyText"/>
                    <w:ind w:right="57"/>
                  </w:pPr>
                  <w:r w:rsidRPr="004309A1">
                    <w:t>0.2</w:t>
                  </w:r>
                </w:p>
              </w:tc>
              <w:tc>
                <w:tcPr>
                  <w:tcW w:w="467" w:type="pct"/>
                  <w:shd w:val="clear" w:color="auto" w:fill="auto"/>
                  <w:vAlign w:val="bottom"/>
                </w:tcPr>
                <w:p w:rsidR="00745FEA" w:rsidRPr="004309A1" w:rsidRDefault="00745FEA" w:rsidP="00745FEA">
                  <w:pPr>
                    <w:pStyle w:val="TableBodyText"/>
                    <w:ind w:right="57"/>
                  </w:pPr>
                  <w:r w:rsidRPr="004309A1">
                    <w:t>&lt;0.1</w:t>
                  </w:r>
                </w:p>
              </w:tc>
              <w:tc>
                <w:tcPr>
                  <w:tcW w:w="442" w:type="pct"/>
                  <w:shd w:val="clear" w:color="auto" w:fill="auto"/>
                  <w:vAlign w:val="bottom"/>
                </w:tcPr>
                <w:p w:rsidR="00745FEA" w:rsidRPr="004309A1" w:rsidRDefault="00745FEA" w:rsidP="00745FEA">
                  <w:pPr>
                    <w:pStyle w:val="TableBodyText"/>
                    <w:ind w:right="57"/>
                  </w:pPr>
                  <w:r w:rsidRPr="004309A1">
                    <w:t>–</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Entrepreneurs’ Infrastructure Programme - Business Management Skills</w:t>
                  </w:r>
                </w:p>
              </w:tc>
              <w:tc>
                <w:tcPr>
                  <w:tcW w:w="490" w:type="pct"/>
                  <w:vAlign w:val="bottom"/>
                </w:tcPr>
                <w:p w:rsidR="00745FEA" w:rsidRPr="004309A1" w:rsidRDefault="00745FEA" w:rsidP="00745FEA">
                  <w:pPr>
                    <w:pStyle w:val="TableBodyText"/>
                    <w:ind w:right="57"/>
                  </w:pPr>
                  <w:r w:rsidRPr="004309A1">
                    <w:t>–</w:t>
                  </w:r>
                </w:p>
              </w:tc>
              <w:tc>
                <w:tcPr>
                  <w:tcW w:w="467" w:type="pct"/>
                  <w:vAlign w:val="bottom"/>
                </w:tcPr>
                <w:p w:rsidR="00745FEA" w:rsidRPr="004309A1" w:rsidRDefault="00745FEA" w:rsidP="00745FEA">
                  <w:pPr>
                    <w:pStyle w:val="TableBodyText"/>
                    <w:ind w:right="57"/>
                  </w:pPr>
                  <w:r w:rsidRPr="004309A1">
                    <w:t>–</w:t>
                  </w:r>
                </w:p>
              </w:tc>
              <w:tc>
                <w:tcPr>
                  <w:tcW w:w="467" w:type="pct"/>
                  <w:vAlign w:val="bottom"/>
                </w:tcPr>
                <w:p w:rsidR="00745FEA" w:rsidRPr="004309A1" w:rsidRDefault="00745FEA" w:rsidP="00745FEA">
                  <w:pPr>
                    <w:pStyle w:val="TableBodyText"/>
                    <w:ind w:right="57"/>
                  </w:pPr>
                  <w:r w:rsidRPr="004309A1">
                    <w:t>–</w:t>
                  </w:r>
                </w:p>
              </w:tc>
              <w:tc>
                <w:tcPr>
                  <w:tcW w:w="467" w:type="pct"/>
                  <w:vAlign w:val="bottom"/>
                </w:tcPr>
                <w:p w:rsidR="00745FEA" w:rsidRPr="004309A1" w:rsidRDefault="00745FEA" w:rsidP="00745FEA">
                  <w:pPr>
                    <w:pStyle w:val="TableBodyText"/>
                    <w:ind w:right="57"/>
                  </w:pPr>
                  <w:r w:rsidRPr="004309A1">
                    <w:t>0.1</w:t>
                  </w:r>
                </w:p>
              </w:tc>
              <w:tc>
                <w:tcPr>
                  <w:tcW w:w="467" w:type="pct"/>
                  <w:shd w:val="clear" w:color="auto" w:fill="auto"/>
                  <w:vAlign w:val="bottom"/>
                </w:tcPr>
                <w:p w:rsidR="00745FEA" w:rsidRPr="004309A1" w:rsidRDefault="00745FEA" w:rsidP="00745FEA">
                  <w:pPr>
                    <w:pStyle w:val="TableBodyText"/>
                    <w:ind w:right="57"/>
                  </w:pPr>
                  <w:r w:rsidRPr="004309A1">
                    <w:t>0.2</w:t>
                  </w:r>
                </w:p>
              </w:tc>
              <w:tc>
                <w:tcPr>
                  <w:tcW w:w="442" w:type="pct"/>
                  <w:shd w:val="clear" w:color="auto" w:fill="auto"/>
                  <w:vAlign w:val="bottom"/>
                </w:tcPr>
                <w:p w:rsidR="00745FEA" w:rsidRPr="004309A1" w:rsidRDefault="00745FEA" w:rsidP="00745FEA">
                  <w:pPr>
                    <w:pStyle w:val="TableBodyText"/>
                    <w:ind w:right="57"/>
                  </w:pPr>
                  <w:r w:rsidRPr="004309A1">
                    <w:t>0.1</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Illawarra Region Innovation and Investment Fund</w:t>
                  </w:r>
                </w:p>
              </w:tc>
              <w:tc>
                <w:tcPr>
                  <w:tcW w:w="490" w:type="pct"/>
                  <w:vAlign w:val="bottom"/>
                </w:tcPr>
                <w:p w:rsidR="00745FEA" w:rsidRPr="004309A1" w:rsidRDefault="00745FEA" w:rsidP="00745FEA">
                  <w:pPr>
                    <w:pStyle w:val="TableBodyText"/>
                    <w:ind w:right="57"/>
                  </w:pPr>
                  <w:r w:rsidRPr="004309A1">
                    <w:t>2.9</w:t>
                  </w:r>
                </w:p>
              </w:tc>
              <w:tc>
                <w:tcPr>
                  <w:tcW w:w="467" w:type="pct"/>
                  <w:vAlign w:val="bottom"/>
                </w:tcPr>
                <w:p w:rsidR="00745FEA" w:rsidRPr="004309A1" w:rsidRDefault="00745FEA" w:rsidP="00745FEA">
                  <w:pPr>
                    <w:pStyle w:val="TableBodyText"/>
                    <w:ind w:right="57"/>
                  </w:pPr>
                  <w:r w:rsidRPr="004309A1">
                    <w:t>–</w:t>
                  </w:r>
                </w:p>
              </w:tc>
              <w:tc>
                <w:tcPr>
                  <w:tcW w:w="467" w:type="pct"/>
                  <w:vAlign w:val="bottom"/>
                </w:tcPr>
                <w:p w:rsidR="00745FEA" w:rsidRPr="004309A1" w:rsidRDefault="00745FEA" w:rsidP="00745FEA">
                  <w:pPr>
                    <w:pStyle w:val="TableBodyText"/>
                    <w:ind w:right="57"/>
                  </w:pPr>
                  <w:r w:rsidRPr="004309A1">
                    <w:t>–</w:t>
                  </w:r>
                </w:p>
              </w:tc>
              <w:tc>
                <w:tcPr>
                  <w:tcW w:w="467" w:type="pct"/>
                  <w:vAlign w:val="bottom"/>
                </w:tcPr>
                <w:p w:rsidR="00745FEA" w:rsidRPr="004309A1" w:rsidRDefault="00745FEA" w:rsidP="00745FEA">
                  <w:pPr>
                    <w:pStyle w:val="TableBodyText"/>
                    <w:ind w:right="57"/>
                  </w:pPr>
                  <w:r w:rsidRPr="004309A1">
                    <w:t>–</w:t>
                  </w:r>
                </w:p>
              </w:tc>
              <w:tc>
                <w:tcPr>
                  <w:tcW w:w="467" w:type="pct"/>
                  <w:shd w:val="clear" w:color="auto" w:fill="auto"/>
                  <w:vAlign w:val="bottom"/>
                </w:tcPr>
                <w:p w:rsidR="00745FEA" w:rsidRPr="004309A1" w:rsidRDefault="00745FEA" w:rsidP="00745FEA">
                  <w:pPr>
                    <w:pStyle w:val="TableBodyText"/>
                    <w:ind w:right="57"/>
                  </w:pPr>
                  <w:r w:rsidRPr="004309A1">
                    <w:t>–</w:t>
                  </w:r>
                </w:p>
              </w:tc>
              <w:tc>
                <w:tcPr>
                  <w:tcW w:w="442" w:type="pct"/>
                  <w:shd w:val="clear" w:color="auto" w:fill="auto"/>
                  <w:vAlign w:val="bottom"/>
                </w:tcPr>
                <w:p w:rsidR="00745FEA" w:rsidRPr="004309A1" w:rsidRDefault="00745FEA" w:rsidP="00745FEA">
                  <w:pPr>
                    <w:pStyle w:val="TableBodyText"/>
                    <w:ind w:right="57"/>
                  </w:pPr>
                  <w:r w:rsidRPr="004309A1">
                    <w:t>–</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Tasmanian Innovation and Investment Fund</w:t>
                  </w:r>
                </w:p>
              </w:tc>
              <w:tc>
                <w:tcPr>
                  <w:tcW w:w="490" w:type="pct"/>
                  <w:vAlign w:val="bottom"/>
                </w:tcPr>
                <w:p w:rsidR="00745FEA" w:rsidRPr="004309A1" w:rsidRDefault="00745FEA" w:rsidP="00745FEA">
                  <w:pPr>
                    <w:pStyle w:val="TableBodyText"/>
                    <w:ind w:right="57"/>
                  </w:pPr>
                  <w:r w:rsidRPr="004309A1">
                    <w:t>0.1</w:t>
                  </w:r>
                </w:p>
              </w:tc>
              <w:tc>
                <w:tcPr>
                  <w:tcW w:w="467" w:type="pct"/>
                  <w:vAlign w:val="bottom"/>
                </w:tcPr>
                <w:p w:rsidR="00745FEA" w:rsidRPr="004309A1" w:rsidRDefault="00745FEA" w:rsidP="00745FEA">
                  <w:pPr>
                    <w:pStyle w:val="TableBodyText"/>
                    <w:ind w:right="57"/>
                  </w:pPr>
                  <w:r w:rsidRPr="004309A1">
                    <w:t>&lt;0.1</w:t>
                  </w:r>
                </w:p>
              </w:tc>
              <w:tc>
                <w:tcPr>
                  <w:tcW w:w="467" w:type="pct"/>
                  <w:vAlign w:val="bottom"/>
                </w:tcPr>
                <w:p w:rsidR="00745FEA" w:rsidRPr="004309A1" w:rsidRDefault="00745FEA" w:rsidP="00745FEA">
                  <w:pPr>
                    <w:pStyle w:val="TableBodyText"/>
                    <w:ind w:right="57"/>
                  </w:pPr>
                  <w:r w:rsidRPr="004309A1">
                    <w:t>&lt;0.1</w:t>
                  </w:r>
                </w:p>
              </w:tc>
              <w:tc>
                <w:tcPr>
                  <w:tcW w:w="467" w:type="pct"/>
                  <w:vAlign w:val="bottom"/>
                </w:tcPr>
                <w:p w:rsidR="00745FEA" w:rsidRPr="004309A1" w:rsidRDefault="00745FEA" w:rsidP="00745FEA">
                  <w:pPr>
                    <w:pStyle w:val="TableBodyText"/>
                    <w:ind w:right="57"/>
                  </w:pPr>
                  <w:r w:rsidRPr="004309A1">
                    <w:t>–</w:t>
                  </w:r>
                </w:p>
              </w:tc>
              <w:tc>
                <w:tcPr>
                  <w:tcW w:w="467" w:type="pct"/>
                  <w:shd w:val="clear" w:color="auto" w:fill="auto"/>
                  <w:vAlign w:val="bottom"/>
                </w:tcPr>
                <w:p w:rsidR="00745FEA" w:rsidRPr="004309A1" w:rsidRDefault="00745FEA" w:rsidP="00745FEA">
                  <w:pPr>
                    <w:pStyle w:val="TableBodyText"/>
                    <w:ind w:right="57"/>
                  </w:pPr>
                  <w:r w:rsidRPr="004309A1">
                    <w:t>–</w:t>
                  </w:r>
                </w:p>
              </w:tc>
              <w:tc>
                <w:tcPr>
                  <w:tcW w:w="442" w:type="pct"/>
                  <w:shd w:val="clear" w:color="auto" w:fill="auto"/>
                  <w:vAlign w:val="bottom"/>
                </w:tcPr>
                <w:p w:rsidR="00745FEA" w:rsidRPr="004309A1" w:rsidRDefault="00745FEA" w:rsidP="00745FEA">
                  <w:pPr>
                    <w:pStyle w:val="TableBodyText"/>
                    <w:ind w:right="57"/>
                  </w:pPr>
                  <w:r w:rsidRPr="004309A1">
                    <w:t>–</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The Small Business and General Business Tax Break</w:t>
                  </w:r>
                </w:p>
              </w:tc>
              <w:tc>
                <w:tcPr>
                  <w:tcW w:w="490" w:type="pct"/>
                  <w:vAlign w:val="bottom"/>
                </w:tcPr>
                <w:p w:rsidR="00745FEA" w:rsidRPr="004309A1" w:rsidRDefault="00745FEA" w:rsidP="00745FEA">
                  <w:pPr>
                    <w:pStyle w:val="TableBodyText"/>
                    <w:ind w:right="57"/>
                  </w:pPr>
                  <w:r w:rsidRPr="004309A1">
                    <w:t>1.1</w:t>
                  </w:r>
                </w:p>
              </w:tc>
              <w:tc>
                <w:tcPr>
                  <w:tcW w:w="467" w:type="pct"/>
                  <w:vAlign w:val="bottom"/>
                </w:tcPr>
                <w:p w:rsidR="00745FEA" w:rsidRPr="004309A1" w:rsidRDefault="00745FEA" w:rsidP="00745FEA">
                  <w:pPr>
                    <w:pStyle w:val="TableBodyText"/>
                    <w:ind w:right="57"/>
                  </w:pPr>
                  <w:r w:rsidRPr="004309A1">
                    <w:t>0.4</w:t>
                  </w:r>
                </w:p>
              </w:tc>
              <w:tc>
                <w:tcPr>
                  <w:tcW w:w="467" w:type="pct"/>
                  <w:vAlign w:val="bottom"/>
                </w:tcPr>
                <w:p w:rsidR="00745FEA" w:rsidRPr="004309A1" w:rsidRDefault="00745FEA" w:rsidP="00745FEA">
                  <w:pPr>
                    <w:pStyle w:val="TableBodyText"/>
                    <w:ind w:right="57"/>
                  </w:pPr>
                  <w:r w:rsidRPr="004309A1">
                    <w:t>&lt;0.1</w:t>
                  </w:r>
                </w:p>
              </w:tc>
              <w:tc>
                <w:tcPr>
                  <w:tcW w:w="467" w:type="pct"/>
                  <w:vAlign w:val="bottom"/>
                </w:tcPr>
                <w:p w:rsidR="00745FEA" w:rsidRPr="004309A1" w:rsidRDefault="00745FEA" w:rsidP="00745FEA">
                  <w:pPr>
                    <w:pStyle w:val="TableBodyText"/>
                    <w:ind w:right="57"/>
                  </w:pPr>
                  <w:r w:rsidRPr="004309A1">
                    <w:t>–</w:t>
                  </w:r>
                </w:p>
              </w:tc>
              <w:tc>
                <w:tcPr>
                  <w:tcW w:w="467" w:type="pct"/>
                  <w:shd w:val="clear" w:color="auto" w:fill="auto"/>
                  <w:vAlign w:val="bottom"/>
                </w:tcPr>
                <w:p w:rsidR="00745FEA" w:rsidRPr="004309A1" w:rsidRDefault="00745FEA" w:rsidP="00745FEA">
                  <w:pPr>
                    <w:pStyle w:val="TableBodyText"/>
                    <w:ind w:right="57"/>
                  </w:pPr>
                  <w:r w:rsidRPr="004309A1">
                    <w:t>–</w:t>
                  </w:r>
                </w:p>
              </w:tc>
              <w:tc>
                <w:tcPr>
                  <w:tcW w:w="442" w:type="pct"/>
                  <w:shd w:val="clear" w:color="auto" w:fill="auto"/>
                  <w:vAlign w:val="bottom"/>
                </w:tcPr>
                <w:p w:rsidR="00745FEA" w:rsidRPr="004309A1" w:rsidRDefault="00745FEA" w:rsidP="00745FEA">
                  <w:pPr>
                    <w:pStyle w:val="TableBodyText"/>
                    <w:ind w:right="57"/>
                  </w:pPr>
                  <w:r w:rsidRPr="004309A1">
                    <w:t>–</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Small Business - Simplified depreciation rules</w:t>
                  </w:r>
                </w:p>
              </w:tc>
              <w:tc>
                <w:tcPr>
                  <w:tcW w:w="490" w:type="pct"/>
                  <w:vAlign w:val="bottom"/>
                </w:tcPr>
                <w:p w:rsidR="00745FEA" w:rsidRPr="004309A1" w:rsidRDefault="00745FEA" w:rsidP="00745FEA">
                  <w:pPr>
                    <w:pStyle w:val="TableBodyText"/>
                    <w:ind w:right="57"/>
                  </w:pPr>
                  <w:r w:rsidRPr="004309A1">
                    <w:t>&lt;0.1</w:t>
                  </w:r>
                </w:p>
              </w:tc>
              <w:tc>
                <w:tcPr>
                  <w:tcW w:w="467" w:type="pct"/>
                  <w:vAlign w:val="bottom"/>
                </w:tcPr>
                <w:p w:rsidR="00745FEA" w:rsidRPr="004309A1" w:rsidRDefault="00745FEA" w:rsidP="00745FEA">
                  <w:pPr>
                    <w:pStyle w:val="TableBodyText"/>
                    <w:ind w:right="57"/>
                  </w:pPr>
                  <w:r w:rsidRPr="004309A1">
                    <w:t>-0.2</w:t>
                  </w:r>
                </w:p>
              </w:tc>
              <w:tc>
                <w:tcPr>
                  <w:tcW w:w="467" w:type="pct"/>
                  <w:vAlign w:val="bottom"/>
                </w:tcPr>
                <w:p w:rsidR="00745FEA" w:rsidRPr="004309A1" w:rsidRDefault="00745FEA" w:rsidP="00745FEA">
                  <w:pPr>
                    <w:pStyle w:val="TableBodyText"/>
                    <w:ind w:right="57"/>
                  </w:pPr>
                  <w:r w:rsidRPr="004309A1">
                    <w:t>0.6</w:t>
                  </w:r>
                </w:p>
              </w:tc>
              <w:tc>
                <w:tcPr>
                  <w:tcW w:w="467" w:type="pct"/>
                  <w:vAlign w:val="bottom"/>
                </w:tcPr>
                <w:p w:rsidR="00745FEA" w:rsidRPr="004309A1" w:rsidRDefault="00745FEA" w:rsidP="00745FEA">
                  <w:pPr>
                    <w:pStyle w:val="TableBodyText"/>
                    <w:ind w:right="57"/>
                  </w:pPr>
                  <w:r w:rsidRPr="004309A1">
                    <w:t>-0.3</w:t>
                  </w:r>
                </w:p>
              </w:tc>
              <w:tc>
                <w:tcPr>
                  <w:tcW w:w="467" w:type="pct"/>
                  <w:shd w:val="clear" w:color="auto" w:fill="auto"/>
                  <w:vAlign w:val="bottom"/>
                </w:tcPr>
                <w:p w:rsidR="00745FEA" w:rsidRPr="004309A1" w:rsidRDefault="00745FEA" w:rsidP="00745FEA">
                  <w:pPr>
                    <w:pStyle w:val="TableBodyText"/>
                    <w:ind w:right="57"/>
                  </w:pPr>
                  <w:r w:rsidRPr="004309A1">
                    <w:t>-0.5</w:t>
                  </w:r>
                </w:p>
              </w:tc>
              <w:tc>
                <w:tcPr>
                  <w:tcW w:w="442" w:type="pct"/>
                  <w:shd w:val="clear" w:color="auto" w:fill="auto"/>
                  <w:vAlign w:val="bottom"/>
                </w:tcPr>
                <w:p w:rsidR="00745FEA" w:rsidRPr="004309A1" w:rsidRDefault="00745FEA" w:rsidP="00745FEA">
                  <w:pPr>
                    <w:pStyle w:val="TableBodyText"/>
                    <w:ind w:right="57"/>
                  </w:pPr>
                  <w:r w:rsidRPr="004309A1">
                    <w:t>3.0</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 xml:space="preserve">Small business </w:t>
                  </w:r>
                  <w:r>
                    <w:t>capital gains tax</w:t>
                  </w:r>
                  <w:r w:rsidRPr="0081799A">
                    <w:t xml:space="preserve"> retirement exemption</w:t>
                  </w:r>
                </w:p>
              </w:tc>
              <w:tc>
                <w:tcPr>
                  <w:tcW w:w="490" w:type="pct"/>
                  <w:vAlign w:val="bottom"/>
                </w:tcPr>
                <w:p w:rsidR="00745FEA" w:rsidRPr="004309A1" w:rsidRDefault="00745FEA" w:rsidP="00745FEA">
                  <w:pPr>
                    <w:pStyle w:val="TableBodyText"/>
                    <w:ind w:right="57"/>
                  </w:pPr>
                  <w:r w:rsidRPr="004309A1">
                    <w:t>2.2</w:t>
                  </w:r>
                </w:p>
              </w:tc>
              <w:tc>
                <w:tcPr>
                  <w:tcW w:w="467" w:type="pct"/>
                  <w:vAlign w:val="bottom"/>
                </w:tcPr>
                <w:p w:rsidR="00745FEA" w:rsidRPr="004309A1" w:rsidRDefault="00745FEA" w:rsidP="00745FEA">
                  <w:pPr>
                    <w:pStyle w:val="TableBodyText"/>
                    <w:ind w:right="57"/>
                  </w:pPr>
                  <w:r w:rsidRPr="004309A1">
                    <w:t>2.3</w:t>
                  </w:r>
                </w:p>
              </w:tc>
              <w:tc>
                <w:tcPr>
                  <w:tcW w:w="467" w:type="pct"/>
                  <w:vAlign w:val="bottom"/>
                </w:tcPr>
                <w:p w:rsidR="00745FEA" w:rsidRPr="004309A1" w:rsidRDefault="00745FEA" w:rsidP="00745FEA">
                  <w:pPr>
                    <w:pStyle w:val="TableBodyText"/>
                    <w:ind w:right="57"/>
                  </w:pPr>
                  <w:r w:rsidRPr="004309A1">
                    <w:t>2.3</w:t>
                  </w:r>
                </w:p>
              </w:tc>
              <w:tc>
                <w:tcPr>
                  <w:tcW w:w="467" w:type="pct"/>
                  <w:vAlign w:val="bottom"/>
                </w:tcPr>
                <w:p w:rsidR="00745FEA" w:rsidRPr="004309A1" w:rsidRDefault="00745FEA" w:rsidP="00745FEA">
                  <w:pPr>
                    <w:pStyle w:val="TableBodyText"/>
                    <w:ind w:right="57"/>
                  </w:pPr>
                  <w:r w:rsidRPr="004309A1">
                    <w:t>2.5</w:t>
                  </w:r>
                </w:p>
              </w:tc>
              <w:tc>
                <w:tcPr>
                  <w:tcW w:w="467" w:type="pct"/>
                  <w:shd w:val="clear" w:color="auto" w:fill="auto"/>
                  <w:vAlign w:val="bottom"/>
                </w:tcPr>
                <w:p w:rsidR="00745FEA" w:rsidRPr="004309A1" w:rsidRDefault="00745FEA" w:rsidP="00745FEA">
                  <w:pPr>
                    <w:pStyle w:val="TableBodyText"/>
                    <w:ind w:right="57"/>
                  </w:pPr>
                  <w:r w:rsidRPr="004309A1">
                    <w:t>2.6</w:t>
                  </w:r>
                </w:p>
              </w:tc>
              <w:tc>
                <w:tcPr>
                  <w:tcW w:w="442" w:type="pct"/>
                  <w:shd w:val="clear" w:color="auto" w:fill="auto"/>
                  <w:vAlign w:val="bottom"/>
                </w:tcPr>
                <w:p w:rsidR="00745FEA" w:rsidRPr="004309A1" w:rsidRDefault="00745FEA" w:rsidP="00745FEA">
                  <w:pPr>
                    <w:pStyle w:val="TableBodyText"/>
                    <w:ind w:right="57"/>
                  </w:pPr>
                  <w:r w:rsidRPr="004309A1">
                    <w:t>2.6</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 xml:space="preserve">Small business </w:t>
                  </w:r>
                  <w:r>
                    <w:t>capital gains tax</w:t>
                  </w:r>
                  <w:r w:rsidRPr="0081799A">
                    <w:t xml:space="preserve"> 50 per cent reduction</w:t>
                  </w:r>
                </w:p>
              </w:tc>
              <w:tc>
                <w:tcPr>
                  <w:tcW w:w="490" w:type="pct"/>
                  <w:vAlign w:val="bottom"/>
                </w:tcPr>
                <w:p w:rsidR="00745FEA" w:rsidRPr="004309A1" w:rsidRDefault="00745FEA" w:rsidP="00745FEA">
                  <w:pPr>
                    <w:pStyle w:val="TableBodyText"/>
                    <w:ind w:right="57"/>
                  </w:pPr>
                  <w:r w:rsidRPr="004309A1">
                    <w:t>3.3</w:t>
                  </w:r>
                </w:p>
              </w:tc>
              <w:tc>
                <w:tcPr>
                  <w:tcW w:w="467" w:type="pct"/>
                  <w:vAlign w:val="bottom"/>
                </w:tcPr>
                <w:p w:rsidR="00745FEA" w:rsidRPr="004309A1" w:rsidRDefault="00745FEA" w:rsidP="00745FEA">
                  <w:pPr>
                    <w:pStyle w:val="TableBodyText"/>
                    <w:ind w:right="57"/>
                  </w:pPr>
                  <w:r w:rsidRPr="004309A1">
                    <w:t>3.5</w:t>
                  </w:r>
                </w:p>
              </w:tc>
              <w:tc>
                <w:tcPr>
                  <w:tcW w:w="467" w:type="pct"/>
                  <w:vAlign w:val="bottom"/>
                </w:tcPr>
                <w:p w:rsidR="00745FEA" w:rsidRPr="004309A1" w:rsidRDefault="00745FEA" w:rsidP="00745FEA">
                  <w:pPr>
                    <w:pStyle w:val="TableBodyText"/>
                    <w:ind w:right="57"/>
                  </w:pPr>
                  <w:r w:rsidRPr="004309A1">
                    <w:t>3.5</w:t>
                  </w:r>
                </w:p>
              </w:tc>
              <w:tc>
                <w:tcPr>
                  <w:tcW w:w="467" w:type="pct"/>
                  <w:vAlign w:val="bottom"/>
                </w:tcPr>
                <w:p w:rsidR="00745FEA" w:rsidRPr="004309A1" w:rsidRDefault="00745FEA" w:rsidP="00745FEA">
                  <w:pPr>
                    <w:pStyle w:val="TableBodyText"/>
                    <w:ind w:right="57"/>
                  </w:pPr>
                  <w:r w:rsidRPr="004309A1">
                    <w:t>2.6</w:t>
                  </w:r>
                </w:p>
              </w:tc>
              <w:tc>
                <w:tcPr>
                  <w:tcW w:w="467" w:type="pct"/>
                  <w:shd w:val="clear" w:color="auto" w:fill="auto"/>
                  <w:vAlign w:val="bottom"/>
                </w:tcPr>
                <w:p w:rsidR="00745FEA" w:rsidRPr="004309A1" w:rsidRDefault="00745FEA" w:rsidP="00745FEA">
                  <w:pPr>
                    <w:pStyle w:val="TableBodyText"/>
                    <w:ind w:right="57"/>
                  </w:pPr>
                  <w:r w:rsidRPr="004309A1">
                    <w:t>3.0</w:t>
                  </w:r>
                </w:p>
              </w:tc>
              <w:tc>
                <w:tcPr>
                  <w:tcW w:w="442" w:type="pct"/>
                  <w:shd w:val="clear" w:color="auto" w:fill="auto"/>
                  <w:vAlign w:val="bottom"/>
                </w:tcPr>
                <w:p w:rsidR="00745FEA" w:rsidRPr="004309A1" w:rsidRDefault="00745FEA" w:rsidP="00745FEA">
                  <w:pPr>
                    <w:pStyle w:val="TableBodyText"/>
                    <w:ind w:right="57"/>
                  </w:pPr>
                  <w:r w:rsidRPr="004309A1">
                    <w:t>2.3</w:t>
                  </w:r>
                </w:p>
              </w:tc>
            </w:tr>
            <w:tr w:rsidR="00745FEA" w:rsidTr="00745FEA">
              <w:tc>
                <w:tcPr>
                  <w:tcW w:w="2200" w:type="pct"/>
                  <w:shd w:val="clear" w:color="auto" w:fill="auto"/>
                </w:tcPr>
                <w:p w:rsidR="00745FEA" w:rsidRPr="0081799A" w:rsidRDefault="00745FEA" w:rsidP="00745FEA">
                  <w:pPr>
                    <w:pStyle w:val="TableBodyText"/>
                    <w:spacing w:after="0"/>
                    <w:ind w:left="227" w:right="0"/>
                    <w:jc w:val="left"/>
                  </w:pPr>
                  <w:r w:rsidRPr="0081799A">
                    <w:t>25 per cent entrepreneurs' tax offset</w:t>
                  </w:r>
                </w:p>
              </w:tc>
              <w:tc>
                <w:tcPr>
                  <w:tcW w:w="490" w:type="pct"/>
                  <w:vAlign w:val="bottom"/>
                </w:tcPr>
                <w:p w:rsidR="00745FEA" w:rsidRPr="004309A1" w:rsidRDefault="00745FEA" w:rsidP="00745FEA">
                  <w:pPr>
                    <w:pStyle w:val="TableBodyText"/>
                    <w:ind w:right="57"/>
                  </w:pPr>
                  <w:r w:rsidRPr="004309A1">
                    <w:t>0.2</w:t>
                  </w:r>
                </w:p>
              </w:tc>
              <w:tc>
                <w:tcPr>
                  <w:tcW w:w="467" w:type="pct"/>
                  <w:vAlign w:val="bottom"/>
                </w:tcPr>
                <w:p w:rsidR="00745FEA" w:rsidRPr="004309A1" w:rsidRDefault="00745FEA" w:rsidP="00745FEA">
                  <w:pPr>
                    <w:pStyle w:val="TableBodyText"/>
                    <w:ind w:right="57"/>
                  </w:pPr>
                  <w:r w:rsidRPr="004309A1">
                    <w:t>0.4</w:t>
                  </w:r>
                </w:p>
              </w:tc>
              <w:tc>
                <w:tcPr>
                  <w:tcW w:w="467" w:type="pct"/>
                  <w:vAlign w:val="bottom"/>
                </w:tcPr>
                <w:p w:rsidR="00745FEA" w:rsidRPr="004309A1" w:rsidRDefault="00745FEA" w:rsidP="00745FEA">
                  <w:pPr>
                    <w:pStyle w:val="TableBodyText"/>
                    <w:ind w:right="57"/>
                  </w:pPr>
                  <w:r w:rsidRPr="004309A1">
                    <w:t>–</w:t>
                  </w:r>
                </w:p>
              </w:tc>
              <w:tc>
                <w:tcPr>
                  <w:tcW w:w="467" w:type="pct"/>
                  <w:vAlign w:val="bottom"/>
                </w:tcPr>
                <w:p w:rsidR="00745FEA" w:rsidRPr="004309A1" w:rsidRDefault="00745FEA" w:rsidP="00745FEA">
                  <w:pPr>
                    <w:pStyle w:val="TableBodyText"/>
                    <w:ind w:right="57"/>
                  </w:pPr>
                  <w:r w:rsidRPr="004309A1">
                    <w:t>–</w:t>
                  </w:r>
                </w:p>
              </w:tc>
              <w:tc>
                <w:tcPr>
                  <w:tcW w:w="467" w:type="pct"/>
                  <w:shd w:val="clear" w:color="auto" w:fill="auto"/>
                  <w:vAlign w:val="bottom"/>
                </w:tcPr>
                <w:p w:rsidR="00745FEA" w:rsidRPr="004309A1" w:rsidRDefault="00745FEA" w:rsidP="00745FEA">
                  <w:pPr>
                    <w:pStyle w:val="TableBodyText"/>
                    <w:ind w:right="57"/>
                  </w:pPr>
                  <w:r w:rsidRPr="004309A1">
                    <w:t>–</w:t>
                  </w:r>
                </w:p>
              </w:tc>
              <w:tc>
                <w:tcPr>
                  <w:tcW w:w="442" w:type="pct"/>
                  <w:shd w:val="clear" w:color="auto" w:fill="auto"/>
                  <w:vAlign w:val="bottom"/>
                </w:tcPr>
                <w:p w:rsidR="00745FEA" w:rsidRDefault="00745FEA" w:rsidP="00745FEA">
                  <w:pPr>
                    <w:pStyle w:val="TableBodyText"/>
                    <w:ind w:right="57"/>
                  </w:pPr>
                  <w:r w:rsidRPr="004309A1">
                    <w:t>–</w:t>
                  </w:r>
                </w:p>
              </w:tc>
            </w:tr>
            <w:tr w:rsidR="00745FEA" w:rsidTr="00745FEA">
              <w:tc>
                <w:tcPr>
                  <w:tcW w:w="2200" w:type="pct"/>
                  <w:shd w:val="clear" w:color="auto" w:fill="auto"/>
                </w:tcPr>
                <w:p w:rsidR="00745FEA" w:rsidRPr="006A53DA" w:rsidRDefault="00745FEA" w:rsidP="00745FEA">
                  <w:pPr>
                    <w:pStyle w:val="TableBodyText"/>
                    <w:spacing w:before="20" w:after="20"/>
                    <w:jc w:val="left"/>
                    <w:rPr>
                      <w:i/>
                    </w:rPr>
                  </w:pPr>
                  <w:r w:rsidRPr="006A53DA">
                    <w:rPr>
                      <w:i/>
                    </w:rPr>
                    <w:t>Total</w:t>
                  </w:r>
                </w:p>
              </w:tc>
              <w:tc>
                <w:tcPr>
                  <w:tcW w:w="490" w:type="pct"/>
                  <w:vAlign w:val="bottom"/>
                </w:tcPr>
                <w:p w:rsidR="00745FEA" w:rsidRPr="003C29A2" w:rsidRDefault="00745FEA" w:rsidP="00745FEA">
                  <w:pPr>
                    <w:pStyle w:val="TableBodyText"/>
                    <w:spacing w:before="20" w:after="20"/>
                    <w:ind w:right="57"/>
                    <w:rPr>
                      <w:i/>
                    </w:rPr>
                  </w:pPr>
                  <w:r>
                    <w:rPr>
                      <w:i/>
                    </w:rPr>
                    <w:t>16.3</w:t>
                  </w:r>
                </w:p>
              </w:tc>
              <w:tc>
                <w:tcPr>
                  <w:tcW w:w="467" w:type="pct"/>
                  <w:vAlign w:val="bottom"/>
                </w:tcPr>
                <w:p w:rsidR="00745FEA" w:rsidRPr="003C29A2" w:rsidRDefault="00745FEA" w:rsidP="00745FEA">
                  <w:pPr>
                    <w:pStyle w:val="TableBodyText"/>
                    <w:spacing w:before="20" w:after="20"/>
                    <w:ind w:right="57"/>
                    <w:rPr>
                      <w:i/>
                    </w:rPr>
                  </w:pPr>
                  <w:r>
                    <w:rPr>
                      <w:i/>
                    </w:rPr>
                    <w:t>45.7</w:t>
                  </w:r>
                </w:p>
              </w:tc>
              <w:tc>
                <w:tcPr>
                  <w:tcW w:w="467" w:type="pct"/>
                </w:tcPr>
                <w:p w:rsidR="00745FEA" w:rsidRPr="008827D4" w:rsidRDefault="00745FEA" w:rsidP="00745FEA">
                  <w:pPr>
                    <w:pStyle w:val="TableBodyText"/>
                    <w:spacing w:before="20" w:after="20"/>
                    <w:ind w:right="57"/>
                    <w:rPr>
                      <w:i/>
                    </w:rPr>
                  </w:pPr>
                  <w:r>
                    <w:rPr>
                      <w:i/>
                    </w:rPr>
                    <w:t>45.4</w:t>
                  </w:r>
                </w:p>
              </w:tc>
              <w:tc>
                <w:tcPr>
                  <w:tcW w:w="467" w:type="pct"/>
                </w:tcPr>
                <w:p w:rsidR="00745FEA" w:rsidRPr="008827D4" w:rsidRDefault="00745FEA" w:rsidP="00745FEA">
                  <w:pPr>
                    <w:pStyle w:val="TableBodyText"/>
                    <w:spacing w:before="20" w:after="20"/>
                    <w:ind w:right="57"/>
                    <w:rPr>
                      <w:i/>
                    </w:rPr>
                  </w:pPr>
                  <w:r>
                    <w:rPr>
                      <w:i/>
                    </w:rPr>
                    <w:t>52.0</w:t>
                  </w:r>
                </w:p>
              </w:tc>
              <w:tc>
                <w:tcPr>
                  <w:tcW w:w="467" w:type="pct"/>
                  <w:shd w:val="clear" w:color="auto" w:fill="auto"/>
                </w:tcPr>
                <w:p w:rsidR="00745FEA" w:rsidRPr="008827D4" w:rsidRDefault="00745FEA" w:rsidP="00745FEA">
                  <w:pPr>
                    <w:pStyle w:val="TableBodyText"/>
                    <w:spacing w:before="20" w:after="20"/>
                    <w:ind w:right="57"/>
                    <w:rPr>
                      <w:i/>
                    </w:rPr>
                  </w:pPr>
                  <w:r>
                    <w:rPr>
                      <w:i/>
                    </w:rPr>
                    <w:t>59.7</w:t>
                  </w:r>
                </w:p>
              </w:tc>
              <w:tc>
                <w:tcPr>
                  <w:tcW w:w="442" w:type="pct"/>
                  <w:shd w:val="clear" w:color="auto" w:fill="auto"/>
                </w:tcPr>
                <w:p w:rsidR="00745FEA" w:rsidRPr="008827D4" w:rsidRDefault="00745FEA" w:rsidP="00745FEA">
                  <w:pPr>
                    <w:pStyle w:val="TableBodyText"/>
                    <w:spacing w:before="20" w:after="20"/>
                    <w:ind w:right="57"/>
                    <w:rPr>
                      <w:i/>
                    </w:rPr>
                  </w:pPr>
                  <w:r>
                    <w:rPr>
                      <w:i/>
                    </w:rPr>
                    <w:t>73.4</w:t>
                  </w:r>
                </w:p>
              </w:tc>
            </w:tr>
            <w:tr w:rsidR="00745FEA" w:rsidTr="00745FEA">
              <w:tc>
                <w:tcPr>
                  <w:tcW w:w="2691" w:type="pct"/>
                  <w:gridSpan w:val="2"/>
                  <w:shd w:val="clear" w:color="auto" w:fill="auto"/>
                  <w:vAlign w:val="center"/>
                </w:tcPr>
                <w:p w:rsidR="00745FEA" w:rsidRDefault="00745FEA" w:rsidP="00745FEA">
                  <w:pPr>
                    <w:pStyle w:val="TableBodyText"/>
                    <w:spacing w:before="80"/>
                    <w:jc w:val="left"/>
                  </w:pPr>
                  <w:r w:rsidRPr="006A53DA">
                    <w:rPr>
                      <w:b/>
                    </w:rPr>
                    <w:t>Petroleum, coal, chemical and rubber products</w:t>
                  </w:r>
                </w:p>
              </w:tc>
              <w:tc>
                <w:tcPr>
                  <w:tcW w:w="467" w:type="pct"/>
                </w:tcPr>
                <w:p w:rsidR="00745FEA" w:rsidRDefault="00745FEA" w:rsidP="00745FEA">
                  <w:pPr>
                    <w:pStyle w:val="TableBodyText"/>
                    <w:spacing w:before="80"/>
                    <w:ind w:left="0" w:right="57"/>
                  </w:pPr>
                </w:p>
              </w:tc>
              <w:tc>
                <w:tcPr>
                  <w:tcW w:w="467" w:type="pct"/>
                </w:tcPr>
                <w:p w:rsidR="00745FEA" w:rsidRDefault="00745FEA" w:rsidP="00745FEA">
                  <w:pPr>
                    <w:pStyle w:val="TableBodyText"/>
                    <w:spacing w:before="80"/>
                    <w:ind w:left="0" w:right="57"/>
                  </w:pPr>
                </w:p>
              </w:tc>
              <w:tc>
                <w:tcPr>
                  <w:tcW w:w="467" w:type="pct"/>
                </w:tcPr>
                <w:p w:rsidR="00745FEA" w:rsidRDefault="00745FEA" w:rsidP="00745FEA">
                  <w:pPr>
                    <w:pStyle w:val="TableBodyText"/>
                    <w:spacing w:before="80"/>
                    <w:ind w:left="0" w:right="57"/>
                  </w:pPr>
                </w:p>
              </w:tc>
              <w:tc>
                <w:tcPr>
                  <w:tcW w:w="467" w:type="pct"/>
                  <w:shd w:val="clear" w:color="auto" w:fill="auto"/>
                </w:tcPr>
                <w:p w:rsidR="00745FEA" w:rsidRDefault="00745FEA" w:rsidP="00745FEA">
                  <w:pPr>
                    <w:pStyle w:val="TableBodyText"/>
                    <w:spacing w:before="80"/>
                    <w:ind w:left="0" w:right="57"/>
                  </w:pPr>
                </w:p>
              </w:tc>
              <w:tc>
                <w:tcPr>
                  <w:tcW w:w="442" w:type="pct"/>
                  <w:shd w:val="clear" w:color="auto" w:fill="auto"/>
                </w:tcPr>
                <w:p w:rsidR="00745FEA" w:rsidRDefault="00745FEA" w:rsidP="00745FEA">
                  <w:pPr>
                    <w:pStyle w:val="TableBodyText"/>
                    <w:spacing w:before="80"/>
                    <w:ind w:left="0" w:right="57"/>
                  </w:pPr>
                </w:p>
              </w:tc>
            </w:tr>
            <w:tr w:rsidR="00745FEA" w:rsidTr="00745FEA">
              <w:tc>
                <w:tcPr>
                  <w:tcW w:w="2200" w:type="pct"/>
                  <w:shd w:val="clear" w:color="auto" w:fill="auto"/>
                </w:tcPr>
                <w:p w:rsidR="00745FEA" w:rsidRPr="006A53DA" w:rsidRDefault="00745FEA" w:rsidP="00745FEA">
                  <w:pPr>
                    <w:pStyle w:val="TableBodyText"/>
                    <w:spacing w:before="40" w:after="0"/>
                    <w:ind w:left="113"/>
                    <w:jc w:val="left"/>
                    <w:rPr>
                      <w:i/>
                    </w:rPr>
                  </w:pPr>
                  <w:r w:rsidRPr="006A53DA">
                    <w:rPr>
                      <w:i/>
                    </w:rPr>
                    <w:t>Industry-specific measures</w:t>
                  </w:r>
                </w:p>
              </w:tc>
              <w:tc>
                <w:tcPr>
                  <w:tcW w:w="490" w:type="pct"/>
                </w:tcPr>
                <w:p w:rsidR="00745FEA" w:rsidRDefault="00745FEA" w:rsidP="00745FEA">
                  <w:pPr>
                    <w:pStyle w:val="TableBodyText"/>
                    <w:spacing w:before="40" w:after="0"/>
                    <w:ind w:left="113" w:right="57"/>
                  </w:pPr>
                </w:p>
              </w:tc>
              <w:tc>
                <w:tcPr>
                  <w:tcW w:w="467" w:type="pct"/>
                </w:tcPr>
                <w:p w:rsidR="00745FEA" w:rsidRDefault="00745FEA" w:rsidP="00745FEA">
                  <w:pPr>
                    <w:pStyle w:val="TableBodyText"/>
                    <w:spacing w:before="40" w:after="0"/>
                    <w:ind w:left="113" w:right="57"/>
                  </w:pPr>
                </w:p>
              </w:tc>
              <w:tc>
                <w:tcPr>
                  <w:tcW w:w="467" w:type="pct"/>
                </w:tcPr>
                <w:p w:rsidR="00745FEA" w:rsidRDefault="00745FEA" w:rsidP="00745FEA">
                  <w:pPr>
                    <w:pStyle w:val="TableBodyText"/>
                    <w:spacing w:before="40" w:after="0"/>
                    <w:ind w:left="113" w:right="57"/>
                  </w:pPr>
                </w:p>
              </w:tc>
              <w:tc>
                <w:tcPr>
                  <w:tcW w:w="467" w:type="pct"/>
                </w:tcPr>
                <w:p w:rsidR="00745FEA" w:rsidRDefault="00745FEA" w:rsidP="00745FEA">
                  <w:pPr>
                    <w:pStyle w:val="TableBodyText"/>
                    <w:spacing w:before="40" w:after="0"/>
                    <w:ind w:left="113" w:right="57"/>
                  </w:pPr>
                </w:p>
              </w:tc>
              <w:tc>
                <w:tcPr>
                  <w:tcW w:w="467" w:type="pct"/>
                  <w:shd w:val="clear" w:color="auto" w:fill="auto"/>
                </w:tcPr>
                <w:p w:rsidR="00745FEA" w:rsidRDefault="00745FEA" w:rsidP="00745FEA">
                  <w:pPr>
                    <w:pStyle w:val="TableBodyText"/>
                    <w:spacing w:before="40" w:after="0"/>
                    <w:ind w:left="113" w:right="57"/>
                  </w:pPr>
                </w:p>
              </w:tc>
              <w:tc>
                <w:tcPr>
                  <w:tcW w:w="442" w:type="pct"/>
                  <w:shd w:val="clear" w:color="auto" w:fill="auto"/>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180A51" w:rsidRDefault="00745FEA" w:rsidP="00745FEA">
                  <w:pPr>
                    <w:pStyle w:val="TableBodyText"/>
                    <w:spacing w:after="0"/>
                    <w:ind w:left="227" w:right="0"/>
                    <w:jc w:val="left"/>
                  </w:pPr>
                  <w:r w:rsidRPr="00180A51">
                    <w:t>Australian Tropical Medicine Commercialisation Grants</w:t>
                  </w:r>
                </w:p>
              </w:tc>
              <w:tc>
                <w:tcPr>
                  <w:tcW w:w="490" w:type="pct"/>
                  <w:vAlign w:val="bottom"/>
                </w:tcPr>
                <w:p w:rsidR="00745FEA" w:rsidRPr="00104F81" w:rsidRDefault="00745FEA" w:rsidP="00745FEA">
                  <w:pPr>
                    <w:pStyle w:val="TableBodyText"/>
                    <w:ind w:right="57"/>
                  </w:pPr>
                  <w:r w:rsidRPr="00104F81">
                    <w:t>–</w:t>
                  </w:r>
                </w:p>
              </w:tc>
              <w:tc>
                <w:tcPr>
                  <w:tcW w:w="467" w:type="pct"/>
                  <w:vAlign w:val="bottom"/>
                </w:tcPr>
                <w:p w:rsidR="00745FEA" w:rsidRPr="00104F81" w:rsidRDefault="00745FEA" w:rsidP="00745FEA">
                  <w:pPr>
                    <w:pStyle w:val="TableBodyText"/>
                    <w:ind w:right="57"/>
                  </w:pPr>
                  <w:r w:rsidRPr="00104F81">
                    <w:t>–</w:t>
                  </w:r>
                </w:p>
              </w:tc>
              <w:tc>
                <w:tcPr>
                  <w:tcW w:w="467" w:type="pct"/>
                  <w:vAlign w:val="bottom"/>
                </w:tcPr>
                <w:p w:rsidR="00745FEA" w:rsidRPr="00104F81" w:rsidRDefault="00745FEA" w:rsidP="00745FEA">
                  <w:pPr>
                    <w:pStyle w:val="TableBodyText"/>
                    <w:ind w:right="57"/>
                  </w:pPr>
                  <w:r w:rsidRPr="00104F81">
                    <w:t>–</w:t>
                  </w:r>
                </w:p>
              </w:tc>
              <w:tc>
                <w:tcPr>
                  <w:tcW w:w="467" w:type="pct"/>
                  <w:vAlign w:val="bottom"/>
                </w:tcPr>
                <w:p w:rsidR="00745FEA" w:rsidRPr="00104F81" w:rsidRDefault="00745FEA" w:rsidP="00745FEA">
                  <w:pPr>
                    <w:pStyle w:val="TableBodyText"/>
                    <w:ind w:right="57"/>
                  </w:pPr>
                  <w:r w:rsidRPr="00104F81">
                    <w:t>–</w:t>
                  </w:r>
                </w:p>
              </w:tc>
              <w:tc>
                <w:tcPr>
                  <w:tcW w:w="467" w:type="pct"/>
                  <w:shd w:val="clear" w:color="auto" w:fill="auto"/>
                  <w:vAlign w:val="bottom"/>
                </w:tcPr>
                <w:p w:rsidR="00745FEA" w:rsidRPr="00104F81" w:rsidRDefault="00745FEA" w:rsidP="00745FEA">
                  <w:pPr>
                    <w:pStyle w:val="TableBodyText"/>
                    <w:ind w:right="57"/>
                  </w:pPr>
                  <w:r w:rsidRPr="00104F81">
                    <w:t>7.0</w:t>
                  </w:r>
                </w:p>
              </w:tc>
              <w:tc>
                <w:tcPr>
                  <w:tcW w:w="442" w:type="pct"/>
                  <w:shd w:val="clear" w:color="auto" w:fill="auto"/>
                  <w:vAlign w:val="bottom"/>
                </w:tcPr>
                <w:p w:rsidR="00745FEA" w:rsidRPr="00104F81" w:rsidRDefault="00745FEA" w:rsidP="00745FEA">
                  <w:pPr>
                    <w:pStyle w:val="TableBodyText"/>
                    <w:ind w:right="57"/>
                  </w:pPr>
                  <w:r w:rsidRPr="00104F81">
                    <w:t>–</w:t>
                  </w:r>
                </w:p>
              </w:tc>
            </w:tr>
            <w:tr w:rsidR="00745FEA" w:rsidTr="00745FEA">
              <w:tc>
                <w:tcPr>
                  <w:tcW w:w="2200" w:type="pct"/>
                  <w:shd w:val="clear" w:color="auto" w:fill="auto"/>
                </w:tcPr>
                <w:p w:rsidR="00745FEA" w:rsidRPr="00180A51" w:rsidRDefault="00745FEA" w:rsidP="00745FEA">
                  <w:pPr>
                    <w:pStyle w:val="TableBodyText"/>
                    <w:spacing w:after="0"/>
                    <w:ind w:left="227" w:right="0"/>
                    <w:jc w:val="left"/>
                  </w:pPr>
                  <w:r w:rsidRPr="00180A51">
                    <w:t>CSL - Commonwealth assistance</w:t>
                  </w:r>
                </w:p>
              </w:tc>
              <w:tc>
                <w:tcPr>
                  <w:tcW w:w="490" w:type="pct"/>
                  <w:vAlign w:val="bottom"/>
                </w:tcPr>
                <w:p w:rsidR="00745FEA" w:rsidRPr="00104F81" w:rsidRDefault="00745FEA" w:rsidP="00745FEA">
                  <w:pPr>
                    <w:pStyle w:val="TableBodyText"/>
                    <w:ind w:right="57"/>
                  </w:pPr>
                  <w:r w:rsidRPr="00104F81">
                    <w:t>10.6</w:t>
                  </w:r>
                </w:p>
              </w:tc>
              <w:tc>
                <w:tcPr>
                  <w:tcW w:w="467" w:type="pct"/>
                  <w:vAlign w:val="bottom"/>
                </w:tcPr>
                <w:p w:rsidR="00745FEA" w:rsidRPr="00104F81" w:rsidRDefault="00745FEA" w:rsidP="00745FEA">
                  <w:pPr>
                    <w:pStyle w:val="TableBodyText"/>
                    <w:ind w:right="57"/>
                  </w:pPr>
                  <w:r w:rsidRPr="00104F81">
                    <w:t>8.0</w:t>
                  </w:r>
                </w:p>
              </w:tc>
              <w:tc>
                <w:tcPr>
                  <w:tcW w:w="467" w:type="pct"/>
                  <w:vAlign w:val="bottom"/>
                </w:tcPr>
                <w:p w:rsidR="00745FEA" w:rsidRPr="00104F81" w:rsidRDefault="00745FEA" w:rsidP="00745FEA">
                  <w:pPr>
                    <w:pStyle w:val="TableBodyText"/>
                    <w:ind w:right="57"/>
                  </w:pPr>
                  <w:r w:rsidRPr="00104F81">
                    <w:t>2.1</w:t>
                  </w:r>
                </w:p>
              </w:tc>
              <w:tc>
                <w:tcPr>
                  <w:tcW w:w="467" w:type="pct"/>
                  <w:vAlign w:val="bottom"/>
                </w:tcPr>
                <w:p w:rsidR="00745FEA" w:rsidRPr="00104F81" w:rsidRDefault="00745FEA" w:rsidP="00745FEA">
                  <w:pPr>
                    <w:pStyle w:val="TableBodyText"/>
                    <w:ind w:right="57"/>
                  </w:pPr>
                  <w:r w:rsidRPr="00104F81">
                    <w:t>–</w:t>
                  </w:r>
                </w:p>
              </w:tc>
              <w:tc>
                <w:tcPr>
                  <w:tcW w:w="467" w:type="pct"/>
                  <w:shd w:val="clear" w:color="auto" w:fill="auto"/>
                  <w:vAlign w:val="bottom"/>
                </w:tcPr>
                <w:p w:rsidR="00745FEA" w:rsidRPr="00104F81" w:rsidRDefault="00745FEA" w:rsidP="00745FEA">
                  <w:pPr>
                    <w:pStyle w:val="TableBodyText"/>
                    <w:ind w:right="57"/>
                  </w:pPr>
                  <w:r w:rsidRPr="00104F81">
                    <w:t>–</w:t>
                  </w:r>
                </w:p>
              </w:tc>
              <w:tc>
                <w:tcPr>
                  <w:tcW w:w="442" w:type="pct"/>
                  <w:shd w:val="clear" w:color="auto" w:fill="auto"/>
                  <w:vAlign w:val="bottom"/>
                </w:tcPr>
                <w:p w:rsidR="00745FEA" w:rsidRPr="00104F81" w:rsidRDefault="00745FEA" w:rsidP="00745FEA">
                  <w:pPr>
                    <w:pStyle w:val="TableBodyText"/>
                    <w:ind w:right="57"/>
                  </w:pPr>
                  <w:r w:rsidRPr="00104F81">
                    <w:t>–</w:t>
                  </w:r>
                </w:p>
              </w:tc>
            </w:tr>
            <w:tr w:rsidR="00745FEA" w:rsidTr="00745FEA">
              <w:tc>
                <w:tcPr>
                  <w:tcW w:w="2200" w:type="pct"/>
                  <w:shd w:val="clear" w:color="auto" w:fill="auto"/>
                </w:tcPr>
                <w:p w:rsidR="00745FEA" w:rsidRPr="00180A51" w:rsidRDefault="00745FEA" w:rsidP="00745FEA">
                  <w:pPr>
                    <w:pStyle w:val="TableBodyText"/>
                    <w:spacing w:after="0"/>
                    <w:ind w:left="227" w:right="0"/>
                    <w:jc w:val="left"/>
                  </w:pPr>
                  <w:r w:rsidRPr="00180A51">
                    <w:t>Clean Technology Investment - Food and Foundries Program</w:t>
                  </w:r>
                </w:p>
              </w:tc>
              <w:tc>
                <w:tcPr>
                  <w:tcW w:w="490" w:type="pct"/>
                  <w:vAlign w:val="bottom"/>
                </w:tcPr>
                <w:p w:rsidR="00745FEA" w:rsidRPr="00104F81" w:rsidRDefault="00745FEA" w:rsidP="00745FEA">
                  <w:pPr>
                    <w:pStyle w:val="TableBodyText"/>
                    <w:ind w:right="57"/>
                  </w:pPr>
                  <w:r w:rsidRPr="00104F81">
                    <w:t>–</w:t>
                  </w:r>
                </w:p>
              </w:tc>
              <w:tc>
                <w:tcPr>
                  <w:tcW w:w="467" w:type="pct"/>
                  <w:vAlign w:val="bottom"/>
                </w:tcPr>
                <w:p w:rsidR="00745FEA" w:rsidRPr="00104F81" w:rsidRDefault="00745FEA" w:rsidP="00745FEA">
                  <w:pPr>
                    <w:pStyle w:val="TableBodyText"/>
                    <w:ind w:right="57"/>
                  </w:pPr>
                  <w:r w:rsidRPr="00104F81">
                    <w:t>–</w:t>
                  </w:r>
                </w:p>
              </w:tc>
              <w:tc>
                <w:tcPr>
                  <w:tcW w:w="467" w:type="pct"/>
                  <w:vAlign w:val="bottom"/>
                </w:tcPr>
                <w:p w:rsidR="00745FEA" w:rsidRPr="00104F81" w:rsidRDefault="00745FEA" w:rsidP="00745FEA">
                  <w:pPr>
                    <w:pStyle w:val="TableBodyText"/>
                    <w:ind w:right="57"/>
                  </w:pPr>
                  <w:r w:rsidRPr="00104F81">
                    <w:t>&lt;0.1</w:t>
                  </w:r>
                </w:p>
              </w:tc>
              <w:tc>
                <w:tcPr>
                  <w:tcW w:w="467" w:type="pct"/>
                  <w:vAlign w:val="bottom"/>
                </w:tcPr>
                <w:p w:rsidR="00745FEA" w:rsidRPr="00104F81" w:rsidRDefault="00745FEA" w:rsidP="00745FEA">
                  <w:pPr>
                    <w:pStyle w:val="TableBodyText"/>
                    <w:ind w:right="57"/>
                  </w:pPr>
                  <w:r w:rsidRPr="00104F81">
                    <w:t>–</w:t>
                  </w:r>
                </w:p>
              </w:tc>
              <w:tc>
                <w:tcPr>
                  <w:tcW w:w="467" w:type="pct"/>
                  <w:shd w:val="clear" w:color="auto" w:fill="auto"/>
                  <w:vAlign w:val="bottom"/>
                </w:tcPr>
                <w:p w:rsidR="00745FEA" w:rsidRPr="00104F81" w:rsidRDefault="00745FEA" w:rsidP="00745FEA">
                  <w:pPr>
                    <w:pStyle w:val="TableBodyText"/>
                    <w:ind w:right="57"/>
                  </w:pPr>
                  <w:r w:rsidRPr="00104F81">
                    <w:t>–</w:t>
                  </w:r>
                </w:p>
              </w:tc>
              <w:tc>
                <w:tcPr>
                  <w:tcW w:w="442" w:type="pct"/>
                  <w:shd w:val="clear" w:color="auto" w:fill="auto"/>
                  <w:vAlign w:val="bottom"/>
                </w:tcPr>
                <w:p w:rsidR="00745FEA" w:rsidRPr="00104F81" w:rsidRDefault="00745FEA" w:rsidP="00745FEA">
                  <w:pPr>
                    <w:pStyle w:val="TableBodyText"/>
                    <w:ind w:right="57"/>
                  </w:pPr>
                  <w:r w:rsidRPr="00104F81">
                    <w:t>–</w:t>
                  </w:r>
                </w:p>
              </w:tc>
            </w:tr>
            <w:tr w:rsidR="00745FEA" w:rsidTr="00745FEA">
              <w:tc>
                <w:tcPr>
                  <w:tcW w:w="2200" w:type="pct"/>
                  <w:shd w:val="clear" w:color="auto" w:fill="auto"/>
                </w:tcPr>
                <w:p w:rsidR="00745FEA" w:rsidRPr="00180A51" w:rsidRDefault="00745FEA" w:rsidP="00745FEA">
                  <w:pPr>
                    <w:pStyle w:val="TableBodyText"/>
                    <w:spacing w:after="0"/>
                    <w:ind w:left="227" w:right="0"/>
                    <w:jc w:val="left"/>
                  </w:pPr>
                  <w:r w:rsidRPr="00180A51">
                    <w:t>Ethanol production subsidy</w:t>
                  </w:r>
                </w:p>
              </w:tc>
              <w:tc>
                <w:tcPr>
                  <w:tcW w:w="490" w:type="pct"/>
                  <w:vAlign w:val="bottom"/>
                </w:tcPr>
                <w:p w:rsidR="00745FEA" w:rsidRPr="00104F81" w:rsidRDefault="00745FEA" w:rsidP="00745FEA">
                  <w:pPr>
                    <w:pStyle w:val="TableBodyText"/>
                    <w:ind w:right="57"/>
                  </w:pPr>
                  <w:r w:rsidRPr="00104F81">
                    <w:t>115.3</w:t>
                  </w:r>
                </w:p>
              </w:tc>
              <w:tc>
                <w:tcPr>
                  <w:tcW w:w="467" w:type="pct"/>
                  <w:vAlign w:val="bottom"/>
                </w:tcPr>
                <w:p w:rsidR="00745FEA" w:rsidRPr="00104F81" w:rsidRDefault="00745FEA" w:rsidP="00745FEA">
                  <w:pPr>
                    <w:pStyle w:val="TableBodyText"/>
                    <w:ind w:right="57"/>
                  </w:pPr>
                  <w:r w:rsidRPr="00104F81">
                    <w:t>108.9</w:t>
                  </w:r>
                </w:p>
              </w:tc>
              <w:tc>
                <w:tcPr>
                  <w:tcW w:w="467" w:type="pct"/>
                  <w:vAlign w:val="bottom"/>
                </w:tcPr>
                <w:p w:rsidR="00745FEA" w:rsidRPr="00104F81" w:rsidRDefault="00745FEA" w:rsidP="00745FEA">
                  <w:pPr>
                    <w:pStyle w:val="TableBodyText"/>
                    <w:ind w:right="57"/>
                  </w:pPr>
                  <w:r w:rsidRPr="00104F81">
                    <w:t>102.5</w:t>
                  </w:r>
                </w:p>
              </w:tc>
              <w:tc>
                <w:tcPr>
                  <w:tcW w:w="467" w:type="pct"/>
                  <w:vAlign w:val="bottom"/>
                </w:tcPr>
                <w:p w:rsidR="00745FEA" w:rsidRPr="00104F81" w:rsidRDefault="00745FEA" w:rsidP="00745FEA">
                  <w:pPr>
                    <w:pStyle w:val="TableBodyText"/>
                    <w:ind w:right="57"/>
                  </w:pPr>
                  <w:r w:rsidRPr="00104F81">
                    <w:t>103.5</w:t>
                  </w:r>
                </w:p>
              </w:tc>
              <w:tc>
                <w:tcPr>
                  <w:tcW w:w="467" w:type="pct"/>
                  <w:shd w:val="clear" w:color="auto" w:fill="auto"/>
                  <w:vAlign w:val="bottom"/>
                </w:tcPr>
                <w:p w:rsidR="00745FEA" w:rsidRPr="00104F81" w:rsidRDefault="00745FEA" w:rsidP="00745FEA">
                  <w:pPr>
                    <w:pStyle w:val="TableBodyText"/>
                    <w:ind w:right="57"/>
                  </w:pPr>
                  <w:r w:rsidRPr="00104F81">
                    <w:t>–</w:t>
                  </w:r>
                </w:p>
              </w:tc>
              <w:tc>
                <w:tcPr>
                  <w:tcW w:w="442" w:type="pct"/>
                  <w:shd w:val="clear" w:color="auto" w:fill="auto"/>
                  <w:vAlign w:val="bottom"/>
                </w:tcPr>
                <w:p w:rsidR="00745FEA" w:rsidRPr="00104F81" w:rsidRDefault="00745FEA" w:rsidP="00745FEA">
                  <w:pPr>
                    <w:pStyle w:val="TableBodyText"/>
                    <w:ind w:right="57"/>
                  </w:pPr>
                  <w:r w:rsidRPr="00104F81">
                    <w:t>–</w:t>
                  </w:r>
                </w:p>
              </w:tc>
            </w:tr>
            <w:tr w:rsidR="00745FEA" w:rsidTr="00745FEA">
              <w:tc>
                <w:tcPr>
                  <w:tcW w:w="2200" w:type="pct"/>
                  <w:shd w:val="clear" w:color="auto" w:fill="auto"/>
                </w:tcPr>
                <w:p w:rsidR="00745FEA" w:rsidRPr="00180A51" w:rsidRDefault="00745FEA" w:rsidP="00745FEA">
                  <w:pPr>
                    <w:pStyle w:val="TableBodyText"/>
                    <w:spacing w:after="0"/>
                    <w:ind w:left="227" w:right="0"/>
                    <w:jc w:val="left"/>
                  </w:pPr>
                  <w:r w:rsidRPr="00180A51">
                    <w:t>Product Stewardship for Oil Program</w:t>
                  </w:r>
                </w:p>
              </w:tc>
              <w:tc>
                <w:tcPr>
                  <w:tcW w:w="490" w:type="pct"/>
                  <w:vAlign w:val="bottom"/>
                </w:tcPr>
                <w:p w:rsidR="00745FEA" w:rsidRPr="00104F81" w:rsidRDefault="00745FEA" w:rsidP="00745FEA">
                  <w:pPr>
                    <w:pStyle w:val="TableBodyText"/>
                    <w:ind w:right="57"/>
                  </w:pPr>
                  <w:r w:rsidRPr="00104F81">
                    <w:t>36.0</w:t>
                  </w:r>
                </w:p>
              </w:tc>
              <w:tc>
                <w:tcPr>
                  <w:tcW w:w="467" w:type="pct"/>
                  <w:vAlign w:val="bottom"/>
                </w:tcPr>
                <w:p w:rsidR="00745FEA" w:rsidRPr="00104F81" w:rsidRDefault="00745FEA" w:rsidP="00745FEA">
                  <w:pPr>
                    <w:pStyle w:val="TableBodyText"/>
                    <w:ind w:right="57"/>
                  </w:pPr>
                  <w:r w:rsidRPr="00104F81">
                    <w:t>33.4</w:t>
                  </w:r>
                </w:p>
              </w:tc>
              <w:tc>
                <w:tcPr>
                  <w:tcW w:w="467" w:type="pct"/>
                  <w:vAlign w:val="bottom"/>
                </w:tcPr>
                <w:p w:rsidR="00745FEA" w:rsidRPr="00104F81" w:rsidRDefault="00745FEA" w:rsidP="00745FEA">
                  <w:pPr>
                    <w:pStyle w:val="TableBodyText"/>
                    <w:ind w:right="57"/>
                  </w:pPr>
                  <w:r w:rsidRPr="00104F81">
                    <w:t>40.0</w:t>
                  </w:r>
                </w:p>
              </w:tc>
              <w:tc>
                <w:tcPr>
                  <w:tcW w:w="467" w:type="pct"/>
                  <w:vAlign w:val="bottom"/>
                </w:tcPr>
                <w:p w:rsidR="00745FEA" w:rsidRPr="00104F81" w:rsidRDefault="00745FEA" w:rsidP="00745FEA">
                  <w:pPr>
                    <w:pStyle w:val="TableBodyText"/>
                    <w:ind w:right="57"/>
                  </w:pPr>
                  <w:r w:rsidRPr="00104F81">
                    <w:t>49.0</w:t>
                  </w:r>
                </w:p>
              </w:tc>
              <w:tc>
                <w:tcPr>
                  <w:tcW w:w="467" w:type="pct"/>
                  <w:shd w:val="clear" w:color="auto" w:fill="auto"/>
                  <w:vAlign w:val="bottom"/>
                </w:tcPr>
                <w:p w:rsidR="00745FEA" w:rsidRPr="00104F81" w:rsidRDefault="00745FEA" w:rsidP="00745FEA">
                  <w:pPr>
                    <w:pStyle w:val="TableBodyText"/>
                    <w:ind w:right="57"/>
                  </w:pPr>
                  <w:r w:rsidRPr="00104F81">
                    <w:t>63.0</w:t>
                  </w:r>
                </w:p>
              </w:tc>
              <w:tc>
                <w:tcPr>
                  <w:tcW w:w="442" w:type="pct"/>
                  <w:shd w:val="clear" w:color="auto" w:fill="auto"/>
                  <w:vAlign w:val="bottom"/>
                </w:tcPr>
                <w:p w:rsidR="00745FEA" w:rsidRPr="00104F81" w:rsidRDefault="00745FEA" w:rsidP="00745FEA">
                  <w:pPr>
                    <w:pStyle w:val="TableBodyText"/>
                    <w:ind w:right="57"/>
                  </w:pPr>
                  <w:r w:rsidRPr="00104F81">
                    <w:t>72.0</w:t>
                  </w:r>
                </w:p>
              </w:tc>
            </w:tr>
            <w:tr w:rsidR="00745FEA" w:rsidTr="00745FEA">
              <w:tc>
                <w:tcPr>
                  <w:tcW w:w="2200" w:type="pct"/>
                  <w:shd w:val="clear" w:color="auto" w:fill="auto"/>
                </w:tcPr>
                <w:p w:rsidR="00745FEA" w:rsidRPr="00180A51" w:rsidRDefault="00745FEA" w:rsidP="00745FEA">
                  <w:pPr>
                    <w:pStyle w:val="TableBodyText"/>
                    <w:spacing w:after="0"/>
                    <w:ind w:left="227" w:right="0"/>
                    <w:jc w:val="left"/>
                  </w:pPr>
                  <w:r w:rsidRPr="00180A51">
                    <w:t>Small scale mammalian cell production facility</w:t>
                  </w:r>
                </w:p>
              </w:tc>
              <w:tc>
                <w:tcPr>
                  <w:tcW w:w="490" w:type="pct"/>
                  <w:vAlign w:val="bottom"/>
                </w:tcPr>
                <w:p w:rsidR="00745FEA" w:rsidRPr="00104F81" w:rsidRDefault="00745FEA" w:rsidP="00745FEA">
                  <w:pPr>
                    <w:pStyle w:val="TableBodyText"/>
                    <w:ind w:right="57"/>
                  </w:pPr>
                  <w:r w:rsidRPr="00104F81">
                    <w:t>4.0</w:t>
                  </w:r>
                </w:p>
              </w:tc>
              <w:tc>
                <w:tcPr>
                  <w:tcW w:w="467" w:type="pct"/>
                  <w:vAlign w:val="bottom"/>
                </w:tcPr>
                <w:p w:rsidR="00745FEA" w:rsidRPr="00104F81" w:rsidRDefault="00745FEA" w:rsidP="00745FEA">
                  <w:pPr>
                    <w:pStyle w:val="TableBodyText"/>
                    <w:ind w:right="57"/>
                  </w:pPr>
                  <w:r w:rsidRPr="00104F81">
                    <w:t>4.0</w:t>
                  </w:r>
                </w:p>
              </w:tc>
              <w:tc>
                <w:tcPr>
                  <w:tcW w:w="467" w:type="pct"/>
                  <w:vAlign w:val="bottom"/>
                </w:tcPr>
                <w:p w:rsidR="00745FEA" w:rsidRPr="00104F81" w:rsidRDefault="00745FEA" w:rsidP="00745FEA">
                  <w:pPr>
                    <w:pStyle w:val="TableBodyText"/>
                    <w:ind w:right="57"/>
                  </w:pPr>
                  <w:r w:rsidRPr="00104F81">
                    <w:t>–</w:t>
                  </w:r>
                </w:p>
              </w:tc>
              <w:tc>
                <w:tcPr>
                  <w:tcW w:w="467" w:type="pct"/>
                  <w:vAlign w:val="bottom"/>
                </w:tcPr>
                <w:p w:rsidR="00745FEA" w:rsidRPr="00104F81" w:rsidRDefault="00745FEA" w:rsidP="00745FEA">
                  <w:pPr>
                    <w:pStyle w:val="TableBodyText"/>
                    <w:ind w:right="57"/>
                  </w:pPr>
                  <w:r w:rsidRPr="00104F81">
                    <w:t>–</w:t>
                  </w:r>
                </w:p>
              </w:tc>
              <w:tc>
                <w:tcPr>
                  <w:tcW w:w="467" w:type="pct"/>
                  <w:shd w:val="clear" w:color="auto" w:fill="auto"/>
                  <w:vAlign w:val="bottom"/>
                </w:tcPr>
                <w:p w:rsidR="00745FEA" w:rsidRPr="00104F81" w:rsidRDefault="00745FEA" w:rsidP="00745FEA">
                  <w:pPr>
                    <w:pStyle w:val="TableBodyText"/>
                    <w:ind w:right="57"/>
                  </w:pPr>
                  <w:r w:rsidRPr="00104F81">
                    <w:t>–</w:t>
                  </w:r>
                </w:p>
              </w:tc>
              <w:tc>
                <w:tcPr>
                  <w:tcW w:w="442" w:type="pct"/>
                  <w:shd w:val="clear" w:color="auto" w:fill="auto"/>
                  <w:vAlign w:val="bottom"/>
                </w:tcPr>
                <w:p w:rsidR="00745FEA" w:rsidRDefault="00745FEA" w:rsidP="00745FEA">
                  <w:pPr>
                    <w:pStyle w:val="TableBodyText"/>
                    <w:ind w:right="57"/>
                  </w:pPr>
                  <w:r w:rsidRPr="00104F81">
                    <w:t>–</w:t>
                  </w:r>
                </w:p>
              </w:tc>
            </w:tr>
            <w:tr w:rsidR="00745FEA" w:rsidTr="00745FEA">
              <w:tc>
                <w:tcPr>
                  <w:tcW w:w="2200" w:type="pct"/>
                  <w:shd w:val="clear" w:color="auto" w:fill="auto"/>
                </w:tcPr>
                <w:p w:rsidR="00745FEA" w:rsidRPr="006A53DA" w:rsidRDefault="00745FEA" w:rsidP="00745FEA">
                  <w:pPr>
                    <w:pStyle w:val="TableBodyText"/>
                    <w:spacing w:before="40" w:after="0"/>
                    <w:ind w:left="113"/>
                    <w:jc w:val="left"/>
                    <w:rPr>
                      <w:i/>
                    </w:rPr>
                  </w:pPr>
                  <w:r w:rsidRPr="006A53DA">
                    <w:rPr>
                      <w:i/>
                    </w:rPr>
                    <w:t>Sector-specific measures</w:t>
                  </w:r>
                </w:p>
              </w:tc>
              <w:tc>
                <w:tcPr>
                  <w:tcW w:w="490"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42"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9505DF" w:rsidRDefault="00745FEA" w:rsidP="00745FEA">
                  <w:pPr>
                    <w:pStyle w:val="TableBodyText"/>
                    <w:spacing w:after="0"/>
                    <w:ind w:left="227" w:right="0"/>
                    <w:jc w:val="left"/>
                  </w:pPr>
                  <w:r w:rsidRPr="009505DF">
                    <w:t>Clean Technology Investment - General Program</w:t>
                  </w:r>
                </w:p>
              </w:tc>
              <w:tc>
                <w:tcPr>
                  <w:tcW w:w="490"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8.0</w:t>
                  </w:r>
                </w:p>
              </w:tc>
              <w:tc>
                <w:tcPr>
                  <w:tcW w:w="467" w:type="pct"/>
                  <w:vAlign w:val="bottom"/>
                </w:tcPr>
                <w:p w:rsidR="00745FEA" w:rsidRPr="002D2F0B" w:rsidRDefault="00745FEA" w:rsidP="00745FEA">
                  <w:pPr>
                    <w:pStyle w:val="TableBodyText"/>
                    <w:ind w:right="57"/>
                  </w:pPr>
                  <w:r w:rsidRPr="002D2F0B">
                    <w:t>19.2</w:t>
                  </w:r>
                </w:p>
              </w:tc>
              <w:tc>
                <w:tcPr>
                  <w:tcW w:w="467" w:type="pct"/>
                  <w:vAlign w:val="bottom"/>
                </w:tcPr>
                <w:p w:rsidR="00745FEA" w:rsidRPr="002D2F0B" w:rsidRDefault="00745FEA" w:rsidP="00745FEA">
                  <w:pPr>
                    <w:pStyle w:val="TableBodyText"/>
                    <w:ind w:right="57"/>
                  </w:pPr>
                  <w:r w:rsidRPr="002D2F0B">
                    <w:t>6.4</w:t>
                  </w:r>
                </w:p>
              </w:tc>
              <w:tc>
                <w:tcPr>
                  <w:tcW w:w="467" w:type="pct"/>
                  <w:shd w:val="clear" w:color="auto" w:fill="auto"/>
                  <w:vAlign w:val="bottom"/>
                </w:tcPr>
                <w:p w:rsidR="00745FEA" w:rsidRPr="002D2F0B" w:rsidRDefault="00745FEA" w:rsidP="00745FEA">
                  <w:pPr>
                    <w:pStyle w:val="TableBodyText"/>
                    <w:ind w:right="57"/>
                  </w:pPr>
                  <w:r w:rsidRPr="002D2F0B">
                    <w:t>1.7</w:t>
                  </w:r>
                </w:p>
              </w:tc>
              <w:tc>
                <w:tcPr>
                  <w:tcW w:w="442" w:type="pct"/>
                  <w:shd w:val="clear" w:color="auto" w:fill="auto"/>
                  <w:vAlign w:val="bottom"/>
                </w:tcPr>
                <w:p w:rsidR="00745FEA" w:rsidRPr="002D2F0B" w:rsidRDefault="00745FEA" w:rsidP="00745FEA">
                  <w:pPr>
                    <w:pStyle w:val="TableBodyText"/>
                    <w:ind w:right="57"/>
                  </w:pPr>
                  <w:r w:rsidRPr="002D2F0B">
                    <w:t>–</w:t>
                  </w:r>
                </w:p>
              </w:tc>
            </w:tr>
            <w:tr w:rsidR="00745FEA" w:rsidTr="00745FEA">
              <w:tc>
                <w:tcPr>
                  <w:tcW w:w="2200" w:type="pct"/>
                  <w:shd w:val="clear" w:color="auto" w:fill="auto"/>
                </w:tcPr>
                <w:p w:rsidR="00745FEA" w:rsidRPr="009505DF" w:rsidRDefault="00745FEA" w:rsidP="00745FEA">
                  <w:pPr>
                    <w:pStyle w:val="TableBodyText"/>
                    <w:spacing w:after="0"/>
                    <w:ind w:left="227" w:right="0"/>
                    <w:jc w:val="left"/>
                  </w:pPr>
                  <w:r w:rsidRPr="009505DF">
                    <w:t>Manufacturing Transition Grants Programme</w:t>
                  </w:r>
                </w:p>
              </w:tc>
              <w:tc>
                <w:tcPr>
                  <w:tcW w:w="490"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0.5</w:t>
                  </w:r>
                </w:p>
              </w:tc>
              <w:tc>
                <w:tcPr>
                  <w:tcW w:w="467" w:type="pct"/>
                  <w:shd w:val="clear" w:color="auto" w:fill="auto"/>
                  <w:vAlign w:val="bottom"/>
                </w:tcPr>
                <w:p w:rsidR="00745FEA" w:rsidRPr="002D2F0B" w:rsidRDefault="00745FEA" w:rsidP="00745FEA">
                  <w:pPr>
                    <w:pStyle w:val="TableBodyText"/>
                    <w:ind w:right="57"/>
                  </w:pPr>
                  <w:r w:rsidRPr="002D2F0B">
                    <w:t>4.1</w:t>
                  </w:r>
                </w:p>
              </w:tc>
              <w:tc>
                <w:tcPr>
                  <w:tcW w:w="442" w:type="pct"/>
                  <w:shd w:val="clear" w:color="auto" w:fill="auto"/>
                  <w:vAlign w:val="bottom"/>
                </w:tcPr>
                <w:p w:rsidR="00745FEA" w:rsidRPr="002D2F0B" w:rsidRDefault="00745FEA" w:rsidP="00745FEA">
                  <w:pPr>
                    <w:pStyle w:val="TableBodyText"/>
                    <w:ind w:right="57"/>
                  </w:pPr>
                  <w:r w:rsidRPr="002D2F0B">
                    <w:t>2.9</w:t>
                  </w:r>
                </w:p>
              </w:tc>
            </w:tr>
            <w:tr w:rsidR="00745FEA" w:rsidTr="00745FEA">
              <w:tc>
                <w:tcPr>
                  <w:tcW w:w="2200" w:type="pct"/>
                  <w:shd w:val="clear" w:color="auto" w:fill="auto"/>
                </w:tcPr>
                <w:p w:rsidR="00745FEA" w:rsidRPr="009505DF" w:rsidRDefault="00745FEA" w:rsidP="00745FEA">
                  <w:pPr>
                    <w:pStyle w:val="TableBodyText"/>
                    <w:spacing w:after="0"/>
                    <w:ind w:left="227" w:right="0"/>
                    <w:jc w:val="left"/>
                  </w:pPr>
                  <w:r w:rsidRPr="009505DF">
                    <w:t>Next Generation Manufacturing Investment Programme</w:t>
                  </w:r>
                </w:p>
              </w:tc>
              <w:tc>
                <w:tcPr>
                  <w:tcW w:w="490"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w:t>
                  </w:r>
                </w:p>
              </w:tc>
              <w:tc>
                <w:tcPr>
                  <w:tcW w:w="467" w:type="pct"/>
                  <w:vAlign w:val="bottom"/>
                </w:tcPr>
                <w:p w:rsidR="00745FEA" w:rsidRPr="002D2F0B" w:rsidRDefault="00745FEA" w:rsidP="00745FEA">
                  <w:pPr>
                    <w:pStyle w:val="TableBodyText"/>
                    <w:ind w:right="57"/>
                  </w:pPr>
                  <w:r w:rsidRPr="002D2F0B">
                    <w:t>–</w:t>
                  </w:r>
                </w:p>
              </w:tc>
              <w:tc>
                <w:tcPr>
                  <w:tcW w:w="467" w:type="pct"/>
                  <w:shd w:val="clear" w:color="auto" w:fill="auto"/>
                  <w:vAlign w:val="bottom"/>
                </w:tcPr>
                <w:p w:rsidR="00745FEA" w:rsidRPr="002D2F0B" w:rsidRDefault="00745FEA" w:rsidP="00745FEA">
                  <w:pPr>
                    <w:pStyle w:val="TableBodyText"/>
                    <w:ind w:right="57"/>
                  </w:pPr>
                  <w:r w:rsidRPr="002D2F0B">
                    <w:t>3.4</w:t>
                  </w:r>
                </w:p>
              </w:tc>
              <w:tc>
                <w:tcPr>
                  <w:tcW w:w="442" w:type="pct"/>
                  <w:shd w:val="clear" w:color="auto" w:fill="auto"/>
                  <w:vAlign w:val="bottom"/>
                </w:tcPr>
                <w:p w:rsidR="00745FEA" w:rsidRPr="002D2F0B" w:rsidRDefault="00745FEA" w:rsidP="00745FEA">
                  <w:pPr>
                    <w:pStyle w:val="TableBodyText"/>
                    <w:ind w:right="57"/>
                  </w:pPr>
                  <w:r w:rsidRPr="002D2F0B">
                    <w:t>3.5</w:t>
                  </w:r>
                </w:p>
              </w:tc>
            </w:tr>
            <w:tr w:rsidR="00745FEA" w:rsidRPr="006A53DA" w:rsidTr="00745FEA">
              <w:tc>
                <w:tcPr>
                  <w:tcW w:w="2200" w:type="pct"/>
                  <w:tcBorders>
                    <w:bottom w:val="single" w:sz="6" w:space="0" w:color="BFBFBF"/>
                  </w:tcBorders>
                  <w:shd w:val="clear" w:color="auto" w:fill="auto"/>
                </w:tcPr>
                <w:p w:rsidR="00745FEA" w:rsidRPr="00CF47C6" w:rsidRDefault="00745FEA" w:rsidP="00745FEA">
                  <w:pPr>
                    <w:pStyle w:val="TableBodyText"/>
                    <w:ind w:left="227" w:right="0"/>
                    <w:jc w:val="left"/>
                  </w:pPr>
                  <w:r w:rsidRPr="00CF47C6">
                    <w:t>Victorian Innovation and Investment Fund - Ford Assistance</w:t>
                  </w:r>
                </w:p>
              </w:tc>
              <w:tc>
                <w:tcPr>
                  <w:tcW w:w="490" w:type="pct"/>
                  <w:tcBorders>
                    <w:bottom w:val="single" w:sz="6" w:space="0" w:color="BFBFBF"/>
                  </w:tcBorders>
                  <w:vAlign w:val="bottom"/>
                </w:tcPr>
                <w:p w:rsidR="00745FEA" w:rsidRPr="002D2F0B" w:rsidRDefault="00745FEA" w:rsidP="00745FEA">
                  <w:pPr>
                    <w:pStyle w:val="TableBodyText"/>
                    <w:ind w:right="57"/>
                  </w:pPr>
                  <w:r w:rsidRPr="002D2F0B">
                    <w:t>–</w:t>
                  </w:r>
                </w:p>
              </w:tc>
              <w:tc>
                <w:tcPr>
                  <w:tcW w:w="467" w:type="pct"/>
                  <w:tcBorders>
                    <w:bottom w:val="single" w:sz="6" w:space="0" w:color="BFBFBF"/>
                  </w:tcBorders>
                  <w:vAlign w:val="bottom"/>
                </w:tcPr>
                <w:p w:rsidR="00745FEA" w:rsidRPr="002D2F0B" w:rsidRDefault="00745FEA" w:rsidP="00745FEA">
                  <w:pPr>
                    <w:pStyle w:val="TableBodyText"/>
                    <w:ind w:right="57"/>
                  </w:pPr>
                  <w:r w:rsidRPr="002D2F0B">
                    <w:t>–</w:t>
                  </w:r>
                </w:p>
              </w:tc>
              <w:tc>
                <w:tcPr>
                  <w:tcW w:w="467" w:type="pct"/>
                  <w:tcBorders>
                    <w:bottom w:val="single" w:sz="6" w:space="0" w:color="BFBFBF"/>
                  </w:tcBorders>
                  <w:vAlign w:val="bottom"/>
                </w:tcPr>
                <w:p w:rsidR="00745FEA" w:rsidRPr="002D2F0B" w:rsidRDefault="00745FEA" w:rsidP="00745FEA">
                  <w:pPr>
                    <w:pStyle w:val="TableBodyText"/>
                    <w:ind w:right="57"/>
                  </w:pPr>
                  <w:r w:rsidRPr="002D2F0B">
                    <w:t>–</w:t>
                  </w:r>
                </w:p>
              </w:tc>
              <w:tc>
                <w:tcPr>
                  <w:tcW w:w="467" w:type="pct"/>
                  <w:tcBorders>
                    <w:bottom w:val="single" w:sz="6" w:space="0" w:color="BFBFBF"/>
                  </w:tcBorders>
                  <w:vAlign w:val="bottom"/>
                </w:tcPr>
                <w:p w:rsidR="00745FEA" w:rsidRPr="002D2F0B" w:rsidRDefault="00745FEA" w:rsidP="00745FEA">
                  <w:pPr>
                    <w:pStyle w:val="TableBodyText"/>
                    <w:ind w:right="57"/>
                  </w:pPr>
                  <w:r w:rsidRPr="002D2F0B">
                    <w:t>0.1</w:t>
                  </w:r>
                </w:p>
              </w:tc>
              <w:tc>
                <w:tcPr>
                  <w:tcW w:w="467" w:type="pct"/>
                  <w:tcBorders>
                    <w:bottom w:val="single" w:sz="6" w:space="0" w:color="BFBFBF"/>
                  </w:tcBorders>
                  <w:shd w:val="clear" w:color="auto" w:fill="auto"/>
                  <w:vAlign w:val="bottom"/>
                </w:tcPr>
                <w:p w:rsidR="00745FEA" w:rsidRPr="002D2F0B" w:rsidRDefault="00745FEA" w:rsidP="00745FEA">
                  <w:pPr>
                    <w:pStyle w:val="TableBodyText"/>
                    <w:ind w:right="57"/>
                  </w:pPr>
                  <w:r w:rsidRPr="002D2F0B">
                    <w:t>0.1</w:t>
                  </w:r>
                </w:p>
              </w:tc>
              <w:tc>
                <w:tcPr>
                  <w:tcW w:w="442" w:type="pct"/>
                  <w:tcBorders>
                    <w:bottom w:val="single" w:sz="6" w:space="0" w:color="BFBFBF"/>
                  </w:tcBorders>
                  <w:shd w:val="clear" w:color="auto" w:fill="auto"/>
                  <w:vAlign w:val="bottom"/>
                </w:tcPr>
                <w:p w:rsidR="00745FEA" w:rsidRDefault="00745FEA" w:rsidP="00745FEA">
                  <w:pPr>
                    <w:pStyle w:val="TableBodyText"/>
                    <w:ind w:right="57"/>
                  </w:pPr>
                  <w:r w:rsidRPr="002D2F0B">
                    <w:t>0.2</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vAlign w:val="bottom"/>
          </w:tcPr>
          <w:p w:rsidR="00745FEA" w:rsidRDefault="00745FEA" w:rsidP="00745FEA">
            <w:pPr>
              <w:pStyle w:val="Source"/>
              <w:ind w:left="6357"/>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rsidRPr="00C84A42">
              <w:rPr>
                <w:sz w:val="20"/>
                <w:szCs w:val="20"/>
              </w:rP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6"/>
              <w:gridCol w:w="796"/>
              <w:gridCol w:w="796"/>
              <w:gridCol w:w="796"/>
              <w:gridCol w:w="796"/>
              <w:gridCol w:w="782"/>
            </w:tblGrid>
            <w:tr w:rsidR="00745FEA" w:rsidTr="00C719FB">
              <w:trPr>
                <w:tblHeader/>
              </w:trPr>
              <w:tc>
                <w:tcPr>
                  <w:tcW w:w="2218" w:type="pct"/>
                  <w:tcBorders>
                    <w:top w:val="single" w:sz="6" w:space="0" w:color="BFBFBF"/>
                    <w:bottom w:val="single" w:sz="6" w:space="0" w:color="BFBFBF"/>
                  </w:tcBorders>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Borders>
                    <w:top w:val="single" w:sz="6" w:space="0" w:color="BFBFBF"/>
                  </w:tcBorders>
                </w:tcPr>
                <w:p w:rsidR="00745FEA" w:rsidRPr="0057353B" w:rsidRDefault="00745FEA" w:rsidP="00745FEA">
                  <w:pPr>
                    <w:pStyle w:val="TableUnitsRow"/>
                    <w:spacing w:after="0"/>
                    <w:ind w:left="113"/>
                    <w:jc w:val="left"/>
                    <w:rPr>
                      <w:i/>
                    </w:rPr>
                  </w:pPr>
                  <w:r w:rsidRPr="0057353B">
                    <w:rPr>
                      <w:i/>
                    </w:rPr>
                    <w:t xml:space="preserve">General </w:t>
                  </w:r>
                  <w:r w:rsidRPr="006A53DA">
                    <w:rPr>
                      <w:i/>
                    </w:rPr>
                    <w:t>export measures</w:t>
                  </w:r>
                </w:p>
              </w:tc>
              <w:tc>
                <w:tcPr>
                  <w:tcW w:w="465"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c>
                <w:tcPr>
                  <w:tcW w:w="457"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18" w:type="pct"/>
                </w:tcPr>
                <w:p w:rsidR="00745FEA" w:rsidRPr="00210083" w:rsidRDefault="00745FEA" w:rsidP="00745FEA">
                  <w:pPr>
                    <w:pStyle w:val="TableBodyText"/>
                    <w:spacing w:after="0"/>
                    <w:ind w:left="227" w:right="0"/>
                    <w:jc w:val="left"/>
                  </w:pPr>
                  <w:r w:rsidRPr="00210083">
                    <w:t>Export Market Development Grants Scheme</w:t>
                  </w:r>
                </w:p>
              </w:tc>
              <w:tc>
                <w:tcPr>
                  <w:tcW w:w="465" w:type="pct"/>
                  <w:vAlign w:val="bottom"/>
                </w:tcPr>
                <w:p w:rsidR="00745FEA" w:rsidRPr="003C6D10" w:rsidRDefault="00745FEA" w:rsidP="00745FEA">
                  <w:pPr>
                    <w:pStyle w:val="TableBodyText"/>
                    <w:ind w:right="57"/>
                  </w:pPr>
                  <w:r w:rsidRPr="003C6D10">
                    <w:t>5.3</w:t>
                  </w:r>
                </w:p>
              </w:tc>
              <w:tc>
                <w:tcPr>
                  <w:tcW w:w="465" w:type="pct"/>
                  <w:vAlign w:val="bottom"/>
                </w:tcPr>
                <w:p w:rsidR="00745FEA" w:rsidRPr="003C6D10" w:rsidRDefault="00745FEA" w:rsidP="00745FEA">
                  <w:pPr>
                    <w:pStyle w:val="TableBodyText"/>
                    <w:ind w:right="57"/>
                  </w:pPr>
                  <w:r w:rsidRPr="003C6D10">
                    <w:t>6.2</w:t>
                  </w:r>
                </w:p>
              </w:tc>
              <w:tc>
                <w:tcPr>
                  <w:tcW w:w="465" w:type="pct"/>
                  <w:vAlign w:val="bottom"/>
                </w:tcPr>
                <w:p w:rsidR="00745FEA" w:rsidRPr="003C6D10" w:rsidRDefault="00745FEA" w:rsidP="00745FEA">
                  <w:pPr>
                    <w:pStyle w:val="TableBodyText"/>
                    <w:ind w:right="57"/>
                  </w:pPr>
                  <w:r w:rsidRPr="003C6D10">
                    <w:t>5.4</w:t>
                  </w:r>
                </w:p>
              </w:tc>
              <w:tc>
                <w:tcPr>
                  <w:tcW w:w="465" w:type="pct"/>
                  <w:vAlign w:val="bottom"/>
                </w:tcPr>
                <w:p w:rsidR="00745FEA" w:rsidRPr="003C6D10" w:rsidRDefault="00745FEA" w:rsidP="00745FEA">
                  <w:pPr>
                    <w:pStyle w:val="TableBodyText"/>
                    <w:ind w:right="57"/>
                  </w:pPr>
                  <w:r w:rsidRPr="003C6D10">
                    <w:t>6.5</w:t>
                  </w:r>
                </w:p>
              </w:tc>
              <w:tc>
                <w:tcPr>
                  <w:tcW w:w="465" w:type="pct"/>
                  <w:vAlign w:val="bottom"/>
                </w:tcPr>
                <w:p w:rsidR="00745FEA" w:rsidRPr="003C6D10" w:rsidRDefault="00745FEA" w:rsidP="00745FEA">
                  <w:pPr>
                    <w:pStyle w:val="TableBodyText"/>
                    <w:ind w:right="57"/>
                  </w:pPr>
                  <w:r w:rsidRPr="003C6D10">
                    <w:t>5.4</w:t>
                  </w:r>
                </w:p>
              </w:tc>
              <w:tc>
                <w:tcPr>
                  <w:tcW w:w="457" w:type="pct"/>
                  <w:vAlign w:val="bottom"/>
                </w:tcPr>
                <w:p w:rsidR="00745FEA" w:rsidRPr="003C6D10" w:rsidRDefault="00745FEA" w:rsidP="00745FEA">
                  <w:pPr>
                    <w:pStyle w:val="TableBodyText"/>
                    <w:ind w:right="57"/>
                  </w:pPr>
                  <w:r w:rsidRPr="003C6D10">
                    <w:t>5.5</w:t>
                  </w:r>
                </w:p>
              </w:tc>
            </w:tr>
            <w:tr w:rsidR="00745FEA" w:rsidTr="00745FEA">
              <w:tc>
                <w:tcPr>
                  <w:tcW w:w="2218" w:type="pct"/>
                </w:tcPr>
                <w:p w:rsidR="00745FEA" w:rsidRPr="00210083" w:rsidRDefault="00745FEA" w:rsidP="00745FEA">
                  <w:pPr>
                    <w:pStyle w:val="TableBodyText"/>
                    <w:spacing w:after="0"/>
                    <w:ind w:left="227" w:right="0"/>
                    <w:jc w:val="left"/>
                  </w:pPr>
                  <w:r w:rsidRPr="00210083">
                    <w:t>TRADEX</w:t>
                  </w:r>
                </w:p>
              </w:tc>
              <w:tc>
                <w:tcPr>
                  <w:tcW w:w="465" w:type="pct"/>
                  <w:vAlign w:val="bottom"/>
                </w:tcPr>
                <w:p w:rsidR="00745FEA" w:rsidRPr="003C6D10" w:rsidRDefault="00745FEA" w:rsidP="00745FEA">
                  <w:pPr>
                    <w:pStyle w:val="TableBodyText"/>
                    <w:ind w:right="57"/>
                  </w:pPr>
                  <w:r w:rsidRPr="003C6D10">
                    <w:t>1.4</w:t>
                  </w:r>
                </w:p>
              </w:tc>
              <w:tc>
                <w:tcPr>
                  <w:tcW w:w="465" w:type="pct"/>
                  <w:vAlign w:val="bottom"/>
                </w:tcPr>
                <w:p w:rsidR="00745FEA" w:rsidRPr="003C6D10" w:rsidRDefault="00745FEA" w:rsidP="00745FEA">
                  <w:pPr>
                    <w:pStyle w:val="TableBodyText"/>
                    <w:ind w:right="57"/>
                  </w:pPr>
                  <w:r w:rsidRPr="003C6D10">
                    <w:t>1.4</w:t>
                  </w:r>
                </w:p>
              </w:tc>
              <w:tc>
                <w:tcPr>
                  <w:tcW w:w="465" w:type="pct"/>
                  <w:vAlign w:val="bottom"/>
                </w:tcPr>
                <w:p w:rsidR="00745FEA" w:rsidRPr="003C6D10" w:rsidRDefault="00745FEA" w:rsidP="00745FEA">
                  <w:pPr>
                    <w:pStyle w:val="TableBodyText"/>
                    <w:ind w:right="57"/>
                  </w:pPr>
                  <w:r w:rsidRPr="003C6D10">
                    <w:t>1.4</w:t>
                  </w:r>
                </w:p>
              </w:tc>
              <w:tc>
                <w:tcPr>
                  <w:tcW w:w="465" w:type="pct"/>
                  <w:vAlign w:val="bottom"/>
                </w:tcPr>
                <w:p w:rsidR="00745FEA" w:rsidRPr="003C6D10" w:rsidRDefault="00745FEA" w:rsidP="00745FEA">
                  <w:pPr>
                    <w:pStyle w:val="TableBodyText"/>
                    <w:ind w:right="57"/>
                  </w:pPr>
                  <w:r w:rsidRPr="003C6D10">
                    <w:t>1.5</w:t>
                  </w:r>
                </w:p>
              </w:tc>
              <w:tc>
                <w:tcPr>
                  <w:tcW w:w="465" w:type="pct"/>
                  <w:vAlign w:val="bottom"/>
                </w:tcPr>
                <w:p w:rsidR="00745FEA" w:rsidRPr="003C6D10" w:rsidRDefault="00745FEA" w:rsidP="00745FEA">
                  <w:pPr>
                    <w:pStyle w:val="TableBodyText"/>
                    <w:ind w:right="57"/>
                  </w:pPr>
                  <w:r w:rsidRPr="003C6D10">
                    <w:t>1.8</w:t>
                  </w:r>
                </w:p>
              </w:tc>
              <w:tc>
                <w:tcPr>
                  <w:tcW w:w="457" w:type="pct"/>
                  <w:vAlign w:val="bottom"/>
                </w:tcPr>
                <w:p w:rsidR="00745FEA" w:rsidRDefault="00745FEA" w:rsidP="00745FEA">
                  <w:pPr>
                    <w:pStyle w:val="TableBodyText"/>
                    <w:ind w:right="57"/>
                  </w:pPr>
                  <w:r w:rsidRPr="003C6D10">
                    <w:t>1.6</w:t>
                  </w:r>
                </w:p>
              </w:tc>
            </w:tr>
            <w:tr w:rsidR="00745FEA" w:rsidTr="00745FEA">
              <w:tc>
                <w:tcPr>
                  <w:tcW w:w="2218" w:type="pct"/>
                </w:tcPr>
                <w:p w:rsidR="00745FEA" w:rsidRPr="0057353B" w:rsidRDefault="00745FEA" w:rsidP="00745FEA">
                  <w:pPr>
                    <w:pStyle w:val="TableUnitsRow"/>
                    <w:spacing w:after="0"/>
                    <w:ind w:left="113"/>
                    <w:jc w:val="left"/>
                    <w:rPr>
                      <w:i/>
                    </w:rPr>
                  </w:pPr>
                  <w:r w:rsidRPr="0057353B">
                    <w:rPr>
                      <w:i/>
                    </w:rPr>
                    <w:t>General R&amp;D measures</w:t>
                  </w:r>
                </w:p>
              </w:tc>
              <w:tc>
                <w:tcPr>
                  <w:tcW w:w="465" w:type="pct"/>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c>
                <w:tcPr>
                  <w:tcW w:w="457" w:type="pct"/>
                  <w:vAlign w:val="bottom"/>
                </w:tcPr>
                <w:p w:rsidR="00745FEA" w:rsidRDefault="00745FEA" w:rsidP="00745FEA">
                  <w:pPr>
                    <w:pStyle w:val="TableBodyText"/>
                    <w:ind w:right="57"/>
                  </w:pPr>
                </w:p>
              </w:tc>
            </w:tr>
            <w:tr w:rsidR="00745FEA" w:rsidTr="00745FEA">
              <w:tc>
                <w:tcPr>
                  <w:tcW w:w="2218" w:type="pct"/>
                </w:tcPr>
                <w:p w:rsidR="00745FEA" w:rsidRPr="00C32021" w:rsidRDefault="00745FEA" w:rsidP="00745FEA">
                  <w:pPr>
                    <w:pStyle w:val="TableBodyText"/>
                    <w:spacing w:after="0"/>
                    <w:ind w:left="227" w:right="0"/>
                    <w:jc w:val="left"/>
                  </w:pPr>
                  <w:r w:rsidRPr="00C32021">
                    <w:t>Commercialisation Australia</w:t>
                  </w:r>
                </w:p>
              </w:tc>
              <w:tc>
                <w:tcPr>
                  <w:tcW w:w="465" w:type="pct"/>
                  <w:vAlign w:val="bottom"/>
                </w:tcPr>
                <w:p w:rsidR="00745FEA" w:rsidRPr="00D157E7" w:rsidRDefault="00745FEA" w:rsidP="00745FEA">
                  <w:pPr>
                    <w:pStyle w:val="TableBodyText"/>
                    <w:ind w:right="57"/>
                  </w:pPr>
                  <w:r w:rsidRPr="00D157E7">
                    <w:t>2.5</w:t>
                  </w:r>
                </w:p>
              </w:tc>
              <w:tc>
                <w:tcPr>
                  <w:tcW w:w="465" w:type="pct"/>
                  <w:vAlign w:val="bottom"/>
                </w:tcPr>
                <w:p w:rsidR="00745FEA" w:rsidRPr="00D157E7" w:rsidRDefault="00745FEA" w:rsidP="00745FEA">
                  <w:pPr>
                    <w:pStyle w:val="TableBodyText"/>
                    <w:ind w:right="57"/>
                  </w:pPr>
                  <w:r w:rsidRPr="00D157E7">
                    <w:t>3.5</w:t>
                  </w:r>
                </w:p>
              </w:tc>
              <w:tc>
                <w:tcPr>
                  <w:tcW w:w="465" w:type="pct"/>
                  <w:vAlign w:val="bottom"/>
                </w:tcPr>
                <w:p w:rsidR="00745FEA" w:rsidRPr="00D157E7" w:rsidRDefault="00745FEA" w:rsidP="00745FEA">
                  <w:pPr>
                    <w:pStyle w:val="TableBodyText"/>
                    <w:ind w:right="57"/>
                  </w:pPr>
                  <w:r w:rsidRPr="00D157E7">
                    <w:t>2.3</w:t>
                  </w:r>
                </w:p>
              </w:tc>
              <w:tc>
                <w:tcPr>
                  <w:tcW w:w="465" w:type="pct"/>
                  <w:vAlign w:val="bottom"/>
                </w:tcPr>
                <w:p w:rsidR="00745FEA" w:rsidRPr="00D157E7" w:rsidRDefault="00745FEA" w:rsidP="00745FEA">
                  <w:pPr>
                    <w:pStyle w:val="TableBodyText"/>
                    <w:ind w:right="57"/>
                  </w:pPr>
                  <w:r w:rsidRPr="00D157E7">
                    <w:t>2.5</w:t>
                  </w:r>
                </w:p>
              </w:tc>
              <w:tc>
                <w:tcPr>
                  <w:tcW w:w="465" w:type="pct"/>
                  <w:vAlign w:val="bottom"/>
                </w:tcPr>
                <w:p w:rsidR="00745FEA" w:rsidRPr="00D157E7" w:rsidRDefault="00745FEA" w:rsidP="00745FEA">
                  <w:pPr>
                    <w:pStyle w:val="TableBodyText"/>
                    <w:ind w:right="57"/>
                  </w:pPr>
                  <w:r w:rsidRPr="00D157E7">
                    <w:t>0.2</w:t>
                  </w:r>
                </w:p>
              </w:tc>
              <w:tc>
                <w:tcPr>
                  <w:tcW w:w="457" w:type="pct"/>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COMET Program</w:t>
                  </w:r>
                </w:p>
              </w:tc>
              <w:tc>
                <w:tcPr>
                  <w:tcW w:w="465" w:type="pct"/>
                  <w:vAlign w:val="bottom"/>
                </w:tcPr>
                <w:p w:rsidR="00745FEA" w:rsidRPr="00D157E7" w:rsidRDefault="00745FEA" w:rsidP="00745FEA">
                  <w:pPr>
                    <w:pStyle w:val="TableBodyText"/>
                    <w:ind w:right="57"/>
                  </w:pPr>
                  <w:r w:rsidRPr="00D157E7">
                    <w:t>&lt;0.1</w:t>
                  </w:r>
                </w:p>
              </w:tc>
              <w:tc>
                <w:tcPr>
                  <w:tcW w:w="465" w:type="pct"/>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Commercial Ready Program</w:t>
                  </w:r>
                </w:p>
              </w:tc>
              <w:tc>
                <w:tcPr>
                  <w:tcW w:w="465" w:type="pct"/>
                  <w:vAlign w:val="bottom"/>
                </w:tcPr>
                <w:p w:rsidR="00745FEA" w:rsidRPr="00D157E7" w:rsidRDefault="00745FEA" w:rsidP="00745FEA">
                  <w:pPr>
                    <w:pStyle w:val="TableBodyText"/>
                    <w:ind w:right="57"/>
                  </w:pPr>
                  <w:r w:rsidRPr="00D157E7">
                    <w:t>0.1</w:t>
                  </w:r>
                </w:p>
              </w:tc>
              <w:tc>
                <w:tcPr>
                  <w:tcW w:w="465" w:type="pct"/>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Cooperative Research Centres</w:t>
                  </w:r>
                </w:p>
              </w:tc>
              <w:tc>
                <w:tcPr>
                  <w:tcW w:w="465" w:type="pct"/>
                  <w:vAlign w:val="bottom"/>
                </w:tcPr>
                <w:p w:rsidR="00745FEA" w:rsidRPr="00D157E7" w:rsidRDefault="00745FEA" w:rsidP="00745FEA">
                  <w:pPr>
                    <w:pStyle w:val="TableBodyText"/>
                    <w:ind w:right="57"/>
                  </w:pPr>
                  <w:r w:rsidRPr="00D157E7">
                    <w:t>7.0</w:t>
                  </w:r>
                </w:p>
              </w:tc>
              <w:tc>
                <w:tcPr>
                  <w:tcW w:w="465" w:type="pct"/>
                  <w:vAlign w:val="bottom"/>
                </w:tcPr>
                <w:p w:rsidR="00745FEA" w:rsidRPr="00D157E7" w:rsidRDefault="00745FEA" w:rsidP="00745FEA">
                  <w:pPr>
                    <w:pStyle w:val="TableBodyText"/>
                    <w:ind w:right="57"/>
                  </w:pPr>
                  <w:r w:rsidRPr="00D157E7">
                    <w:t>2.6</w:t>
                  </w:r>
                </w:p>
              </w:tc>
              <w:tc>
                <w:tcPr>
                  <w:tcW w:w="465" w:type="pct"/>
                  <w:shd w:val="clear" w:color="auto" w:fill="auto"/>
                  <w:vAlign w:val="bottom"/>
                </w:tcPr>
                <w:p w:rsidR="00745FEA" w:rsidRPr="00D157E7" w:rsidRDefault="00745FEA" w:rsidP="00745FEA">
                  <w:pPr>
                    <w:pStyle w:val="TableBodyText"/>
                    <w:ind w:right="57"/>
                  </w:pPr>
                  <w:r w:rsidRPr="00D157E7">
                    <w:t>10.0</w:t>
                  </w:r>
                </w:p>
              </w:tc>
              <w:tc>
                <w:tcPr>
                  <w:tcW w:w="465" w:type="pct"/>
                  <w:shd w:val="clear" w:color="auto" w:fill="auto"/>
                  <w:vAlign w:val="bottom"/>
                </w:tcPr>
                <w:p w:rsidR="00745FEA" w:rsidRPr="00D157E7" w:rsidRDefault="00745FEA" w:rsidP="00745FEA">
                  <w:pPr>
                    <w:pStyle w:val="TableBodyText"/>
                    <w:ind w:right="57"/>
                  </w:pPr>
                  <w:r w:rsidRPr="00D157E7">
                    <w:t>4.1</w:t>
                  </w:r>
                </w:p>
              </w:tc>
              <w:tc>
                <w:tcPr>
                  <w:tcW w:w="465" w:type="pct"/>
                  <w:vAlign w:val="bottom"/>
                </w:tcPr>
                <w:p w:rsidR="00745FEA" w:rsidRPr="00D157E7" w:rsidRDefault="00745FEA" w:rsidP="00745FEA">
                  <w:pPr>
                    <w:pStyle w:val="TableBodyText"/>
                    <w:ind w:right="57"/>
                  </w:pPr>
                  <w:r w:rsidRPr="00D157E7">
                    <w:t>3.7</w:t>
                  </w:r>
                </w:p>
              </w:tc>
              <w:tc>
                <w:tcPr>
                  <w:tcW w:w="457" w:type="pct"/>
                  <w:shd w:val="clear" w:color="auto" w:fill="auto"/>
                  <w:vAlign w:val="bottom"/>
                </w:tcPr>
                <w:p w:rsidR="00745FEA" w:rsidRPr="00D157E7" w:rsidRDefault="00745FEA" w:rsidP="00745FEA">
                  <w:pPr>
                    <w:pStyle w:val="TableBodyText"/>
                    <w:ind w:right="57"/>
                  </w:pPr>
                  <w:r w:rsidRPr="00D157E7">
                    <w:t>1.2</w:t>
                  </w:r>
                </w:p>
              </w:tc>
            </w:tr>
            <w:tr w:rsidR="00745FEA" w:rsidTr="00745FEA">
              <w:tc>
                <w:tcPr>
                  <w:tcW w:w="2218" w:type="pct"/>
                </w:tcPr>
                <w:p w:rsidR="00745FEA" w:rsidRPr="00C32021" w:rsidRDefault="00745FEA" w:rsidP="00745FEA">
                  <w:pPr>
                    <w:pStyle w:val="TableBodyText"/>
                    <w:spacing w:after="0"/>
                    <w:ind w:left="227" w:right="0"/>
                    <w:jc w:val="left"/>
                  </w:pPr>
                  <w:r w:rsidRPr="00C32021">
                    <w:t>Clean Business Australia - Climate Ready Program</w:t>
                  </w:r>
                </w:p>
              </w:tc>
              <w:tc>
                <w:tcPr>
                  <w:tcW w:w="465" w:type="pct"/>
                  <w:vAlign w:val="bottom"/>
                </w:tcPr>
                <w:p w:rsidR="00745FEA" w:rsidRPr="00D157E7" w:rsidRDefault="00745FEA" w:rsidP="00745FEA">
                  <w:pPr>
                    <w:pStyle w:val="TableBodyText"/>
                    <w:ind w:right="57"/>
                  </w:pPr>
                  <w:r w:rsidRPr="00D157E7">
                    <w:t>0.2</w:t>
                  </w:r>
                </w:p>
              </w:tc>
              <w:tc>
                <w:tcPr>
                  <w:tcW w:w="465" w:type="pct"/>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CSIRO</w:t>
                  </w:r>
                </w:p>
              </w:tc>
              <w:tc>
                <w:tcPr>
                  <w:tcW w:w="465" w:type="pct"/>
                  <w:vAlign w:val="bottom"/>
                </w:tcPr>
                <w:p w:rsidR="00745FEA" w:rsidRPr="00D157E7" w:rsidRDefault="00745FEA" w:rsidP="00745FEA">
                  <w:pPr>
                    <w:pStyle w:val="TableBodyText"/>
                    <w:ind w:right="57"/>
                  </w:pPr>
                  <w:r w:rsidRPr="00D157E7">
                    <w:t>16.6</w:t>
                  </w:r>
                </w:p>
              </w:tc>
              <w:tc>
                <w:tcPr>
                  <w:tcW w:w="465" w:type="pct"/>
                  <w:vAlign w:val="bottom"/>
                </w:tcPr>
                <w:p w:rsidR="00745FEA" w:rsidRPr="00D157E7" w:rsidRDefault="00745FEA" w:rsidP="00745FEA">
                  <w:pPr>
                    <w:pStyle w:val="TableBodyText"/>
                    <w:ind w:right="57"/>
                  </w:pPr>
                  <w:r w:rsidRPr="00D157E7">
                    <w:t>33.2</w:t>
                  </w:r>
                </w:p>
              </w:tc>
              <w:tc>
                <w:tcPr>
                  <w:tcW w:w="465" w:type="pct"/>
                  <w:shd w:val="clear" w:color="auto" w:fill="auto"/>
                  <w:vAlign w:val="bottom"/>
                </w:tcPr>
                <w:p w:rsidR="00745FEA" w:rsidRPr="00D157E7" w:rsidRDefault="00745FEA" w:rsidP="00745FEA">
                  <w:pPr>
                    <w:pStyle w:val="TableBodyText"/>
                    <w:ind w:right="57"/>
                  </w:pPr>
                  <w:r w:rsidRPr="00D157E7">
                    <w:t>44.6</w:t>
                  </w:r>
                </w:p>
              </w:tc>
              <w:tc>
                <w:tcPr>
                  <w:tcW w:w="465" w:type="pct"/>
                  <w:shd w:val="clear" w:color="auto" w:fill="auto"/>
                  <w:vAlign w:val="bottom"/>
                </w:tcPr>
                <w:p w:rsidR="00745FEA" w:rsidRPr="00D157E7" w:rsidRDefault="00745FEA" w:rsidP="00745FEA">
                  <w:pPr>
                    <w:pStyle w:val="TableBodyText"/>
                    <w:ind w:right="57"/>
                  </w:pPr>
                  <w:r w:rsidRPr="00D157E7">
                    <w:t>33.5</w:t>
                  </w:r>
                </w:p>
              </w:tc>
              <w:tc>
                <w:tcPr>
                  <w:tcW w:w="465" w:type="pct"/>
                  <w:vAlign w:val="bottom"/>
                </w:tcPr>
                <w:p w:rsidR="00745FEA" w:rsidRPr="00D157E7" w:rsidRDefault="00745FEA" w:rsidP="00745FEA">
                  <w:pPr>
                    <w:pStyle w:val="TableBodyText"/>
                    <w:ind w:right="57"/>
                  </w:pPr>
                  <w:r w:rsidRPr="00D157E7">
                    <w:t>34.0</w:t>
                  </w:r>
                </w:p>
              </w:tc>
              <w:tc>
                <w:tcPr>
                  <w:tcW w:w="457" w:type="pct"/>
                  <w:shd w:val="clear" w:color="auto" w:fill="auto"/>
                  <w:vAlign w:val="bottom"/>
                </w:tcPr>
                <w:p w:rsidR="00745FEA" w:rsidRPr="00D157E7" w:rsidRDefault="00745FEA" w:rsidP="00745FEA">
                  <w:pPr>
                    <w:pStyle w:val="TableBodyText"/>
                    <w:ind w:right="57"/>
                  </w:pPr>
                  <w:r w:rsidRPr="00D157E7">
                    <w:t>26.0</w:t>
                  </w:r>
                </w:p>
              </w:tc>
            </w:tr>
            <w:tr w:rsidR="00745FEA" w:rsidTr="00745FEA">
              <w:tc>
                <w:tcPr>
                  <w:tcW w:w="2218" w:type="pct"/>
                </w:tcPr>
                <w:p w:rsidR="00745FEA" w:rsidRPr="00C32021" w:rsidRDefault="00745FEA" w:rsidP="00745FEA">
                  <w:pPr>
                    <w:pStyle w:val="TableBodyText"/>
                    <w:spacing w:after="0"/>
                    <w:ind w:left="227" w:right="0"/>
                    <w:jc w:val="left"/>
                  </w:pPr>
                  <w:r w:rsidRPr="00C32021">
                    <w:t>Clean Technology Innovation Program</w:t>
                  </w:r>
                </w:p>
              </w:tc>
              <w:tc>
                <w:tcPr>
                  <w:tcW w:w="465" w:type="pct"/>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1.4</w:t>
                  </w:r>
                </w:p>
              </w:tc>
              <w:tc>
                <w:tcPr>
                  <w:tcW w:w="465" w:type="pct"/>
                  <w:shd w:val="clear" w:color="auto" w:fill="auto"/>
                  <w:vAlign w:val="bottom"/>
                </w:tcPr>
                <w:p w:rsidR="00745FEA" w:rsidRPr="00D157E7" w:rsidRDefault="00745FEA" w:rsidP="00745FEA">
                  <w:pPr>
                    <w:pStyle w:val="TableBodyText"/>
                    <w:ind w:right="57"/>
                  </w:pPr>
                  <w:r w:rsidRPr="00D157E7">
                    <w:t>0.9</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Innovation Investment Fund</w:t>
                  </w:r>
                </w:p>
              </w:tc>
              <w:tc>
                <w:tcPr>
                  <w:tcW w:w="465" w:type="pct"/>
                  <w:vAlign w:val="bottom"/>
                </w:tcPr>
                <w:p w:rsidR="00745FEA" w:rsidRPr="00D157E7" w:rsidRDefault="00745FEA" w:rsidP="00745FEA">
                  <w:pPr>
                    <w:pStyle w:val="TableBodyText"/>
                    <w:ind w:right="57"/>
                  </w:pPr>
                  <w:r w:rsidRPr="00D157E7">
                    <w:t>1.2</w:t>
                  </w:r>
                </w:p>
              </w:tc>
              <w:tc>
                <w:tcPr>
                  <w:tcW w:w="465" w:type="pct"/>
                  <w:vAlign w:val="bottom"/>
                </w:tcPr>
                <w:p w:rsidR="00745FEA" w:rsidRPr="00D157E7" w:rsidRDefault="00745FEA" w:rsidP="00745FEA">
                  <w:pPr>
                    <w:pStyle w:val="TableBodyText"/>
                    <w:ind w:right="57"/>
                  </w:pPr>
                  <w:r w:rsidRPr="00D157E7">
                    <w:t>1.4</w:t>
                  </w:r>
                </w:p>
              </w:tc>
              <w:tc>
                <w:tcPr>
                  <w:tcW w:w="465" w:type="pct"/>
                  <w:shd w:val="clear" w:color="auto" w:fill="auto"/>
                  <w:vAlign w:val="bottom"/>
                </w:tcPr>
                <w:p w:rsidR="00745FEA" w:rsidRPr="00D157E7" w:rsidRDefault="00745FEA" w:rsidP="00745FEA">
                  <w:pPr>
                    <w:pStyle w:val="TableBodyText"/>
                    <w:ind w:right="57"/>
                  </w:pPr>
                  <w:r w:rsidRPr="00D157E7">
                    <w:t>1.6</w:t>
                  </w:r>
                </w:p>
              </w:tc>
              <w:tc>
                <w:tcPr>
                  <w:tcW w:w="465" w:type="pct"/>
                  <w:shd w:val="clear" w:color="auto" w:fill="auto"/>
                  <w:vAlign w:val="bottom"/>
                </w:tcPr>
                <w:p w:rsidR="00745FEA" w:rsidRPr="00D157E7" w:rsidRDefault="00745FEA" w:rsidP="00745FEA">
                  <w:pPr>
                    <w:pStyle w:val="TableBodyText"/>
                    <w:ind w:right="57"/>
                  </w:pPr>
                  <w:r w:rsidRPr="00D157E7">
                    <w:t>1.6</w:t>
                  </w:r>
                </w:p>
              </w:tc>
              <w:tc>
                <w:tcPr>
                  <w:tcW w:w="465" w:type="pct"/>
                  <w:vAlign w:val="bottom"/>
                </w:tcPr>
                <w:p w:rsidR="00745FEA" w:rsidRPr="00D157E7" w:rsidRDefault="00745FEA" w:rsidP="00745FEA">
                  <w:pPr>
                    <w:pStyle w:val="TableBodyText"/>
                    <w:ind w:right="57"/>
                  </w:pPr>
                  <w:r w:rsidRPr="00D157E7">
                    <w:t>3.2</w:t>
                  </w:r>
                </w:p>
              </w:tc>
              <w:tc>
                <w:tcPr>
                  <w:tcW w:w="457" w:type="pct"/>
                  <w:shd w:val="clear" w:color="auto" w:fill="auto"/>
                  <w:vAlign w:val="bottom"/>
                </w:tcPr>
                <w:p w:rsidR="00745FEA" w:rsidRPr="00D157E7" w:rsidRDefault="00745FEA" w:rsidP="00745FEA">
                  <w:pPr>
                    <w:pStyle w:val="TableBodyText"/>
                    <w:ind w:right="57"/>
                  </w:pPr>
                  <w:r w:rsidRPr="00D157E7">
                    <w:t>2.3</w:t>
                  </w:r>
                </w:p>
              </w:tc>
            </w:tr>
            <w:tr w:rsidR="00745FEA" w:rsidTr="00745FEA">
              <w:tc>
                <w:tcPr>
                  <w:tcW w:w="2218" w:type="pct"/>
                </w:tcPr>
                <w:p w:rsidR="00745FEA" w:rsidRPr="00C32021" w:rsidRDefault="00745FEA" w:rsidP="00745FEA">
                  <w:pPr>
                    <w:pStyle w:val="TableBodyText"/>
                    <w:spacing w:after="0"/>
                    <w:ind w:left="227" w:right="0"/>
                    <w:jc w:val="left"/>
                  </w:pPr>
                  <w:r w:rsidRPr="00C32021">
                    <w:t>Manufacturing Technology Innovation Centre</w:t>
                  </w:r>
                </w:p>
              </w:tc>
              <w:tc>
                <w:tcPr>
                  <w:tcW w:w="465" w:type="pct"/>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2.4</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R&amp;D Tax Incentive - refundable tax offset</w:t>
                  </w:r>
                </w:p>
              </w:tc>
              <w:tc>
                <w:tcPr>
                  <w:tcW w:w="465" w:type="pct"/>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52.2</w:t>
                  </w:r>
                </w:p>
              </w:tc>
              <w:tc>
                <w:tcPr>
                  <w:tcW w:w="465" w:type="pct"/>
                  <w:shd w:val="clear" w:color="auto" w:fill="auto"/>
                  <w:vAlign w:val="bottom"/>
                </w:tcPr>
                <w:p w:rsidR="00745FEA" w:rsidRPr="00D157E7" w:rsidRDefault="00745FEA" w:rsidP="00745FEA">
                  <w:pPr>
                    <w:pStyle w:val="TableBodyText"/>
                    <w:ind w:right="57"/>
                  </w:pPr>
                  <w:r w:rsidRPr="00D157E7">
                    <w:t>50.5</w:t>
                  </w:r>
                </w:p>
              </w:tc>
              <w:tc>
                <w:tcPr>
                  <w:tcW w:w="465" w:type="pct"/>
                  <w:shd w:val="clear" w:color="auto" w:fill="auto"/>
                  <w:vAlign w:val="bottom"/>
                </w:tcPr>
                <w:p w:rsidR="00745FEA" w:rsidRPr="00D157E7" w:rsidRDefault="00745FEA" w:rsidP="00745FEA">
                  <w:pPr>
                    <w:pStyle w:val="TableBodyText"/>
                    <w:ind w:right="57"/>
                  </w:pPr>
                  <w:r w:rsidRPr="00D157E7">
                    <w:t>67.6</w:t>
                  </w:r>
                </w:p>
              </w:tc>
              <w:tc>
                <w:tcPr>
                  <w:tcW w:w="465" w:type="pct"/>
                  <w:vAlign w:val="bottom"/>
                </w:tcPr>
                <w:p w:rsidR="00745FEA" w:rsidRPr="00D157E7" w:rsidRDefault="00745FEA" w:rsidP="00745FEA">
                  <w:pPr>
                    <w:pStyle w:val="TableBodyText"/>
                    <w:ind w:right="57"/>
                  </w:pPr>
                  <w:r w:rsidRPr="00D157E7">
                    <w:t>71.9</w:t>
                  </w:r>
                </w:p>
              </w:tc>
              <w:tc>
                <w:tcPr>
                  <w:tcW w:w="457" w:type="pct"/>
                  <w:shd w:val="clear" w:color="auto" w:fill="auto"/>
                  <w:vAlign w:val="bottom"/>
                </w:tcPr>
                <w:p w:rsidR="00745FEA" w:rsidRPr="00D157E7" w:rsidRDefault="00745FEA" w:rsidP="00745FEA">
                  <w:pPr>
                    <w:pStyle w:val="TableBodyText"/>
                    <w:ind w:right="57"/>
                  </w:pPr>
                  <w:r w:rsidRPr="00D157E7">
                    <w:t>87.0</w:t>
                  </w:r>
                </w:p>
              </w:tc>
            </w:tr>
            <w:tr w:rsidR="00745FEA" w:rsidTr="00745FEA">
              <w:tc>
                <w:tcPr>
                  <w:tcW w:w="2218" w:type="pct"/>
                </w:tcPr>
                <w:p w:rsidR="00745FEA" w:rsidRPr="00C32021" w:rsidRDefault="00745FEA" w:rsidP="00745FEA">
                  <w:pPr>
                    <w:pStyle w:val="TableBodyText"/>
                    <w:spacing w:after="0"/>
                    <w:ind w:left="227" w:right="0"/>
                    <w:jc w:val="left"/>
                  </w:pPr>
                  <w:r w:rsidRPr="00C32021">
                    <w:t>R&amp;D tax offsets - Refundable</w:t>
                  </w:r>
                </w:p>
              </w:tc>
              <w:tc>
                <w:tcPr>
                  <w:tcW w:w="465" w:type="pct"/>
                  <w:vAlign w:val="bottom"/>
                </w:tcPr>
                <w:p w:rsidR="00745FEA" w:rsidRPr="00D157E7" w:rsidRDefault="00745FEA" w:rsidP="00745FEA">
                  <w:pPr>
                    <w:pStyle w:val="TableBodyText"/>
                    <w:ind w:right="57"/>
                  </w:pPr>
                  <w:r w:rsidRPr="00D157E7">
                    <w:t>20.7</w:t>
                  </w:r>
                </w:p>
              </w:tc>
              <w:tc>
                <w:tcPr>
                  <w:tcW w:w="465" w:type="pct"/>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Premium R&amp;D tax concession</w:t>
                  </w:r>
                </w:p>
              </w:tc>
              <w:tc>
                <w:tcPr>
                  <w:tcW w:w="465" w:type="pct"/>
                  <w:vAlign w:val="bottom"/>
                </w:tcPr>
                <w:p w:rsidR="00745FEA" w:rsidRPr="00D157E7" w:rsidRDefault="00745FEA" w:rsidP="00745FEA">
                  <w:pPr>
                    <w:pStyle w:val="TableBodyText"/>
                    <w:ind w:right="57"/>
                  </w:pPr>
                  <w:r w:rsidRPr="00D157E7">
                    <w:t>14.2</w:t>
                  </w:r>
                </w:p>
              </w:tc>
              <w:tc>
                <w:tcPr>
                  <w:tcW w:w="465" w:type="pct"/>
                  <w:vAlign w:val="bottom"/>
                </w:tcPr>
                <w:p w:rsidR="00745FEA" w:rsidRPr="00D157E7" w:rsidRDefault="00745FEA" w:rsidP="00745FEA">
                  <w:pPr>
                    <w:pStyle w:val="TableBodyText"/>
                    <w:ind w:right="57"/>
                  </w:pPr>
                  <w:r w:rsidRPr="00D157E7">
                    <w:t>3.9</w:t>
                  </w:r>
                </w:p>
              </w:tc>
              <w:tc>
                <w:tcPr>
                  <w:tcW w:w="465" w:type="pct"/>
                  <w:shd w:val="clear" w:color="auto" w:fill="auto"/>
                  <w:vAlign w:val="bottom"/>
                </w:tcPr>
                <w:p w:rsidR="00745FEA" w:rsidRPr="00D157E7" w:rsidRDefault="00745FEA" w:rsidP="00745FEA">
                  <w:pPr>
                    <w:pStyle w:val="TableBodyText"/>
                    <w:ind w:right="57"/>
                  </w:pPr>
                  <w:r w:rsidRPr="00D157E7">
                    <w:t>1.6</w:t>
                  </w:r>
                </w:p>
              </w:tc>
              <w:tc>
                <w:tcPr>
                  <w:tcW w:w="465" w:type="pct"/>
                  <w:shd w:val="clear" w:color="auto" w:fill="auto"/>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R&amp;D tax concession</w:t>
                  </w:r>
                </w:p>
              </w:tc>
              <w:tc>
                <w:tcPr>
                  <w:tcW w:w="465" w:type="pct"/>
                  <w:vAlign w:val="bottom"/>
                </w:tcPr>
                <w:p w:rsidR="00745FEA" w:rsidRPr="00D157E7" w:rsidRDefault="00745FEA" w:rsidP="00745FEA">
                  <w:pPr>
                    <w:pStyle w:val="TableBodyText"/>
                    <w:ind w:right="57"/>
                  </w:pPr>
                  <w:r w:rsidRPr="00D157E7">
                    <w:t>40.6</w:t>
                  </w:r>
                </w:p>
              </w:tc>
              <w:tc>
                <w:tcPr>
                  <w:tcW w:w="465" w:type="pct"/>
                  <w:vAlign w:val="bottom"/>
                </w:tcPr>
                <w:p w:rsidR="00745FEA" w:rsidRPr="00D157E7" w:rsidRDefault="00745FEA" w:rsidP="00745FEA">
                  <w:pPr>
                    <w:pStyle w:val="TableBodyText"/>
                    <w:ind w:right="57"/>
                  </w:pPr>
                  <w:r w:rsidRPr="00D157E7">
                    <w:t>18.1</w:t>
                  </w:r>
                </w:p>
              </w:tc>
              <w:tc>
                <w:tcPr>
                  <w:tcW w:w="465" w:type="pct"/>
                  <w:shd w:val="clear" w:color="auto" w:fill="auto"/>
                  <w:vAlign w:val="bottom"/>
                </w:tcPr>
                <w:p w:rsidR="00745FEA" w:rsidRPr="00D157E7" w:rsidRDefault="00745FEA" w:rsidP="00745FEA">
                  <w:pPr>
                    <w:pStyle w:val="TableBodyText"/>
                    <w:ind w:right="57"/>
                  </w:pPr>
                  <w:r w:rsidRPr="00D157E7">
                    <w:t>6.2</w:t>
                  </w:r>
                </w:p>
              </w:tc>
              <w:tc>
                <w:tcPr>
                  <w:tcW w:w="465" w:type="pct"/>
                  <w:shd w:val="clear" w:color="auto" w:fill="auto"/>
                  <w:vAlign w:val="bottom"/>
                </w:tcPr>
                <w:p w:rsidR="00745FEA" w:rsidRPr="00D157E7" w:rsidRDefault="00745FEA" w:rsidP="00745FEA">
                  <w:pPr>
                    <w:pStyle w:val="TableBodyText"/>
                    <w:ind w:right="57"/>
                  </w:pPr>
                  <w:r w:rsidRPr="00D157E7">
                    <w:t>1.1</w:t>
                  </w:r>
                </w:p>
              </w:tc>
              <w:tc>
                <w:tcPr>
                  <w:tcW w:w="465" w:type="pct"/>
                  <w:vAlign w:val="bottom"/>
                </w:tcPr>
                <w:p w:rsidR="00745FEA" w:rsidRPr="00D157E7" w:rsidRDefault="00745FEA" w:rsidP="00745FEA">
                  <w:pPr>
                    <w:pStyle w:val="TableBodyText"/>
                    <w:ind w:right="57"/>
                  </w:pPr>
                  <w:r w:rsidRPr="00D157E7">
                    <w:t>–</w:t>
                  </w:r>
                </w:p>
              </w:tc>
              <w:tc>
                <w:tcPr>
                  <w:tcW w:w="457" w:type="pct"/>
                  <w:shd w:val="clear" w:color="auto" w:fill="auto"/>
                  <w:vAlign w:val="bottom"/>
                </w:tcPr>
                <w:p w:rsidR="00745FEA" w:rsidRPr="00D157E7" w:rsidRDefault="00745FEA" w:rsidP="00745FEA">
                  <w:pPr>
                    <w:pStyle w:val="TableBodyText"/>
                    <w:ind w:right="57"/>
                  </w:pPr>
                  <w:r w:rsidRPr="00D157E7">
                    <w:t>–</w:t>
                  </w:r>
                </w:p>
              </w:tc>
            </w:tr>
            <w:tr w:rsidR="00745FEA" w:rsidTr="00745FEA">
              <w:tc>
                <w:tcPr>
                  <w:tcW w:w="2218" w:type="pct"/>
                </w:tcPr>
                <w:p w:rsidR="00745FEA" w:rsidRPr="00C32021" w:rsidRDefault="00745FEA" w:rsidP="00745FEA">
                  <w:pPr>
                    <w:pStyle w:val="TableBodyText"/>
                    <w:spacing w:after="0"/>
                    <w:ind w:left="227" w:right="0"/>
                    <w:jc w:val="left"/>
                  </w:pPr>
                  <w:r w:rsidRPr="00C32021">
                    <w:t>R&amp;D Tax Incentive - non-refundable tax offset</w:t>
                  </w:r>
                </w:p>
              </w:tc>
              <w:tc>
                <w:tcPr>
                  <w:tcW w:w="465" w:type="pct"/>
                  <w:vAlign w:val="bottom"/>
                </w:tcPr>
                <w:p w:rsidR="00745FEA" w:rsidRPr="00D157E7" w:rsidRDefault="00745FEA" w:rsidP="00745FEA">
                  <w:pPr>
                    <w:pStyle w:val="TableBodyText"/>
                    <w:ind w:right="57"/>
                  </w:pPr>
                  <w:r w:rsidRPr="00D157E7">
                    <w:t>–</w:t>
                  </w:r>
                </w:p>
              </w:tc>
              <w:tc>
                <w:tcPr>
                  <w:tcW w:w="465" w:type="pct"/>
                  <w:vAlign w:val="bottom"/>
                </w:tcPr>
                <w:p w:rsidR="00745FEA" w:rsidRPr="00D157E7" w:rsidRDefault="00745FEA" w:rsidP="00745FEA">
                  <w:pPr>
                    <w:pStyle w:val="TableBodyText"/>
                    <w:ind w:right="57"/>
                  </w:pPr>
                  <w:r w:rsidRPr="00D157E7">
                    <w:t>46.1</w:t>
                  </w:r>
                </w:p>
              </w:tc>
              <w:tc>
                <w:tcPr>
                  <w:tcW w:w="465" w:type="pct"/>
                  <w:shd w:val="clear" w:color="auto" w:fill="auto"/>
                  <w:vAlign w:val="bottom"/>
                </w:tcPr>
                <w:p w:rsidR="00745FEA" w:rsidRPr="00D157E7" w:rsidRDefault="00745FEA" w:rsidP="00745FEA">
                  <w:pPr>
                    <w:pStyle w:val="TableBodyText"/>
                    <w:ind w:right="57"/>
                  </w:pPr>
                  <w:r w:rsidRPr="00D157E7">
                    <w:t>40.7</w:t>
                  </w:r>
                </w:p>
              </w:tc>
              <w:tc>
                <w:tcPr>
                  <w:tcW w:w="465" w:type="pct"/>
                  <w:shd w:val="clear" w:color="auto" w:fill="auto"/>
                  <w:vAlign w:val="bottom"/>
                </w:tcPr>
                <w:p w:rsidR="00745FEA" w:rsidRPr="00D157E7" w:rsidRDefault="00745FEA" w:rsidP="00745FEA">
                  <w:pPr>
                    <w:pStyle w:val="TableBodyText"/>
                    <w:ind w:right="57"/>
                  </w:pPr>
                  <w:r w:rsidRPr="00D157E7">
                    <w:t>35.3</w:t>
                  </w:r>
                </w:p>
              </w:tc>
              <w:tc>
                <w:tcPr>
                  <w:tcW w:w="465" w:type="pct"/>
                  <w:vAlign w:val="bottom"/>
                </w:tcPr>
                <w:p w:rsidR="00745FEA" w:rsidRPr="00D157E7" w:rsidRDefault="00745FEA" w:rsidP="00745FEA">
                  <w:pPr>
                    <w:pStyle w:val="TableBodyText"/>
                    <w:ind w:right="57"/>
                  </w:pPr>
                  <w:r w:rsidRPr="00D157E7">
                    <w:t>34.1</w:t>
                  </w:r>
                </w:p>
              </w:tc>
              <w:tc>
                <w:tcPr>
                  <w:tcW w:w="457" w:type="pct"/>
                  <w:shd w:val="clear" w:color="auto" w:fill="auto"/>
                  <w:vAlign w:val="bottom"/>
                </w:tcPr>
                <w:p w:rsidR="00745FEA" w:rsidRDefault="00745FEA" w:rsidP="00745FEA">
                  <w:pPr>
                    <w:pStyle w:val="TableBodyText"/>
                    <w:ind w:right="57"/>
                  </w:pPr>
                  <w:r w:rsidRPr="00D157E7">
                    <w:t>30.3</w:t>
                  </w:r>
                </w:p>
              </w:tc>
            </w:tr>
            <w:tr w:rsidR="00745FEA" w:rsidTr="00745FEA">
              <w:tc>
                <w:tcPr>
                  <w:tcW w:w="2218" w:type="pct"/>
                </w:tcPr>
                <w:p w:rsidR="00745FEA" w:rsidRPr="0057353B" w:rsidRDefault="00745FEA" w:rsidP="00745FEA">
                  <w:pPr>
                    <w:pStyle w:val="TableBodyText"/>
                    <w:spacing w:before="40" w:after="0"/>
                    <w:ind w:left="113"/>
                    <w:jc w:val="left"/>
                    <w:rPr>
                      <w:i/>
                    </w:rPr>
                  </w:pPr>
                  <w:r w:rsidRPr="0057353B">
                    <w:rPr>
                      <w:i/>
                    </w:rPr>
                    <w:t>Other measures</w:t>
                  </w:r>
                </w:p>
              </w:tc>
              <w:tc>
                <w:tcPr>
                  <w:tcW w:w="465" w:type="pct"/>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c>
                <w:tcPr>
                  <w:tcW w:w="465" w:type="pct"/>
                  <w:vAlign w:val="bottom"/>
                </w:tcPr>
                <w:p w:rsidR="00745FEA" w:rsidRDefault="00745FEA" w:rsidP="00745FEA">
                  <w:pPr>
                    <w:pStyle w:val="TableBodyText"/>
                    <w:ind w:right="57"/>
                  </w:pPr>
                </w:p>
              </w:tc>
              <w:tc>
                <w:tcPr>
                  <w:tcW w:w="457"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565629" w:rsidRDefault="00745FEA" w:rsidP="00745FEA">
                  <w:pPr>
                    <w:pStyle w:val="TableBodyText"/>
                    <w:spacing w:after="0"/>
                    <w:ind w:left="227" w:right="0"/>
                    <w:jc w:val="left"/>
                  </w:pPr>
                  <w:r w:rsidRPr="00565629">
                    <w:t>Australian Government Innovation and Investment Fund - Tasmania</w:t>
                  </w:r>
                </w:p>
              </w:tc>
              <w:tc>
                <w:tcPr>
                  <w:tcW w:w="465" w:type="pct"/>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0.3</w:t>
                  </w:r>
                </w:p>
              </w:tc>
              <w:tc>
                <w:tcPr>
                  <w:tcW w:w="465" w:type="pct"/>
                  <w:vAlign w:val="bottom"/>
                </w:tcPr>
                <w:p w:rsidR="00745FEA" w:rsidRPr="00102A77" w:rsidRDefault="00745FEA" w:rsidP="00745FEA">
                  <w:pPr>
                    <w:pStyle w:val="TableBodyText"/>
                    <w:ind w:right="57"/>
                  </w:pPr>
                  <w:r w:rsidRPr="00102A77">
                    <w:t>0.3</w:t>
                  </w:r>
                </w:p>
              </w:tc>
              <w:tc>
                <w:tcPr>
                  <w:tcW w:w="457" w:type="pct"/>
                  <w:shd w:val="clear" w:color="auto" w:fill="auto"/>
                  <w:vAlign w:val="bottom"/>
                </w:tcPr>
                <w:p w:rsidR="00745FEA" w:rsidRPr="00102A77" w:rsidRDefault="00745FEA" w:rsidP="00745FEA">
                  <w:pPr>
                    <w:pStyle w:val="TableBodyText"/>
                    <w:ind w:right="57"/>
                  </w:pPr>
                  <w:r w:rsidRPr="00102A77">
                    <w:t>–</w:t>
                  </w:r>
                </w:p>
              </w:tc>
            </w:tr>
            <w:tr w:rsidR="00745FEA" w:rsidTr="00745FEA">
              <w:tc>
                <w:tcPr>
                  <w:tcW w:w="2218" w:type="pct"/>
                </w:tcPr>
                <w:p w:rsidR="00745FEA" w:rsidRPr="00565629" w:rsidRDefault="00745FEA" w:rsidP="00745FEA">
                  <w:pPr>
                    <w:pStyle w:val="TableBodyText"/>
                    <w:spacing w:after="0"/>
                    <w:ind w:left="227" w:right="0"/>
                    <w:jc w:val="left"/>
                  </w:pPr>
                  <w:r w:rsidRPr="00565629">
                    <w:t>Enterprise Connect Innovation Centres</w:t>
                  </w:r>
                </w:p>
              </w:tc>
              <w:tc>
                <w:tcPr>
                  <w:tcW w:w="465" w:type="pct"/>
                  <w:vAlign w:val="bottom"/>
                </w:tcPr>
                <w:p w:rsidR="00745FEA" w:rsidRPr="00102A77" w:rsidRDefault="00745FEA" w:rsidP="00745FEA">
                  <w:pPr>
                    <w:pStyle w:val="TableBodyText"/>
                    <w:ind w:right="57"/>
                  </w:pPr>
                  <w:r w:rsidRPr="00102A77">
                    <w:t>0.6</w:t>
                  </w:r>
                </w:p>
              </w:tc>
              <w:tc>
                <w:tcPr>
                  <w:tcW w:w="465" w:type="pct"/>
                  <w:vAlign w:val="bottom"/>
                </w:tcPr>
                <w:p w:rsidR="00745FEA" w:rsidRPr="00102A77" w:rsidRDefault="00745FEA" w:rsidP="00745FEA">
                  <w:pPr>
                    <w:pStyle w:val="TableBodyText"/>
                    <w:ind w:right="57"/>
                  </w:pPr>
                  <w:r w:rsidRPr="00102A77">
                    <w:t>0.8</w:t>
                  </w:r>
                </w:p>
              </w:tc>
              <w:tc>
                <w:tcPr>
                  <w:tcW w:w="465" w:type="pct"/>
                  <w:shd w:val="clear" w:color="auto" w:fill="auto"/>
                  <w:vAlign w:val="bottom"/>
                </w:tcPr>
                <w:p w:rsidR="00745FEA" w:rsidRPr="00102A77" w:rsidRDefault="00745FEA" w:rsidP="00745FEA">
                  <w:pPr>
                    <w:pStyle w:val="TableBodyText"/>
                    <w:ind w:right="57"/>
                  </w:pPr>
                  <w:r w:rsidRPr="00102A77">
                    <w:t>0.5</w:t>
                  </w:r>
                </w:p>
              </w:tc>
              <w:tc>
                <w:tcPr>
                  <w:tcW w:w="465" w:type="pct"/>
                  <w:shd w:val="clear" w:color="auto" w:fill="auto"/>
                  <w:vAlign w:val="bottom"/>
                </w:tcPr>
                <w:p w:rsidR="00745FEA" w:rsidRPr="00102A77" w:rsidRDefault="00745FEA" w:rsidP="00745FEA">
                  <w:pPr>
                    <w:pStyle w:val="TableBodyText"/>
                    <w:ind w:right="57"/>
                  </w:pPr>
                  <w:r w:rsidRPr="00102A77">
                    <w:t>0.5</w:t>
                  </w:r>
                </w:p>
              </w:tc>
              <w:tc>
                <w:tcPr>
                  <w:tcW w:w="465" w:type="pct"/>
                  <w:vAlign w:val="bottom"/>
                </w:tcPr>
                <w:p w:rsidR="00745FEA" w:rsidRPr="00102A77" w:rsidRDefault="00745FEA" w:rsidP="00745FEA">
                  <w:pPr>
                    <w:pStyle w:val="TableBodyText"/>
                    <w:ind w:right="57"/>
                  </w:pPr>
                  <w:r w:rsidRPr="00102A77">
                    <w:t>&lt;0.1</w:t>
                  </w:r>
                </w:p>
              </w:tc>
              <w:tc>
                <w:tcPr>
                  <w:tcW w:w="457" w:type="pct"/>
                  <w:shd w:val="clear" w:color="auto" w:fill="auto"/>
                  <w:vAlign w:val="bottom"/>
                </w:tcPr>
                <w:p w:rsidR="00745FEA" w:rsidRPr="00102A77" w:rsidRDefault="00745FEA" w:rsidP="00745FEA">
                  <w:pPr>
                    <w:pStyle w:val="TableBodyText"/>
                    <w:ind w:right="57"/>
                  </w:pPr>
                  <w:r w:rsidRPr="00102A77">
                    <w:t>–</w:t>
                  </w:r>
                </w:p>
              </w:tc>
            </w:tr>
            <w:tr w:rsidR="00745FEA" w:rsidTr="00745FEA">
              <w:tc>
                <w:tcPr>
                  <w:tcW w:w="2218" w:type="pct"/>
                </w:tcPr>
                <w:p w:rsidR="00745FEA" w:rsidRPr="00565629" w:rsidRDefault="00745FEA" w:rsidP="00745FEA">
                  <w:pPr>
                    <w:pStyle w:val="TableBodyText"/>
                    <w:spacing w:after="0"/>
                    <w:ind w:left="227" w:right="0"/>
                    <w:jc w:val="left"/>
                  </w:pPr>
                  <w:r w:rsidRPr="00565629">
                    <w:t>Entrepreneurs’ Infrastructure Programme - Accelerating Commercialisation</w:t>
                  </w:r>
                </w:p>
              </w:tc>
              <w:tc>
                <w:tcPr>
                  <w:tcW w:w="465" w:type="pct"/>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0.2</w:t>
                  </w:r>
                </w:p>
              </w:tc>
              <w:tc>
                <w:tcPr>
                  <w:tcW w:w="465" w:type="pct"/>
                  <w:vAlign w:val="bottom"/>
                </w:tcPr>
                <w:p w:rsidR="00745FEA" w:rsidRPr="00102A77" w:rsidRDefault="00745FEA" w:rsidP="00745FEA">
                  <w:pPr>
                    <w:pStyle w:val="TableBodyText"/>
                    <w:ind w:right="57"/>
                  </w:pPr>
                  <w:r w:rsidRPr="00102A77">
                    <w:t>1.7</w:t>
                  </w:r>
                </w:p>
              </w:tc>
              <w:tc>
                <w:tcPr>
                  <w:tcW w:w="457" w:type="pct"/>
                  <w:shd w:val="clear" w:color="auto" w:fill="auto"/>
                  <w:vAlign w:val="bottom"/>
                </w:tcPr>
                <w:p w:rsidR="00745FEA" w:rsidRPr="00102A77" w:rsidRDefault="00745FEA" w:rsidP="00745FEA">
                  <w:pPr>
                    <w:pStyle w:val="TableBodyText"/>
                    <w:ind w:right="57"/>
                  </w:pPr>
                  <w:r w:rsidRPr="00102A77">
                    <w:t>2.5</w:t>
                  </w:r>
                </w:p>
              </w:tc>
            </w:tr>
            <w:tr w:rsidR="00745FEA" w:rsidTr="00745FEA">
              <w:tc>
                <w:tcPr>
                  <w:tcW w:w="2218" w:type="pct"/>
                </w:tcPr>
                <w:p w:rsidR="00745FEA" w:rsidRPr="00565629" w:rsidRDefault="00745FEA" w:rsidP="00745FEA">
                  <w:pPr>
                    <w:pStyle w:val="TableBodyText"/>
                    <w:spacing w:after="0"/>
                    <w:ind w:left="227" w:right="0"/>
                    <w:jc w:val="left"/>
                  </w:pPr>
                  <w:r w:rsidRPr="00565629">
                    <w:t>Entrepreneurs’ Infrastructure Programme - Business Management Skills</w:t>
                  </w:r>
                </w:p>
              </w:tc>
              <w:tc>
                <w:tcPr>
                  <w:tcW w:w="465" w:type="pct"/>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0.1</w:t>
                  </w:r>
                </w:p>
              </w:tc>
              <w:tc>
                <w:tcPr>
                  <w:tcW w:w="465" w:type="pct"/>
                  <w:vAlign w:val="bottom"/>
                </w:tcPr>
                <w:p w:rsidR="00745FEA" w:rsidRPr="00102A77" w:rsidRDefault="00745FEA" w:rsidP="00745FEA">
                  <w:pPr>
                    <w:pStyle w:val="TableBodyText"/>
                    <w:ind w:right="57"/>
                  </w:pPr>
                  <w:r w:rsidRPr="00102A77">
                    <w:t>0.4</w:t>
                  </w:r>
                </w:p>
              </w:tc>
              <w:tc>
                <w:tcPr>
                  <w:tcW w:w="457" w:type="pct"/>
                  <w:shd w:val="clear" w:color="auto" w:fill="auto"/>
                  <w:vAlign w:val="bottom"/>
                </w:tcPr>
                <w:p w:rsidR="00745FEA" w:rsidRPr="00102A77" w:rsidRDefault="00745FEA" w:rsidP="00745FEA">
                  <w:pPr>
                    <w:pStyle w:val="TableBodyText"/>
                    <w:ind w:right="57"/>
                  </w:pPr>
                  <w:r w:rsidRPr="00102A77">
                    <w:t>0.3</w:t>
                  </w:r>
                </w:p>
              </w:tc>
            </w:tr>
            <w:tr w:rsidR="00745FEA" w:rsidTr="00745FEA">
              <w:tc>
                <w:tcPr>
                  <w:tcW w:w="2218" w:type="pct"/>
                </w:tcPr>
                <w:p w:rsidR="00745FEA" w:rsidRPr="00565629" w:rsidRDefault="00745FEA" w:rsidP="00745FEA">
                  <w:pPr>
                    <w:pStyle w:val="TableBodyText"/>
                    <w:spacing w:after="0"/>
                    <w:ind w:left="227" w:right="0"/>
                    <w:jc w:val="left"/>
                  </w:pPr>
                  <w:r w:rsidRPr="00565629">
                    <w:t>Illawarra Region Innovation and Investment Fund</w:t>
                  </w:r>
                </w:p>
              </w:tc>
              <w:tc>
                <w:tcPr>
                  <w:tcW w:w="465" w:type="pct"/>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0.8</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57" w:type="pct"/>
                  <w:shd w:val="clear" w:color="auto" w:fill="auto"/>
                  <w:vAlign w:val="bottom"/>
                </w:tcPr>
                <w:p w:rsidR="00745FEA" w:rsidRPr="00102A77" w:rsidRDefault="00745FEA" w:rsidP="00745FEA">
                  <w:pPr>
                    <w:pStyle w:val="TableBodyText"/>
                    <w:ind w:right="57"/>
                  </w:pPr>
                  <w:r w:rsidRPr="00102A77">
                    <w:t>–</w:t>
                  </w:r>
                </w:p>
              </w:tc>
            </w:tr>
            <w:tr w:rsidR="00745FEA" w:rsidTr="00745FEA">
              <w:tc>
                <w:tcPr>
                  <w:tcW w:w="2218" w:type="pct"/>
                </w:tcPr>
                <w:p w:rsidR="00745FEA" w:rsidRPr="00565629" w:rsidRDefault="00745FEA" w:rsidP="00745FEA">
                  <w:pPr>
                    <w:pStyle w:val="TableBodyText"/>
                    <w:spacing w:after="0"/>
                    <w:ind w:left="227" w:right="0"/>
                    <w:jc w:val="left"/>
                  </w:pPr>
                  <w:r w:rsidRPr="00565629">
                    <w:t>Tasmanian Innovation and Investment Fund</w:t>
                  </w:r>
                </w:p>
              </w:tc>
              <w:tc>
                <w:tcPr>
                  <w:tcW w:w="465" w:type="pct"/>
                  <w:vAlign w:val="bottom"/>
                </w:tcPr>
                <w:p w:rsidR="00745FEA" w:rsidRPr="00102A77" w:rsidRDefault="00745FEA" w:rsidP="00745FEA">
                  <w:pPr>
                    <w:pStyle w:val="TableBodyText"/>
                    <w:ind w:right="57"/>
                  </w:pPr>
                  <w:r w:rsidRPr="00102A77">
                    <w:t>&lt;0.1</w:t>
                  </w:r>
                </w:p>
              </w:tc>
              <w:tc>
                <w:tcPr>
                  <w:tcW w:w="465" w:type="pct"/>
                  <w:vAlign w:val="bottom"/>
                </w:tcPr>
                <w:p w:rsidR="00745FEA" w:rsidRPr="00102A77" w:rsidRDefault="00745FEA" w:rsidP="00745FEA">
                  <w:pPr>
                    <w:pStyle w:val="TableBodyText"/>
                    <w:ind w:right="57"/>
                  </w:pPr>
                  <w:r w:rsidRPr="00102A77">
                    <w:t>&lt;0.1</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57" w:type="pct"/>
                  <w:shd w:val="clear" w:color="auto" w:fill="auto"/>
                  <w:vAlign w:val="bottom"/>
                </w:tcPr>
                <w:p w:rsidR="00745FEA" w:rsidRPr="00102A77" w:rsidRDefault="00745FEA" w:rsidP="00745FEA">
                  <w:pPr>
                    <w:pStyle w:val="TableBodyText"/>
                    <w:ind w:right="57"/>
                  </w:pPr>
                  <w:r w:rsidRPr="00102A77">
                    <w:t>–</w:t>
                  </w:r>
                </w:p>
              </w:tc>
            </w:tr>
            <w:tr w:rsidR="00745FEA" w:rsidTr="00745FEA">
              <w:tc>
                <w:tcPr>
                  <w:tcW w:w="2218" w:type="pct"/>
                </w:tcPr>
                <w:p w:rsidR="00745FEA" w:rsidRPr="00565629" w:rsidRDefault="00745FEA" w:rsidP="00745FEA">
                  <w:pPr>
                    <w:pStyle w:val="TableBodyText"/>
                    <w:spacing w:after="0"/>
                    <w:ind w:left="227" w:right="0"/>
                    <w:jc w:val="left"/>
                  </w:pPr>
                  <w:r w:rsidRPr="00565629">
                    <w:t>Tasmanian Jobs and Investment Fund</w:t>
                  </w:r>
                </w:p>
              </w:tc>
              <w:tc>
                <w:tcPr>
                  <w:tcW w:w="465" w:type="pct"/>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0.1</w:t>
                  </w:r>
                </w:p>
              </w:tc>
              <w:tc>
                <w:tcPr>
                  <w:tcW w:w="457" w:type="pct"/>
                  <w:shd w:val="clear" w:color="auto" w:fill="auto"/>
                  <w:vAlign w:val="bottom"/>
                </w:tcPr>
                <w:p w:rsidR="00745FEA" w:rsidRPr="00102A77" w:rsidRDefault="00745FEA" w:rsidP="00745FEA">
                  <w:pPr>
                    <w:pStyle w:val="TableBodyText"/>
                    <w:ind w:right="57"/>
                  </w:pPr>
                  <w:r w:rsidRPr="00102A77">
                    <w:t>0.1</w:t>
                  </w:r>
                </w:p>
              </w:tc>
            </w:tr>
            <w:tr w:rsidR="00745FEA" w:rsidTr="00745FEA">
              <w:tc>
                <w:tcPr>
                  <w:tcW w:w="2218" w:type="pct"/>
                </w:tcPr>
                <w:p w:rsidR="00745FEA" w:rsidRPr="00565629" w:rsidRDefault="00745FEA" w:rsidP="00745FEA">
                  <w:pPr>
                    <w:pStyle w:val="TableBodyText"/>
                    <w:spacing w:after="0"/>
                    <w:ind w:left="227" w:right="0"/>
                    <w:jc w:val="left"/>
                  </w:pPr>
                  <w:r w:rsidRPr="00565629">
                    <w:t>The Small Business and General Business Tax Break</w:t>
                  </w:r>
                </w:p>
              </w:tc>
              <w:tc>
                <w:tcPr>
                  <w:tcW w:w="465" w:type="pct"/>
                  <w:vAlign w:val="bottom"/>
                </w:tcPr>
                <w:p w:rsidR="00745FEA" w:rsidRPr="00102A77" w:rsidRDefault="00745FEA" w:rsidP="00745FEA">
                  <w:pPr>
                    <w:pStyle w:val="TableBodyText"/>
                    <w:ind w:right="57"/>
                  </w:pPr>
                  <w:r w:rsidRPr="00102A77">
                    <w:t>1.7</w:t>
                  </w:r>
                </w:p>
              </w:tc>
              <w:tc>
                <w:tcPr>
                  <w:tcW w:w="465" w:type="pct"/>
                  <w:vAlign w:val="bottom"/>
                </w:tcPr>
                <w:p w:rsidR="00745FEA" w:rsidRPr="00102A77" w:rsidRDefault="00745FEA" w:rsidP="00745FEA">
                  <w:pPr>
                    <w:pStyle w:val="TableBodyText"/>
                    <w:ind w:right="57"/>
                  </w:pPr>
                  <w:r w:rsidRPr="00102A77">
                    <w:t>0.6</w:t>
                  </w:r>
                </w:p>
              </w:tc>
              <w:tc>
                <w:tcPr>
                  <w:tcW w:w="465" w:type="pct"/>
                  <w:shd w:val="clear" w:color="auto" w:fill="auto"/>
                  <w:vAlign w:val="bottom"/>
                </w:tcPr>
                <w:p w:rsidR="00745FEA" w:rsidRPr="00102A77" w:rsidRDefault="00745FEA" w:rsidP="00745FEA">
                  <w:pPr>
                    <w:pStyle w:val="TableBodyText"/>
                    <w:ind w:right="57"/>
                  </w:pPr>
                  <w:r w:rsidRPr="00102A77">
                    <w:t>0.1</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57" w:type="pct"/>
                  <w:shd w:val="clear" w:color="auto" w:fill="auto"/>
                  <w:vAlign w:val="bottom"/>
                </w:tcPr>
                <w:p w:rsidR="00745FEA" w:rsidRPr="00102A77" w:rsidRDefault="00745FEA" w:rsidP="00745FEA">
                  <w:pPr>
                    <w:pStyle w:val="TableBodyText"/>
                    <w:ind w:right="57"/>
                  </w:pPr>
                  <w:r w:rsidRPr="00102A77">
                    <w:t>–</w:t>
                  </w:r>
                </w:p>
              </w:tc>
            </w:tr>
            <w:tr w:rsidR="00745FEA" w:rsidTr="00745FEA">
              <w:tc>
                <w:tcPr>
                  <w:tcW w:w="2218" w:type="pct"/>
                </w:tcPr>
                <w:p w:rsidR="00745FEA" w:rsidRPr="00565629" w:rsidRDefault="00745FEA" w:rsidP="00745FEA">
                  <w:pPr>
                    <w:pStyle w:val="TableBodyText"/>
                    <w:spacing w:after="0"/>
                    <w:ind w:left="227" w:right="0"/>
                    <w:jc w:val="left"/>
                  </w:pPr>
                  <w:r w:rsidRPr="00565629">
                    <w:t>Small Business - Simplified depreciation rules</w:t>
                  </w:r>
                </w:p>
              </w:tc>
              <w:tc>
                <w:tcPr>
                  <w:tcW w:w="465" w:type="pct"/>
                  <w:vAlign w:val="bottom"/>
                </w:tcPr>
                <w:p w:rsidR="00745FEA" w:rsidRPr="00102A77" w:rsidRDefault="00745FEA" w:rsidP="00745FEA">
                  <w:pPr>
                    <w:pStyle w:val="TableBodyText"/>
                    <w:ind w:right="57"/>
                  </w:pPr>
                  <w:r w:rsidRPr="00102A77">
                    <w:t>&lt;0.1</w:t>
                  </w:r>
                </w:p>
              </w:tc>
              <w:tc>
                <w:tcPr>
                  <w:tcW w:w="465" w:type="pct"/>
                  <w:vAlign w:val="bottom"/>
                </w:tcPr>
                <w:p w:rsidR="00745FEA" w:rsidRPr="00102A77" w:rsidRDefault="00745FEA" w:rsidP="00745FEA">
                  <w:pPr>
                    <w:pStyle w:val="TableBodyText"/>
                    <w:ind w:right="57"/>
                  </w:pPr>
                  <w:r w:rsidRPr="00102A77">
                    <w:t>-0.1</w:t>
                  </w:r>
                </w:p>
              </w:tc>
              <w:tc>
                <w:tcPr>
                  <w:tcW w:w="465" w:type="pct"/>
                  <w:shd w:val="clear" w:color="auto" w:fill="auto"/>
                  <w:vAlign w:val="bottom"/>
                </w:tcPr>
                <w:p w:rsidR="00745FEA" w:rsidRPr="00102A77" w:rsidRDefault="00745FEA" w:rsidP="00745FEA">
                  <w:pPr>
                    <w:pStyle w:val="TableBodyText"/>
                    <w:ind w:right="57"/>
                  </w:pPr>
                  <w:r w:rsidRPr="00102A77">
                    <w:t>0.5</w:t>
                  </w:r>
                </w:p>
              </w:tc>
              <w:tc>
                <w:tcPr>
                  <w:tcW w:w="465" w:type="pct"/>
                  <w:shd w:val="clear" w:color="auto" w:fill="auto"/>
                  <w:vAlign w:val="bottom"/>
                </w:tcPr>
                <w:p w:rsidR="00745FEA" w:rsidRPr="00102A77" w:rsidRDefault="00745FEA" w:rsidP="00745FEA">
                  <w:pPr>
                    <w:pStyle w:val="TableBodyText"/>
                    <w:ind w:right="57"/>
                  </w:pPr>
                  <w:r w:rsidRPr="00102A77">
                    <w:t>-0.2</w:t>
                  </w:r>
                </w:p>
              </w:tc>
              <w:tc>
                <w:tcPr>
                  <w:tcW w:w="465" w:type="pct"/>
                  <w:vAlign w:val="bottom"/>
                </w:tcPr>
                <w:p w:rsidR="00745FEA" w:rsidRPr="00102A77" w:rsidRDefault="00745FEA" w:rsidP="00745FEA">
                  <w:pPr>
                    <w:pStyle w:val="TableBodyText"/>
                    <w:ind w:right="57"/>
                  </w:pPr>
                  <w:r w:rsidRPr="00102A77">
                    <w:t>-0.4</w:t>
                  </w:r>
                </w:p>
              </w:tc>
              <w:tc>
                <w:tcPr>
                  <w:tcW w:w="457" w:type="pct"/>
                  <w:shd w:val="clear" w:color="auto" w:fill="auto"/>
                  <w:vAlign w:val="bottom"/>
                </w:tcPr>
                <w:p w:rsidR="00745FEA" w:rsidRPr="00102A77" w:rsidRDefault="00745FEA" w:rsidP="00745FEA">
                  <w:pPr>
                    <w:pStyle w:val="TableBodyText"/>
                    <w:ind w:right="57"/>
                  </w:pPr>
                  <w:r w:rsidRPr="00102A77">
                    <w:t>2.7</w:t>
                  </w:r>
                </w:p>
              </w:tc>
            </w:tr>
            <w:tr w:rsidR="00745FEA" w:rsidTr="00745FEA">
              <w:tc>
                <w:tcPr>
                  <w:tcW w:w="2218" w:type="pct"/>
                </w:tcPr>
                <w:p w:rsidR="00745FEA" w:rsidRPr="00565629" w:rsidRDefault="00745FEA" w:rsidP="00745FEA">
                  <w:pPr>
                    <w:pStyle w:val="TableBodyText"/>
                    <w:spacing w:after="0"/>
                    <w:ind w:left="227" w:right="0"/>
                    <w:jc w:val="left"/>
                  </w:pPr>
                  <w:r w:rsidRPr="00565629">
                    <w:t xml:space="preserve">Small business </w:t>
                  </w:r>
                  <w:r>
                    <w:t>capital gains tax</w:t>
                  </w:r>
                  <w:r w:rsidRPr="00565629">
                    <w:t xml:space="preserve"> 50 per cent reduction</w:t>
                  </w:r>
                </w:p>
              </w:tc>
              <w:tc>
                <w:tcPr>
                  <w:tcW w:w="465" w:type="pct"/>
                  <w:vAlign w:val="bottom"/>
                </w:tcPr>
                <w:p w:rsidR="00745FEA" w:rsidRPr="00102A77" w:rsidRDefault="00745FEA" w:rsidP="00745FEA">
                  <w:pPr>
                    <w:pStyle w:val="TableBodyText"/>
                    <w:ind w:right="57"/>
                  </w:pPr>
                  <w:r w:rsidRPr="00102A77">
                    <w:t>1.0</w:t>
                  </w:r>
                </w:p>
              </w:tc>
              <w:tc>
                <w:tcPr>
                  <w:tcW w:w="465" w:type="pct"/>
                  <w:vAlign w:val="bottom"/>
                </w:tcPr>
                <w:p w:rsidR="00745FEA" w:rsidRPr="00102A77" w:rsidRDefault="00745FEA" w:rsidP="00745FEA">
                  <w:pPr>
                    <w:pStyle w:val="TableBodyText"/>
                    <w:ind w:right="57"/>
                  </w:pPr>
                  <w:r w:rsidRPr="00102A77">
                    <w:t>1.0</w:t>
                  </w:r>
                </w:p>
              </w:tc>
              <w:tc>
                <w:tcPr>
                  <w:tcW w:w="465" w:type="pct"/>
                  <w:shd w:val="clear" w:color="auto" w:fill="auto"/>
                  <w:vAlign w:val="bottom"/>
                </w:tcPr>
                <w:p w:rsidR="00745FEA" w:rsidRPr="00102A77" w:rsidRDefault="00745FEA" w:rsidP="00745FEA">
                  <w:pPr>
                    <w:pStyle w:val="TableBodyText"/>
                    <w:ind w:right="57"/>
                  </w:pPr>
                  <w:r w:rsidRPr="00102A77">
                    <w:t>1.0</w:t>
                  </w:r>
                </w:p>
              </w:tc>
              <w:tc>
                <w:tcPr>
                  <w:tcW w:w="465" w:type="pct"/>
                  <w:shd w:val="clear" w:color="auto" w:fill="auto"/>
                  <w:vAlign w:val="bottom"/>
                </w:tcPr>
                <w:p w:rsidR="00745FEA" w:rsidRPr="00102A77" w:rsidRDefault="00745FEA" w:rsidP="00745FEA">
                  <w:pPr>
                    <w:pStyle w:val="TableBodyText"/>
                    <w:ind w:right="57"/>
                  </w:pPr>
                  <w:r w:rsidRPr="00102A77">
                    <w:t>0.8</w:t>
                  </w:r>
                </w:p>
              </w:tc>
              <w:tc>
                <w:tcPr>
                  <w:tcW w:w="465" w:type="pct"/>
                  <w:vAlign w:val="bottom"/>
                </w:tcPr>
                <w:p w:rsidR="00745FEA" w:rsidRPr="00102A77" w:rsidRDefault="00745FEA" w:rsidP="00745FEA">
                  <w:pPr>
                    <w:pStyle w:val="TableBodyText"/>
                    <w:ind w:right="57"/>
                  </w:pPr>
                  <w:r w:rsidRPr="00102A77">
                    <w:t>0.9</w:t>
                  </w:r>
                </w:p>
              </w:tc>
              <w:tc>
                <w:tcPr>
                  <w:tcW w:w="457" w:type="pct"/>
                  <w:shd w:val="clear" w:color="auto" w:fill="auto"/>
                  <w:vAlign w:val="bottom"/>
                </w:tcPr>
                <w:p w:rsidR="00745FEA" w:rsidRPr="00102A77" w:rsidRDefault="00745FEA" w:rsidP="00745FEA">
                  <w:pPr>
                    <w:pStyle w:val="TableBodyText"/>
                    <w:ind w:right="57"/>
                  </w:pPr>
                  <w:r w:rsidRPr="00102A77">
                    <w:t>0.7</w:t>
                  </w:r>
                </w:p>
              </w:tc>
            </w:tr>
            <w:tr w:rsidR="00745FEA" w:rsidTr="00745FEA">
              <w:tc>
                <w:tcPr>
                  <w:tcW w:w="2218" w:type="pct"/>
                </w:tcPr>
                <w:p w:rsidR="00745FEA" w:rsidRPr="00565629" w:rsidRDefault="00745FEA" w:rsidP="00745FEA">
                  <w:pPr>
                    <w:pStyle w:val="TableBodyText"/>
                    <w:spacing w:after="0"/>
                    <w:ind w:left="227" w:right="0"/>
                    <w:jc w:val="left"/>
                  </w:pPr>
                  <w:r w:rsidRPr="00565629">
                    <w:t>25 per cent entrepreneurs' tax offset</w:t>
                  </w:r>
                </w:p>
              </w:tc>
              <w:tc>
                <w:tcPr>
                  <w:tcW w:w="465" w:type="pct"/>
                  <w:vAlign w:val="bottom"/>
                </w:tcPr>
                <w:p w:rsidR="00745FEA" w:rsidRPr="00102A77" w:rsidRDefault="00745FEA" w:rsidP="00745FEA">
                  <w:pPr>
                    <w:pStyle w:val="TableBodyText"/>
                    <w:ind w:right="57"/>
                  </w:pPr>
                  <w:r w:rsidRPr="00102A77">
                    <w:t>0.1</w:t>
                  </w:r>
                </w:p>
              </w:tc>
              <w:tc>
                <w:tcPr>
                  <w:tcW w:w="465" w:type="pct"/>
                  <w:vAlign w:val="bottom"/>
                </w:tcPr>
                <w:p w:rsidR="00745FEA" w:rsidRPr="00102A77" w:rsidRDefault="00745FEA" w:rsidP="00745FEA">
                  <w:pPr>
                    <w:pStyle w:val="TableBodyText"/>
                    <w:ind w:right="57"/>
                  </w:pPr>
                  <w:r w:rsidRPr="00102A77">
                    <w:t>0.4</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shd w:val="clear" w:color="auto" w:fill="auto"/>
                  <w:vAlign w:val="bottom"/>
                </w:tcPr>
                <w:p w:rsidR="00745FEA" w:rsidRPr="00102A77" w:rsidRDefault="00745FEA" w:rsidP="00745FEA">
                  <w:pPr>
                    <w:pStyle w:val="TableBodyText"/>
                    <w:ind w:right="57"/>
                  </w:pPr>
                  <w:r w:rsidRPr="00102A77">
                    <w:t>–</w:t>
                  </w:r>
                </w:p>
              </w:tc>
              <w:tc>
                <w:tcPr>
                  <w:tcW w:w="465" w:type="pct"/>
                  <w:vAlign w:val="bottom"/>
                </w:tcPr>
                <w:p w:rsidR="00745FEA" w:rsidRPr="00102A77" w:rsidRDefault="00745FEA" w:rsidP="00745FEA">
                  <w:pPr>
                    <w:pStyle w:val="TableBodyText"/>
                    <w:ind w:right="57"/>
                  </w:pPr>
                  <w:r w:rsidRPr="00102A77">
                    <w:t>–</w:t>
                  </w:r>
                </w:p>
              </w:tc>
              <w:tc>
                <w:tcPr>
                  <w:tcW w:w="457" w:type="pct"/>
                  <w:shd w:val="clear" w:color="auto" w:fill="auto"/>
                  <w:vAlign w:val="bottom"/>
                </w:tcPr>
                <w:p w:rsidR="00745FEA" w:rsidRDefault="00745FEA" w:rsidP="00745FEA">
                  <w:pPr>
                    <w:pStyle w:val="TableBodyText"/>
                    <w:ind w:right="57"/>
                  </w:pPr>
                  <w:r w:rsidRPr="00102A77">
                    <w:t>–</w:t>
                  </w:r>
                </w:p>
              </w:tc>
            </w:tr>
            <w:tr w:rsidR="00745FEA" w:rsidTr="00745FEA">
              <w:tc>
                <w:tcPr>
                  <w:tcW w:w="2218" w:type="pct"/>
                  <w:tcBorders>
                    <w:bottom w:val="single" w:sz="6" w:space="0" w:color="BFBFBF"/>
                  </w:tcBorders>
                </w:tcPr>
                <w:p w:rsidR="00745FEA" w:rsidRPr="0057353B" w:rsidRDefault="00745FEA" w:rsidP="00745FEA">
                  <w:pPr>
                    <w:spacing w:before="20" w:after="40"/>
                    <w:rPr>
                      <w:rFonts w:ascii="Arial" w:hAnsi="Arial" w:cs="Arial"/>
                      <w:i/>
                      <w:sz w:val="18"/>
                      <w:szCs w:val="18"/>
                    </w:rPr>
                  </w:pPr>
                  <w:r w:rsidRPr="0057353B">
                    <w:rPr>
                      <w:rFonts w:ascii="Arial" w:hAnsi="Arial" w:cs="Arial"/>
                      <w:i/>
                      <w:sz w:val="18"/>
                      <w:szCs w:val="18"/>
                    </w:rPr>
                    <w:t>Total</w:t>
                  </w:r>
                </w:p>
              </w:tc>
              <w:tc>
                <w:tcPr>
                  <w:tcW w:w="465" w:type="pct"/>
                  <w:tcBorders>
                    <w:bottom w:val="single" w:sz="6" w:space="0" w:color="BFBFBF"/>
                  </w:tcBorders>
                  <w:vAlign w:val="bottom"/>
                </w:tcPr>
                <w:p w:rsidR="00745FEA" w:rsidRPr="002212AF" w:rsidRDefault="00745FEA" w:rsidP="00745FEA">
                  <w:pPr>
                    <w:pStyle w:val="TableBodyText"/>
                    <w:spacing w:before="20"/>
                    <w:ind w:right="57"/>
                    <w:rPr>
                      <w:i/>
                    </w:rPr>
                  </w:pPr>
                  <w:r>
                    <w:rPr>
                      <w:i/>
                    </w:rPr>
                    <w:t>279.2</w:t>
                  </w:r>
                </w:p>
              </w:tc>
              <w:tc>
                <w:tcPr>
                  <w:tcW w:w="465" w:type="pct"/>
                  <w:tcBorders>
                    <w:bottom w:val="single" w:sz="6" w:space="0" w:color="BFBFBF"/>
                  </w:tcBorders>
                  <w:vAlign w:val="bottom"/>
                </w:tcPr>
                <w:p w:rsidR="00745FEA" w:rsidRPr="002212AF" w:rsidRDefault="00745FEA" w:rsidP="00745FEA">
                  <w:pPr>
                    <w:pStyle w:val="TableBodyText"/>
                    <w:spacing w:before="20"/>
                    <w:ind w:right="57"/>
                    <w:rPr>
                      <w:i/>
                    </w:rPr>
                  </w:pPr>
                  <w:r>
                    <w:rPr>
                      <w:i/>
                    </w:rPr>
                    <w:t>334.4</w:t>
                  </w:r>
                </w:p>
              </w:tc>
              <w:tc>
                <w:tcPr>
                  <w:tcW w:w="465" w:type="pct"/>
                  <w:tcBorders>
                    <w:bottom w:val="single" w:sz="6" w:space="0" w:color="BFBFBF"/>
                  </w:tcBorders>
                  <w:shd w:val="clear" w:color="auto" w:fill="auto"/>
                </w:tcPr>
                <w:p w:rsidR="00745FEA" w:rsidRPr="000C3843" w:rsidRDefault="00745FEA" w:rsidP="00745FEA">
                  <w:pPr>
                    <w:pStyle w:val="TableBodyText"/>
                    <w:spacing w:before="20"/>
                    <w:ind w:right="57"/>
                    <w:rPr>
                      <w:i/>
                    </w:rPr>
                  </w:pPr>
                  <w:r>
                    <w:rPr>
                      <w:i/>
                    </w:rPr>
                    <w:t>333.9</w:t>
                  </w:r>
                </w:p>
              </w:tc>
              <w:tc>
                <w:tcPr>
                  <w:tcW w:w="465" w:type="pct"/>
                  <w:tcBorders>
                    <w:bottom w:val="single" w:sz="6" w:space="0" w:color="BFBFBF"/>
                  </w:tcBorders>
                  <w:shd w:val="clear" w:color="auto" w:fill="auto"/>
                </w:tcPr>
                <w:p w:rsidR="00745FEA" w:rsidRPr="000C3843" w:rsidRDefault="00745FEA" w:rsidP="00745FEA">
                  <w:pPr>
                    <w:pStyle w:val="TableBodyText"/>
                    <w:spacing w:before="20"/>
                    <w:ind w:right="57"/>
                    <w:rPr>
                      <w:i/>
                    </w:rPr>
                  </w:pPr>
                  <w:r>
                    <w:rPr>
                      <w:i/>
                    </w:rPr>
                    <w:t>315.7</w:t>
                  </w:r>
                </w:p>
              </w:tc>
              <w:tc>
                <w:tcPr>
                  <w:tcW w:w="465" w:type="pct"/>
                  <w:tcBorders>
                    <w:bottom w:val="single" w:sz="6" w:space="0" w:color="BFBFBF"/>
                  </w:tcBorders>
                </w:tcPr>
                <w:p w:rsidR="00745FEA" w:rsidRPr="000C3843" w:rsidRDefault="00745FEA" w:rsidP="00745FEA">
                  <w:pPr>
                    <w:pStyle w:val="TableBodyText"/>
                    <w:spacing w:before="20"/>
                    <w:ind w:right="57"/>
                    <w:rPr>
                      <w:i/>
                    </w:rPr>
                  </w:pPr>
                  <w:r>
                    <w:rPr>
                      <w:i/>
                    </w:rPr>
                    <w:t>236.6</w:t>
                  </w:r>
                </w:p>
              </w:tc>
              <w:tc>
                <w:tcPr>
                  <w:tcW w:w="457" w:type="pct"/>
                  <w:tcBorders>
                    <w:bottom w:val="single" w:sz="6" w:space="0" w:color="BFBFBF"/>
                  </w:tcBorders>
                  <w:shd w:val="clear" w:color="auto" w:fill="auto"/>
                </w:tcPr>
                <w:p w:rsidR="00745FEA" w:rsidRPr="000C3843" w:rsidRDefault="00745FEA" w:rsidP="00745FEA">
                  <w:pPr>
                    <w:pStyle w:val="TableBodyText"/>
                    <w:spacing w:before="20"/>
                    <w:ind w:right="57"/>
                    <w:rPr>
                      <w:i/>
                    </w:rPr>
                  </w:pPr>
                  <w:r>
                    <w:rPr>
                      <w:i/>
                    </w:rPr>
                    <w:t>238.8</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vAlign w:val="bottom"/>
          </w:tcPr>
          <w:p w:rsidR="00745FEA" w:rsidRDefault="00745FEA" w:rsidP="00745FEA">
            <w:pPr>
              <w:pStyle w:val="Source"/>
              <w:ind w:left="6499"/>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3"/>
              <w:gridCol w:w="794"/>
              <w:gridCol w:w="794"/>
              <w:gridCol w:w="794"/>
              <w:gridCol w:w="794"/>
              <w:gridCol w:w="793"/>
            </w:tblGrid>
            <w:tr w:rsidR="00745FEA" w:rsidTr="00C719FB">
              <w:trPr>
                <w:tblHeader/>
              </w:trPr>
              <w:tc>
                <w:tcPr>
                  <w:tcW w:w="2218" w:type="pct"/>
                  <w:tcBorders>
                    <w:top w:val="single" w:sz="6" w:space="0" w:color="BFBFBF"/>
                    <w:bottom w:val="single" w:sz="6" w:space="0" w:color="BFBFBF"/>
                  </w:tcBorders>
                </w:tcPr>
                <w:p w:rsidR="00745FEA" w:rsidRDefault="00745FEA" w:rsidP="00745FEA">
                  <w:pPr>
                    <w:pStyle w:val="TableColumnHeading"/>
                    <w:jc w:val="left"/>
                  </w:pPr>
                </w:p>
              </w:tc>
              <w:tc>
                <w:tcPr>
                  <w:tcW w:w="463"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3"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Borders>
                    <w:top w:val="single" w:sz="6" w:space="0" w:color="BFBFBF"/>
                  </w:tcBorders>
                </w:tcPr>
                <w:p w:rsidR="00745FEA" w:rsidRPr="00332F05" w:rsidRDefault="00745FEA" w:rsidP="00745FEA">
                  <w:pPr>
                    <w:pStyle w:val="TableUnitsRow"/>
                    <w:jc w:val="left"/>
                    <w:rPr>
                      <w:b/>
                    </w:rPr>
                  </w:pPr>
                  <w:r w:rsidRPr="00332F05">
                    <w:rPr>
                      <w:b/>
                    </w:rPr>
                    <w:t>Non-Metallic mineral products</w:t>
                  </w:r>
                </w:p>
              </w:tc>
              <w:tc>
                <w:tcPr>
                  <w:tcW w:w="463" w:type="pct"/>
                  <w:tcBorders>
                    <w:top w:val="single" w:sz="6" w:space="0" w:color="BFBFBF"/>
                  </w:tcBorders>
                  <w:vAlign w:val="bottom"/>
                </w:tcPr>
                <w:p w:rsidR="00745FEA" w:rsidRDefault="00745FEA" w:rsidP="00745FEA">
                  <w:pPr>
                    <w:pStyle w:val="TableBodyText"/>
                    <w:spacing w:before="40"/>
                    <w:ind w:right="57"/>
                  </w:pPr>
                </w:p>
              </w:tc>
              <w:tc>
                <w:tcPr>
                  <w:tcW w:w="464" w:type="pct"/>
                  <w:tcBorders>
                    <w:top w:val="single" w:sz="6" w:space="0" w:color="BFBFBF"/>
                  </w:tcBorders>
                  <w:vAlign w:val="bottom"/>
                </w:tcPr>
                <w:p w:rsidR="00745FEA" w:rsidRDefault="00745FEA" w:rsidP="00745FEA">
                  <w:pPr>
                    <w:pStyle w:val="TableBodyText"/>
                    <w:spacing w:before="40"/>
                    <w:ind w:right="57"/>
                  </w:pPr>
                </w:p>
              </w:tc>
              <w:tc>
                <w:tcPr>
                  <w:tcW w:w="464" w:type="pct"/>
                  <w:tcBorders>
                    <w:top w:val="single" w:sz="6" w:space="0" w:color="BFBFBF"/>
                  </w:tcBorders>
                  <w:vAlign w:val="bottom"/>
                </w:tcPr>
                <w:p w:rsidR="00745FEA" w:rsidRDefault="00745FEA" w:rsidP="00745FEA">
                  <w:pPr>
                    <w:pStyle w:val="TableBodyText"/>
                    <w:spacing w:before="40"/>
                    <w:ind w:right="57"/>
                  </w:pPr>
                </w:p>
              </w:tc>
              <w:tc>
                <w:tcPr>
                  <w:tcW w:w="464" w:type="pct"/>
                  <w:tcBorders>
                    <w:top w:val="single" w:sz="6" w:space="0" w:color="BFBFBF"/>
                  </w:tcBorders>
                  <w:vAlign w:val="bottom"/>
                </w:tcPr>
                <w:p w:rsidR="00745FEA" w:rsidRDefault="00745FEA" w:rsidP="00745FEA">
                  <w:pPr>
                    <w:pStyle w:val="TableBodyText"/>
                    <w:spacing w:before="40"/>
                    <w:ind w:right="57"/>
                  </w:pPr>
                </w:p>
              </w:tc>
              <w:tc>
                <w:tcPr>
                  <w:tcW w:w="464" w:type="pct"/>
                  <w:tcBorders>
                    <w:top w:val="single" w:sz="6" w:space="0" w:color="BFBFBF"/>
                  </w:tcBorders>
                  <w:vAlign w:val="bottom"/>
                </w:tcPr>
                <w:p w:rsidR="00745FEA" w:rsidRDefault="00745FEA" w:rsidP="00745FEA">
                  <w:pPr>
                    <w:pStyle w:val="TableBodyText"/>
                    <w:spacing w:before="40"/>
                    <w:ind w:right="57"/>
                  </w:pPr>
                </w:p>
              </w:tc>
              <w:tc>
                <w:tcPr>
                  <w:tcW w:w="463" w:type="pct"/>
                  <w:tcBorders>
                    <w:top w:val="single" w:sz="6" w:space="0" w:color="BFBFBF"/>
                  </w:tcBorders>
                  <w:vAlign w:val="bottom"/>
                </w:tcPr>
                <w:p w:rsidR="00745FEA" w:rsidRDefault="00745FEA" w:rsidP="00745FEA">
                  <w:pPr>
                    <w:pStyle w:val="TableBodyText"/>
                    <w:spacing w:before="40"/>
                    <w:ind w:right="57"/>
                  </w:pPr>
                </w:p>
              </w:tc>
            </w:tr>
            <w:tr w:rsidR="00745FEA" w:rsidTr="00745FEA">
              <w:tc>
                <w:tcPr>
                  <w:tcW w:w="2218" w:type="pct"/>
                </w:tcPr>
                <w:p w:rsidR="00745FEA" w:rsidRPr="001465F4" w:rsidRDefault="00745FEA" w:rsidP="00745FEA">
                  <w:pPr>
                    <w:pStyle w:val="TableBodyText"/>
                    <w:spacing w:before="40" w:after="0"/>
                    <w:ind w:left="113"/>
                    <w:jc w:val="left"/>
                    <w:rPr>
                      <w:i/>
                    </w:rPr>
                  </w:pPr>
                  <w:r w:rsidRPr="001465F4">
                    <w:rPr>
                      <w:i/>
                    </w:rPr>
                    <w:t>Sector-specific measures</w:t>
                  </w:r>
                </w:p>
              </w:tc>
              <w:tc>
                <w:tcPr>
                  <w:tcW w:w="463"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3" w:type="pct"/>
                  <w:vAlign w:val="bottom"/>
                </w:tcPr>
                <w:p w:rsidR="00745FEA" w:rsidRDefault="00745FEA" w:rsidP="00745FEA">
                  <w:pPr>
                    <w:pStyle w:val="TableBodyText"/>
                    <w:ind w:right="57"/>
                  </w:pPr>
                </w:p>
              </w:tc>
            </w:tr>
            <w:tr w:rsidR="00745FEA" w:rsidTr="00745FEA">
              <w:tc>
                <w:tcPr>
                  <w:tcW w:w="2218" w:type="pct"/>
                </w:tcPr>
                <w:p w:rsidR="00745FEA" w:rsidRPr="00704091" w:rsidRDefault="00745FEA" w:rsidP="00745FEA">
                  <w:pPr>
                    <w:pStyle w:val="TableBodyText"/>
                    <w:spacing w:after="0"/>
                    <w:ind w:left="227" w:right="0"/>
                    <w:jc w:val="left"/>
                  </w:pPr>
                  <w:r w:rsidRPr="00704091">
                    <w:t>Clean Technology Investment - General Program</w:t>
                  </w:r>
                </w:p>
              </w:tc>
              <w:tc>
                <w:tcPr>
                  <w:tcW w:w="463" w:type="pct"/>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5.7</w:t>
                  </w:r>
                </w:p>
              </w:tc>
              <w:tc>
                <w:tcPr>
                  <w:tcW w:w="464" w:type="pct"/>
                  <w:shd w:val="clear" w:color="auto" w:fill="auto"/>
                  <w:vAlign w:val="bottom"/>
                </w:tcPr>
                <w:p w:rsidR="00745FEA" w:rsidRPr="008C4AF3" w:rsidRDefault="00745FEA" w:rsidP="00745FEA">
                  <w:pPr>
                    <w:pStyle w:val="TableBodyText"/>
                    <w:ind w:right="57"/>
                  </w:pPr>
                  <w:r w:rsidRPr="008C4AF3">
                    <w:t>16.8</w:t>
                  </w:r>
                </w:p>
              </w:tc>
              <w:tc>
                <w:tcPr>
                  <w:tcW w:w="464" w:type="pct"/>
                  <w:vAlign w:val="bottom"/>
                </w:tcPr>
                <w:p w:rsidR="00745FEA" w:rsidRPr="008C4AF3" w:rsidRDefault="00745FEA" w:rsidP="00745FEA">
                  <w:pPr>
                    <w:pStyle w:val="TableBodyText"/>
                    <w:ind w:right="57"/>
                  </w:pPr>
                  <w:r w:rsidRPr="008C4AF3">
                    <w:t>6.2</w:t>
                  </w:r>
                </w:p>
              </w:tc>
              <w:tc>
                <w:tcPr>
                  <w:tcW w:w="464" w:type="pct"/>
                  <w:shd w:val="clear" w:color="auto" w:fill="auto"/>
                  <w:vAlign w:val="bottom"/>
                </w:tcPr>
                <w:p w:rsidR="00745FEA" w:rsidRPr="008C4AF3" w:rsidRDefault="00745FEA" w:rsidP="00745FEA">
                  <w:pPr>
                    <w:pStyle w:val="TableBodyText"/>
                    <w:ind w:right="57"/>
                  </w:pPr>
                  <w:r w:rsidRPr="008C4AF3">
                    <w:t>1.0</w:t>
                  </w:r>
                </w:p>
              </w:tc>
              <w:tc>
                <w:tcPr>
                  <w:tcW w:w="463" w:type="pct"/>
                  <w:shd w:val="clear" w:color="auto" w:fill="auto"/>
                  <w:vAlign w:val="bottom"/>
                </w:tcPr>
                <w:p w:rsidR="00745FEA" w:rsidRPr="008C4AF3" w:rsidRDefault="00745FEA" w:rsidP="00745FEA">
                  <w:pPr>
                    <w:pStyle w:val="TableBodyText"/>
                    <w:ind w:right="57"/>
                  </w:pPr>
                  <w:r w:rsidRPr="008C4AF3">
                    <w:t>–</w:t>
                  </w:r>
                </w:p>
              </w:tc>
            </w:tr>
            <w:tr w:rsidR="00745FEA" w:rsidTr="00745FEA">
              <w:tc>
                <w:tcPr>
                  <w:tcW w:w="2218" w:type="pct"/>
                </w:tcPr>
                <w:p w:rsidR="00745FEA" w:rsidRPr="00704091" w:rsidRDefault="00745FEA" w:rsidP="00745FEA">
                  <w:pPr>
                    <w:pStyle w:val="TableBodyText"/>
                    <w:spacing w:after="0"/>
                    <w:ind w:left="227" w:right="0"/>
                    <w:jc w:val="left"/>
                  </w:pPr>
                  <w:r w:rsidRPr="00704091">
                    <w:t>Manufacturing Transition Grants Programme</w:t>
                  </w:r>
                </w:p>
              </w:tc>
              <w:tc>
                <w:tcPr>
                  <w:tcW w:w="463" w:type="pct"/>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w:t>
                  </w:r>
                </w:p>
              </w:tc>
              <w:tc>
                <w:tcPr>
                  <w:tcW w:w="464" w:type="pct"/>
                  <w:shd w:val="clear" w:color="auto" w:fill="auto"/>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0.5</w:t>
                  </w:r>
                </w:p>
              </w:tc>
              <w:tc>
                <w:tcPr>
                  <w:tcW w:w="464" w:type="pct"/>
                  <w:shd w:val="clear" w:color="auto" w:fill="auto"/>
                  <w:vAlign w:val="bottom"/>
                </w:tcPr>
                <w:p w:rsidR="00745FEA" w:rsidRPr="008C4AF3" w:rsidRDefault="00745FEA" w:rsidP="00745FEA">
                  <w:pPr>
                    <w:pStyle w:val="TableBodyText"/>
                    <w:ind w:right="57"/>
                  </w:pPr>
                  <w:r w:rsidRPr="008C4AF3">
                    <w:t>3.7</w:t>
                  </w:r>
                </w:p>
              </w:tc>
              <w:tc>
                <w:tcPr>
                  <w:tcW w:w="463" w:type="pct"/>
                  <w:shd w:val="clear" w:color="auto" w:fill="auto"/>
                  <w:vAlign w:val="bottom"/>
                </w:tcPr>
                <w:p w:rsidR="00745FEA" w:rsidRPr="008C4AF3" w:rsidRDefault="00745FEA" w:rsidP="00745FEA">
                  <w:pPr>
                    <w:pStyle w:val="TableBodyText"/>
                    <w:ind w:right="57"/>
                  </w:pPr>
                  <w:r w:rsidRPr="008C4AF3">
                    <w:t>2.0</w:t>
                  </w:r>
                </w:p>
              </w:tc>
            </w:tr>
            <w:tr w:rsidR="00745FEA" w:rsidTr="00745FEA">
              <w:tc>
                <w:tcPr>
                  <w:tcW w:w="2218" w:type="pct"/>
                </w:tcPr>
                <w:p w:rsidR="00745FEA" w:rsidRPr="00704091" w:rsidRDefault="00745FEA" w:rsidP="00745FEA">
                  <w:pPr>
                    <w:pStyle w:val="TableBodyText"/>
                    <w:spacing w:after="0"/>
                    <w:ind w:left="227" w:right="0"/>
                    <w:jc w:val="left"/>
                  </w:pPr>
                  <w:r w:rsidRPr="00704091">
                    <w:t>Next Generation Manufacturing Investment Programme</w:t>
                  </w:r>
                </w:p>
              </w:tc>
              <w:tc>
                <w:tcPr>
                  <w:tcW w:w="463" w:type="pct"/>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w:t>
                  </w:r>
                </w:p>
              </w:tc>
              <w:tc>
                <w:tcPr>
                  <w:tcW w:w="464" w:type="pct"/>
                  <w:shd w:val="clear" w:color="auto" w:fill="auto"/>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w:t>
                  </w:r>
                </w:p>
              </w:tc>
              <w:tc>
                <w:tcPr>
                  <w:tcW w:w="464" w:type="pct"/>
                  <w:shd w:val="clear" w:color="auto" w:fill="auto"/>
                  <w:vAlign w:val="bottom"/>
                </w:tcPr>
                <w:p w:rsidR="00745FEA" w:rsidRPr="008C4AF3" w:rsidRDefault="00745FEA" w:rsidP="00745FEA">
                  <w:pPr>
                    <w:pStyle w:val="TableBodyText"/>
                    <w:ind w:right="57"/>
                  </w:pPr>
                  <w:r w:rsidRPr="008C4AF3">
                    <w:t>0.6</w:t>
                  </w:r>
                </w:p>
              </w:tc>
              <w:tc>
                <w:tcPr>
                  <w:tcW w:w="463" w:type="pct"/>
                  <w:shd w:val="clear" w:color="auto" w:fill="auto"/>
                  <w:vAlign w:val="bottom"/>
                </w:tcPr>
                <w:p w:rsidR="00745FEA" w:rsidRPr="008C4AF3" w:rsidRDefault="00745FEA" w:rsidP="00745FEA">
                  <w:pPr>
                    <w:pStyle w:val="TableBodyText"/>
                    <w:ind w:right="57"/>
                  </w:pPr>
                  <w:r w:rsidRPr="008C4AF3">
                    <w:t>1.5</w:t>
                  </w:r>
                </w:p>
              </w:tc>
            </w:tr>
            <w:tr w:rsidR="00745FEA" w:rsidTr="00745FEA">
              <w:tc>
                <w:tcPr>
                  <w:tcW w:w="2218" w:type="pct"/>
                </w:tcPr>
                <w:p w:rsidR="00745FEA" w:rsidRPr="00704091" w:rsidRDefault="00745FEA" w:rsidP="00745FEA">
                  <w:pPr>
                    <w:pStyle w:val="TableBodyText"/>
                    <w:spacing w:after="0"/>
                    <w:ind w:left="227" w:right="0"/>
                    <w:jc w:val="left"/>
                  </w:pPr>
                  <w:r w:rsidRPr="00704091">
                    <w:t>Victorian Innovation and Investment Fund - Ford Assistance</w:t>
                  </w:r>
                </w:p>
              </w:tc>
              <w:tc>
                <w:tcPr>
                  <w:tcW w:w="463" w:type="pct"/>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w:t>
                  </w:r>
                </w:p>
              </w:tc>
              <w:tc>
                <w:tcPr>
                  <w:tcW w:w="464" w:type="pct"/>
                  <w:shd w:val="clear" w:color="auto" w:fill="auto"/>
                  <w:vAlign w:val="bottom"/>
                </w:tcPr>
                <w:p w:rsidR="00745FEA" w:rsidRPr="008C4AF3" w:rsidRDefault="00745FEA" w:rsidP="00745FEA">
                  <w:pPr>
                    <w:pStyle w:val="TableBodyText"/>
                    <w:ind w:right="57"/>
                  </w:pPr>
                  <w:r w:rsidRPr="008C4AF3">
                    <w:t>–</w:t>
                  </w:r>
                </w:p>
              </w:tc>
              <w:tc>
                <w:tcPr>
                  <w:tcW w:w="464" w:type="pct"/>
                  <w:vAlign w:val="bottom"/>
                </w:tcPr>
                <w:p w:rsidR="00745FEA" w:rsidRPr="008C4AF3" w:rsidRDefault="00745FEA" w:rsidP="00745FEA">
                  <w:pPr>
                    <w:pStyle w:val="TableBodyText"/>
                    <w:ind w:right="57"/>
                  </w:pPr>
                  <w:r w:rsidRPr="008C4AF3">
                    <w:t>0.4</w:t>
                  </w:r>
                </w:p>
              </w:tc>
              <w:tc>
                <w:tcPr>
                  <w:tcW w:w="464" w:type="pct"/>
                  <w:shd w:val="clear" w:color="auto" w:fill="auto"/>
                  <w:vAlign w:val="bottom"/>
                </w:tcPr>
                <w:p w:rsidR="00745FEA" w:rsidRPr="008C4AF3" w:rsidRDefault="00745FEA" w:rsidP="00745FEA">
                  <w:pPr>
                    <w:pStyle w:val="TableBodyText"/>
                    <w:ind w:right="57"/>
                  </w:pPr>
                  <w:r w:rsidRPr="008C4AF3">
                    <w:t>0.4</w:t>
                  </w:r>
                </w:p>
              </w:tc>
              <w:tc>
                <w:tcPr>
                  <w:tcW w:w="463" w:type="pct"/>
                  <w:shd w:val="clear" w:color="auto" w:fill="auto"/>
                  <w:vAlign w:val="bottom"/>
                </w:tcPr>
                <w:p w:rsidR="00745FEA" w:rsidRDefault="00745FEA" w:rsidP="00745FEA">
                  <w:pPr>
                    <w:pStyle w:val="TableBodyText"/>
                    <w:ind w:right="57"/>
                  </w:pPr>
                  <w:r w:rsidRPr="008C4AF3">
                    <w:t>–</w:t>
                  </w:r>
                </w:p>
              </w:tc>
            </w:tr>
            <w:tr w:rsidR="00745FEA" w:rsidTr="00745FEA">
              <w:tc>
                <w:tcPr>
                  <w:tcW w:w="2218" w:type="pct"/>
                </w:tcPr>
                <w:p w:rsidR="00745FEA" w:rsidRPr="001465F4" w:rsidRDefault="00745FEA" w:rsidP="00745FEA">
                  <w:pPr>
                    <w:pStyle w:val="TableBodyText"/>
                    <w:spacing w:before="40" w:after="0"/>
                    <w:ind w:left="113"/>
                    <w:jc w:val="left"/>
                    <w:rPr>
                      <w:i/>
                    </w:rPr>
                  </w:pPr>
                  <w:r w:rsidRPr="001465F4">
                    <w:rPr>
                      <w:i/>
                    </w:rPr>
                    <w:t>General export measures</w:t>
                  </w:r>
                </w:p>
              </w:tc>
              <w:tc>
                <w:tcPr>
                  <w:tcW w:w="463"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691EBF" w:rsidRDefault="00745FEA" w:rsidP="00745FEA">
                  <w:pPr>
                    <w:pStyle w:val="TableBodyText"/>
                    <w:spacing w:after="0"/>
                    <w:ind w:left="227" w:right="0"/>
                    <w:jc w:val="left"/>
                  </w:pPr>
                  <w:r w:rsidRPr="00691EBF">
                    <w:t>Export Market Development Grants Scheme</w:t>
                  </w:r>
                </w:p>
              </w:tc>
              <w:tc>
                <w:tcPr>
                  <w:tcW w:w="463" w:type="pct"/>
                  <w:vAlign w:val="bottom"/>
                </w:tcPr>
                <w:p w:rsidR="00745FEA" w:rsidRPr="00DD73B6" w:rsidRDefault="00745FEA" w:rsidP="00745FEA">
                  <w:pPr>
                    <w:pStyle w:val="TableBodyText"/>
                    <w:ind w:right="57"/>
                  </w:pPr>
                  <w:r w:rsidRPr="00DD73B6">
                    <w:t>0.4</w:t>
                  </w:r>
                </w:p>
              </w:tc>
              <w:tc>
                <w:tcPr>
                  <w:tcW w:w="464" w:type="pct"/>
                  <w:vAlign w:val="bottom"/>
                </w:tcPr>
                <w:p w:rsidR="00745FEA" w:rsidRPr="00DD73B6" w:rsidRDefault="00745FEA" w:rsidP="00745FEA">
                  <w:pPr>
                    <w:pStyle w:val="TableBodyText"/>
                    <w:ind w:right="57"/>
                  </w:pPr>
                  <w:r w:rsidRPr="00DD73B6">
                    <w:t>0.3</w:t>
                  </w:r>
                </w:p>
              </w:tc>
              <w:tc>
                <w:tcPr>
                  <w:tcW w:w="464" w:type="pct"/>
                  <w:shd w:val="clear" w:color="auto" w:fill="auto"/>
                  <w:vAlign w:val="bottom"/>
                </w:tcPr>
                <w:p w:rsidR="00745FEA" w:rsidRPr="00DD73B6" w:rsidRDefault="00745FEA" w:rsidP="00745FEA">
                  <w:pPr>
                    <w:pStyle w:val="TableBodyText"/>
                    <w:ind w:right="57"/>
                  </w:pPr>
                  <w:r w:rsidRPr="00DD73B6">
                    <w:t>0.6</w:t>
                  </w:r>
                </w:p>
              </w:tc>
              <w:tc>
                <w:tcPr>
                  <w:tcW w:w="464" w:type="pct"/>
                  <w:vAlign w:val="bottom"/>
                </w:tcPr>
                <w:p w:rsidR="00745FEA" w:rsidRPr="00DD73B6" w:rsidRDefault="00745FEA" w:rsidP="00745FEA">
                  <w:pPr>
                    <w:pStyle w:val="TableBodyText"/>
                    <w:ind w:right="57"/>
                  </w:pPr>
                  <w:r w:rsidRPr="00DD73B6">
                    <w:t>0.6</w:t>
                  </w:r>
                </w:p>
              </w:tc>
              <w:tc>
                <w:tcPr>
                  <w:tcW w:w="464" w:type="pct"/>
                  <w:shd w:val="clear" w:color="auto" w:fill="auto"/>
                  <w:vAlign w:val="bottom"/>
                </w:tcPr>
                <w:p w:rsidR="00745FEA" w:rsidRPr="00DD73B6" w:rsidRDefault="00745FEA" w:rsidP="00745FEA">
                  <w:pPr>
                    <w:pStyle w:val="TableBodyText"/>
                    <w:ind w:right="57"/>
                  </w:pPr>
                  <w:r w:rsidRPr="00DD73B6">
                    <w:t>0.9</w:t>
                  </w:r>
                </w:p>
              </w:tc>
              <w:tc>
                <w:tcPr>
                  <w:tcW w:w="463" w:type="pct"/>
                  <w:shd w:val="clear" w:color="auto" w:fill="auto"/>
                  <w:vAlign w:val="bottom"/>
                </w:tcPr>
                <w:p w:rsidR="00745FEA" w:rsidRPr="00DD73B6" w:rsidRDefault="00745FEA" w:rsidP="00745FEA">
                  <w:pPr>
                    <w:pStyle w:val="TableBodyText"/>
                    <w:ind w:right="57"/>
                  </w:pPr>
                  <w:r w:rsidRPr="00DD73B6">
                    <w:t>0.5</w:t>
                  </w:r>
                </w:p>
              </w:tc>
            </w:tr>
            <w:tr w:rsidR="00745FEA" w:rsidTr="00745FEA">
              <w:tc>
                <w:tcPr>
                  <w:tcW w:w="2218" w:type="pct"/>
                </w:tcPr>
                <w:p w:rsidR="00745FEA" w:rsidRPr="00691EBF" w:rsidRDefault="00745FEA" w:rsidP="00745FEA">
                  <w:pPr>
                    <w:pStyle w:val="TableBodyText"/>
                    <w:spacing w:after="0"/>
                    <w:ind w:left="227" w:right="0"/>
                    <w:jc w:val="left"/>
                  </w:pPr>
                  <w:r w:rsidRPr="00691EBF">
                    <w:t>TRADEX</w:t>
                  </w:r>
                </w:p>
              </w:tc>
              <w:tc>
                <w:tcPr>
                  <w:tcW w:w="463" w:type="pct"/>
                  <w:vAlign w:val="bottom"/>
                </w:tcPr>
                <w:p w:rsidR="00745FEA" w:rsidRPr="00DD73B6" w:rsidRDefault="00745FEA" w:rsidP="00745FEA">
                  <w:pPr>
                    <w:pStyle w:val="TableBodyText"/>
                    <w:ind w:right="57"/>
                  </w:pPr>
                  <w:r w:rsidRPr="00DD73B6">
                    <w:t>0.1</w:t>
                  </w:r>
                </w:p>
              </w:tc>
              <w:tc>
                <w:tcPr>
                  <w:tcW w:w="464" w:type="pct"/>
                  <w:vAlign w:val="bottom"/>
                </w:tcPr>
                <w:p w:rsidR="00745FEA" w:rsidRPr="00DD73B6" w:rsidRDefault="00745FEA" w:rsidP="00745FEA">
                  <w:pPr>
                    <w:pStyle w:val="TableBodyText"/>
                    <w:ind w:right="57"/>
                  </w:pPr>
                  <w:r w:rsidRPr="00DD73B6">
                    <w:t>0.2</w:t>
                  </w:r>
                </w:p>
              </w:tc>
              <w:tc>
                <w:tcPr>
                  <w:tcW w:w="464" w:type="pct"/>
                  <w:shd w:val="clear" w:color="auto" w:fill="auto"/>
                  <w:vAlign w:val="bottom"/>
                </w:tcPr>
                <w:p w:rsidR="00745FEA" w:rsidRPr="00DD73B6" w:rsidRDefault="00745FEA" w:rsidP="00745FEA">
                  <w:pPr>
                    <w:pStyle w:val="TableBodyText"/>
                    <w:ind w:right="57"/>
                  </w:pPr>
                  <w:r w:rsidRPr="00DD73B6">
                    <w:t>0.2</w:t>
                  </w:r>
                </w:p>
              </w:tc>
              <w:tc>
                <w:tcPr>
                  <w:tcW w:w="464" w:type="pct"/>
                  <w:vAlign w:val="bottom"/>
                </w:tcPr>
                <w:p w:rsidR="00745FEA" w:rsidRPr="00DD73B6" w:rsidRDefault="00745FEA" w:rsidP="00745FEA">
                  <w:pPr>
                    <w:pStyle w:val="TableBodyText"/>
                    <w:ind w:right="57"/>
                  </w:pPr>
                  <w:r w:rsidRPr="00DD73B6">
                    <w:t>0.2</w:t>
                  </w:r>
                </w:p>
              </w:tc>
              <w:tc>
                <w:tcPr>
                  <w:tcW w:w="464" w:type="pct"/>
                  <w:shd w:val="clear" w:color="auto" w:fill="auto"/>
                  <w:vAlign w:val="bottom"/>
                </w:tcPr>
                <w:p w:rsidR="00745FEA" w:rsidRPr="00DD73B6" w:rsidRDefault="00745FEA" w:rsidP="00745FEA">
                  <w:pPr>
                    <w:pStyle w:val="TableBodyText"/>
                    <w:ind w:right="57"/>
                  </w:pPr>
                  <w:r w:rsidRPr="00DD73B6">
                    <w:t>0.2</w:t>
                  </w:r>
                </w:p>
              </w:tc>
              <w:tc>
                <w:tcPr>
                  <w:tcW w:w="463" w:type="pct"/>
                  <w:shd w:val="clear" w:color="auto" w:fill="auto"/>
                  <w:vAlign w:val="bottom"/>
                </w:tcPr>
                <w:p w:rsidR="00745FEA" w:rsidRDefault="00745FEA" w:rsidP="00745FEA">
                  <w:pPr>
                    <w:pStyle w:val="TableBodyText"/>
                    <w:ind w:right="57"/>
                  </w:pPr>
                  <w:r w:rsidRPr="00DD73B6">
                    <w:t>0.2</w:t>
                  </w:r>
                </w:p>
              </w:tc>
            </w:tr>
            <w:tr w:rsidR="00745FEA" w:rsidTr="00745FEA">
              <w:tc>
                <w:tcPr>
                  <w:tcW w:w="2218" w:type="pct"/>
                </w:tcPr>
                <w:p w:rsidR="00745FEA" w:rsidRPr="001465F4" w:rsidRDefault="00745FEA" w:rsidP="00745FEA">
                  <w:pPr>
                    <w:pStyle w:val="TableBodyText"/>
                    <w:spacing w:before="40" w:after="0"/>
                    <w:ind w:left="113"/>
                    <w:jc w:val="left"/>
                    <w:rPr>
                      <w:i/>
                    </w:rPr>
                  </w:pPr>
                  <w:r w:rsidRPr="001465F4">
                    <w:rPr>
                      <w:i/>
                    </w:rPr>
                    <w:t>General R&amp;D measures</w:t>
                  </w:r>
                </w:p>
              </w:tc>
              <w:tc>
                <w:tcPr>
                  <w:tcW w:w="463"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250CDC" w:rsidRDefault="00745FEA" w:rsidP="00745FEA">
                  <w:pPr>
                    <w:pStyle w:val="TableBodyText"/>
                    <w:spacing w:after="0"/>
                    <w:ind w:left="227" w:right="0"/>
                    <w:jc w:val="left"/>
                  </w:pPr>
                  <w:r w:rsidRPr="00250CDC">
                    <w:t>Commercialisation Australia</w:t>
                  </w:r>
                </w:p>
              </w:tc>
              <w:tc>
                <w:tcPr>
                  <w:tcW w:w="463" w:type="pct"/>
                  <w:vAlign w:val="bottom"/>
                </w:tcPr>
                <w:p w:rsidR="00745FEA" w:rsidRPr="0090728C" w:rsidRDefault="00745FEA" w:rsidP="00745FEA">
                  <w:pPr>
                    <w:pStyle w:val="TableBodyText"/>
                    <w:ind w:right="57"/>
                  </w:pPr>
                  <w:r w:rsidRPr="0090728C">
                    <w:t>0.3</w:t>
                  </w:r>
                </w:p>
              </w:tc>
              <w:tc>
                <w:tcPr>
                  <w:tcW w:w="464" w:type="pct"/>
                  <w:vAlign w:val="bottom"/>
                </w:tcPr>
                <w:p w:rsidR="00745FEA" w:rsidRPr="0090728C" w:rsidRDefault="00745FEA" w:rsidP="00745FEA">
                  <w:pPr>
                    <w:pStyle w:val="TableBodyText"/>
                    <w:ind w:right="57"/>
                  </w:pPr>
                  <w:r w:rsidRPr="0090728C">
                    <w:t>0.6</w:t>
                  </w:r>
                </w:p>
              </w:tc>
              <w:tc>
                <w:tcPr>
                  <w:tcW w:w="464" w:type="pct"/>
                  <w:shd w:val="clear" w:color="auto" w:fill="auto"/>
                  <w:vAlign w:val="bottom"/>
                </w:tcPr>
                <w:p w:rsidR="00745FEA" w:rsidRPr="0090728C" w:rsidRDefault="00745FEA" w:rsidP="00745FEA">
                  <w:pPr>
                    <w:pStyle w:val="TableBodyText"/>
                    <w:ind w:right="57"/>
                  </w:pPr>
                  <w:r w:rsidRPr="0090728C">
                    <w:t>0.3</w:t>
                  </w:r>
                </w:p>
              </w:tc>
              <w:tc>
                <w:tcPr>
                  <w:tcW w:w="464" w:type="pct"/>
                  <w:vAlign w:val="bottom"/>
                </w:tcPr>
                <w:p w:rsidR="00745FEA" w:rsidRPr="0090728C" w:rsidRDefault="00745FEA" w:rsidP="00745FEA">
                  <w:pPr>
                    <w:pStyle w:val="TableBodyText"/>
                    <w:ind w:right="57"/>
                  </w:pPr>
                  <w:r w:rsidRPr="0090728C">
                    <w:t>1.7</w:t>
                  </w:r>
                </w:p>
              </w:tc>
              <w:tc>
                <w:tcPr>
                  <w:tcW w:w="464" w:type="pct"/>
                  <w:shd w:val="clear" w:color="auto" w:fill="auto"/>
                  <w:vAlign w:val="bottom"/>
                </w:tcPr>
                <w:p w:rsidR="00745FEA" w:rsidRPr="0090728C" w:rsidRDefault="00745FEA" w:rsidP="00745FEA">
                  <w:pPr>
                    <w:pStyle w:val="TableBodyText"/>
                    <w:ind w:right="57"/>
                  </w:pPr>
                  <w:r w:rsidRPr="0090728C">
                    <w:t>0.1</w:t>
                  </w:r>
                </w:p>
              </w:tc>
              <w:tc>
                <w:tcPr>
                  <w:tcW w:w="463" w:type="pct"/>
                  <w:shd w:val="clear" w:color="auto" w:fill="auto"/>
                  <w:vAlign w:val="bottom"/>
                </w:tcPr>
                <w:p w:rsidR="00745FEA" w:rsidRPr="0090728C" w:rsidRDefault="00745FEA" w:rsidP="00745FEA">
                  <w:pPr>
                    <w:pStyle w:val="TableBodyText"/>
                    <w:ind w:right="57"/>
                  </w:pPr>
                  <w:r w:rsidRPr="0090728C">
                    <w:t>–</w:t>
                  </w:r>
                </w:p>
              </w:tc>
            </w:tr>
            <w:tr w:rsidR="00745FEA" w:rsidTr="00745FEA">
              <w:tc>
                <w:tcPr>
                  <w:tcW w:w="2218" w:type="pct"/>
                </w:tcPr>
                <w:p w:rsidR="00745FEA" w:rsidRPr="00250CDC" w:rsidRDefault="00745FEA" w:rsidP="00745FEA">
                  <w:pPr>
                    <w:pStyle w:val="TableBodyText"/>
                    <w:spacing w:after="0"/>
                    <w:ind w:left="227" w:right="0"/>
                    <w:jc w:val="left"/>
                  </w:pPr>
                  <w:r w:rsidRPr="00250CDC">
                    <w:t>CSIRO</w:t>
                  </w:r>
                </w:p>
              </w:tc>
              <w:tc>
                <w:tcPr>
                  <w:tcW w:w="463" w:type="pct"/>
                  <w:vAlign w:val="bottom"/>
                </w:tcPr>
                <w:p w:rsidR="00745FEA" w:rsidRPr="0090728C" w:rsidRDefault="00745FEA" w:rsidP="00745FEA">
                  <w:pPr>
                    <w:pStyle w:val="TableBodyText"/>
                    <w:ind w:right="57"/>
                  </w:pPr>
                  <w:r w:rsidRPr="0090728C">
                    <w:t>1.5</w:t>
                  </w:r>
                </w:p>
              </w:tc>
              <w:tc>
                <w:tcPr>
                  <w:tcW w:w="464" w:type="pct"/>
                  <w:vAlign w:val="bottom"/>
                </w:tcPr>
                <w:p w:rsidR="00745FEA" w:rsidRPr="0090728C" w:rsidRDefault="00745FEA" w:rsidP="00745FEA">
                  <w:pPr>
                    <w:pStyle w:val="TableBodyText"/>
                    <w:ind w:right="57"/>
                  </w:pPr>
                  <w:r w:rsidRPr="0090728C">
                    <w:t>1.9</w:t>
                  </w:r>
                </w:p>
              </w:tc>
              <w:tc>
                <w:tcPr>
                  <w:tcW w:w="464" w:type="pct"/>
                  <w:shd w:val="clear" w:color="auto" w:fill="auto"/>
                  <w:vAlign w:val="bottom"/>
                </w:tcPr>
                <w:p w:rsidR="00745FEA" w:rsidRPr="0090728C" w:rsidRDefault="00745FEA" w:rsidP="00745FEA">
                  <w:pPr>
                    <w:pStyle w:val="TableBodyText"/>
                    <w:ind w:right="57"/>
                  </w:pPr>
                  <w:r w:rsidRPr="0090728C">
                    <w:t>1.8</w:t>
                  </w:r>
                </w:p>
              </w:tc>
              <w:tc>
                <w:tcPr>
                  <w:tcW w:w="464" w:type="pct"/>
                  <w:vAlign w:val="bottom"/>
                </w:tcPr>
                <w:p w:rsidR="00745FEA" w:rsidRPr="0090728C" w:rsidRDefault="00745FEA" w:rsidP="00745FEA">
                  <w:pPr>
                    <w:pStyle w:val="TableBodyText"/>
                    <w:ind w:right="57"/>
                  </w:pPr>
                  <w:r w:rsidRPr="0090728C">
                    <w:t>2.4</w:t>
                  </w:r>
                </w:p>
              </w:tc>
              <w:tc>
                <w:tcPr>
                  <w:tcW w:w="464" w:type="pct"/>
                  <w:shd w:val="clear" w:color="auto" w:fill="auto"/>
                  <w:vAlign w:val="bottom"/>
                </w:tcPr>
                <w:p w:rsidR="00745FEA" w:rsidRPr="0090728C" w:rsidRDefault="00745FEA" w:rsidP="00745FEA">
                  <w:pPr>
                    <w:pStyle w:val="TableBodyText"/>
                    <w:ind w:right="57"/>
                  </w:pPr>
                  <w:r w:rsidRPr="0090728C">
                    <w:t>2.9</w:t>
                  </w:r>
                </w:p>
              </w:tc>
              <w:tc>
                <w:tcPr>
                  <w:tcW w:w="463" w:type="pct"/>
                  <w:shd w:val="clear" w:color="auto" w:fill="auto"/>
                  <w:vAlign w:val="bottom"/>
                </w:tcPr>
                <w:p w:rsidR="00745FEA" w:rsidRPr="0090728C" w:rsidRDefault="00745FEA" w:rsidP="00745FEA">
                  <w:pPr>
                    <w:pStyle w:val="TableBodyText"/>
                    <w:ind w:right="57"/>
                  </w:pPr>
                  <w:r w:rsidRPr="0090728C">
                    <w:t>2.7</w:t>
                  </w:r>
                </w:p>
              </w:tc>
            </w:tr>
            <w:tr w:rsidR="00745FEA" w:rsidTr="00745FEA">
              <w:tc>
                <w:tcPr>
                  <w:tcW w:w="2218" w:type="pct"/>
                </w:tcPr>
                <w:p w:rsidR="00745FEA" w:rsidRPr="00250CDC" w:rsidRDefault="00745FEA" w:rsidP="00745FEA">
                  <w:pPr>
                    <w:pStyle w:val="TableBodyText"/>
                    <w:spacing w:after="0"/>
                    <w:ind w:left="227" w:right="0"/>
                    <w:jc w:val="left"/>
                  </w:pPr>
                  <w:r w:rsidRPr="00250CDC">
                    <w:t>Clean Technology Innovation Program</w:t>
                  </w:r>
                </w:p>
              </w:tc>
              <w:tc>
                <w:tcPr>
                  <w:tcW w:w="463" w:type="pct"/>
                  <w:vAlign w:val="bottom"/>
                </w:tcPr>
                <w:p w:rsidR="00745FEA" w:rsidRPr="0090728C" w:rsidRDefault="00745FEA" w:rsidP="00745FEA">
                  <w:pPr>
                    <w:pStyle w:val="TableBodyText"/>
                    <w:ind w:right="57"/>
                  </w:pPr>
                  <w:r w:rsidRPr="0090728C">
                    <w:t>–</w:t>
                  </w:r>
                </w:p>
              </w:tc>
              <w:tc>
                <w:tcPr>
                  <w:tcW w:w="464" w:type="pct"/>
                  <w:vAlign w:val="bottom"/>
                </w:tcPr>
                <w:p w:rsidR="00745FEA" w:rsidRPr="0090728C" w:rsidRDefault="00745FEA" w:rsidP="00745FEA">
                  <w:pPr>
                    <w:pStyle w:val="TableBodyText"/>
                    <w:ind w:right="57"/>
                  </w:pPr>
                  <w:r w:rsidRPr="0090728C">
                    <w:t>0.1</w:t>
                  </w:r>
                </w:p>
              </w:tc>
              <w:tc>
                <w:tcPr>
                  <w:tcW w:w="464" w:type="pct"/>
                  <w:shd w:val="clear" w:color="auto" w:fill="auto"/>
                  <w:vAlign w:val="bottom"/>
                </w:tcPr>
                <w:p w:rsidR="00745FEA" w:rsidRPr="0090728C" w:rsidRDefault="00745FEA" w:rsidP="00745FEA">
                  <w:pPr>
                    <w:pStyle w:val="TableBodyText"/>
                    <w:ind w:right="57"/>
                  </w:pPr>
                  <w:r w:rsidRPr="0090728C">
                    <w:t>–</w:t>
                  </w:r>
                </w:p>
              </w:tc>
              <w:tc>
                <w:tcPr>
                  <w:tcW w:w="464" w:type="pct"/>
                  <w:vAlign w:val="bottom"/>
                </w:tcPr>
                <w:p w:rsidR="00745FEA" w:rsidRPr="0090728C" w:rsidRDefault="00745FEA" w:rsidP="00745FEA">
                  <w:pPr>
                    <w:pStyle w:val="TableBodyText"/>
                    <w:ind w:right="57"/>
                  </w:pPr>
                  <w:r w:rsidRPr="0090728C">
                    <w:t>–</w:t>
                  </w:r>
                </w:p>
              </w:tc>
              <w:tc>
                <w:tcPr>
                  <w:tcW w:w="464" w:type="pct"/>
                  <w:shd w:val="clear" w:color="auto" w:fill="auto"/>
                  <w:vAlign w:val="bottom"/>
                </w:tcPr>
                <w:p w:rsidR="00745FEA" w:rsidRPr="0090728C" w:rsidRDefault="00745FEA" w:rsidP="00745FEA">
                  <w:pPr>
                    <w:pStyle w:val="TableBodyText"/>
                    <w:ind w:right="57"/>
                  </w:pPr>
                  <w:r w:rsidRPr="0090728C">
                    <w:t>–</w:t>
                  </w:r>
                </w:p>
              </w:tc>
              <w:tc>
                <w:tcPr>
                  <w:tcW w:w="463" w:type="pct"/>
                  <w:shd w:val="clear" w:color="auto" w:fill="auto"/>
                  <w:vAlign w:val="bottom"/>
                </w:tcPr>
                <w:p w:rsidR="00745FEA" w:rsidRPr="0090728C" w:rsidRDefault="00745FEA" w:rsidP="00745FEA">
                  <w:pPr>
                    <w:pStyle w:val="TableBodyText"/>
                    <w:ind w:right="57"/>
                  </w:pPr>
                  <w:r w:rsidRPr="0090728C">
                    <w:t>–</w:t>
                  </w:r>
                </w:p>
              </w:tc>
            </w:tr>
            <w:tr w:rsidR="00745FEA" w:rsidTr="00745FEA">
              <w:tc>
                <w:tcPr>
                  <w:tcW w:w="2218" w:type="pct"/>
                </w:tcPr>
                <w:p w:rsidR="00745FEA" w:rsidRPr="00250CDC" w:rsidRDefault="00745FEA" w:rsidP="00745FEA">
                  <w:pPr>
                    <w:pStyle w:val="TableBodyText"/>
                    <w:spacing w:after="0"/>
                    <w:ind w:left="227" w:right="0"/>
                    <w:jc w:val="left"/>
                  </w:pPr>
                  <w:r w:rsidRPr="00250CDC">
                    <w:t>R&amp;D Tax Incentive - refundable tax offset</w:t>
                  </w:r>
                </w:p>
              </w:tc>
              <w:tc>
                <w:tcPr>
                  <w:tcW w:w="463" w:type="pct"/>
                  <w:vAlign w:val="bottom"/>
                </w:tcPr>
                <w:p w:rsidR="00745FEA" w:rsidRPr="0090728C" w:rsidRDefault="00745FEA" w:rsidP="00745FEA">
                  <w:pPr>
                    <w:pStyle w:val="TableBodyText"/>
                    <w:ind w:right="57"/>
                  </w:pPr>
                  <w:r w:rsidRPr="0090728C">
                    <w:t>–</w:t>
                  </w:r>
                </w:p>
              </w:tc>
              <w:tc>
                <w:tcPr>
                  <w:tcW w:w="464" w:type="pct"/>
                  <w:vAlign w:val="bottom"/>
                </w:tcPr>
                <w:p w:rsidR="00745FEA" w:rsidRPr="0090728C" w:rsidRDefault="00745FEA" w:rsidP="00745FEA">
                  <w:pPr>
                    <w:pStyle w:val="TableBodyText"/>
                    <w:ind w:right="57"/>
                  </w:pPr>
                  <w:r w:rsidRPr="0090728C">
                    <w:t>7.3</w:t>
                  </w:r>
                </w:p>
              </w:tc>
              <w:tc>
                <w:tcPr>
                  <w:tcW w:w="464" w:type="pct"/>
                  <w:shd w:val="clear" w:color="auto" w:fill="auto"/>
                  <w:vAlign w:val="bottom"/>
                </w:tcPr>
                <w:p w:rsidR="00745FEA" w:rsidRPr="0090728C" w:rsidRDefault="00745FEA" w:rsidP="00745FEA">
                  <w:pPr>
                    <w:pStyle w:val="TableBodyText"/>
                    <w:ind w:right="57"/>
                  </w:pPr>
                  <w:r w:rsidRPr="0090728C">
                    <w:t>7.0</w:t>
                  </w:r>
                </w:p>
              </w:tc>
              <w:tc>
                <w:tcPr>
                  <w:tcW w:w="464" w:type="pct"/>
                  <w:vAlign w:val="bottom"/>
                </w:tcPr>
                <w:p w:rsidR="00745FEA" w:rsidRPr="0090728C" w:rsidRDefault="00745FEA" w:rsidP="00745FEA">
                  <w:pPr>
                    <w:pStyle w:val="TableBodyText"/>
                    <w:ind w:right="57"/>
                  </w:pPr>
                  <w:r w:rsidRPr="0090728C">
                    <w:t>9.4</w:t>
                  </w:r>
                </w:p>
              </w:tc>
              <w:tc>
                <w:tcPr>
                  <w:tcW w:w="464" w:type="pct"/>
                  <w:shd w:val="clear" w:color="auto" w:fill="auto"/>
                  <w:vAlign w:val="bottom"/>
                </w:tcPr>
                <w:p w:rsidR="00745FEA" w:rsidRPr="0090728C" w:rsidRDefault="00745FEA" w:rsidP="00745FEA">
                  <w:pPr>
                    <w:pStyle w:val="TableBodyText"/>
                    <w:ind w:right="57"/>
                  </w:pPr>
                  <w:r w:rsidRPr="0090728C">
                    <w:t>10.0</w:t>
                  </w:r>
                </w:p>
              </w:tc>
              <w:tc>
                <w:tcPr>
                  <w:tcW w:w="463" w:type="pct"/>
                  <w:shd w:val="clear" w:color="auto" w:fill="auto"/>
                  <w:vAlign w:val="bottom"/>
                </w:tcPr>
                <w:p w:rsidR="00745FEA" w:rsidRPr="0090728C" w:rsidRDefault="00745FEA" w:rsidP="00745FEA">
                  <w:pPr>
                    <w:pStyle w:val="TableBodyText"/>
                    <w:ind w:right="57"/>
                  </w:pPr>
                  <w:r w:rsidRPr="0090728C">
                    <w:t>12.1</w:t>
                  </w:r>
                </w:p>
              </w:tc>
            </w:tr>
            <w:tr w:rsidR="00745FEA" w:rsidTr="00745FEA">
              <w:tc>
                <w:tcPr>
                  <w:tcW w:w="2218" w:type="pct"/>
                </w:tcPr>
                <w:p w:rsidR="00745FEA" w:rsidRPr="00250CDC" w:rsidRDefault="00745FEA" w:rsidP="00745FEA">
                  <w:pPr>
                    <w:pStyle w:val="TableBodyText"/>
                    <w:spacing w:after="0"/>
                    <w:ind w:left="227" w:right="0"/>
                    <w:jc w:val="left"/>
                  </w:pPr>
                  <w:r w:rsidRPr="00250CDC">
                    <w:t>R&amp;D tax offsets - Refundable</w:t>
                  </w:r>
                </w:p>
              </w:tc>
              <w:tc>
                <w:tcPr>
                  <w:tcW w:w="463" w:type="pct"/>
                  <w:vAlign w:val="bottom"/>
                </w:tcPr>
                <w:p w:rsidR="00745FEA" w:rsidRPr="0090728C" w:rsidRDefault="00745FEA" w:rsidP="00745FEA">
                  <w:pPr>
                    <w:pStyle w:val="TableBodyText"/>
                    <w:ind w:right="57"/>
                  </w:pPr>
                  <w:r w:rsidRPr="0090728C">
                    <w:t>5.0</w:t>
                  </w:r>
                </w:p>
              </w:tc>
              <w:tc>
                <w:tcPr>
                  <w:tcW w:w="464" w:type="pct"/>
                  <w:vAlign w:val="bottom"/>
                </w:tcPr>
                <w:p w:rsidR="00745FEA" w:rsidRPr="0090728C" w:rsidRDefault="00745FEA" w:rsidP="00745FEA">
                  <w:pPr>
                    <w:pStyle w:val="TableBodyText"/>
                    <w:ind w:right="57"/>
                  </w:pPr>
                  <w:r w:rsidRPr="0090728C">
                    <w:t>–</w:t>
                  </w:r>
                </w:p>
              </w:tc>
              <w:tc>
                <w:tcPr>
                  <w:tcW w:w="464" w:type="pct"/>
                  <w:shd w:val="clear" w:color="auto" w:fill="auto"/>
                  <w:vAlign w:val="bottom"/>
                </w:tcPr>
                <w:p w:rsidR="00745FEA" w:rsidRPr="0090728C" w:rsidRDefault="00745FEA" w:rsidP="00745FEA">
                  <w:pPr>
                    <w:pStyle w:val="TableBodyText"/>
                    <w:ind w:right="57"/>
                  </w:pPr>
                  <w:r w:rsidRPr="0090728C">
                    <w:t>–</w:t>
                  </w:r>
                </w:p>
              </w:tc>
              <w:tc>
                <w:tcPr>
                  <w:tcW w:w="464" w:type="pct"/>
                  <w:vAlign w:val="bottom"/>
                </w:tcPr>
                <w:p w:rsidR="00745FEA" w:rsidRPr="0090728C" w:rsidRDefault="00745FEA" w:rsidP="00745FEA">
                  <w:pPr>
                    <w:pStyle w:val="TableBodyText"/>
                    <w:ind w:right="57"/>
                  </w:pPr>
                  <w:r w:rsidRPr="0090728C">
                    <w:t>–</w:t>
                  </w:r>
                </w:p>
              </w:tc>
              <w:tc>
                <w:tcPr>
                  <w:tcW w:w="464" w:type="pct"/>
                  <w:shd w:val="clear" w:color="auto" w:fill="auto"/>
                  <w:vAlign w:val="bottom"/>
                </w:tcPr>
                <w:p w:rsidR="00745FEA" w:rsidRPr="0090728C" w:rsidRDefault="00745FEA" w:rsidP="00745FEA">
                  <w:pPr>
                    <w:pStyle w:val="TableBodyText"/>
                    <w:ind w:right="57"/>
                  </w:pPr>
                  <w:r w:rsidRPr="0090728C">
                    <w:t>–</w:t>
                  </w:r>
                </w:p>
              </w:tc>
              <w:tc>
                <w:tcPr>
                  <w:tcW w:w="463" w:type="pct"/>
                  <w:shd w:val="clear" w:color="auto" w:fill="auto"/>
                  <w:vAlign w:val="bottom"/>
                </w:tcPr>
                <w:p w:rsidR="00745FEA" w:rsidRPr="0090728C" w:rsidRDefault="00745FEA" w:rsidP="00745FEA">
                  <w:pPr>
                    <w:pStyle w:val="TableBodyText"/>
                    <w:ind w:right="57"/>
                  </w:pPr>
                  <w:r w:rsidRPr="0090728C">
                    <w:t>–</w:t>
                  </w:r>
                </w:p>
              </w:tc>
            </w:tr>
            <w:tr w:rsidR="00745FEA" w:rsidTr="00745FEA">
              <w:tc>
                <w:tcPr>
                  <w:tcW w:w="2218" w:type="pct"/>
                </w:tcPr>
                <w:p w:rsidR="00745FEA" w:rsidRPr="00250CDC" w:rsidRDefault="00745FEA" w:rsidP="00745FEA">
                  <w:pPr>
                    <w:pStyle w:val="TableBodyText"/>
                    <w:spacing w:after="0"/>
                    <w:ind w:left="227" w:right="0"/>
                    <w:jc w:val="left"/>
                  </w:pPr>
                  <w:r w:rsidRPr="00250CDC">
                    <w:t>Premium R&amp;D tax concession</w:t>
                  </w:r>
                </w:p>
              </w:tc>
              <w:tc>
                <w:tcPr>
                  <w:tcW w:w="463" w:type="pct"/>
                  <w:vAlign w:val="bottom"/>
                </w:tcPr>
                <w:p w:rsidR="00745FEA" w:rsidRPr="0090728C" w:rsidRDefault="00745FEA" w:rsidP="00745FEA">
                  <w:pPr>
                    <w:pStyle w:val="TableBodyText"/>
                    <w:ind w:right="57"/>
                  </w:pPr>
                  <w:r w:rsidRPr="0090728C">
                    <w:t>0.2</w:t>
                  </w:r>
                </w:p>
              </w:tc>
              <w:tc>
                <w:tcPr>
                  <w:tcW w:w="464" w:type="pct"/>
                  <w:vAlign w:val="bottom"/>
                </w:tcPr>
                <w:p w:rsidR="00745FEA" w:rsidRPr="0090728C" w:rsidRDefault="00745FEA" w:rsidP="00745FEA">
                  <w:pPr>
                    <w:pStyle w:val="TableBodyText"/>
                    <w:ind w:right="57"/>
                  </w:pPr>
                  <w:r w:rsidRPr="0090728C">
                    <w:t>&lt;0.1</w:t>
                  </w:r>
                </w:p>
              </w:tc>
              <w:tc>
                <w:tcPr>
                  <w:tcW w:w="464" w:type="pct"/>
                  <w:shd w:val="clear" w:color="auto" w:fill="auto"/>
                  <w:vAlign w:val="bottom"/>
                </w:tcPr>
                <w:p w:rsidR="00745FEA" w:rsidRPr="0090728C" w:rsidRDefault="00745FEA" w:rsidP="00745FEA">
                  <w:pPr>
                    <w:pStyle w:val="TableBodyText"/>
                    <w:ind w:right="57"/>
                  </w:pPr>
                  <w:r w:rsidRPr="0090728C">
                    <w:t>&lt;0.1</w:t>
                  </w:r>
                </w:p>
              </w:tc>
              <w:tc>
                <w:tcPr>
                  <w:tcW w:w="464" w:type="pct"/>
                  <w:vAlign w:val="bottom"/>
                </w:tcPr>
                <w:p w:rsidR="00745FEA" w:rsidRPr="0090728C" w:rsidRDefault="00745FEA" w:rsidP="00745FEA">
                  <w:pPr>
                    <w:pStyle w:val="TableBodyText"/>
                    <w:ind w:right="57"/>
                  </w:pPr>
                  <w:r w:rsidRPr="0090728C">
                    <w:t>–</w:t>
                  </w:r>
                </w:p>
              </w:tc>
              <w:tc>
                <w:tcPr>
                  <w:tcW w:w="464" w:type="pct"/>
                  <w:shd w:val="clear" w:color="auto" w:fill="auto"/>
                  <w:vAlign w:val="bottom"/>
                </w:tcPr>
                <w:p w:rsidR="00745FEA" w:rsidRPr="0090728C" w:rsidRDefault="00745FEA" w:rsidP="00745FEA">
                  <w:pPr>
                    <w:pStyle w:val="TableBodyText"/>
                    <w:ind w:right="57"/>
                  </w:pPr>
                  <w:r w:rsidRPr="0090728C">
                    <w:t>–</w:t>
                  </w:r>
                </w:p>
              </w:tc>
              <w:tc>
                <w:tcPr>
                  <w:tcW w:w="463" w:type="pct"/>
                  <w:shd w:val="clear" w:color="auto" w:fill="auto"/>
                  <w:vAlign w:val="bottom"/>
                </w:tcPr>
                <w:p w:rsidR="00745FEA" w:rsidRPr="0090728C" w:rsidRDefault="00745FEA" w:rsidP="00745FEA">
                  <w:pPr>
                    <w:pStyle w:val="TableBodyText"/>
                    <w:ind w:right="57"/>
                  </w:pPr>
                  <w:r w:rsidRPr="0090728C">
                    <w:t>–</w:t>
                  </w:r>
                </w:p>
              </w:tc>
            </w:tr>
            <w:tr w:rsidR="00745FEA" w:rsidTr="00745FEA">
              <w:tc>
                <w:tcPr>
                  <w:tcW w:w="2218" w:type="pct"/>
                </w:tcPr>
                <w:p w:rsidR="00745FEA" w:rsidRPr="00250CDC" w:rsidRDefault="00745FEA" w:rsidP="00745FEA">
                  <w:pPr>
                    <w:pStyle w:val="TableBodyText"/>
                    <w:spacing w:after="0"/>
                    <w:ind w:left="227" w:right="0"/>
                    <w:jc w:val="left"/>
                  </w:pPr>
                  <w:r w:rsidRPr="00250CDC">
                    <w:t>R&amp;D tax concession</w:t>
                  </w:r>
                </w:p>
              </w:tc>
              <w:tc>
                <w:tcPr>
                  <w:tcW w:w="463" w:type="pct"/>
                  <w:vAlign w:val="bottom"/>
                </w:tcPr>
                <w:p w:rsidR="00745FEA" w:rsidRPr="0090728C" w:rsidRDefault="00745FEA" w:rsidP="00745FEA">
                  <w:pPr>
                    <w:pStyle w:val="TableBodyText"/>
                    <w:ind w:right="57"/>
                  </w:pPr>
                  <w:r w:rsidRPr="0090728C">
                    <w:t>6.6</w:t>
                  </w:r>
                </w:p>
              </w:tc>
              <w:tc>
                <w:tcPr>
                  <w:tcW w:w="464" w:type="pct"/>
                  <w:vAlign w:val="bottom"/>
                </w:tcPr>
                <w:p w:rsidR="00745FEA" w:rsidRPr="0090728C" w:rsidRDefault="00745FEA" w:rsidP="00745FEA">
                  <w:pPr>
                    <w:pStyle w:val="TableBodyText"/>
                    <w:ind w:right="57"/>
                  </w:pPr>
                  <w:r w:rsidRPr="0090728C">
                    <w:t>2.9</w:t>
                  </w:r>
                </w:p>
              </w:tc>
              <w:tc>
                <w:tcPr>
                  <w:tcW w:w="464" w:type="pct"/>
                  <w:shd w:val="clear" w:color="auto" w:fill="auto"/>
                  <w:vAlign w:val="bottom"/>
                </w:tcPr>
                <w:p w:rsidR="00745FEA" w:rsidRPr="0090728C" w:rsidRDefault="00745FEA" w:rsidP="00745FEA">
                  <w:pPr>
                    <w:pStyle w:val="TableBodyText"/>
                    <w:ind w:right="57"/>
                  </w:pPr>
                  <w:r w:rsidRPr="0090728C">
                    <w:t>1.0</w:t>
                  </w:r>
                </w:p>
              </w:tc>
              <w:tc>
                <w:tcPr>
                  <w:tcW w:w="464" w:type="pct"/>
                  <w:vAlign w:val="bottom"/>
                </w:tcPr>
                <w:p w:rsidR="00745FEA" w:rsidRPr="0090728C" w:rsidRDefault="00745FEA" w:rsidP="00745FEA">
                  <w:pPr>
                    <w:pStyle w:val="TableBodyText"/>
                    <w:ind w:right="57"/>
                  </w:pPr>
                  <w:r w:rsidRPr="0090728C">
                    <w:t>0.2</w:t>
                  </w:r>
                </w:p>
              </w:tc>
              <w:tc>
                <w:tcPr>
                  <w:tcW w:w="464" w:type="pct"/>
                  <w:shd w:val="clear" w:color="auto" w:fill="auto"/>
                  <w:vAlign w:val="bottom"/>
                </w:tcPr>
                <w:p w:rsidR="00745FEA" w:rsidRPr="0090728C" w:rsidRDefault="00745FEA" w:rsidP="00745FEA">
                  <w:pPr>
                    <w:pStyle w:val="TableBodyText"/>
                    <w:ind w:right="57"/>
                  </w:pPr>
                  <w:r w:rsidRPr="0090728C">
                    <w:t>–</w:t>
                  </w:r>
                </w:p>
              </w:tc>
              <w:tc>
                <w:tcPr>
                  <w:tcW w:w="463" w:type="pct"/>
                  <w:shd w:val="clear" w:color="auto" w:fill="auto"/>
                  <w:vAlign w:val="bottom"/>
                </w:tcPr>
                <w:p w:rsidR="00745FEA" w:rsidRPr="0090728C" w:rsidRDefault="00745FEA" w:rsidP="00745FEA">
                  <w:pPr>
                    <w:pStyle w:val="TableBodyText"/>
                    <w:ind w:right="57"/>
                  </w:pPr>
                  <w:r w:rsidRPr="0090728C">
                    <w:t>–</w:t>
                  </w:r>
                </w:p>
              </w:tc>
            </w:tr>
            <w:tr w:rsidR="00745FEA" w:rsidTr="00745FEA">
              <w:tc>
                <w:tcPr>
                  <w:tcW w:w="2218" w:type="pct"/>
                </w:tcPr>
                <w:p w:rsidR="00745FEA" w:rsidRPr="00250CDC" w:rsidRDefault="00745FEA" w:rsidP="00745FEA">
                  <w:pPr>
                    <w:pStyle w:val="TableBodyText"/>
                    <w:spacing w:after="0"/>
                    <w:ind w:left="227" w:right="0"/>
                    <w:jc w:val="left"/>
                  </w:pPr>
                  <w:r w:rsidRPr="00250CDC">
                    <w:t>R&amp;D Tax Incentive - non-refundable tax offset</w:t>
                  </w:r>
                </w:p>
              </w:tc>
              <w:tc>
                <w:tcPr>
                  <w:tcW w:w="463" w:type="pct"/>
                  <w:vAlign w:val="bottom"/>
                </w:tcPr>
                <w:p w:rsidR="00745FEA" w:rsidRPr="0090728C" w:rsidRDefault="00745FEA" w:rsidP="00745FEA">
                  <w:pPr>
                    <w:pStyle w:val="TableBodyText"/>
                    <w:ind w:right="57"/>
                  </w:pPr>
                  <w:r w:rsidRPr="0090728C">
                    <w:t>–</w:t>
                  </w:r>
                </w:p>
              </w:tc>
              <w:tc>
                <w:tcPr>
                  <w:tcW w:w="464" w:type="pct"/>
                  <w:vAlign w:val="bottom"/>
                </w:tcPr>
                <w:p w:rsidR="00745FEA" w:rsidRPr="0090728C" w:rsidRDefault="00745FEA" w:rsidP="00745FEA">
                  <w:pPr>
                    <w:pStyle w:val="TableBodyText"/>
                    <w:ind w:right="57"/>
                  </w:pPr>
                  <w:r w:rsidRPr="0090728C">
                    <w:t>3.0</w:t>
                  </w:r>
                </w:p>
              </w:tc>
              <w:tc>
                <w:tcPr>
                  <w:tcW w:w="464" w:type="pct"/>
                  <w:shd w:val="clear" w:color="auto" w:fill="auto"/>
                  <w:vAlign w:val="bottom"/>
                </w:tcPr>
                <w:p w:rsidR="00745FEA" w:rsidRPr="0090728C" w:rsidRDefault="00745FEA" w:rsidP="00745FEA">
                  <w:pPr>
                    <w:pStyle w:val="TableBodyText"/>
                    <w:ind w:right="57"/>
                  </w:pPr>
                  <w:r w:rsidRPr="0090728C">
                    <w:t>5.4</w:t>
                  </w:r>
                </w:p>
              </w:tc>
              <w:tc>
                <w:tcPr>
                  <w:tcW w:w="464" w:type="pct"/>
                  <w:vAlign w:val="bottom"/>
                </w:tcPr>
                <w:p w:rsidR="00745FEA" w:rsidRPr="0090728C" w:rsidRDefault="00745FEA" w:rsidP="00745FEA">
                  <w:pPr>
                    <w:pStyle w:val="TableBodyText"/>
                    <w:ind w:right="57"/>
                  </w:pPr>
                  <w:r w:rsidRPr="0090728C">
                    <w:t>4.5</w:t>
                  </w:r>
                </w:p>
              </w:tc>
              <w:tc>
                <w:tcPr>
                  <w:tcW w:w="464" w:type="pct"/>
                  <w:shd w:val="clear" w:color="auto" w:fill="auto"/>
                  <w:vAlign w:val="bottom"/>
                </w:tcPr>
                <w:p w:rsidR="00745FEA" w:rsidRPr="0090728C" w:rsidRDefault="00745FEA" w:rsidP="00745FEA">
                  <w:pPr>
                    <w:pStyle w:val="TableBodyText"/>
                    <w:ind w:right="57"/>
                  </w:pPr>
                  <w:r w:rsidRPr="0090728C">
                    <w:t>4.1</w:t>
                  </w:r>
                </w:p>
              </w:tc>
              <w:tc>
                <w:tcPr>
                  <w:tcW w:w="463" w:type="pct"/>
                  <w:shd w:val="clear" w:color="auto" w:fill="auto"/>
                  <w:vAlign w:val="bottom"/>
                </w:tcPr>
                <w:p w:rsidR="00745FEA" w:rsidRDefault="00745FEA" w:rsidP="00745FEA">
                  <w:pPr>
                    <w:pStyle w:val="TableBodyText"/>
                    <w:ind w:right="57"/>
                  </w:pPr>
                  <w:r w:rsidRPr="0090728C">
                    <w:t>5.3</w:t>
                  </w:r>
                </w:p>
              </w:tc>
            </w:tr>
            <w:tr w:rsidR="00745FEA" w:rsidTr="00745FEA">
              <w:tc>
                <w:tcPr>
                  <w:tcW w:w="2218" w:type="pct"/>
                </w:tcPr>
                <w:p w:rsidR="00745FEA" w:rsidRPr="001465F4" w:rsidRDefault="00745FEA" w:rsidP="00745FEA">
                  <w:pPr>
                    <w:pStyle w:val="TableBodyText"/>
                    <w:spacing w:before="40" w:after="0"/>
                    <w:ind w:left="113"/>
                    <w:jc w:val="left"/>
                    <w:rPr>
                      <w:i/>
                    </w:rPr>
                  </w:pPr>
                  <w:r w:rsidRPr="001465F4">
                    <w:rPr>
                      <w:i/>
                    </w:rPr>
                    <w:t>Other measures</w:t>
                  </w:r>
                </w:p>
              </w:tc>
              <w:tc>
                <w:tcPr>
                  <w:tcW w:w="463"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7C65FB" w:rsidRDefault="00745FEA" w:rsidP="00745FEA">
                  <w:pPr>
                    <w:pStyle w:val="TableBodyText"/>
                    <w:spacing w:after="0"/>
                    <w:ind w:left="227" w:right="0"/>
                    <w:jc w:val="left"/>
                  </w:pPr>
                  <w:r w:rsidRPr="00946FAE">
                    <w:t>Australian Government Innovation and Investment Fund - Tasmania</w:t>
                  </w:r>
                </w:p>
              </w:tc>
              <w:tc>
                <w:tcPr>
                  <w:tcW w:w="463" w:type="pct"/>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3" w:type="pct"/>
                  <w:shd w:val="clear" w:color="auto" w:fill="auto"/>
                  <w:vAlign w:val="bottom"/>
                </w:tcPr>
                <w:p w:rsidR="00745FEA" w:rsidRPr="00995CE2" w:rsidRDefault="00745FEA" w:rsidP="00745FEA">
                  <w:pPr>
                    <w:pStyle w:val="TableBodyText"/>
                    <w:ind w:right="57"/>
                  </w:pPr>
                  <w:r w:rsidRPr="00995CE2">
                    <w:t>0.1</w:t>
                  </w:r>
                </w:p>
              </w:tc>
            </w:tr>
            <w:tr w:rsidR="00745FEA" w:rsidTr="00745FEA">
              <w:tc>
                <w:tcPr>
                  <w:tcW w:w="2218" w:type="pct"/>
                </w:tcPr>
                <w:p w:rsidR="00745FEA" w:rsidRPr="007C65FB" w:rsidRDefault="00745FEA" w:rsidP="00745FEA">
                  <w:pPr>
                    <w:pStyle w:val="TableBodyText"/>
                    <w:spacing w:after="0"/>
                    <w:ind w:left="227" w:right="0"/>
                    <w:jc w:val="left"/>
                  </w:pPr>
                  <w:r w:rsidRPr="007C65FB">
                    <w:t>Enterprise Connect Innovation Centres</w:t>
                  </w:r>
                </w:p>
              </w:tc>
              <w:tc>
                <w:tcPr>
                  <w:tcW w:w="463" w:type="pct"/>
                  <w:vAlign w:val="bottom"/>
                </w:tcPr>
                <w:p w:rsidR="00745FEA" w:rsidRPr="00995CE2" w:rsidRDefault="00745FEA" w:rsidP="00745FEA">
                  <w:pPr>
                    <w:pStyle w:val="TableBodyText"/>
                    <w:ind w:right="57"/>
                  </w:pPr>
                  <w:r w:rsidRPr="00995CE2">
                    <w:t>0.1</w:t>
                  </w:r>
                </w:p>
              </w:tc>
              <w:tc>
                <w:tcPr>
                  <w:tcW w:w="464" w:type="pct"/>
                  <w:vAlign w:val="bottom"/>
                </w:tcPr>
                <w:p w:rsidR="00745FEA" w:rsidRPr="00995CE2" w:rsidRDefault="00745FEA" w:rsidP="00745FEA">
                  <w:pPr>
                    <w:pStyle w:val="TableBodyText"/>
                    <w:ind w:right="57"/>
                  </w:pPr>
                  <w:r w:rsidRPr="00995CE2">
                    <w:t>0.1</w:t>
                  </w:r>
                </w:p>
              </w:tc>
              <w:tc>
                <w:tcPr>
                  <w:tcW w:w="464" w:type="pct"/>
                  <w:shd w:val="clear" w:color="auto" w:fill="auto"/>
                  <w:vAlign w:val="bottom"/>
                </w:tcPr>
                <w:p w:rsidR="00745FEA" w:rsidRPr="00995CE2" w:rsidRDefault="00745FEA" w:rsidP="00745FEA">
                  <w:pPr>
                    <w:pStyle w:val="TableBodyText"/>
                    <w:ind w:right="57"/>
                  </w:pPr>
                  <w:r w:rsidRPr="00995CE2">
                    <w:t>0.2</w:t>
                  </w:r>
                </w:p>
              </w:tc>
              <w:tc>
                <w:tcPr>
                  <w:tcW w:w="464" w:type="pct"/>
                  <w:vAlign w:val="bottom"/>
                </w:tcPr>
                <w:p w:rsidR="00745FEA" w:rsidRPr="00995CE2" w:rsidRDefault="00745FEA" w:rsidP="00745FEA">
                  <w:pPr>
                    <w:pStyle w:val="TableBodyText"/>
                    <w:ind w:right="57"/>
                  </w:pPr>
                  <w:r w:rsidRPr="00995CE2">
                    <w:t>0.1</w:t>
                  </w:r>
                </w:p>
              </w:tc>
              <w:tc>
                <w:tcPr>
                  <w:tcW w:w="464" w:type="pct"/>
                  <w:shd w:val="clear" w:color="auto" w:fill="auto"/>
                  <w:vAlign w:val="bottom"/>
                </w:tcPr>
                <w:p w:rsidR="00745FEA" w:rsidRPr="00995CE2" w:rsidRDefault="00745FEA" w:rsidP="00745FEA">
                  <w:pPr>
                    <w:pStyle w:val="TableBodyText"/>
                    <w:ind w:right="57"/>
                  </w:pPr>
                  <w:r w:rsidRPr="00995CE2">
                    <w:t>&lt;0.1</w:t>
                  </w:r>
                </w:p>
              </w:tc>
              <w:tc>
                <w:tcPr>
                  <w:tcW w:w="463" w:type="pct"/>
                  <w:shd w:val="clear" w:color="auto" w:fill="auto"/>
                  <w:vAlign w:val="bottom"/>
                </w:tcPr>
                <w:p w:rsidR="00745FEA" w:rsidRPr="00995CE2" w:rsidRDefault="00745FEA" w:rsidP="00745FEA">
                  <w:pPr>
                    <w:pStyle w:val="TableBodyText"/>
                    <w:ind w:right="57"/>
                  </w:pPr>
                  <w:r w:rsidRPr="00995CE2">
                    <w:t>–</w:t>
                  </w:r>
                </w:p>
              </w:tc>
            </w:tr>
            <w:tr w:rsidR="00745FEA" w:rsidTr="00745FEA">
              <w:tc>
                <w:tcPr>
                  <w:tcW w:w="2218" w:type="pct"/>
                </w:tcPr>
                <w:p w:rsidR="00745FEA" w:rsidRPr="007C65FB" w:rsidRDefault="00745FEA" w:rsidP="00745FEA">
                  <w:pPr>
                    <w:pStyle w:val="TableBodyText"/>
                    <w:spacing w:after="0"/>
                    <w:ind w:left="227" w:right="0"/>
                    <w:jc w:val="left"/>
                  </w:pPr>
                  <w:r w:rsidRPr="007C65FB">
                    <w:t>Entrepreneurs’ Infrastructure Programme - Accelerating Commercialisation</w:t>
                  </w:r>
                </w:p>
              </w:tc>
              <w:tc>
                <w:tcPr>
                  <w:tcW w:w="463" w:type="pct"/>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&lt;0.1</w:t>
                  </w:r>
                </w:p>
              </w:tc>
              <w:tc>
                <w:tcPr>
                  <w:tcW w:w="464" w:type="pct"/>
                  <w:shd w:val="clear" w:color="auto" w:fill="auto"/>
                  <w:vAlign w:val="bottom"/>
                </w:tcPr>
                <w:p w:rsidR="00745FEA" w:rsidRPr="00995CE2" w:rsidRDefault="00745FEA" w:rsidP="00745FEA">
                  <w:pPr>
                    <w:pStyle w:val="TableBodyText"/>
                    <w:ind w:right="57"/>
                  </w:pPr>
                  <w:r w:rsidRPr="00995CE2">
                    <w:t>&lt;0.1</w:t>
                  </w:r>
                </w:p>
              </w:tc>
              <w:tc>
                <w:tcPr>
                  <w:tcW w:w="463" w:type="pct"/>
                  <w:shd w:val="clear" w:color="auto" w:fill="auto"/>
                  <w:vAlign w:val="bottom"/>
                </w:tcPr>
                <w:p w:rsidR="00745FEA" w:rsidRPr="00995CE2" w:rsidRDefault="00745FEA" w:rsidP="00745FEA">
                  <w:pPr>
                    <w:pStyle w:val="TableBodyText"/>
                    <w:ind w:right="57"/>
                  </w:pPr>
                  <w:r w:rsidRPr="00995CE2">
                    <w:t>&lt;0.1</w:t>
                  </w:r>
                </w:p>
              </w:tc>
            </w:tr>
            <w:tr w:rsidR="00745FEA" w:rsidTr="00745FEA">
              <w:tc>
                <w:tcPr>
                  <w:tcW w:w="2218" w:type="pct"/>
                </w:tcPr>
                <w:p w:rsidR="00745FEA" w:rsidRPr="007C65FB" w:rsidRDefault="00745FEA" w:rsidP="00745FEA">
                  <w:pPr>
                    <w:pStyle w:val="TableBodyText"/>
                    <w:spacing w:after="0"/>
                    <w:ind w:left="227" w:right="0"/>
                    <w:jc w:val="left"/>
                  </w:pPr>
                  <w:r w:rsidRPr="007C65FB">
                    <w:t>Entrepreneurs’ Infrastructure Programme - Business Management Skills</w:t>
                  </w:r>
                </w:p>
              </w:tc>
              <w:tc>
                <w:tcPr>
                  <w:tcW w:w="463" w:type="pct"/>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&lt;0.1</w:t>
                  </w:r>
                </w:p>
              </w:tc>
              <w:tc>
                <w:tcPr>
                  <w:tcW w:w="464" w:type="pct"/>
                  <w:shd w:val="clear" w:color="auto" w:fill="auto"/>
                  <w:vAlign w:val="bottom"/>
                </w:tcPr>
                <w:p w:rsidR="00745FEA" w:rsidRPr="00995CE2" w:rsidRDefault="00745FEA" w:rsidP="00745FEA">
                  <w:pPr>
                    <w:pStyle w:val="TableBodyText"/>
                    <w:ind w:right="57"/>
                  </w:pPr>
                  <w:r w:rsidRPr="00995CE2">
                    <w:t>0.2</w:t>
                  </w:r>
                </w:p>
              </w:tc>
              <w:tc>
                <w:tcPr>
                  <w:tcW w:w="463" w:type="pct"/>
                  <w:shd w:val="clear" w:color="auto" w:fill="auto"/>
                  <w:vAlign w:val="bottom"/>
                </w:tcPr>
                <w:p w:rsidR="00745FEA" w:rsidRPr="00995CE2" w:rsidRDefault="00745FEA" w:rsidP="00745FEA">
                  <w:pPr>
                    <w:pStyle w:val="TableBodyText"/>
                    <w:ind w:right="57"/>
                  </w:pPr>
                  <w:r w:rsidRPr="00995CE2">
                    <w:t>0.1</w:t>
                  </w:r>
                </w:p>
              </w:tc>
            </w:tr>
            <w:tr w:rsidR="00745FEA" w:rsidTr="00745FEA">
              <w:tc>
                <w:tcPr>
                  <w:tcW w:w="2218" w:type="pct"/>
                </w:tcPr>
                <w:p w:rsidR="00745FEA" w:rsidRPr="007C65FB" w:rsidRDefault="00745FEA" w:rsidP="00745FEA">
                  <w:pPr>
                    <w:pStyle w:val="TableBodyText"/>
                    <w:spacing w:after="0"/>
                    <w:ind w:left="227" w:right="0"/>
                    <w:jc w:val="left"/>
                  </w:pPr>
                  <w:r w:rsidRPr="007C65FB">
                    <w:t>Illawarra Region Innovation and Investment Fund</w:t>
                  </w:r>
                </w:p>
              </w:tc>
              <w:tc>
                <w:tcPr>
                  <w:tcW w:w="463" w:type="pct"/>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0.1</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3" w:type="pct"/>
                  <w:shd w:val="clear" w:color="auto" w:fill="auto"/>
                  <w:vAlign w:val="bottom"/>
                </w:tcPr>
                <w:p w:rsidR="00745FEA" w:rsidRPr="00995CE2" w:rsidRDefault="00745FEA" w:rsidP="00745FEA">
                  <w:pPr>
                    <w:pStyle w:val="TableBodyText"/>
                    <w:ind w:right="57"/>
                  </w:pPr>
                  <w:r w:rsidRPr="00995CE2">
                    <w:t>–</w:t>
                  </w:r>
                </w:p>
              </w:tc>
            </w:tr>
            <w:tr w:rsidR="00745FEA" w:rsidTr="00745FEA">
              <w:tc>
                <w:tcPr>
                  <w:tcW w:w="2218" w:type="pct"/>
                </w:tcPr>
                <w:p w:rsidR="00745FEA" w:rsidRPr="007C65FB" w:rsidRDefault="00745FEA" w:rsidP="00745FEA">
                  <w:pPr>
                    <w:pStyle w:val="TableBodyText"/>
                    <w:spacing w:after="0"/>
                    <w:ind w:left="227" w:right="0"/>
                    <w:jc w:val="left"/>
                  </w:pPr>
                  <w:r w:rsidRPr="007C65FB">
                    <w:t>South East South Australia Innovation and Investment Fund</w:t>
                  </w:r>
                </w:p>
              </w:tc>
              <w:tc>
                <w:tcPr>
                  <w:tcW w:w="463" w:type="pct"/>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0.2</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3" w:type="pct"/>
                  <w:shd w:val="clear" w:color="auto" w:fill="auto"/>
                  <w:vAlign w:val="bottom"/>
                </w:tcPr>
                <w:p w:rsidR="00745FEA" w:rsidRPr="00995CE2" w:rsidRDefault="00745FEA" w:rsidP="00745FEA">
                  <w:pPr>
                    <w:pStyle w:val="TableBodyText"/>
                    <w:ind w:right="57"/>
                  </w:pPr>
                  <w:r w:rsidRPr="00995CE2">
                    <w:t>–</w:t>
                  </w:r>
                </w:p>
              </w:tc>
            </w:tr>
            <w:tr w:rsidR="00745FEA" w:rsidTr="00745FEA">
              <w:tc>
                <w:tcPr>
                  <w:tcW w:w="2218" w:type="pct"/>
                </w:tcPr>
                <w:p w:rsidR="00745FEA" w:rsidRPr="007C65FB" w:rsidRDefault="00745FEA" w:rsidP="00745FEA">
                  <w:pPr>
                    <w:pStyle w:val="TableBodyText"/>
                    <w:spacing w:after="0"/>
                    <w:ind w:left="227" w:right="0"/>
                    <w:jc w:val="left"/>
                  </w:pPr>
                  <w:r w:rsidRPr="007C65FB">
                    <w:t>Tasmanian Innovation and Investment Fund</w:t>
                  </w:r>
                </w:p>
              </w:tc>
              <w:tc>
                <w:tcPr>
                  <w:tcW w:w="463" w:type="pct"/>
                  <w:vAlign w:val="bottom"/>
                </w:tcPr>
                <w:p w:rsidR="00745FEA" w:rsidRPr="00995CE2" w:rsidRDefault="00745FEA" w:rsidP="00745FEA">
                  <w:pPr>
                    <w:pStyle w:val="TableBodyText"/>
                    <w:ind w:right="57"/>
                  </w:pPr>
                  <w:r w:rsidRPr="00995CE2">
                    <w:t>&lt;0.1</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&lt;0.1</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3" w:type="pct"/>
                  <w:shd w:val="clear" w:color="auto" w:fill="auto"/>
                  <w:vAlign w:val="bottom"/>
                </w:tcPr>
                <w:p w:rsidR="00745FEA" w:rsidRPr="00995CE2" w:rsidRDefault="00745FEA" w:rsidP="00745FEA">
                  <w:pPr>
                    <w:pStyle w:val="TableBodyText"/>
                    <w:ind w:right="57"/>
                  </w:pPr>
                  <w:r w:rsidRPr="00995CE2">
                    <w:t>–</w:t>
                  </w:r>
                </w:p>
              </w:tc>
            </w:tr>
            <w:tr w:rsidR="00745FEA" w:rsidTr="00745FEA">
              <w:tc>
                <w:tcPr>
                  <w:tcW w:w="2218" w:type="pct"/>
                </w:tcPr>
                <w:p w:rsidR="00745FEA" w:rsidRPr="007C65FB" w:rsidRDefault="00745FEA" w:rsidP="00745FEA">
                  <w:pPr>
                    <w:pStyle w:val="TableBodyText"/>
                    <w:spacing w:after="0"/>
                    <w:ind w:left="227" w:right="0"/>
                    <w:jc w:val="left"/>
                  </w:pPr>
                  <w:r w:rsidRPr="007C65FB">
                    <w:t>The Small Business and General Business Tax Break</w:t>
                  </w:r>
                </w:p>
              </w:tc>
              <w:tc>
                <w:tcPr>
                  <w:tcW w:w="463" w:type="pct"/>
                  <w:vAlign w:val="bottom"/>
                </w:tcPr>
                <w:p w:rsidR="00745FEA" w:rsidRPr="00995CE2" w:rsidRDefault="00745FEA" w:rsidP="00745FEA">
                  <w:pPr>
                    <w:pStyle w:val="TableBodyText"/>
                    <w:ind w:right="57"/>
                  </w:pPr>
                  <w:r w:rsidRPr="00995CE2">
                    <w:t>1.9</w:t>
                  </w:r>
                </w:p>
              </w:tc>
              <w:tc>
                <w:tcPr>
                  <w:tcW w:w="464" w:type="pct"/>
                  <w:vAlign w:val="bottom"/>
                </w:tcPr>
                <w:p w:rsidR="00745FEA" w:rsidRPr="00995CE2" w:rsidRDefault="00745FEA" w:rsidP="00745FEA">
                  <w:pPr>
                    <w:pStyle w:val="TableBodyText"/>
                    <w:ind w:right="57"/>
                  </w:pPr>
                  <w:r w:rsidRPr="00995CE2">
                    <w:t>0.7</w:t>
                  </w:r>
                </w:p>
              </w:tc>
              <w:tc>
                <w:tcPr>
                  <w:tcW w:w="464" w:type="pct"/>
                  <w:shd w:val="clear" w:color="auto" w:fill="auto"/>
                  <w:vAlign w:val="bottom"/>
                </w:tcPr>
                <w:p w:rsidR="00745FEA" w:rsidRPr="00995CE2" w:rsidRDefault="00745FEA" w:rsidP="00745FEA">
                  <w:pPr>
                    <w:pStyle w:val="TableBodyText"/>
                    <w:ind w:right="57"/>
                  </w:pPr>
                  <w:r w:rsidRPr="00995CE2">
                    <w:t>0.1</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3" w:type="pct"/>
                  <w:shd w:val="clear" w:color="auto" w:fill="auto"/>
                  <w:vAlign w:val="bottom"/>
                </w:tcPr>
                <w:p w:rsidR="00745FEA" w:rsidRPr="00995CE2" w:rsidRDefault="00745FEA" w:rsidP="00745FEA">
                  <w:pPr>
                    <w:pStyle w:val="TableBodyText"/>
                    <w:ind w:right="57"/>
                  </w:pPr>
                  <w:r w:rsidRPr="00995CE2">
                    <w:t>–</w:t>
                  </w:r>
                </w:p>
              </w:tc>
            </w:tr>
            <w:tr w:rsidR="00745FEA" w:rsidTr="00745FEA">
              <w:tc>
                <w:tcPr>
                  <w:tcW w:w="2218" w:type="pct"/>
                </w:tcPr>
                <w:p w:rsidR="00745FEA" w:rsidRPr="007C65FB" w:rsidRDefault="00745FEA" w:rsidP="00745FEA">
                  <w:pPr>
                    <w:pStyle w:val="TableBodyText"/>
                    <w:spacing w:after="0"/>
                    <w:ind w:left="227" w:right="0"/>
                    <w:jc w:val="left"/>
                  </w:pPr>
                  <w:r w:rsidRPr="007C65FB">
                    <w:t>Small Business - Simplified depreciation rules</w:t>
                  </w:r>
                </w:p>
              </w:tc>
              <w:tc>
                <w:tcPr>
                  <w:tcW w:w="463" w:type="pct"/>
                  <w:vAlign w:val="bottom"/>
                </w:tcPr>
                <w:p w:rsidR="00745FEA" w:rsidRPr="00995CE2" w:rsidRDefault="00745FEA" w:rsidP="00745FEA">
                  <w:pPr>
                    <w:pStyle w:val="TableBodyText"/>
                    <w:ind w:right="57"/>
                  </w:pPr>
                  <w:r w:rsidRPr="00995CE2">
                    <w:t>&lt;0.1</w:t>
                  </w:r>
                </w:p>
              </w:tc>
              <w:tc>
                <w:tcPr>
                  <w:tcW w:w="464" w:type="pct"/>
                  <w:vAlign w:val="bottom"/>
                </w:tcPr>
                <w:p w:rsidR="00745FEA" w:rsidRPr="00995CE2" w:rsidRDefault="00745FEA" w:rsidP="00745FEA">
                  <w:pPr>
                    <w:pStyle w:val="TableBodyText"/>
                    <w:ind w:right="57"/>
                  </w:pPr>
                  <w:r w:rsidRPr="00995CE2">
                    <w:t>-0.1</w:t>
                  </w:r>
                </w:p>
              </w:tc>
              <w:tc>
                <w:tcPr>
                  <w:tcW w:w="464" w:type="pct"/>
                  <w:shd w:val="clear" w:color="auto" w:fill="auto"/>
                  <w:vAlign w:val="bottom"/>
                </w:tcPr>
                <w:p w:rsidR="00745FEA" w:rsidRPr="00995CE2" w:rsidRDefault="00745FEA" w:rsidP="00745FEA">
                  <w:pPr>
                    <w:pStyle w:val="TableBodyText"/>
                    <w:ind w:right="57"/>
                  </w:pPr>
                  <w:r w:rsidRPr="00995CE2">
                    <w:t>0.3</w:t>
                  </w:r>
                </w:p>
              </w:tc>
              <w:tc>
                <w:tcPr>
                  <w:tcW w:w="464" w:type="pct"/>
                  <w:vAlign w:val="bottom"/>
                </w:tcPr>
                <w:p w:rsidR="00745FEA" w:rsidRPr="00995CE2" w:rsidRDefault="00745FEA" w:rsidP="00745FEA">
                  <w:pPr>
                    <w:pStyle w:val="TableBodyText"/>
                    <w:ind w:right="57"/>
                  </w:pPr>
                  <w:r w:rsidRPr="00995CE2">
                    <w:t>-0.1</w:t>
                  </w:r>
                </w:p>
              </w:tc>
              <w:tc>
                <w:tcPr>
                  <w:tcW w:w="464" w:type="pct"/>
                  <w:shd w:val="clear" w:color="auto" w:fill="auto"/>
                  <w:vAlign w:val="bottom"/>
                </w:tcPr>
                <w:p w:rsidR="00745FEA" w:rsidRPr="00995CE2" w:rsidRDefault="00745FEA" w:rsidP="00745FEA">
                  <w:pPr>
                    <w:pStyle w:val="TableBodyText"/>
                    <w:ind w:right="57"/>
                  </w:pPr>
                  <w:r w:rsidRPr="00995CE2">
                    <w:t>-0.3</w:t>
                  </w:r>
                </w:p>
              </w:tc>
              <w:tc>
                <w:tcPr>
                  <w:tcW w:w="463" w:type="pct"/>
                  <w:shd w:val="clear" w:color="auto" w:fill="auto"/>
                  <w:vAlign w:val="bottom"/>
                </w:tcPr>
                <w:p w:rsidR="00745FEA" w:rsidRPr="00995CE2" w:rsidRDefault="00745FEA" w:rsidP="00745FEA">
                  <w:pPr>
                    <w:pStyle w:val="TableBodyText"/>
                    <w:ind w:right="57"/>
                  </w:pPr>
                  <w:r w:rsidRPr="00995CE2">
                    <w:t>1.7</w:t>
                  </w:r>
                </w:p>
              </w:tc>
            </w:tr>
            <w:tr w:rsidR="00745FEA" w:rsidTr="00745FEA">
              <w:tc>
                <w:tcPr>
                  <w:tcW w:w="2218" w:type="pct"/>
                </w:tcPr>
                <w:p w:rsidR="00745FEA" w:rsidRPr="007C65FB" w:rsidRDefault="00745FEA" w:rsidP="00745FEA">
                  <w:pPr>
                    <w:pStyle w:val="TableBodyText"/>
                    <w:spacing w:after="0"/>
                    <w:ind w:left="227" w:right="0"/>
                    <w:jc w:val="left"/>
                  </w:pPr>
                  <w:r w:rsidRPr="007C65FB">
                    <w:t xml:space="preserve">Small business </w:t>
                  </w:r>
                  <w:r>
                    <w:t>capital gains tax</w:t>
                  </w:r>
                  <w:r w:rsidRPr="007C65FB">
                    <w:t xml:space="preserve"> 50 per cent reduction</w:t>
                  </w:r>
                </w:p>
              </w:tc>
              <w:tc>
                <w:tcPr>
                  <w:tcW w:w="463" w:type="pct"/>
                  <w:vAlign w:val="bottom"/>
                </w:tcPr>
                <w:p w:rsidR="00745FEA" w:rsidRPr="00995CE2" w:rsidRDefault="00745FEA" w:rsidP="00745FEA">
                  <w:pPr>
                    <w:pStyle w:val="TableBodyText"/>
                    <w:ind w:right="57"/>
                  </w:pPr>
                  <w:r w:rsidRPr="00995CE2">
                    <w:t>0.4</w:t>
                  </w:r>
                </w:p>
              </w:tc>
              <w:tc>
                <w:tcPr>
                  <w:tcW w:w="464" w:type="pct"/>
                  <w:vAlign w:val="bottom"/>
                </w:tcPr>
                <w:p w:rsidR="00745FEA" w:rsidRPr="00995CE2" w:rsidRDefault="00745FEA" w:rsidP="00745FEA">
                  <w:pPr>
                    <w:pStyle w:val="TableBodyText"/>
                    <w:ind w:right="57"/>
                  </w:pPr>
                  <w:r w:rsidRPr="00995CE2">
                    <w:t>0.4</w:t>
                  </w:r>
                </w:p>
              </w:tc>
              <w:tc>
                <w:tcPr>
                  <w:tcW w:w="464" w:type="pct"/>
                  <w:shd w:val="clear" w:color="auto" w:fill="auto"/>
                  <w:vAlign w:val="bottom"/>
                </w:tcPr>
                <w:p w:rsidR="00745FEA" w:rsidRPr="00995CE2" w:rsidRDefault="00745FEA" w:rsidP="00745FEA">
                  <w:pPr>
                    <w:pStyle w:val="TableBodyText"/>
                    <w:ind w:right="57"/>
                  </w:pPr>
                  <w:r w:rsidRPr="00995CE2">
                    <w:t>0.4</w:t>
                  </w:r>
                </w:p>
              </w:tc>
              <w:tc>
                <w:tcPr>
                  <w:tcW w:w="464" w:type="pct"/>
                  <w:vAlign w:val="bottom"/>
                </w:tcPr>
                <w:p w:rsidR="00745FEA" w:rsidRPr="00995CE2" w:rsidRDefault="00745FEA" w:rsidP="00745FEA">
                  <w:pPr>
                    <w:pStyle w:val="TableBodyText"/>
                    <w:ind w:right="57"/>
                  </w:pPr>
                  <w:r w:rsidRPr="00995CE2">
                    <w:t>0.3</w:t>
                  </w:r>
                </w:p>
              </w:tc>
              <w:tc>
                <w:tcPr>
                  <w:tcW w:w="464" w:type="pct"/>
                  <w:shd w:val="clear" w:color="auto" w:fill="auto"/>
                  <w:vAlign w:val="bottom"/>
                </w:tcPr>
                <w:p w:rsidR="00745FEA" w:rsidRPr="00995CE2" w:rsidRDefault="00745FEA" w:rsidP="00745FEA">
                  <w:pPr>
                    <w:pStyle w:val="TableBodyText"/>
                    <w:ind w:right="57"/>
                  </w:pPr>
                  <w:r w:rsidRPr="00995CE2">
                    <w:t>0.3</w:t>
                  </w:r>
                </w:p>
              </w:tc>
              <w:tc>
                <w:tcPr>
                  <w:tcW w:w="463" w:type="pct"/>
                  <w:shd w:val="clear" w:color="auto" w:fill="auto"/>
                  <w:vAlign w:val="bottom"/>
                </w:tcPr>
                <w:p w:rsidR="00745FEA" w:rsidRPr="00995CE2" w:rsidRDefault="00745FEA" w:rsidP="00745FEA">
                  <w:pPr>
                    <w:pStyle w:val="TableBodyText"/>
                    <w:ind w:right="57"/>
                  </w:pPr>
                  <w:r w:rsidRPr="00995CE2">
                    <w:t>0.3</w:t>
                  </w:r>
                </w:p>
              </w:tc>
            </w:tr>
            <w:tr w:rsidR="00745FEA" w:rsidTr="00745FEA">
              <w:tc>
                <w:tcPr>
                  <w:tcW w:w="2218" w:type="pct"/>
                </w:tcPr>
                <w:p w:rsidR="00745FEA" w:rsidRPr="007C65FB" w:rsidRDefault="00745FEA" w:rsidP="00745FEA">
                  <w:pPr>
                    <w:pStyle w:val="TableBodyText"/>
                    <w:spacing w:after="0"/>
                    <w:ind w:left="227" w:right="0"/>
                    <w:jc w:val="left"/>
                  </w:pPr>
                  <w:r w:rsidRPr="007C65FB">
                    <w:t>25 per cent entrepreneurs' tax offset</w:t>
                  </w:r>
                </w:p>
              </w:tc>
              <w:tc>
                <w:tcPr>
                  <w:tcW w:w="463" w:type="pct"/>
                  <w:vAlign w:val="bottom"/>
                </w:tcPr>
                <w:p w:rsidR="00745FEA" w:rsidRPr="00995CE2" w:rsidRDefault="00745FEA" w:rsidP="00745FEA">
                  <w:pPr>
                    <w:pStyle w:val="TableBodyText"/>
                    <w:ind w:right="57"/>
                  </w:pPr>
                  <w:r w:rsidRPr="00995CE2">
                    <w:t>0.2</w:t>
                  </w:r>
                </w:p>
              </w:tc>
              <w:tc>
                <w:tcPr>
                  <w:tcW w:w="464" w:type="pct"/>
                  <w:vAlign w:val="bottom"/>
                </w:tcPr>
                <w:p w:rsidR="00745FEA" w:rsidRPr="00995CE2" w:rsidRDefault="00745FEA" w:rsidP="00745FEA">
                  <w:pPr>
                    <w:pStyle w:val="TableBodyText"/>
                    <w:ind w:right="57"/>
                  </w:pPr>
                  <w:r w:rsidRPr="00995CE2">
                    <w:t>0.4</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4" w:type="pct"/>
                  <w:vAlign w:val="bottom"/>
                </w:tcPr>
                <w:p w:rsidR="00745FEA" w:rsidRPr="00995CE2" w:rsidRDefault="00745FEA" w:rsidP="00745FEA">
                  <w:pPr>
                    <w:pStyle w:val="TableBodyText"/>
                    <w:ind w:right="57"/>
                  </w:pPr>
                  <w:r w:rsidRPr="00995CE2">
                    <w:t>–</w:t>
                  </w:r>
                </w:p>
              </w:tc>
              <w:tc>
                <w:tcPr>
                  <w:tcW w:w="464" w:type="pct"/>
                  <w:shd w:val="clear" w:color="auto" w:fill="auto"/>
                  <w:vAlign w:val="bottom"/>
                </w:tcPr>
                <w:p w:rsidR="00745FEA" w:rsidRPr="00995CE2" w:rsidRDefault="00745FEA" w:rsidP="00745FEA">
                  <w:pPr>
                    <w:pStyle w:val="TableBodyText"/>
                    <w:ind w:right="57"/>
                  </w:pPr>
                  <w:r w:rsidRPr="00995CE2">
                    <w:t>–</w:t>
                  </w:r>
                </w:p>
              </w:tc>
              <w:tc>
                <w:tcPr>
                  <w:tcW w:w="463" w:type="pct"/>
                  <w:shd w:val="clear" w:color="auto" w:fill="auto"/>
                  <w:vAlign w:val="bottom"/>
                </w:tcPr>
                <w:p w:rsidR="00745FEA" w:rsidRDefault="00745FEA" w:rsidP="00745FEA">
                  <w:pPr>
                    <w:pStyle w:val="TableBodyText"/>
                    <w:ind w:right="57"/>
                  </w:pPr>
                  <w:r w:rsidRPr="00995CE2">
                    <w:t>–</w:t>
                  </w:r>
                </w:p>
              </w:tc>
            </w:tr>
            <w:tr w:rsidR="00745FEA" w:rsidTr="00745FEA">
              <w:tc>
                <w:tcPr>
                  <w:tcW w:w="2218" w:type="pct"/>
                  <w:tcBorders>
                    <w:bottom w:val="single" w:sz="6" w:space="0" w:color="BFBFBF"/>
                  </w:tcBorders>
                </w:tcPr>
                <w:p w:rsidR="00745FEA" w:rsidRPr="001465F4" w:rsidRDefault="00745FEA" w:rsidP="00745FEA">
                  <w:pPr>
                    <w:pStyle w:val="TableBodyText"/>
                    <w:spacing w:before="20"/>
                    <w:jc w:val="left"/>
                    <w:rPr>
                      <w:i/>
                    </w:rPr>
                  </w:pPr>
                  <w:r w:rsidRPr="001465F4">
                    <w:rPr>
                      <w:i/>
                    </w:rPr>
                    <w:t>Total</w:t>
                  </w:r>
                </w:p>
              </w:tc>
              <w:tc>
                <w:tcPr>
                  <w:tcW w:w="463" w:type="pct"/>
                  <w:tcBorders>
                    <w:bottom w:val="single" w:sz="6" w:space="0" w:color="BFBFBF"/>
                  </w:tcBorders>
                  <w:vAlign w:val="bottom"/>
                </w:tcPr>
                <w:p w:rsidR="00745FEA" w:rsidRPr="00C55314" w:rsidRDefault="00745FEA" w:rsidP="00745FEA">
                  <w:pPr>
                    <w:pStyle w:val="TableBodyText"/>
                    <w:spacing w:before="20"/>
                    <w:ind w:right="57"/>
                    <w:rPr>
                      <w:i/>
                    </w:rPr>
                  </w:pPr>
                  <w:r>
                    <w:rPr>
                      <w:i/>
                    </w:rPr>
                    <w:t>16.7</w:t>
                  </w:r>
                </w:p>
              </w:tc>
              <w:tc>
                <w:tcPr>
                  <w:tcW w:w="464" w:type="pct"/>
                  <w:tcBorders>
                    <w:bottom w:val="single" w:sz="6" w:space="0" w:color="BFBFBF"/>
                  </w:tcBorders>
                  <w:vAlign w:val="bottom"/>
                </w:tcPr>
                <w:p w:rsidR="00745FEA" w:rsidRPr="00C55314" w:rsidRDefault="00745FEA" w:rsidP="00745FEA">
                  <w:pPr>
                    <w:pStyle w:val="TableBodyText"/>
                    <w:spacing w:before="20"/>
                    <w:ind w:right="57"/>
                    <w:rPr>
                      <w:i/>
                    </w:rPr>
                  </w:pPr>
                  <w:r>
                    <w:rPr>
                      <w:i/>
                    </w:rPr>
                    <w:t>23.7</w:t>
                  </w:r>
                </w:p>
              </w:tc>
              <w:tc>
                <w:tcPr>
                  <w:tcW w:w="464" w:type="pct"/>
                  <w:tcBorders>
                    <w:bottom w:val="single" w:sz="6" w:space="0" w:color="BFBFBF"/>
                  </w:tcBorders>
                  <w:shd w:val="clear" w:color="auto" w:fill="auto"/>
                </w:tcPr>
                <w:p w:rsidR="00745FEA" w:rsidRPr="000C3843" w:rsidRDefault="00745FEA" w:rsidP="00745FEA">
                  <w:pPr>
                    <w:pStyle w:val="TableBodyText"/>
                    <w:spacing w:before="20"/>
                    <w:ind w:right="57"/>
                    <w:rPr>
                      <w:i/>
                    </w:rPr>
                  </w:pPr>
                  <w:r>
                    <w:rPr>
                      <w:i/>
                    </w:rPr>
                    <w:t>34.1</w:t>
                  </w:r>
                </w:p>
              </w:tc>
              <w:tc>
                <w:tcPr>
                  <w:tcW w:w="464" w:type="pct"/>
                  <w:tcBorders>
                    <w:bottom w:val="single" w:sz="6" w:space="0" w:color="BFBFBF"/>
                  </w:tcBorders>
                </w:tcPr>
                <w:p w:rsidR="00745FEA" w:rsidRPr="000C3843" w:rsidRDefault="00745FEA" w:rsidP="00745FEA">
                  <w:pPr>
                    <w:pStyle w:val="TableBodyText"/>
                    <w:spacing w:before="20"/>
                    <w:ind w:right="57"/>
                    <w:rPr>
                      <w:i/>
                    </w:rPr>
                  </w:pPr>
                  <w:r>
                    <w:rPr>
                      <w:i/>
                    </w:rPr>
                    <w:t>26.4</w:t>
                  </w:r>
                </w:p>
              </w:tc>
              <w:tc>
                <w:tcPr>
                  <w:tcW w:w="464" w:type="pct"/>
                  <w:tcBorders>
                    <w:bottom w:val="single" w:sz="6" w:space="0" w:color="BFBFBF"/>
                  </w:tcBorders>
                  <w:shd w:val="clear" w:color="auto" w:fill="auto"/>
                </w:tcPr>
                <w:p w:rsidR="00745FEA" w:rsidRPr="000C3843" w:rsidRDefault="00745FEA" w:rsidP="00745FEA">
                  <w:pPr>
                    <w:pStyle w:val="TableBodyText"/>
                    <w:spacing w:before="20"/>
                    <w:ind w:right="57"/>
                    <w:rPr>
                      <w:i/>
                    </w:rPr>
                  </w:pPr>
                  <w:r>
                    <w:rPr>
                      <w:i/>
                    </w:rPr>
                    <w:t>24.3</w:t>
                  </w:r>
                </w:p>
              </w:tc>
              <w:tc>
                <w:tcPr>
                  <w:tcW w:w="463" w:type="pct"/>
                  <w:tcBorders>
                    <w:bottom w:val="single" w:sz="6" w:space="0" w:color="BFBFBF"/>
                  </w:tcBorders>
                  <w:shd w:val="clear" w:color="auto" w:fill="auto"/>
                </w:tcPr>
                <w:p w:rsidR="00745FEA" w:rsidRPr="000C3843" w:rsidRDefault="00745FEA" w:rsidP="00745FEA">
                  <w:pPr>
                    <w:pStyle w:val="TableBodyText"/>
                    <w:spacing w:before="20"/>
                    <w:ind w:right="57"/>
                    <w:rPr>
                      <w:i/>
                    </w:rPr>
                  </w:pPr>
                  <w:r>
                    <w:rPr>
                      <w:i/>
                    </w:rPr>
                    <w:t>26.5</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vAlign w:val="bottom"/>
          </w:tcPr>
          <w:p w:rsidR="00745FEA" w:rsidRDefault="00745FEA" w:rsidP="00745FEA">
            <w:pPr>
              <w:pStyle w:val="Source"/>
              <w:ind w:left="6499"/>
              <w:jc w:val="right"/>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58" w:type="dxa"/>
              <w:tblCellMar>
                <w:top w:w="28" w:type="dxa"/>
                <w:left w:w="0" w:type="dxa"/>
                <w:right w:w="0" w:type="dxa"/>
              </w:tblCellMar>
              <w:tblLook w:val="0000" w:firstRow="0" w:lastRow="0" w:firstColumn="0" w:lastColumn="0" w:noHBand="0" w:noVBand="0"/>
            </w:tblPr>
            <w:tblGrid>
              <w:gridCol w:w="3799"/>
              <w:gridCol w:w="794"/>
              <w:gridCol w:w="794"/>
              <w:gridCol w:w="794"/>
              <w:gridCol w:w="794"/>
              <w:gridCol w:w="794"/>
              <w:gridCol w:w="789"/>
            </w:tblGrid>
            <w:tr w:rsidR="00745FEA" w:rsidTr="00C719FB">
              <w:trPr>
                <w:tblHeader/>
              </w:trPr>
              <w:tc>
                <w:tcPr>
                  <w:tcW w:w="2219" w:type="pct"/>
                  <w:tcBorders>
                    <w:top w:val="single" w:sz="6" w:space="0" w:color="BFBFBF"/>
                    <w:bottom w:val="single" w:sz="6" w:space="0" w:color="BFBFBF"/>
                  </w:tcBorders>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1"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9" w:type="pct"/>
                </w:tcPr>
                <w:p w:rsidR="00745FEA" w:rsidRPr="00D177A9" w:rsidRDefault="00745FEA" w:rsidP="00745FEA">
                  <w:pPr>
                    <w:pStyle w:val="TableBodyText"/>
                    <w:spacing w:before="40"/>
                    <w:jc w:val="left"/>
                    <w:rPr>
                      <w:b/>
                    </w:rPr>
                  </w:pPr>
                  <w:r w:rsidRPr="00D177A9">
                    <w:rPr>
                      <w:b/>
                    </w:rPr>
                    <w:t>Metal and fabricated metal products</w:t>
                  </w:r>
                </w:p>
              </w:tc>
              <w:tc>
                <w:tcPr>
                  <w:tcW w:w="464" w:type="pct"/>
                  <w:vAlign w:val="bottom"/>
                </w:tcPr>
                <w:p w:rsidR="00745FEA" w:rsidRDefault="00745FEA" w:rsidP="00745FEA">
                  <w:pPr>
                    <w:spacing w:before="40" w:after="40"/>
                    <w:ind w:right="57"/>
                    <w:jc w:val="right"/>
                    <w:rPr>
                      <w:rFonts w:ascii="Arial" w:hAnsi="Arial" w:cs="Arial"/>
                      <w:sz w:val="18"/>
                      <w:szCs w:val="18"/>
                    </w:rPr>
                  </w:pPr>
                </w:p>
              </w:tc>
              <w:tc>
                <w:tcPr>
                  <w:tcW w:w="464" w:type="pct"/>
                  <w:vAlign w:val="bottom"/>
                </w:tcPr>
                <w:p w:rsidR="00745FEA" w:rsidRDefault="00745FEA" w:rsidP="00745FEA">
                  <w:pPr>
                    <w:spacing w:before="40" w:after="40"/>
                    <w:ind w:right="57"/>
                    <w:jc w:val="right"/>
                    <w:rPr>
                      <w:rFonts w:ascii="Arial" w:hAnsi="Arial" w:cs="Arial"/>
                      <w:sz w:val="18"/>
                      <w:szCs w:val="18"/>
                    </w:rPr>
                  </w:pPr>
                </w:p>
              </w:tc>
              <w:tc>
                <w:tcPr>
                  <w:tcW w:w="464" w:type="pct"/>
                  <w:shd w:val="clear" w:color="auto" w:fill="auto"/>
                  <w:vAlign w:val="bottom"/>
                </w:tcPr>
                <w:p w:rsidR="00745FEA" w:rsidRDefault="00745FEA" w:rsidP="00745FEA">
                  <w:pPr>
                    <w:spacing w:before="40" w:after="40"/>
                    <w:ind w:right="57"/>
                    <w:jc w:val="right"/>
                    <w:rPr>
                      <w:rFonts w:ascii="Arial" w:hAnsi="Arial" w:cs="Arial"/>
                      <w:sz w:val="18"/>
                      <w:szCs w:val="18"/>
                    </w:rPr>
                  </w:pPr>
                </w:p>
              </w:tc>
              <w:tc>
                <w:tcPr>
                  <w:tcW w:w="464" w:type="pct"/>
                  <w:vAlign w:val="bottom"/>
                </w:tcPr>
                <w:p w:rsidR="00745FEA" w:rsidRDefault="00745FEA" w:rsidP="00745FEA">
                  <w:pPr>
                    <w:spacing w:before="40" w:after="40"/>
                    <w:ind w:right="57"/>
                    <w:jc w:val="right"/>
                    <w:rPr>
                      <w:rFonts w:ascii="Arial" w:hAnsi="Arial" w:cs="Arial"/>
                      <w:sz w:val="18"/>
                      <w:szCs w:val="18"/>
                    </w:rPr>
                  </w:pPr>
                </w:p>
              </w:tc>
              <w:tc>
                <w:tcPr>
                  <w:tcW w:w="464" w:type="pct"/>
                  <w:shd w:val="clear" w:color="auto" w:fill="auto"/>
                  <w:vAlign w:val="bottom"/>
                </w:tcPr>
                <w:p w:rsidR="00745FEA" w:rsidRDefault="00745FEA" w:rsidP="00745FEA">
                  <w:pPr>
                    <w:spacing w:before="40" w:after="40"/>
                    <w:ind w:right="57"/>
                    <w:jc w:val="right"/>
                    <w:rPr>
                      <w:rFonts w:ascii="Arial" w:hAnsi="Arial" w:cs="Arial"/>
                      <w:sz w:val="18"/>
                      <w:szCs w:val="18"/>
                    </w:rPr>
                  </w:pPr>
                </w:p>
              </w:tc>
              <w:tc>
                <w:tcPr>
                  <w:tcW w:w="461" w:type="pct"/>
                  <w:shd w:val="clear" w:color="auto" w:fill="auto"/>
                  <w:vAlign w:val="bottom"/>
                </w:tcPr>
                <w:p w:rsidR="00745FEA" w:rsidRDefault="00745FEA" w:rsidP="00745FEA">
                  <w:pPr>
                    <w:spacing w:before="40" w:after="40"/>
                    <w:ind w:right="57"/>
                    <w:jc w:val="right"/>
                    <w:rPr>
                      <w:rFonts w:ascii="Arial" w:hAnsi="Arial" w:cs="Arial"/>
                      <w:sz w:val="18"/>
                      <w:szCs w:val="18"/>
                    </w:rPr>
                  </w:pPr>
                </w:p>
              </w:tc>
            </w:tr>
            <w:tr w:rsidR="00745FEA" w:rsidTr="00745FEA">
              <w:tc>
                <w:tcPr>
                  <w:tcW w:w="2219" w:type="pct"/>
                </w:tcPr>
                <w:p w:rsidR="00745FEA" w:rsidRPr="00D177A9" w:rsidRDefault="00745FEA" w:rsidP="00745FEA">
                  <w:pPr>
                    <w:pStyle w:val="TableBodyText"/>
                    <w:spacing w:before="20" w:after="0"/>
                    <w:ind w:left="113"/>
                    <w:jc w:val="left"/>
                    <w:rPr>
                      <w:i/>
                    </w:rPr>
                  </w:pPr>
                  <w:r w:rsidRPr="00D177A9">
                    <w:rPr>
                      <w:i/>
                    </w:rPr>
                    <w:t>Industry-specific measures</w:t>
                  </w:r>
                </w:p>
              </w:tc>
              <w:tc>
                <w:tcPr>
                  <w:tcW w:w="464" w:type="pct"/>
                  <w:vAlign w:val="bottom"/>
                </w:tcPr>
                <w:p w:rsidR="00745FEA" w:rsidRDefault="00745FEA" w:rsidP="00745FEA">
                  <w:pPr>
                    <w:spacing w:before="20"/>
                    <w:ind w:left="113" w:right="57"/>
                    <w:jc w:val="right"/>
                    <w:rPr>
                      <w:rFonts w:ascii="Arial" w:hAnsi="Arial" w:cs="Arial"/>
                      <w:sz w:val="18"/>
                      <w:szCs w:val="18"/>
                    </w:rPr>
                  </w:pPr>
                </w:p>
              </w:tc>
              <w:tc>
                <w:tcPr>
                  <w:tcW w:w="464" w:type="pct"/>
                  <w:vAlign w:val="bottom"/>
                </w:tcPr>
                <w:p w:rsidR="00745FEA" w:rsidRDefault="00745FEA" w:rsidP="00745FEA">
                  <w:pPr>
                    <w:spacing w:before="20"/>
                    <w:ind w:left="113" w:right="57"/>
                    <w:jc w:val="right"/>
                    <w:rPr>
                      <w:rFonts w:ascii="Arial" w:hAnsi="Arial" w:cs="Arial"/>
                      <w:sz w:val="18"/>
                      <w:szCs w:val="18"/>
                    </w:rPr>
                  </w:pPr>
                </w:p>
              </w:tc>
              <w:tc>
                <w:tcPr>
                  <w:tcW w:w="464" w:type="pct"/>
                  <w:shd w:val="clear" w:color="auto" w:fill="auto"/>
                  <w:vAlign w:val="bottom"/>
                </w:tcPr>
                <w:p w:rsidR="00745FEA" w:rsidRDefault="00745FEA" w:rsidP="00745FEA">
                  <w:pPr>
                    <w:spacing w:before="20"/>
                    <w:ind w:left="113" w:right="57"/>
                    <w:jc w:val="right"/>
                    <w:rPr>
                      <w:rFonts w:ascii="Arial" w:hAnsi="Arial" w:cs="Arial"/>
                      <w:sz w:val="18"/>
                      <w:szCs w:val="18"/>
                    </w:rPr>
                  </w:pPr>
                </w:p>
              </w:tc>
              <w:tc>
                <w:tcPr>
                  <w:tcW w:w="464" w:type="pct"/>
                  <w:vAlign w:val="bottom"/>
                </w:tcPr>
                <w:p w:rsidR="00745FEA" w:rsidRDefault="00745FEA" w:rsidP="00745FEA">
                  <w:pPr>
                    <w:spacing w:before="20"/>
                    <w:ind w:left="113" w:right="57"/>
                    <w:jc w:val="right"/>
                    <w:rPr>
                      <w:rFonts w:ascii="Arial" w:hAnsi="Arial" w:cs="Arial"/>
                      <w:sz w:val="18"/>
                      <w:szCs w:val="18"/>
                    </w:rPr>
                  </w:pPr>
                </w:p>
              </w:tc>
              <w:tc>
                <w:tcPr>
                  <w:tcW w:w="464" w:type="pct"/>
                  <w:shd w:val="clear" w:color="auto" w:fill="auto"/>
                  <w:vAlign w:val="bottom"/>
                </w:tcPr>
                <w:p w:rsidR="00745FEA" w:rsidRDefault="00745FEA" w:rsidP="00745FEA">
                  <w:pPr>
                    <w:spacing w:before="20"/>
                    <w:ind w:left="113" w:right="57"/>
                    <w:jc w:val="right"/>
                    <w:rPr>
                      <w:rFonts w:ascii="Arial" w:hAnsi="Arial" w:cs="Arial"/>
                      <w:sz w:val="18"/>
                      <w:szCs w:val="18"/>
                    </w:rPr>
                  </w:pPr>
                </w:p>
              </w:tc>
              <w:tc>
                <w:tcPr>
                  <w:tcW w:w="461" w:type="pct"/>
                  <w:shd w:val="clear" w:color="auto" w:fill="auto"/>
                  <w:vAlign w:val="bottom"/>
                </w:tcPr>
                <w:p w:rsidR="00745FEA" w:rsidRDefault="00745FEA" w:rsidP="00745FEA">
                  <w:pPr>
                    <w:spacing w:before="20"/>
                    <w:ind w:left="113" w:right="57"/>
                    <w:jc w:val="right"/>
                    <w:rPr>
                      <w:rFonts w:ascii="Arial" w:hAnsi="Arial" w:cs="Arial"/>
                      <w:sz w:val="18"/>
                      <w:szCs w:val="18"/>
                    </w:rPr>
                  </w:pPr>
                </w:p>
              </w:tc>
            </w:tr>
            <w:tr w:rsidR="00745FEA" w:rsidTr="00745FEA">
              <w:tc>
                <w:tcPr>
                  <w:tcW w:w="2219" w:type="pct"/>
                </w:tcPr>
                <w:p w:rsidR="00745FEA" w:rsidRPr="007A54BE" w:rsidRDefault="00745FEA" w:rsidP="00745FEA">
                  <w:pPr>
                    <w:pStyle w:val="TableBodyText"/>
                    <w:spacing w:after="0"/>
                    <w:ind w:left="227" w:right="0"/>
                    <w:jc w:val="left"/>
                  </w:pPr>
                  <w:r w:rsidRPr="00962132">
                    <w:t>Alcoa Portland Assistance</w:t>
                  </w:r>
                </w:p>
              </w:tc>
              <w:tc>
                <w:tcPr>
                  <w:tcW w:w="464" w:type="pct"/>
                  <w:vAlign w:val="bottom"/>
                </w:tcPr>
                <w:p w:rsidR="00745FEA" w:rsidRPr="004B4F44" w:rsidRDefault="00745FEA" w:rsidP="00745FEA">
                  <w:pPr>
                    <w:pStyle w:val="TableBodyText"/>
                    <w:ind w:right="57"/>
                  </w:pPr>
                  <w:r w:rsidRPr="004B4F44">
                    <w:t>–</w:t>
                  </w:r>
                </w:p>
              </w:tc>
              <w:tc>
                <w:tcPr>
                  <w:tcW w:w="464" w:type="pct"/>
                  <w:vAlign w:val="bottom"/>
                </w:tcPr>
                <w:p w:rsidR="00745FEA" w:rsidRPr="004B4F44" w:rsidRDefault="00745FEA" w:rsidP="00745FEA">
                  <w:pPr>
                    <w:pStyle w:val="TableBodyText"/>
                    <w:ind w:right="57"/>
                  </w:pPr>
                  <w:r w:rsidRPr="004B4F44">
                    <w:t>–</w:t>
                  </w:r>
                </w:p>
              </w:tc>
              <w:tc>
                <w:tcPr>
                  <w:tcW w:w="464" w:type="pct"/>
                  <w:shd w:val="clear" w:color="auto" w:fill="auto"/>
                  <w:vAlign w:val="bottom"/>
                </w:tcPr>
                <w:p w:rsidR="00745FEA" w:rsidRPr="004B4F44" w:rsidRDefault="00745FEA" w:rsidP="00745FEA">
                  <w:pPr>
                    <w:pStyle w:val="TableBodyText"/>
                    <w:ind w:right="57"/>
                  </w:pPr>
                  <w:r w:rsidRPr="004B4F44">
                    <w:t>–</w:t>
                  </w:r>
                </w:p>
              </w:tc>
              <w:tc>
                <w:tcPr>
                  <w:tcW w:w="464" w:type="pct"/>
                  <w:vAlign w:val="bottom"/>
                </w:tcPr>
                <w:p w:rsidR="00745FEA" w:rsidRPr="004B4F44" w:rsidRDefault="00745FEA" w:rsidP="00745FEA">
                  <w:pPr>
                    <w:pStyle w:val="TableBodyText"/>
                    <w:ind w:right="57"/>
                  </w:pPr>
                  <w:r w:rsidRPr="004B4F44">
                    <w:t>–</w:t>
                  </w:r>
                </w:p>
              </w:tc>
              <w:tc>
                <w:tcPr>
                  <w:tcW w:w="464" w:type="pct"/>
                  <w:shd w:val="clear" w:color="auto" w:fill="auto"/>
                  <w:vAlign w:val="bottom"/>
                </w:tcPr>
                <w:p w:rsidR="00745FEA" w:rsidRPr="004B4F44" w:rsidRDefault="00745FEA" w:rsidP="00745FEA">
                  <w:pPr>
                    <w:pStyle w:val="TableBodyText"/>
                    <w:ind w:right="57"/>
                  </w:pPr>
                  <w:r w:rsidRPr="004B4F44">
                    <w:t>–</w:t>
                  </w:r>
                </w:p>
              </w:tc>
              <w:tc>
                <w:tcPr>
                  <w:tcW w:w="461" w:type="pct"/>
                  <w:shd w:val="clear" w:color="auto" w:fill="auto"/>
                  <w:vAlign w:val="bottom"/>
                </w:tcPr>
                <w:p w:rsidR="00745FEA" w:rsidRPr="004B4F44" w:rsidRDefault="00745FEA" w:rsidP="00745FEA">
                  <w:pPr>
                    <w:pStyle w:val="TableBodyText"/>
                    <w:ind w:right="57"/>
                  </w:pPr>
                  <w:r w:rsidRPr="004B4F44">
                    <w:t>30.0</w:t>
                  </w:r>
                </w:p>
              </w:tc>
            </w:tr>
            <w:tr w:rsidR="00745FEA" w:rsidTr="00745FEA">
              <w:tc>
                <w:tcPr>
                  <w:tcW w:w="2219" w:type="pct"/>
                </w:tcPr>
                <w:p w:rsidR="00745FEA" w:rsidRPr="007A54BE" w:rsidRDefault="00745FEA" w:rsidP="00745FEA">
                  <w:pPr>
                    <w:pStyle w:val="TableBodyText"/>
                    <w:spacing w:after="0"/>
                    <w:ind w:left="227" w:right="0"/>
                    <w:jc w:val="left"/>
                  </w:pPr>
                  <w:r w:rsidRPr="007A54BE">
                    <w:t>Clean Technology Investment - Food and Foundries Program</w:t>
                  </w:r>
                </w:p>
              </w:tc>
              <w:tc>
                <w:tcPr>
                  <w:tcW w:w="464" w:type="pct"/>
                  <w:vAlign w:val="bottom"/>
                </w:tcPr>
                <w:p w:rsidR="00745FEA" w:rsidRPr="004B4F44" w:rsidRDefault="00745FEA" w:rsidP="00745FEA">
                  <w:pPr>
                    <w:pStyle w:val="TableBodyText"/>
                    <w:ind w:right="57"/>
                  </w:pPr>
                  <w:r w:rsidRPr="004B4F44">
                    <w:t>–</w:t>
                  </w:r>
                </w:p>
              </w:tc>
              <w:tc>
                <w:tcPr>
                  <w:tcW w:w="464" w:type="pct"/>
                  <w:vAlign w:val="bottom"/>
                </w:tcPr>
                <w:p w:rsidR="00745FEA" w:rsidRPr="004B4F44" w:rsidRDefault="00745FEA" w:rsidP="00745FEA">
                  <w:pPr>
                    <w:pStyle w:val="TableBodyText"/>
                    <w:ind w:right="57"/>
                  </w:pPr>
                  <w:r w:rsidRPr="004B4F44">
                    <w:t>0.9</w:t>
                  </w:r>
                </w:p>
              </w:tc>
              <w:tc>
                <w:tcPr>
                  <w:tcW w:w="464" w:type="pct"/>
                  <w:shd w:val="clear" w:color="auto" w:fill="auto"/>
                  <w:vAlign w:val="bottom"/>
                </w:tcPr>
                <w:p w:rsidR="00745FEA" w:rsidRPr="004B4F44" w:rsidRDefault="00745FEA" w:rsidP="00745FEA">
                  <w:pPr>
                    <w:pStyle w:val="TableBodyText"/>
                    <w:ind w:right="57"/>
                  </w:pPr>
                  <w:r w:rsidRPr="004B4F44">
                    <w:t>1.0</w:t>
                  </w:r>
                </w:p>
              </w:tc>
              <w:tc>
                <w:tcPr>
                  <w:tcW w:w="464" w:type="pct"/>
                  <w:vAlign w:val="bottom"/>
                </w:tcPr>
                <w:p w:rsidR="00745FEA" w:rsidRPr="004B4F44" w:rsidRDefault="00745FEA" w:rsidP="00745FEA">
                  <w:pPr>
                    <w:pStyle w:val="TableBodyText"/>
                    <w:ind w:right="57"/>
                  </w:pPr>
                  <w:r w:rsidRPr="004B4F44">
                    <w:t>0.7</w:t>
                  </w:r>
                </w:p>
              </w:tc>
              <w:tc>
                <w:tcPr>
                  <w:tcW w:w="464" w:type="pct"/>
                  <w:shd w:val="clear" w:color="auto" w:fill="auto"/>
                  <w:vAlign w:val="bottom"/>
                </w:tcPr>
                <w:p w:rsidR="00745FEA" w:rsidRPr="004B4F44" w:rsidRDefault="00745FEA" w:rsidP="00745FEA">
                  <w:pPr>
                    <w:pStyle w:val="TableBodyText"/>
                    <w:ind w:right="57"/>
                  </w:pPr>
                  <w:r w:rsidRPr="004B4F44">
                    <w:t>–</w:t>
                  </w:r>
                </w:p>
              </w:tc>
              <w:tc>
                <w:tcPr>
                  <w:tcW w:w="461" w:type="pct"/>
                  <w:shd w:val="clear" w:color="auto" w:fill="auto"/>
                  <w:vAlign w:val="bottom"/>
                </w:tcPr>
                <w:p w:rsidR="00745FEA" w:rsidRPr="004B4F44" w:rsidRDefault="00745FEA" w:rsidP="00745FEA">
                  <w:pPr>
                    <w:pStyle w:val="TableBodyText"/>
                    <w:ind w:right="57"/>
                  </w:pPr>
                  <w:r w:rsidRPr="004B4F44">
                    <w:t>–</w:t>
                  </w:r>
                </w:p>
              </w:tc>
            </w:tr>
            <w:tr w:rsidR="00745FEA" w:rsidTr="00745FEA">
              <w:tc>
                <w:tcPr>
                  <w:tcW w:w="2219" w:type="pct"/>
                </w:tcPr>
                <w:p w:rsidR="00745FEA" w:rsidRPr="007A54BE" w:rsidRDefault="00745FEA" w:rsidP="00745FEA">
                  <w:pPr>
                    <w:pStyle w:val="TableBodyText"/>
                    <w:spacing w:after="0"/>
                    <w:ind w:left="227" w:right="0"/>
                    <w:jc w:val="left"/>
                  </w:pPr>
                  <w:r w:rsidRPr="007A54BE">
                    <w:t>Steel Transformation Plan</w:t>
                  </w:r>
                </w:p>
              </w:tc>
              <w:tc>
                <w:tcPr>
                  <w:tcW w:w="464" w:type="pct"/>
                  <w:vAlign w:val="bottom"/>
                </w:tcPr>
                <w:p w:rsidR="00745FEA" w:rsidRPr="004B4F44" w:rsidRDefault="00745FEA" w:rsidP="00745FEA">
                  <w:pPr>
                    <w:pStyle w:val="TableBodyText"/>
                    <w:ind w:right="57"/>
                  </w:pPr>
                  <w:r w:rsidRPr="004B4F44">
                    <w:t>164.0</w:t>
                  </w:r>
                </w:p>
              </w:tc>
              <w:tc>
                <w:tcPr>
                  <w:tcW w:w="464" w:type="pct"/>
                  <w:vAlign w:val="bottom"/>
                </w:tcPr>
                <w:p w:rsidR="00745FEA" w:rsidRPr="004B4F44" w:rsidRDefault="00745FEA" w:rsidP="00745FEA">
                  <w:pPr>
                    <w:pStyle w:val="TableBodyText"/>
                    <w:ind w:right="57"/>
                  </w:pPr>
                  <w:r w:rsidRPr="004B4F44">
                    <w:t>–</w:t>
                  </w:r>
                </w:p>
              </w:tc>
              <w:tc>
                <w:tcPr>
                  <w:tcW w:w="464" w:type="pct"/>
                  <w:shd w:val="clear" w:color="auto" w:fill="auto"/>
                  <w:vAlign w:val="bottom"/>
                </w:tcPr>
                <w:p w:rsidR="00745FEA" w:rsidRPr="004B4F44" w:rsidRDefault="00745FEA" w:rsidP="00745FEA">
                  <w:pPr>
                    <w:pStyle w:val="TableBodyText"/>
                    <w:ind w:right="57"/>
                  </w:pPr>
                  <w:r w:rsidRPr="004B4F44">
                    <w:t>–</w:t>
                  </w:r>
                </w:p>
              </w:tc>
              <w:tc>
                <w:tcPr>
                  <w:tcW w:w="464" w:type="pct"/>
                  <w:vAlign w:val="bottom"/>
                </w:tcPr>
                <w:p w:rsidR="00745FEA" w:rsidRPr="004B4F44" w:rsidRDefault="00745FEA" w:rsidP="00745FEA">
                  <w:pPr>
                    <w:pStyle w:val="TableBodyText"/>
                    <w:ind w:right="57"/>
                  </w:pPr>
                  <w:r w:rsidRPr="004B4F44">
                    <w:t>–</w:t>
                  </w:r>
                </w:p>
              </w:tc>
              <w:tc>
                <w:tcPr>
                  <w:tcW w:w="464" w:type="pct"/>
                  <w:shd w:val="clear" w:color="auto" w:fill="auto"/>
                  <w:vAlign w:val="bottom"/>
                </w:tcPr>
                <w:p w:rsidR="00745FEA" w:rsidRPr="004B4F44" w:rsidRDefault="00745FEA" w:rsidP="00745FEA">
                  <w:pPr>
                    <w:pStyle w:val="TableBodyText"/>
                    <w:ind w:right="57"/>
                  </w:pPr>
                  <w:r w:rsidRPr="004B4F44">
                    <w:t>–</w:t>
                  </w:r>
                </w:p>
              </w:tc>
              <w:tc>
                <w:tcPr>
                  <w:tcW w:w="461" w:type="pct"/>
                  <w:shd w:val="clear" w:color="auto" w:fill="auto"/>
                  <w:vAlign w:val="bottom"/>
                </w:tcPr>
                <w:p w:rsidR="00745FEA" w:rsidRDefault="00745FEA" w:rsidP="00745FEA">
                  <w:pPr>
                    <w:pStyle w:val="TableBodyText"/>
                    <w:ind w:right="57"/>
                  </w:pPr>
                  <w:r w:rsidRPr="004B4F44">
                    <w:t>–</w:t>
                  </w:r>
                </w:p>
              </w:tc>
            </w:tr>
            <w:tr w:rsidR="00745FEA" w:rsidTr="00745FEA">
              <w:tc>
                <w:tcPr>
                  <w:tcW w:w="2219" w:type="pct"/>
                </w:tcPr>
                <w:p w:rsidR="00745FEA" w:rsidRPr="00D177A9" w:rsidRDefault="00745FEA" w:rsidP="00745FEA">
                  <w:pPr>
                    <w:pStyle w:val="TableUnitsRow"/>
                    <w:spacing w:after="0"/>
                    <w:ind w:left="113"/>
                    <w:jc w:val="left"/>
                    <w:rPr>
                      <w:i/>
                    </w:rPr>
                  </w:pPr>
                  <w:r w:rsidRPr="00D177A9">
                    <w:rPr>
                      <w:i/>
                    </w:rPr>
                    <w:t>Sector-specific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1" w:type="pct"/>
                  <w:vAlign w:val="bottom"/>
                </w:tcPr>
                <w:p w:rsidR="00745FEA" w:rsidRDefault="00745FEA" w:rsidP="00745FEA">
                  <w:pPr>
                    <w:pStyle w:val="TableBodyText"/>
                    <w:ind w:right="57"/>
                  </w:pPr>
                </w:p>
              </w:tc>
            </w:tr>
            <w:tr w:rsidR="00745FEA" w:rsidTr="00745FEA">
              <w:tc>
                <w:tcPr>
                  <w:tcW w:w="2219" w:type="pct"/>
                </w:tcPr>
                <w:p w:rsidR="00745FEA" w:rsidRPr="00CD5E26" w:rsidRDefault="00745FEA" w:rsidP="00745FEA">
                  <w:pPr>
                    <w:pStyle w:val="TableBodyText"/>
                    <w:spacing w:after="0"/>
                    <w:ind w:left="227" w:right="0"/>
                    <w:jc w:val="left"/>
                  </w:pPr>
                  <w:r w:rsidRPr="00CD5E26">
                    <w:t>Clean Technology Investment - General Program</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3.1</w:t>
                  </w:r>
                </w:p>
              </w:tc>
              <w:tc>
                <w:tcPr>
                  <w:tcW w:w="464" w:type="pct"/>
                  <w:vAlign w:val="bottom"/>
                </w:tcPr>
                <w:p w:rsidR="00745FEA" w:rsidRPr="008F539E" w:rsidRDefault="00745FEA" w:rsidP="00745FEA">
                  <w:pPr>
                    <w:pStyle w:val="TableBodyText"/>
                    <w:ind w:right="57"/>
                  </w:pPr>
                  <w:r w:rsidRPr="008F539E">
                    <w:t>2.4</w:t>
                  </w:r>
                </w:p>
              </w:tc>
              <w:tc>
                <w:tcPr>
                  <w:tcW w:w="464" w:type="pct"/>
                  <w:vAlign w:val="bottom"/>
                </w:tcPr>
                <w:p w:rsidR="00745FEA" w:rsidRPr="008F539E" w:rsidRDefault="00745FEA" w:rsidP="00745FEA">
                  <w:pPr>
                    <w:pStyle w:val="TableBodyText"/>
                    <w:ind w:right="57"/>
                  </w:pPr>
                  <w:r w:rsidRPr="008F539E">
                    <w:t>1.6</w:t>
                  </w:r>
                </w:p>
              </w:tc>
              <w:tc>
                <w:tcPr>
                  <w:tcW w:w="464" w:type="pct"/>
                  <w:vAlign w:val="bottom"/>
                </w:tcPr>
                <w:p w:rsidR="00745FEA" w:rsidRPr="008F539E" w:rsidRDefault="00745FEA" w:rsidP="00745FEA">
                  <w:pPr>
                    <w:pStyle w:val="TableBodyText"/>
                    <w:ind w:right="57"/>
                  </w:pPr>
                  <w:r w:rsidRPr="008F539E">
                    <w:t>0.1</w:t>
                  </w:r>
                </w:p>
              </w:tc>
              <w:tc>
                <w:tcPr>
                  <w:tcW w:w="461" w:type="pct"/>
                  <w:vAlign w:val="bottom"/>
                </w:tcPr>
                <w:p w:rsidR="00745FEA" w:rsidRPr="008F539E" w:rsidRDefault="00745FEA" w:rsidP="00745FEA">
                  <w:pPr>
                    <w:pStyle w:val="TableBodyText"/>
                    <w:ind w:right="57"/>
                  </w:pPr>
                  <w:r w:rsidRPr="008F539E">
                    <w:t>–</w:t>
                  </w:r>
                </w:p>
              </w:tc>
            </w:tr>
            <w:tr w:rsidR="00745FEA" w:rsidTr="00745FEA">
              <w:tc>
                <w:tcPr>
                  <w:tcW w:w="2219" w:type="pct"/>
                </w:tcPr>
                <w:p w:rsidR="00745FEA" w:rsidRPr="00CD5E26" w:rsidRDefault="00745FEA" w:rsidP="00745FEA">
                  <w:pPr>
                    <w:pStyle w:val="TableBodyText"/>
                    <w:spacing w:after="0"/>
                    <w:ind w:left="227" w:right="0"/>
                    <w:jc w:val="left"/>
                  </w:pPr>
                  <w:r w:rsidRPr="00CD5E26">
                    <w:t>Manufacturing Transition Grants Programme</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0.6</w:t>
                  </w:r>
                </w:p>
              </w:tc>
              <w:tc>
                <w:tcPr>
                  <w:tcW w:w="464" w:type="pct"/>
                  <w:vAlign w:val="bottom"/>
                </w:tcPr>
                <w:p w:rsidR="00745FEA" w:rsidRPr="008F539E" w:rsidRDefault="00745FEA" w:rsidP="00745FEA">
                  <w:pPr>
                    <w:pStyle w:val="TableBodyText"/>
                    <w:ind w:right="57"/>
                  </w:pPr>
                  <w:r w:rsidRPr="008F539E">
                    <w:t>4.7</w:t>
                  </w:r>
                </w:p>
              </w:tc>
              <w:tc>
                <w:tcPr>
                  <w:tcW w:w="461" w:type="pct"/>
                  <w:vAlign w:val="bottom"/>
                </w:tcPr>
                <w:p w:rsidR="00745FEA" w:rsidRPr="008F539E" w:rsidRDefault="00745FEA" w:rsidP="00745FEA">
                  <w:pPr>
                    <w:pStyle w:val="TableBodyText"/>
                    <w:ind w:right="57"/>
                  </w:pPr>
                  <w:r w:rsidRPr="008F539E">
                    <w:t>1.8</w:t>
                  </w:r>
                </w:p>
              </w:tc>
            </w:tr>
            <w:tr w:rsidR="00745FEA" w:rsidTr="00745FEA">
              <w:tc>
                <w:tcPr>
                  <w:tcW w:w="2219" w:type="pct"/>
                </w:tcPr>
                <w:p w:rsidR="00745FEA" w:rsidRPr="00CD5E26" w:rsidRDefault="00745FEA" w:rsidP="00745FEA">
                  <w:pPr>
                    <w:pStyle w:val="TableBodyText"/>
                    <w:spacing w:after="0"/>
                    <w:ind w:left="227" w:right="0"/>
                    <w:jc w:val="left"/>
                  </w:pPr>
                  <w:r w:rsidRPr="00CD5E26">
                    <w:t>Next Generation Manufacturing Investment Programme</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2.7</w:t>
                  </w:r>
                </w:p>
              </w:tc>
              <w:tc>
                <w:tcPr>
                  <w:tcW w:w="461" w:type="pct"/>
                  <w:vAlign w:val="bottom"/>
                </w:tcPr>
                <w:p w:rsidR="00745FEA" w:rsidRPr="008F539E" w:rsidRDefault="00745FEA" w:rsidP="00745FEA">
                  <w:pPr>
                    <w:pStyle w:val="TableBodyText"/>
                    <w:ind w:right="57"/>
                  </w:pPr>
                  <w:r w:rsidRPr="008F539E">
                    <w:t>4.0</w:t>
                  </w:r>
                </w:p>
              </w:tc>
            </w:tr>
            <w:tr w:rsidR="00745FEA" w:rsidTr="00745FEA">
              <w:tc>
                <w:tcPr>
                  <w:tcW w:w="2219" w:type="pct"/>
                </w:tcPr>
                <w:p w:rsidR="00745FEA" w:rsidRPr="00CD5E26" w:rsidRDefault="00745FEA" w:rsidP="00745FEA">
                  <w:pPr>
                    <w:pStyle w:val="TableBodyText"/>
                    <w:spacing w:after="0"/>
                    <w:ind w:left="227" w:right="0"/>
                    <w:jc w:val="left"/>
                  </w:pPr>
                  <w:r w:rsidRPr="00CD5E26">
                    <w:t>Victorian Innovation and Investment Fund - Ford Assistance</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w:t>
                  </w:r>
                </w:p>
              </w:tc>
              <w:tc>
                <w:tcPr>
                  <w:tcW w:w="464" w:type="pct"/>
                  <w:vAlign w:val="bottom"/>
                </w:tcPr>
                <w:p w:rsidR="00745FEA" w:rsidRPr="008F539E" w:rsidRDefault="00745FEA" w:rsidP="00745FEA">
                  <w:pPr>
                    <w:pStyle w:val="TableBodyText"/>
                    <w:ind w:right="57"/>
                  </w:pPr>
                  <w:r w:rsidRPr="008F539E">
                    <w:t>0.5</w:t>
                  </w:r>
                </w:p>
              </w:tc>
              <w:tc>
                <w:tcPr>
                  <w:tcW w:w="464" w:type="pct"/>
                  <w:vAlign w:val="bottom"/>
                </w:tcPr>
                <w:p w:rsidR="00745FEA" w:rsidRPr="008F539E" w:rsidRDefault="00745FEA" w:rsidP="00745FEA">
                  <w:pPr>
                    <w:pStyle w:val="TableBodyText"/>
                    <w:ind w:right="57"/>
                  </w:pPr>
                  <w:r w:rsidRPr="008F539E">
                    <w:t>0.5</w:t>
                  </w:r>
                </w:p>
              </w:tc>
              <w:tc>
                <w:tcPr>
                  <w:tcW w:w="461" w:type="pct"/>
                  <w:vAlign w:val="bottom"/>
                </w:tcPr>
                <w:p w:rsidR="00745FEA" w:rsidRDefault="00745FEA" w:rsidP="00745FEA">
                  <w:pPr>
                    <w:pStyle w:val="TableBodyText"/>
                    <w:ind w:right="57"/>
                  </w:pPr>
                  <w:r w:rsidRPr="008F539E">
                    <w:t>1.2</w:t>
                  </w:r>
                </w:p>
              </w:tc>
            </w:tr>
            <w:tr w:rsidR="00745FEA" w:rsidTr="00745FEA">
              <w:tc>
                <w:tcPr>
                  <w:tcW w:w="2219" w:type="pct"/>
                </w:tcPr>
                <w:p w:rsidR="00745FEA" w:rsidRPr="00D177A9" w:rsidRDefault="00745FEA" w:rsidP="00745FEA">
                  <w:pPr>
                    <w:pStyle w:val="TableBodyText"/>
                    <w:spacing w:before="40" w:after="0"/>
                    <w:ind w:left="113"/>
                    <w:jc w:val="left"/>
                    <w:rPr>
                      <w:i/>
                    </w:rPr>
                  </w:pPr>
                  <w:r w:rsidRPr="00D177A9">
                    <w:rPr>
                      <w:i/>
                    </w:rPr>
                    <w:t>General export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1" w:type="pct"/>
                  <w:shd w:val="clear" w:color="auto" w:fill="auto"/>
                  <w:vAlign w:val="bottom"/>
                </w:tcPr>
                <w:p w:rsidR="00745FEA" w:rsidRDefault="00745FEA" w:rsidP="00745FEA">
                  <w:pPr>
                    <w:pStyle w:val="TableBodyText"/>
                    <w:ind w:right="57"/>
                  </w:pPr>
                </w:p>
              </w:tc>
            </w:tr>
            <w:tr w:rsidR="00745FEA" w:rsidTr="00745FEA">
              <w:tc>
                <w:tcPr>
                  <w:tcW w:w="2219" w:type="pct"/>
                </w:tcPr>
                <w:p w:rsidR="00745FEA" w:rsidRPr="00155B01" w:rsidRDefault="00745FEA" w:rsidP="00745FEA">
                  <w:pPr>
                    <w:pStyle w:val="TableBodyText"/>
                    <w:spacing w:after="0"/>
                    <w:ind w:left="227" w:right="0"/>
                    <w:jc w:val="left"/>
                  </w:pPr>
                  <w:r w:rsidRPr="00155B01">
                    <w:t>Export Market Development Grants Scheme</w:t>
                  </w:r>
                </w:p>
              </w:tc>
              <w:tc>
                <w:tcPr>
                  <w:tcW w:w="464" w:type="pct"/>
                  <w:vAlign w:val="bottom"/>
                </w:tcPr>
                <w:p w:rsidR="00745FEA" w:rsidRPr="00763580" w:rsidRDefault="00745FEA" w:rsidP="00745FEA">
                  <w:pPr>
                    <w:pStyle w:val="TableBodyText"/>
                    <w:ind w:right="57"/>
                  </w:pPr>
                  <w:r w:rsidRPr="00763580">
                    <w:t>2.2</w:t>
                  </w:r>
                </w:p>
              </w:tc>
              <w:tc>
                <w:tcPr>
                  <w:tcW w:w="464" w:type="pct"/>
                  <w:vAlign w:val="bottom"/>
                </w:tcPr>
                <w:p w:rsidR="00745FEA" w:rsidRPr="00763580" w:rsidRDefault="00745FEA" w:rsidP="00745FEA">
                  <w:pPr>
                    <w:pStyle w:val="TableBodyText"/>
                    <w:ind w:right="57"/>
                  </w:pPr>
                  <w:r w:rsidRPr="00763580">
                    <w:t>2.2</w:t>
                  </w:r>
                </w:p>
              </w:tc>
              <w:tc>
                <w:tcPr>
                  <w:tcW w:w="464" w:type="pct"/>
                  <w:shd w:val="clear" w:color="auto" w:fill="auto"/>
                  <w:vAlign w:val="bottom"/>
                </w:tcPr>
                <w:p w:rsidR="00745FEA" w:rsidRPr="00763580" w:rsidRDefault="00745FEA" w:rsidP="00745FEA">
                  <w:pPr>
                    <w:pStyle w:val="TableBodyText"/>
                    <w:ind w:right="57"/>
                  </w:pPr>
                  <w:r w:rsidRPr="00763580">
                    <w:t>2.6</w:t>
                  </w:r>
                </w:p>
              </w:tc>
              <w:tc>
                <w:tcPr>
                  <w:tcW w:w="464" w:type="pct"/>
                  <w:vAlign w:val="bottom"/>
                </w:tcPr>
                <w:p w:rsidR="00745FEA" w:rsidRPr="00763580" w:rsidRDefault="00745FEA" w:rsidP="00745FEA">
                  <w:pPr>
                    <w:pStyle w:val="TableBodyText"/>
                    <w:ind w:right="57"/>
                  </w:pPr>
                  <w:r w:rsidRPr="00763580">
                    <w:t>2.6</w:t>
                  </w:r>
                </w:p>
              </w:tc>
              <w:tc>
                <w:tcPr>
                  <w:tcW w:w="464" w:type="pct"/>
                  <w:shd w:val="clear" w:color="auto" w:fill="auto"/>
                  <w:vAlign w:val="bottom"/>
                </w:tcPr>
                <w:p w:rsidR="00745FEA" w:rsidRPr="00763580" w:rsidRDefault="00745FEA" w:rsidP="00745FEA">
                  <w:pPr>
                    <w:pStyle w:val="TableBodyText"/>
                    <w:ind w:right="57"/>
                  </w:pPr>
                  <w:r w:rsidRPr="00763580">
                    <w:t>2.7</w:t>
                  </w:r>
                </w:p>
              </w:tc>
              <w:tc>
                <w:tcPr>
                  <w:tcW w:w="461" w:type="pct"/>
                  <w:shd w:val="clear" w:color="auto" w:fill="auto"/>
                  <w:vAlign w:val="bottom"/>
                </w:tcPr>
                <w:p w:rsidR="00745FEA" w:rsidRPr="00763580" w:rsidRDefault="00745FEA" w:rsidP="00745FEA">
                  <w:pPr>
                    <w:pStyle w:val="TableBodyText"/>
                    <w:ind w:right="57"/>
                  </w:pPr>
                  <w:r w:rsidRPr="00763580">
                    <w:t>2.0</w:t>
                  </w:r>
                </w:p>
              </w:tc>
            </w:tr>
            <w:tr w:rsidR="00745FEA" w:rsidTr="00745FEA">
              <w:tc>
                <w:tcPr>
                  <w:tcW w:w="2219" w:type="pct"/>
                </w:tcPr>
                <w:p w:rsidR="00745FEA" w:rsidRPr="00155B01" w:rsidRDefault="00745FEA" w:rsidP="00745FEA">
                  <w:pPr>
                    <w:pStyle w:val="TableBodyText"/>
                    <w:spacing w:after="0"/>
                    <w:ind w:left="227" w:right="0"/>
                    <w:jc w:val="left"/>
                  </w:pPr>
                  <w:r w:rsidRPr="00155B01">
                    <w:t>TRADEX</w:t>
                  </w:r>
                </w:p>
              </w:tc>
              <w:tc>
                <w:tcPr>
                  <w:tcW w:w="464" w:type="pct"/>
                  <w:vAlign w:val="bottom"/>
                </w:tcPr>
                <w:p w:rsidR="00745FEA" w:rsidRPr="00763580" w:rsidRDefault="00745FEA" w:rsidP="00745FEA">
                  <w:pPr>
                    <w:pStyle w:val="TableBodyText"/>
                    <w:ind w:right="57"/>
                  </w:pPr>
                  <w:r w:rsidRPr="00763580">
                    <w:t>1.1</w:t>
                  </w:r>
                </w:p>
              </w:tc>
              <w:tc>
                <w:tcPr>
                  <w:tcW w:w="464" w:type="pct"/>
                  <w:vAlign w:val="bottom"/>
                </w:tcPr>
                <w:p w:rsidR="00745FEA" w:rsidRPr="00763580" w:rsidRDefault="00745FEA" w:rsidP="00745FEA">
                  <w:pPr>
                    <w:pStyle w:val="TableBodyText"/>
                    <w:ind w:right="57"/>
                  </w:pPr>
                  <w:r w:rsidRPr="00763580">
                    <w:t>1.2</w:t>
                  </w:r>
                </w:p>
              </w:tc>
              <w:tc>
                <w:tcPr>
                  <w:tcW w:w="464" w:type="pct"/>
                  <w:shd w:val="clear" w:color="auto" w:fill="auto"/>
                  <w:vAlign w:val="bottom"/>
                </w:tcPr>
                <w:p w:rsidR="00745FEA" w:rsidRPr="00763580" w:rsidRDefault="00745FEA" w:rsidP="00745FEA">
                  <w:pPr>
                    <w:pStyle w:val="TableBodyText"/>
                    <w:ind w:right="57"/>
                  </w:pPr>
                  <w:r w:rsidRPr="00763580">
                    <w:t>1.2</w:t>
                  </w:r>
                </w:p>
              </w:tc>
              <w:tc>
                <w:tcPr>
                  <w:tcW w:w="464" w:type="pct"/>
                  <w:vAlign w:val="bottom"/>
                </w:tcPr>
                <w:p w:rsidR="00745FEA" w:rsidRPr="00763580" w:rsidRDefault="00745FEA" w:rsidP="00745FEA">
                  <w:pPr>
                    <w:pStyle w:val="TableBodyText"/>
                    <w:ind w:right="57"/>
                  </w:pPr>
                  <w:r w:rsidRPr="00763580">
                    <w:t>1.3</w:t>
                  </w:r>
                </w:p>
              </w:tc>
              <w:tc>
                <w:tcPr>
                  <w:tcW w:w="464" w:type="pct"/>
                  <w:shd w:val="clear" w:color="auto" w:fill="auto"/>
                  <w:vAlign w:val="bottom"/>
                </w:tcPr>
                <w:p w:rsidR="00745FEA" w:rsidRPr="00763580" w:rsidRDefault="00745FEA" w:rsidP="00745FEA">
                  <w:pPr>
                    <w:pStyle w:val="TableBodyText"/>
                    <w:ind w:right="57"/>
                  </w:pPr>
                  <w:r w:rsidRPr="00763580">
                    <w:t>1.5</w:t>
                  </w:r>
                </w:p>
              </w:tc>
              <w:tc>
                <w:tcPr>
                  <w:tcW w:w="461" w:type="pct"/>
                  <w:shd w:val="clear" w:color="auto" w:fill="auto"/>
                  <w:vAlign w:val="bottom"/>
                </w:tcPr>
                <w:p w:rsidR="00745FEA" w:rsidRDefault="00745FEA" w:rsidP="00745FEA">
                  <w:pPr>
                    <w:pStyle w:val="TableBodyText"/>
                    <w:ind w:right="57"/>
                  </w:pPr>
                  <w:r w:rsidRPr="00763580">
                    <w:t>1.3</w:t>
                  </w:r>
                </w:p>
              </w:tc>
            </w:tr>
            <w:tr w:rsidR="00745FEA" w:rsidTr="00745FEA">
              <w:tc>
                <w:tcPr>
                  <w:tcW w:w="2219" w:type="pct"/>
                </w:tcPr>
                <w:p w:rsidR="00745FEA" w:rsidRPr="00D177A9" w:rsidRDefault="00745FEA" w:rsidP="00745FEA">
                  <w:pPr>
                    <w:pStyle w:val="TableBodyText"/>
                    <w:spacing w:before="40" w:after="0"/>
                    <w:ind w:left="113"/>
                    <w:jc w:val="left"/>
                    <w:rPr>
                      <w:i/>
                    </w:rPr>
                  </w:pPr>
                  <w:r w:rsidRPr="00D177A9">
                    <w:rPr>
                      <w:i/>
                    </w:rPr>
                    <w:t>General R&amp;D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1" w:type="pct"/>
                  <w:shd w:val="clear" w:color="auto" w:fill="auto"/>
                  <w:vAlign w:val="bottom"/>
                </w:tcPr>
                <w:p w:rsidR="00745FEA" w:rsidRDefault="00745FEA" w:rsidP="00745FEA">
                  <w:pPr>
                    <w:pStyle w:val="TableBodyText"/>
                    <w:ind w:right="57"/>
                  </w:pPr>
                </w:p>
              </w:tc>
            </w:tr>
            <w:tr w:rsidR="00745FEA" w:rsidTr="00745FEA">
              <w:tc>
                <w:tcPr>
                  <w:tcW w:w="2219" w:type="pct"/>
                </w:tcPr>
                <w:p w:rsidR="00745FEA" w:rsidRPr="00BF5699" w:rsidRDefault="00745FEA" w:rsidP="00745FEA">
                  <w:pPr>
                    <w:pStyle w:val="TableBodyText"/>
                    <w:spacing w:after="0"/>
                    <w:ind w:left="227" w:right="0"/>
                    <w:jc w:val="left"/>
                  </w:pPr>
                  <w:r w:rsidRPr="00BF5699">
                    <w:t>Commercialisation Australia</w:t>
                  </w:r>
                </w:p>
              </w:tc>
              <w:tc>
                <w:tcPr>
                  <w:tcW w:w="464" w:type="pct"/>
                  <w:vAlign w:val="bottom"/>
                </w:tcPr>
                <w:p w:rsidR="00745FEA" w:rsidRPr="004E7609" w:rsidRDefault="00745FEA" w:rsidP="00745FEA">
                  <w:pPr>
                    <w:pStyle w:val="TableBodyText"/>
                    <w:ind w:right="57"/>
                  </w:pPr>
                  <w:r w:rsidRPr="004E7609">
                    <w:t>1.1</w:t>
                  </w:r>
                </w:p>
              </w:tc>
              <w:tc>
                <w:tcPr>
                  <w:tcW w:w="464" w:type="pct"/>
                  <w:vAlign w:val="bottom"/>
                </w:tcPr>
                <w:p w:rsidR="00745FEA" w:rsidRPr="004E7609" w:rsidRDefault="00745FEA" w:rsidP="00745FEA">
                  <w:pPr>
                    <w:pStyle w:val="TableBodyText"/>
                    <w:ind w:right="57"/>
                  </w:pPr>
                  <w:r w:rsidRPr="004E7609">
                    <w:t>2.4</w:t>
                  </w:r>
                </w:p>
              </w:tc>
              <w:tc>
                <w:tcPr>
                  <w:tcW w:w="464" w:type="pct"/>
                  <w:shd w:val="clear" w:color="auto" w:fill="auto"/>
                  <w:vAlign w:val="bottom"/>
                </w:tcPr>
                <w:p w:rsidR="00745FEA" w:rsidRPr="004E7609" w:rsidRDefault="00745FEA" w:rsidP="00745FEA">
                  <w:pPr>
                    <w:pStyle w:val="TableBodyText"/>
                    <w:ind w:right="57"/>
                  </w:pPr>
                  <w:r w:rsidRPr="004E7609">
                    <w:t>1.6</w:t>
                  </w:r>
                </w:p>
              </w:tc>
              <w:tc>
                <w:tcPr>
                  <w:tcW w:w="464" w:type="pct"/>
                  <w:vAlign w:val="bottom"/>
                </w:tcPr>
                <w:p w:rsidR="00745FEA" w:rsidRPr="004E7609" w:rsidRDefault="00745FEA" w:rsidP="00745FEA">
                  <w:pPr>
                    <w:pStyle w:val="TableBodyText"/>
                    <w:ind w:right="57"/>
                  </w:pPr>
                  <w:r w:rsidRPr="004E7609">
                    <w:t>0.8</w:t>
                  </w:r>
                </w:p>
              </w:tc>
              <w:tc>
                <w:tcPr>
                  <w:tcW w:w="464" w:type="pct"/>
                  <w:shd w:val="clear" w:color="auto" w:fill="auto"/>
                  <w:vAlign w:val="bottom"/>
                </w:tcPr>
                <w:p w:rsidR="00745FEA" w:rsidRPr="004E7609" w:rsidRDefault="00745FEA" w:rsidP="00745FEA">
                  <w:pPr>
                    <w:pStyle w:val="TableBodyText"/>
                    <w:ind w:right="57"/>
                  </w:pPr>
                  <w:r w:rsidRPr="004E7609">
                    <w:t>0.1</w:t>
                  </w:r>
                </w:p>
              </w:tc>
              <w:tc>
                <w:tcPr>
                  <w:tcW w:w="461" w:type="pct"/>
                  <w:shd w:val="clear" w:color="auto" w:fill="auto"/>
                  <w:vAlign w:val="bottom"/>
                </w:tcPr>
                <w:p w:rsidR="00745FEA" w:rsidRPr="004E7609" w:rsidRDefault="00745FEA" w:rsidP="00745FEA">
                  <w:pPr>
                    <w:pStyle w:val="TableBodyText"/>
                    <w:ind w:right="57"/>
                  </w:pPr>
                  <w:r w:rsidRPr="004E7609">
                    <w:t>–</w:t>
                  </w:r>
                </w:p>
              </w:tc>
            </w:tr>
            <w:tr w:rsidR="00745FEA" w:rsidTr="00745FEA">
              <w:tc>
                <w:tcPr>
                  <w:tcW w:w="2219" w:type="pct"/>
                </w:tcPr>
                <w:p w:rsidR="00745FEA" w:rsidRPr="00BF5699" w:rsidRDefault="00745FEA" w:rsidP="00745FEA">
                  <w:pPr>
                    <w:pStyle w:val="TableBodyText"/>
                    <w:spacing w:after="0"/>
                    <w:ind w:left="227" w:right="0"/>
                    <w:jc w:val="left"/>
                  </w:pPr>
                  <w:r w:rsidRPr="00BF5699">
                    <w:t>Cooperative Research Centres</w:t>
                  </w:r>
                </w:p>
              </w:tc>
              <w:tc>
                <w:tcPr>
                  <w:tcW w:w="464" w:type="pct"/>
                  <w:vAlign w:val="bottom"/>
                </w:tcPr>
                <w:p w:rsidR="00745FEA" w:rsidRPr="004E7609" w:rsidRDefault="00745FEA" w:rsidP="00745FEA">
                  <w:pPr>
                    <w:pStyle w:val="TableBodyText"/>
                    <w:ind w:right="57"/>
                  </w:pPr>
                  <w:r w:rsidRPr="004E7609">
                    <w:t>5.5</w:t>
                  </w:r>
                </w:p>
              </w:tc>
              <w:tc>
                <w:tcPr>
                  <w:tcW w:w="464" w:type="pct"/>
                  <w:vAlign w:val="bottom"/>
                </w:tcPr>
                <w:p w:rsidR="00745FEA" w:rsidRPr="004E7609" w:rsidRDefault="00745FEA" w:rsidP="00745FEA">
                  <w:pPr>
                    <w:pStyle w:val="TableBodyText"/>
                    <w:ind w:right="57"/>
                  </w:pPr>
                  <w:r w:rsidRPr="004E7609">
                    <w:t>–</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4" w:type="pct"/>
                  <w:vAlign w:val="bottom"/>
                </w:tcPr>
                <w:p w:rsidR="00745FEA" w:rsidRPr="004E7609" w:rsidRDefault="00745FEA" w:rsidP="00745FEA">
                  <w:pPr>
                    <w:pStyle w:val="TableBodyText"/>
                    <w:ind w:right="57"/>
                  </w:pPr>
                  <w:r w:rsidRPr="004E7609">
                    <w:t>–</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1" w:type="pct"/>
                  <w:shd w:val="clear" w:color="auto" w:fill="auto"/>
                  <w:vAlign w:val="bottom"/>
                </w:tcPr>
                <w:p w:rsidR="00745FEA" w:rsidRPr="004E7609" w:rsidRDefault="00745FEA" w:rsidP="00745FEA">
                  <w:pPr>
                    <w:pStyle w:val="TableBodyText"/>
                    <w:ind w:right="57"/>
                  </w:pPr>
                  <w:r w:rsidRPr="004E7609">
                    <w:t>–</w:t>
                  </w:r>
                </w:p>
              </w:tc>
            </w:tr>
            <w:tr w:rsidR="00745FEA" w:rsidTr="00745FEA">
              <w:tc>
                <w:tcPr>
                  <w:tcW w:w="2219" w:type="pct"/>
                </w:tcPr>
                <w:p w:rsidR="00745FEA" w:rsidRPr="00BF5699" w:rsidRDefault="00745FEA" w:rsidP="00745FEA">
                  <w:pPr>
                    <w:pStyle w:val="TableBodyText"/>
                    <w:spacing w:after="0"/>
                    <w:ind w:left="227" w:right="0"/>
                    <w:jc w:val="left"/>
                  </w:pPr>
                  <w:r w:rsidRPr="00BF5699">
                    <w:t>CSIRO</w:t>
                  </w:r>
                </w:p>
              </w:tc>
              <w:tc>
                <w:tcPr>
                  <w:tcW w:w="464" w:type="pct"/>
                  <w:vAlign w:val="bottom"/>
                </w:tcPr>
                <w:p w:rsidR="00745FEA" w:rsidRPr="004E7609" w:rsidRDefault="00745FEA" w:rsidP="00745FEA">
                  <w:pPr>
                    <w:pStyle w:val="TableBodyText"/>
                    <w:ind w:right="57"/>
                  </w:pPr>
                  <w:r w:rsidRPr="004E7609">
                    <w:t>22.5</w:t>
                  </w:r>
                </w:p>
              </w:tc>
              <w:tc>
                <w:tcPr>
                  <w:tcW w:w="464" w:type="pct"/>
                  <w:vAlign w:val="bottom"/>
                </w:tcPr>
                <w:p w:rsidR="00745FEA" w:rsidRPr="004E7609" w:rsidRDefault="00745FEA" w:rsidP="00745FEA">
                  <w:pPr>
                    <w:pStyle w:val="TableBodyText"/>
                    <w:ind w:right="57"/>
                  </w:pPr>
                  <w:r w:rsidRPr="004E7609">
                    <w:t>31.9</w:t>
                  </w:r>
                </w:p>
              </w:tc>
              <w:tc>
                <w:tcPr>
                  <w:tcW w:w="464" w:type="pct"/>
                  <w:shd w:val="clear" w:color="auto" w:fill="auto"/>
                  <w:vAlign w:val="bottom"/>
                </w:tcPr>
                <w:p w:rsidR="00745FEA" w:rsidRPr="004E7609" w:rsidRDefault="00745FEA" w:rsidP="00745FEA">
                  <w:pPr>
                    <w:pStyle w:val="TableBodyText"/>
                    <w:ind w:right="57"/>
                  </w:pPr>
                  <w:r w:rsidRPr="004E7609">
                    <w:t>31.9</w:t>
                  </w:r>
                </w:p>
              </w:tc>
              <w:tc>
                <w:tcPr>
                  <w:tcW w:w="464" w:type="pct"/>
                  <w:vAlign w:val="bottom"/>
                </w:tcPr>
                <w:p w:rsidR="00745FEA" w:rsidRPr="004E7609" w:rsidRDefault="00745FEA" w:rsidP="00745FEA">
                  <w:pPr>
                    <w:pStyle w:val="TableBodyText"/>
                    <w:ind w:right="57"/>
                  </w:pPr>
                  <w:r w:rsidRPr="004E7609">
                    <w:t>36.4</w:t>
                  </w:r>
                </w:p>
              </w:tc>
              <w:tc>
                <w:tcPr>
                  <w:tcW w:w="464" w:type="pct"/>
                  <w:shd w:val="clear" w:color="auto" w:fill="auto"/>
                  <w:vAlign w:val="bottom"/>
                </w:tcPr>
                <w:p w:rsidR="00745FEA" w:rsidRPr="004E7609" w:rsidRDefault="00745FEA" w:rsidP="00745FEA">
                  <w:pPr>
                    <w:pStyle w:val="TableBodyText"/>
                    <w:ind w:right="57"/>
                  </w:pPr>
                  <w:r w:rsidRPr="004E7609">
                    <w:t>37.6</w:t>
                  </w:r>
                </w:p>
              </w:tc>
              <w:tc>
                <w:tcPr>
                  <w:tcW w:w="461" w:type="pct"/>
                  <w:shd w:val="clear" w:color="auto" w:fill="auto"/>
                  <w:vAlign w:val="bottom"/>
                </w:tcPr>
                <w:p w:rsidR="00745FEA" w:rsidRPr="004E7609" w:rsidRDefault="00745FEA" w:rsidP="00745FEA">
                  <w:pPr>
                    <w:pStyle w:val="TableBodyText"/>
                    <w:ind w:right="57"/>
                  </w:pPr>
                  <w:r w:rsidRPr="004E7609">
                    <w:t>39.6</w:t>
                  </w:r>
                </w:p>
              </w:tc>
            </w:tr>
            <w:tr w:rsidR="00745FEA" w:rsidTr="00745FEA">
              <w:tc>
                <w:tcPr>
                  <w:tcW w:w="2219" w:type="pct"/>
                </w:tcPr>
                <w:p w:rsidR="00745FEA" w:rsidRPr="00BF5699" w:rsidRDefault="00745FEA" w:rsidP="00745FEA">
                  <w:pPr>
                    <w:pStyle w:val="TableBodyText"/>
                    <w:spacing w:after="0"/>
                    <w:ind w:left="227" w:right="0"/>
                    <w:jc w:val="left"/>
                  </w:pPr>
                  <w:r w:rsidRPr="00BF5699">
                    <w:t>Clean Technology Innovation Program</w:t>
                  </w:r>
                </w:p>
              </w:tc>
              <w:tc>
                <w:tcPr>
                  <w:tcW w:w="464" w:type="pct"/>
                  <w:vAlign w:val="bottom"/>
                </w:tcPr>
                <w:p w:rsidR="00745FEA" w:rsidRPr="004E7609" w:rsidRDefault="00745FEA" w:rsidP="00745FEA">
                  <w:pPr>
                    <w:pStyle w:val="TableBodyText"/>
                    <w:ind w:right="57"/>
                  </w:pPr>
                  <w:r w:rsidRPr="004E7609">
                    <w:t>–</w:t>
                  </w:r>
                </w:p>
              </w:tc>
              <w:tc>
                <w:tcPr>
                  <w:tcW w:w="464" w:type="pct"/>
                  <w:vAlign w:val="bottom"/>
                </w:tcPr>
                <w:p w:rsidR="00745FEA" w:rsidRPr="004E7609" w:rsidRDefault="00745FEA" w:rsidP="00745FEA">
                  <w:pPr>
                    <w:pStyle w:val="TableBodyText"/>
                    <w:ind w:right="57"/>
                  </w:pPr>
                  <w:r w:rsidRPr="004E7609">
                    <w:t>0.1</w:t>
                  </w:r>
                </w:p>
              </w:tc>
              <w:tc>
                <w:tcPr>
                  <w:tcW w:w="464" w:type="pct"/>
                  <w:shd w:val="clear" w:color="auto" w:fill="auto"/>
                  <w:vAlign w:val="bottom"/>
                </w:tcPr>
                <w:p w:rsidR="00745FEA" w:rsidRPr="004E7609" w:rsidRDefault="00745FEA" w:rsidP="00745FEA">
                  <w:pPr>
                    <w:pStyle w:val="TableBodyText"/>
                    <w:ind w:right="57"/>
                  </w:pPr>
                  <w:r w:rsidRPr="004E7609">
                    <w:t>0.2</w:t>
                  </w:r>
                </w:p>
              </w:tc>
              <w:tc>
                <w:tcPr>
                  <w:tcW w:w="464" w:type="pct"/>
                  <w:vAlign w:val="bottom"/>
                </w:tcPr>
                <w:p w:rsidR="00745FEA" w:rsidRPr="004E7609" w:rsidRDefault="00745FEA" w:rsidP="00745FEA">
                  <w:pPr>
                    <w:pStyle w:val="TableBodyText"/>
                    <w:ind w:right="57"/>
                  </w:pPr>
                  <w:r w:rsidRPr="004E7609">
                    <w:t>0.1</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1" w:type="pct"/>
                  <w:shd w:val="clear" w:color="auto" w:fill="auto"/>
                  <w:vAlign w:val="bottom"/>
                </w:tcPr>
                <w:p w:rsidR="00745FEA" w:rsidRPr="004E7609" w:rsidRDefault="00745FEA" w:rsidP="00745FEA">
                  <w:pPr>
                    <w:pStyle w:val="TableBodyText"/>
                    <w:ind w:right="57"/>
                  </w:pPr>
                  <w:r w:rsidRPr="004E7609">
                    <w:t>–</w:t>
                  </w:r>
                </w:p>
              </w:tc>
            </w:tr>
            <w:tr w:rsidR="00745FEA" w:rsidTr="00745FEA">
              <w:tc>
                <w:tcPr>
                  <w:tcW w:w="2219" w:type="pct"/>
                </w:tcPr>
                <w:p w:rsidR="00745FEA" w:rsidRPr="00BF5699" w:rsidRDefault="00745FEA" w:rsidP="00745FEA">
                  <w:pPr>
                    <w:pStyle w:val="TableBodyText"/>
                    <w:spacing w:after="0"/>
                    <w:ind w:left="227" w:right="0"/>
                    <w:jc w:val="left"/>
                  </w:pPr>
                  <w:r w:rsidRPr="00BF5699">
                    <w:t>Innovation Investment Fund</w:t>
                  </w:r>
                </w:p>
              </w:tc>
              <w:tc>
                <w:tcPr>
                  <w:tcW w:w="464" w:type="pct"/>
                  <w:vAlign w:val="bottom"/>
                </w:tcPr>
                <w:p w:rsidR="00745FEA" w:rsidRPr="004E7609" w:rsidRDefault="00745FEA" w:rsidP="00745FEA">
                  <w:pPr>
                    <w:pStyle w:val="TableBodyText"/>
                    <w:ind w:right="57"/>
                  </w:pPr>
                  <w:r w:rsidRPr="004E7609">
                    <w:t>0.2</w:t>
                  </w:r>
                </w:p>
              </w:tc>
              <w:tc>
                <w:tcPr>
                  <w:tcW w:w="464" w:type="pct"/>
                  <w:vAlign w:val="bottom"/>
                </w:tcPr>
                <w:p w:rsidR="00745FEA" w:rsidRPr="004E7609" w:rsidRDefault="00745FEA" w:rsidP="00745FEA">
                  <w:pPr>
                    <w:pStyle w:val="TableBodyText"/>
                    <w:ind w:right="57"/>
                  </w:pPr>
                  <w:r w:rsidRPr="004E7609">
                    <w:t>0.3</w:t>
                  </w:r>
                </w:p>
              </w:tc>
              <w:tc>
                <w:tcPr>
                  <w:tcW w:w="464" w:type="pct"/>
                  <w:shd w:val="clear" w:color="auto" w:fill="auto"/>
                  <w:vAlign w:val="bottom"/>
                </w:tcPr>
                <w:p w:rsidR="00745FEA" w:rsidRPr="004E7609" w:rsidRDefault="00745FEA" w:rsidP="00745FEA">
                  <w:pPr>
                    <w:pStyle w:val="TableBodyText"/>
                    <w:ind w:right="57"/>
                  </w:pPr>
                  <w:r w:rsidRPr="004E7609">
                    <w:t>0.3</w:t>
                  </w:r>
                </w:p>
              </w:tc>
              <w:tc>
                <w:tcPr>
                  <w:tcW w:w="464" w:type="pct"/>
                  <w:vAlign w:val="bottom"/>
                </w:tcPr>
                <w:p w:rsidR="00745FEA" w:rsidRPr="004E7609" w:rsidRDefault="00745FEA" w:rsidP="00745FEA">
                  <w:pPr>
                    <w:pStyle w:val="TableBodyText"/>
                    <w:ind w:right="57"/>
                  </w:pPr>
                  <w:r w:rsidRPr="004E7609">
                    <w:t>0.3</w:t>
                  </w:r>
                </w:p>
              </w:tc>
              <w:tc>
                <w:tcPr>
                  <w:tcW w:w="464" w:type="pct"/>
                  <w:shd w:val="clear" w:color="auto" w:fill="auto"/>
                  <w:vAlign w:val="bottom"/>
                </w:tcPr>
                <w:p w:rsidR="00745FEA" w:rsidRPr="004E7609" w:rsidRDefault="00745FEA" w:rsidP="00745FEA">
                  <w:pPr>
                    <w:pStyle w:val="TableBodyText"/>
                    <w:ind w:right="57"/>
                  </w:pPr>
                  <w:r w:rsidRPr="004E7609">
                    <w:t>0.6</w:t>
                  </w:r>
                </w:p>
              </w:tc>
              <w:tc>
                <w:tcPr>
                  <w:tcW w:w="461" w:type="pct"/>
                  <w:shd w:val="clear" w:color="auto" w:fill="auto"/>
                  <w:vAlign w:val="bottom"/>
                </w:tcPr>
                <w:p w:rsidR="00745FEA" w:rsidRPr="004E7609" w:rsidRDefault="00745FEA" w:rsidP="00745FEA">
                  <w:pPr>
                    <w:pStyle w:val="TableBodyText"/>
                    <w:ind w:right="57"/>
                  </w:pPr>
                  <w:r w:rsidRPr="004E7609">
                    <w:t>0.4</w:t>
                  </w:r>
                </w:p>
              </w:tc>
            </w:tr>
            <w:tr w:rsidR="00745FEA" w:rsidTr="00745FEA">
              <w:tc>
                <w:tcPr>
                  <w:tcW w:w="2219" w:type="pct"/>
                </w:tcPr>
                <w:p w:rsidR="00745FEA" w:rsidRPr="00BF5699" w:rsidRDefault="00745FEA" w:rsidP="00745FEA">
                  <w:pPr>
                    <w:pStyle w:val="TableBodyText"/>
                    <w:spacing w:after="0"/>
                    <w:ind w:left="227" w:right="0"/>
                    <w:jc w:val="left"/>
                  </w:pPr>
                  <w:r w:rsidRPr="00BF5699">
                    <w:t>R&amp;D Tax Incentive - refundable tax offset</w:t>
                  </w:r>
                </w:p>
              </w:tc>
              <w:tc>
                <w:tcPr>
                  <w:tcW w:w="464" w:type="pct"/>
                  <w:vAlign w:val="bottom"/>
                </w:tcPr>
                <w:p w:rsidR="00745FEA" w:rsidRPr="004E7609" w:rsidRDefault="00745FEA" w:rsidP="00745FEA">
                  <w:pPr>
                    <w:pStyle w:val="TableBodyText"/>
                    <w:ind w:right="57"/>
                  </w:pPr>
                  <w:r w:rsidRPr="004E7609">
                    <w:t>–</w:t>
                  </w:r>
                </w:p>
              </w:tc>
              <w:tc>
                <w:tcPr>
                  <w:tcW w:w="464" w:type="pct"/>
                  <w:vAlign w:val="bottom"/>
                </w:tcPr>
                <w:p w:rsidR="00745FEA" w:rsidRPr="004E7609" w:rsidRDefault="00745FEA" w:rsidP="00745FEA">
                  <w:pPr>
                    <w:pStyle w:val="TableBodyText"/>
                    <w:ind w:right="57"/>
                  </w:pPr>
                  <w:r w:rsidRPr="004E7609">
                    <w:t>26.9</w:t>
                  </w:r>
                </w:p>
              </w:tc>
              <w:tc>
                <w:tcPr>
                  <w:tcW w:w="464" w:type="pct"/>
                  <w:shd w:val="clear" w:color="auto" w:fill="auto"/>
                  <w:vAlign w:val="bottom"/>
                </w:tcPr>
                <w:p w:rsidR="00745FEA" w:rsidRPr="004E7609" w:rsidRDefault="00745FEA" w:rsidP="00745FEA">
                  <w:pPr>
                    <w:pStyle w:val="TableBodyText"/>
                    <w:ind w:right="57"/>
                  </w:pPr>
                  <w:r w:rsidRPr="004E7609">
                    <w:t>26.0</w:t>
                  </w:r>
                </w:p>
              </w:tc>
              <w:tc>
                <w:tcPr>
                  <w:tcW w:w="464" w:type="pct"/>
                  <w:vAlign w:val="bottom"/>
                </w:tcPr>
                <w:p w:rsidR="00745FEA" w:rsidRPr="004E7609" w:rsidRDefault="00745FEA" w:rsidP="00745FEA">
                  <w:pPr>
                    <w:pStyle w:val="TableBodyText"/>
                    <w:ind w:right="57"/>
                  </w:pPr>
                  <w:r w:rsidRPr="004E7609">
                    <w:t>34.8</w:t>
                  </w:r>
                </w:p>
              </w:tc>
              <w:tc>
                <w:tcPr>
                  <w:tcW w:w="464" w:type="pct"/>
                  <w:shd w:val="clear" w:color="auto" w:fill="auto"/>
                  <w:vAlign w:val="bottom"/>
                </w:tcPr>
                <w:p w:rsidR="00745FEA" w:rsidRPr="004E7609" w:rsidRDefault="00745FEA" w:rsidP="00745FEA">
                  <w:pPr>
                    <w:pStyle w:val="TableBodyText"/>
                    <w:ind w:right="57"/>
                  </w:pPr>
                  <w:r w:rsidRPr="004E7609">
                    <w:t>37.0</w:t>
                  </w:r>
                </w:p>
              </w:tc>
              <w:tc>
                <w:tcPr>
                  <w:tcW w:w="461" w:type="pct"/>
                  <w:shd w:val="clear" w:color="auto" w:fill="auto"/>
                  <w:vAlign w:val="bottom"/>
                </w:tcPr>
                <w:p w:rsidR="00745FEA" w:rsidRPr="004E7609" w:rsidRDefault="00745FEA" w:rsidP="00745FEA">
                  <w:pPr>
                    <w:pStyle w:val="TableBodyText"/>
                    <w:ind w:right="57"/>
                  </w:pPr>
                  <w:r w:rsidRPr="004E7609">
                    <w:t>44.8</w:t>
                  </w:r>
                </w:p>
              </w:tc>
            </w:tr>
            <w:tr w:rsidR="00745FEA" w:rsidTr="00745FEA">
              <w:tc>
                <w:tcPr>
                  <w:tcW w:w="2219" w:type="pct"/>
                </w:tcPr>
                <w:p w:rsidR="00745FEA" w:rsidRPr="00BF5699" w:rsidRDefault="00745FEA" w:rsidP="00745FEA">
                  <w:pPr>
                    <w:pStyle w:val="TableBodyText"/>
                    <w:spacing w:after="0"/>
                    <w:ind w:left="227" w:right="0"/>
                    <w:jc w:val="left"/>
                  </w:pPr>
                  <w:r w:rsidRPr="00BF5699">
                    <w:t>R&amp;D tax offsets - Refundable</w:t>
                  </w:r>
                </w:p>
              </w:tc>
              <w:tc>
                <w:tcPr>
                  <w:tcW w:w="464" w:type="pct"/>
                  <w:vAlign w:val="bottom"/>
                </w:tcPr>
                <w:p w:rsidR="00745FEA" w:rsidRPr="004E7609" w:rsidRDefault="00745FEA" w:rsidP="00745FEA">
                  <w:pPr>
                    <w:pStyle w:val="TableBodyText"/>
                    <w:ind w:right="57"/>
                  </w:pPr>
                  <w:r w:rsidRPr="004E7609">
                    <w:t>8.0</w:t>
                  </w:r>
                </w:p>
              </w:tc>
              <w:tc>
                <w:tcPr>
                  <w:tcW w:w="464" w:type="pct"/>
                  <w:vAlign w:val="bottom"/>
                </w:tcPr>
                <w:p w:rsidR="00745FEA" w:rsidRPr="004E7609" w:rsidRDefault="00745FEA" w:rsidP="00745FEA">
                  <w:pPr>
                    <w:pStyle w:val="TableBodyText"/>
                    <w:ind w:right="57"/>
                  </w:pPr>
                  <w:r w:rsidRPr="004E7609">
                    <w:t>–</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4" w:type="pct"/>
                  <w:vAlign w:val="bottom"/>
                </w:tcPr>
                <w:p w:rsidR="00745FEA" w:rsidRPr="004E7609" w:rsidRDefault="00745FEA" w:rsidP="00745FEA">
                  <w:pPr>
                    <w:pStyle w:val="TableBodyText"/>
                    <w:ind w:right="57"/>
                  </w:pPr>
                  <w:r w:rsidRPr="004E7609">
                    <w:t>–</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1" w:type="pct"/>
                  <w:shd w:val="clear" w:color="auto" w:fill="auto"/>
                  <w:vAlign w:val="bottom"/>
                </w:tcPr>
                <w:p w:rsidR="00745FEA" w:rsidRPr="004E7609" w:rsidRDefault="00745FEA" w:rsidP="00745FEA">
                  <w:pPr>
                    <w:pStyle w:val="TableBodyText"/>
                    <w:ind w:right="57"/>
                  </w:pPr>
                  <w:r w:rsidRPr="004E7609">
                    <w:t>–</w:t>
                  </w:r>
                </w:p>
              </w:tc>
            </w:tr>
            <w:tr w:rsidR="00745FEA" w:rsidTr="00745FEA">
              <w:tc>
                <w:tcPr>
                  <w:tcW w:w="2219" w:type="pct"/>
                </w:tcPr>
                <w:p w:rsidR="00745FEA" w:rsidRPr="00BF5699" w:rsidRDefault="00745FEA" w:rsidP="00745FEA">
                  <w:pPr>
                    <w:pStyle w:val="TableBodyText"/>
                    <w:spacing w:after="0"/>
                    <w:ind w:left="227" w:right="0"/>
                    <w:jc w:val="left"/>
                  </w:pPr>
                  <w:r w:rsidRPr="00BF5699">
                    <w:t>Premium R&amp;D tax concession</w:t>
                  </w:r>
                </w:p>
              </w:tc>
              <w:tc>
                <w:tcPr>
                  <w:tcW w:w="464" w:type="pct"/>
                  <w:vAlign w:val="bottom"/>
                </w:tcPr>
                <w:p w:rsidR="00745FEA" w:rsidRPr="004E7609" w:rsidRDefault="00745FEA" w:rsidP="00745FEA">
                  <w:pPr>
                    <w:pStyle w:val="TableBodyText"/>
                    <w:ind w:right="57"/>
                  </w:pPr>
                  <w:r w:rsidRPr="004E7609">
                    <w:t>24.8</w:t>
                  </w:r>
                </w:p>
              </w:tc>
              <w:tc>
                <w:tcPr>
                  <w:tcW w:w="464" w:type="pct"/>
                  <w:vAlign w:val="bottom"/>
                </w:tcPr>
                <w:p w:rsidR="00745FEA" w:rsidRPr="004E7609" w:rsidRDefault="00745FEA" w:rsidP="00745FEA">
                  <w:pPr>
                    <w:pStyle w:val="TableBodyText"/>
                    <w:ind w:right="57"/>
                  </w:pPr>
                  <w:r w:rsidRPr="004E7609">
                    <w:t>6.8</w:t>
                  </w:r>
                </w:p>
              </w:tc>
              <w:tc>
                <w:tcPr>
                  <w:tcW w:w="464" w:type="pct"/>
                  <w:shd w:val="clear" w:color="auto" w:fill="auto"/>
                  <w:vAlign w:val="bottom"/>
                </w:tcPr>
                <w:p w:rsidR="00745FEA" w:rsidRPr="004E7609" w:rsidRDefault="00745FEA" w:rsidP="00745FEA">
                  <w:pPr>
                    <w:pStyle w:val="TableBodyText"/>
                    <w:ind w:right="57"/>
                  </w:pPr>
                  <w:r w:rsidRPr="004E7609">
                    <w:t>2.8</w:t>
                  </w:r>
                </w:p>
              </w:tc>
              <w:tc>
                <w:tcPr>
                  <w:tcW w:w="464" w:type="pct"/>
                  <w:vAlign w:val="bottom"/>
                </w:tcPr>
                <w:p w:rsidR="00745FEA" w:rsidRPr="004E7609" w:rsidRDefault="00745FEA" w:rsidP="00745FEA">
                  <w:pPr>
                    <w:pStyle w:val="TableBodyText"/>
                    <w:ind w:right="57"/>
                  </w:pPr>
                  <w:r w:rsidRPr="004E7609">
                    <w:t>–</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1" w:type="pct"/>
                  <w:shd w:val="clear" w:color="auto" w:fill="auto"/>
                  <w:vAlign w:val="bottom"/>
                </w:tcPr>
                <w:p w:rsidR="00745FEA" w:rsidRPr="004E7609" w:rsidRDefault="00745FEA" w:rsidP="00745FEA">
                  <w:pPr>
                    <w:pStyle w:val="TableBodyText"/>
                    <w:ind w:right="57"/>
                  </w:pPr>
                  <w:r w:rsidRPr="004E7609">
                    <w:t>–</w:t>
                  </w:r>
                </w:p>
              </w:tc>
            </w:tr>
            <w:tr w:rsidR="00745FEA" w:rsidTr="00745FEA">
              <w:tc>
                <w:tcPr>
                  <w:tcW w:w="2219" w:type="pct"/>
                </w:tcPr>
                <w:p w:rsidR="00745FEA" w:rsidRPr="00BF5699" w:rsidRDefault="00745FEA" w:rsidP="00745FEA">
                  <w:pPr>
                    <w:pStyle w:val="TableBodyText"/>
                    <w:spacing w:after="0"/>
                    <w:ind w:left="227" w:right="0"/>
                    <w:jc w:val="left"/>
                  </w:pPr>
                  <w:r w:rsidRPr="00BF5699">
                    <w:t>R&amp;D tax concession</w:t>
                  </w:r>
                </w:p>
              </w:tc>
              <w:tc>
                <w:tcPr>
                  <w:tcW w:w="464" w:type="pct"/>
                  <w:vAlign w:val="bottom"/>
                </w:tcPr>
                <w:p w:rsidR="00745FEA" w:rsidRPr="004E7609" w:rsidRDefault="00745FEA" w:rsidP="00745FEA">
                  <w:pPr>
                    <w:pStyle w:val="TableBodyText"/>
                    <w:ind w:right="57"/>
                  </w:pPr>
                  <w:r w:rsidRPr="004E7609">
                    <w:t>50.4</w:t>
                  </w:r>
                </w:p>
              </w:tc>
              <w:tc>
                <w:tcPr>
                  <w:tcW w:w="464" w:type="pct"/>
                  <w:vAlign w:val="bottom"/>
                </w:tcPr>
                <w:p w:rsidR="00745FEA" w:rsidRPr="004E7609" w:rsidRDefault="00745FEA" w:rsidP="00745FEA">
                  <w:pPr>
                    <w:pStyle w:val="TableBodyText"/>
                    <w:ind w:right="57"/>
                  </w:pPr>
                  <w:r w:rsidRPr="004E7609">
                    <w:t>22.5</w:t>
                  </w:r>
                </w:p>
              </w:tc>
              <w:tc>
                <w:tcPr>
                  <w:tcW w:w="464" w:type="pct"/>
                  <w:shd w:val="clear" w:color="auto" w:fill="auto"/>
                  <w:vAlign w:val="bottom"/>
                </w:tcPr>
                <w:p w:rsidR="00745FEA" w:rsidRPr="004E7609" w:rsidRDefault="00745FEA" w:rsidP="00745FEA">
                  <w:pPr>
                    <w:pStyle w:val="TableBodyText"/>
                    <w:ind w:right="57"/>
                  </w:pPr>
                  <w:r w:rsidRPr="004E7609">
                    <w:t>7.6</w:t>
                  </w:r>
                </w:p>
              </w:tc>
              <w:tc>
                <w:tcPr>
                  <w:tcW w:w="464" w:type="pct"/>
                  <w:vAlign w:val="bottom"/>
                </w:tcPr>
                <w:p w:rsidR="00745FEA" w:rsidRPr="004E7609" w:rsidRDefault="00745FEA" w:rsidP="00745FEA">
                  <w:pPr>
                    <w:pStyle w:val="TableBodyText"/>
                    <w:ind w:right="57"/>
                  </w:pPr>
                  <w:r w:rsidRPr="004E7609">
                    <w:t>1.3</w:t>
                  </w:r>
                </w:p>
              </w:tc>
              <w:tc>
                <w:tcPr>
                  <w:tcW w:w="464" w:type="pct"/>
                  <w:shd w:val="clear" w:color="auto" w:fill="auto"/>
                  <w:vAlign w:val="bottom"/>
                </w:tcPr>
                <w:p w:rsidR="00745FEA" w:rsidRPr="004E7609" w:rsidRDefault="00745FEA" w:rsidP="00745FEA">
                  <w:pPr>
                    <w:pStyle w:val="TableBodyText"/>
                    <w:ind w:right="57"/>
                  </w:pPr>
                  <w:r w:rsidRPr="004E7609">
                    <w:t>–</w:t>
                  </w:r>
                </w:p>
              </w:tc>
              <w:tc>
                <w:tcPr>
                  <w:tcW w:w="461" w:type="pct"/>
                  <w:shd w:val="clear" w:color="auto" w:fill="auto"/>
                  <w:vAlign w:val="bottom"/>
                </w:tcPr>
                <w:p w:rsidR="00745FEA" w:rsidRPr="004E7609" w:rsidRDefault="00745FEA" w:rsidP="00745FEA">
                  <w:pPr>
                    <w:pStyle w:val="TableBodyText"/>
                    <w:ind w:right="57"/>
                  </w:pPr>
                  <w:r w:rsidRPr="004E7609">
                    <w:t>–</w:t>
                  </w:r>
                </w:p>
              </w:tc>
            </w:tr>
            <w:tr w:rsidR="00745FEA" w:rsidTr="00745FEA">
              <w:tc>
                <w:tcPr>
                  <w:tcW w:w="2219" w:type="pct"/>
                </w:tcPr>
                <w:p w:rsidR="00745FEA" w:rsidRPr="00BF5699" w:rsidRDefault="00745FEA" w:rsidP="00745FEA">
                  <w:pPr>
                    <w:pStyle w:val="TableBodyText"/>
                    <w:spacing w:after="0"/>
                    <w:ind w:left="227" w:right="0"/>
                    <w:jc w:val="left"/>
                  </w:pPr>
                  <w:r w:rsidRPr="00BF5699">
                    <w:t>R&amp;D Tax Incentive - non-refundable tax offset</w:t>
                  </w:r>
                </w:p>
              </w:tc>
              <w:tc>
                <w:tcPr>
                  <w:tcW w:w="464" w:type="pct"/>
                  <w:vAlign w:val="bottom"/>
                </w:tcPr>
                <w:p w:rsidR="00745FEA" w:rsidRPr="004E7609" w:rsidRDefault="00745FEA" w:rsidP="00745FEA">
                  <w:pPr>
                    <w:pStyle w:val="TableBodyText"/>
                    <w:ind w:right="57"/>
                  </w:pPr>
                  <w:r w:rsidRPr="004E7609">
                    <w:t>–</w:t>
                  </w:r>
                </w:p>
              </w:tc>
              <w:tc>
                <w:tcPr>
                  <w:tcW w:w="464" w:type="pct"/>
                  <w:vAlign w:val="bottom"/>
                </w:tcPr>
                <w:p w:rsidR="00745FEA" w:rsidRPr="004E7609" w:rsidRDefault="00745FEA" w:rsidP="00745FEA">
                  <w:pPr>
                    <w:pStyle w:val="TableBodyText"/>
                    <w:ind w:right="57"/>
                  </w:pPr>
                  <w:r w:rsidRPr="004E7609">
                    <w:t>256.9</w:t>
                  </w:r>
                </w:p>
              </w:tc>
              <w:tc>
                <w:tcPr>
                  <w:tcW w:w="464" w:type="pct"/>
                  <w:shd w:val="clear" w:color="auto" w:fill="auto"/>
                  <w:vAlign w:val="bottom"/>
                </w:tcPr>
                <w:p w:rsidR="00745FEA" w:rsidRPr="004E7609" w:rsidRDefault="00745FEA" w:rsidP="00745FEA">
                  <w:pPr>
                    <w:pStyle w:val="TableBodyText"/>
                    <w:ind w:right="57"/>
                  </w:pPr>
                  <w:r w:rsidRPr="004E7609">
                    <w:t>215.5</w:t>
                  </w:r>
                </w:p>
              </w:tc>
              <w:tc>
                <w:tcPr>
                  <w:tcW w:w="464" w:type="pct"/>
                  <w:vAlign w:val="bottom"/>
                </w:tcPr>
                <w:p w:rsidR="00745FEA" w:rsidRPr="004E7609" w:rsidRDefault="00745FEA" w:rsidP="00745FEA">
                  <w:pPr>
                    <w:pStyle w:val="TableBodyText"/>
                    <w:ind w:right="57"/>
                  </w:pPr>
                  <w:r w:rsidRPr="004E7609">
                    <w:t>171.9</w:t>
                  </w:r>
                </w:p>
              </w:tc>
              <w:tc>
                <w:tcPr>
                  <w:tcW w:w="464" w:type="pct"/>
                  <w:shd w:val="clear" w:color="auto" w:fill="auto"/>
                  <w:vAlign w:val="bottom"/>
                </w:tcPr>
                <w:p w:rsidR="00745FEA" w:rsidRPr="004E7609" w:rsidRDefault="00745FEA" w:rsidP="00745FEA">
                  <w:pPr>
                    <w:pStyle w:val="TableBodyText"/>
                    <w:ind w:right="57"/>
                  </w:pPr>
                  <w:r w:rsidRPr="004E7609">
                    <w:t>118.3</w:t>
                  </w:r>
                </w:p>
              </w:tc>
              <w:tc>
                <w:tcPr>
                  <w:tcW w:w="461" w:type="pct"/>
                  <w:shd w:val="clear" w:color="auto" w:fill="auto"/>
                  <w:vAlign w:val="bottom"/>
                </w:tcPr>
                <w:p w:rsidR="00745FEA" w:rsidRDefault="00745FEA" w:rsidP="00745FEA">
                  <w:pPr>
                    <w:pStyle w:val="TableBodyText"/>
                    <w:ind w:right="57"/>
                  </w:pPr>
                  <w:r w:rsidRPr="004E7609">
                    <w:t>126.8</w:t>
                  </w:r>
                </w:p>
              </w:tc>
            </w:tr>
            <w:tr w:rsidR="00745FEA" w:rsidTr="00745FEA">
              <w:tc>
                <w:tcPr>
                  <w:tcW w:w="2219" w:type="pct"/>
                </w:tcPr>
                <w:p w:rsidR="00745FEA" w:rsidRPr="00826457" w:rsidRDefault="00745FEA" w:rsidP="00745FEA">
                  <w:pPr>
                    <w:pStyle w:val="TableBodyText"/>
                    <w:spacing w:before="40" w:after="0"/>
                    <w:ind w:left="113"/>
                    <w:jc w:val="left"/>
                    <w:rPr>
                      <w:i/>
                    </w:rPr>
                  </w:pPr>
                  <w:r w:rsidRPr="00826457">
                    <w:rPr>
                      <w:i/>
                    </w:rPr>
                    <w:t>Other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1" w:type="pct"/>
                  <w:shd w:val="clear" w:color="auto" w:fill="auto"/>
                  <w:vAlign w:val="bottom"/>
                </w:tcPr>
                <w:p w:rsidR="00745FEA" w:rsidRDefault="00745FEA" w:rsidP="00745FEA">
                  <w:pPr>
                    <w:pStyle w:val="TableBodyText"/>
                    <w:ind w:right="57"/>
                  </w:pPr>
                </w:p>
              </w:tc>
            </w:tr>
            <w:tr w:rsidR="00745FEA" w:rsidTr="00745FEA">
              <w:tc>
                <w:tcPr>
                  <w:tcW w:w="2219" w:type="pct"/>
                </w:tcPr>
                <w:p w:rsidR="00745FEA" w:rsidRPr="00A024B4" w:rsidRDefault="00745FEA" w:rsidP="00745FEA">
                  <w:pPr>
                    <w:pStyle w:val="TableBodyText"/>
                    <w:spacing w:after="0"/>
                    <w:ind w:left="227" w:right="0"/>
                    <w:jc w:val="left"/>
                  </w:pPr>
                  <w:r w:rsidRPr="00A024B4">
                    <w:t>Australian Government Innovation and Investment Fund - Tasmania</w:t>
                  </w:r>
                </w:p>
              </w:tc>
              <w:tc>
                <w:tcPr>
                  <w:tcW w:w="464" w:type="pct"/>
                  <w:vAlign w:val="bottom"/>
                </w:tcPr>
                <w:p w:rsidR="00745FEA" w:rsidRPr="008E78A1" w:rsidRDefault="00745FEA" w:rsidP="00745FEA">
                  <w:pPr>
                    <w:pStyle w:val="TableBodyText"/>
                    <w:ind w:right="57"/>
                  </w:pPr>
                  <w:r w:rsidRPr="008E78A1">
                    <w:t>–</w:t>
                  </w:r>
                </w:p>
              </w:tc>
              <w:tc>
                <w:tcPr>
                  <w:tcW w:w="464" w:type="pct"/>
                  <w:vAlign w:val="bottom"/>
                </w:tcPr>
                <w:p w:rsidR="00745FEA" w:rsidRPr="008E78A1" w:rsidRDefault="00745FEA" w:rsidP="00745FEA">
                  <w:pPr>
                    <w:pStyle w:val="TableBodyText"/>
                    <w:ind w:right="57"/>
                  </w:pPr>
                  <w:r w:rsidRPr="008E78A1">
                    <w:t>–</w:t>
                  </w:r>
                </w:p>
              </w:tc>
              <w:tc>
                <w:tcPr>
                  <w:tcW w:w="464" w:type="pct"/>
                  <w:shd w:val="clear" w:color="auto" w:fill="auto"/>
                  <w:vAlign w:val="bottom"/>
                </w:tcPr>
                <w:p w:rsidR="00745FEA" w:rsidRPr="008E78A1" w:rsidRDefault="00745FEA" w:rsidP="00745FEA">
                  <w:pPr>
                    <w:pStyle w:val="TableBodyText"/>
                    <w:ind w:right="57"/>
                  </w:pPr>
                  <w:r w:rsidRPr="008E78A1">
                    <w:t>–</w:t>
                  </w:r>
                </w:p>
              </w:tc>
              <w:tc>
                <w:tcPr>
                  <w:tcW w:w="464" w:type="pct"/>
                  <w:vAlign w:val="bottom"/>
                </w:tcPr>
                <w:p w:rsidR="00745FEA" w:rsidRPr="008E78A1" w:rsidRDefault="00745FEA" w:rsidP="00745FEA">
                  <w:pPr>
                    <w:pStyle w:val="TableBodyText"/>
                    <w:ind w:right="57"/>
                  </w:pPr>
                  <w:r w:rsidRPr="008E78A1">
                    <w:t>&lt;0.1</w:t>
                  </w:r>
                </w:p>
              </w:tc>
              <w:tc>
                <w:tcPr>
                  <w:tcW w:w="464" w:type="pct"/>
                  <w:shd w:val="clear" w:color="auto" w:fill="auto"/>
                  <w:vAlign w:val="bottom"/>
                </w:tcPr>
                <w:p w:rsidR="00745FEA" w:rsidRPr="008E78A1" w:rsidRDefault="00745FEA" w:rsidP="00745FEA">
                  <w:pPr>
                    <w:pStyle w:val="TableBodyText"/>
                    <w:ind w:right="57"/>
                  </w:pPr>
                  <w:r w:rsidRPr="008E78A1">
                    <w:t>&lt;0.1</w:t>
                  </w:r>
                </w:p>
              </w:tc>
              <w:tc>
                <w:tcPr>
                  <w:tcW w:w="461" w:type="pct"/>
                  <w:shd w:val="clear" w:color="auto" w:fill="auto"/>
                  <w:vAlign w:val="bottom"/>
                </w:tcPr>
                <w:p w:rsidR="00745FEA" w:rsidRPr="008E78A1" w:rsidRDefault="00745FEA" w:rsidP="00745FEA">
                  <w:pPr>
                    <w:pStyle w:val="TableBodyText"/>
                    <w:ind w:right="57"/>
                  </w:pPr>
                  <w:r w:rsidRPr="008E78A1">
                    <w:t>0.3</w:t>
                  </w:r>
                </w:p>
              </w:tc>
            </w:tr>
            <w:tr w:rsidR="00745FEA" w:rsidTr="00745FEA">
              <w:tc>
                <w:tcPr>
                  <w:tcW w:w="2219" w:type="pct"/>
                </w:tcPr>
                <w:p w:rsidR="00745FEA" w:rsidRPr="00A024B4" w:rsidRDefault="00745FEA" w:rsidP="00745FEA">
                  <w:pPr>
                    <w:pStyle w:val="TableBodyText"/>
                    <w:spacing w:after="0"/>
                    <w:ind w:left="227" w:right="0"/>
                    <w:jc w:val="left"/>
                  </w:pPr>
                  <w:r w:rsidRPr="00A024B4">
                    <w:t>Enterprise Connect Innovation Centres</w:t>
                  </w:r>
                </w:p>
              </w:tc>
              <w:tc>
                <w:tcPr>
                  <w:tcW w:w="464" w:type="pct"/>
                  <w:vAlign w:val="bottom"/>
                </w:tcPr>
                <w:p w:rsidR="00745FEA" w:rsidRPr="008E78A1" w:rsidRDefault="00745FEA" w:rsidP="00745FEA">
                  <w:pPr>
                    <w:pStyle w:val="TableBodyText"/>
                    <w:ind w:right="57"/>
                  </w:pPr>
                  <w:r w:rsidRPr="008E78A1">
                    <w:t>0.9</w:t>
                  </w:r>
                </w:p>
              </w:tc>
              <w:tc>
                <w:tcPr>
                  <w:tcW w:w="464" w:type="pct"/>
                  <w:vAlign w:val="bottom"/>
                </w:tcPr>
                <w:p w:rsidR="00745FEA" w:rsidRPr="008E78A1" w:rsidRDefault="00745FEA" w:rsidP="00745FEA">
                  <w:pPr>
                    <w:pStyle w:val="TableBodyText"/>
                    <w:ind w:right="57"/>
                  </w:pPr>
                  <w:r w:rsidRPr="008E78A1">
                    <w:t>1.0</w:t>
                  </w:r>
                </w:p>
              </w:tc>
              <w:tc>
                <w:tcPr>
                  <w:tcW w:w="464" w:type="pct"/>
                  <w:shd w:val="clear" w:color="auto" w:fill="auto"/>
                  <w:vAlign w:val="bottom"/>
                </w:tcPr>
                <w:p w:rsidR="00745FEA" w:rsidRPr="008E78A1" w:rsidRDefault="00745FEA" w:rsidP="00745FEA">
                  <w:pPr>
                    <w:pStyle w:val="TableBodyText"/>
                    <w:ind w:right="57"/>
                  </w:pPr>
                  <w:r w:rsidRPr="008E78A1">
                    <w:t>1.1</w:t>
                  </w:r>
                </w:p>
              </w:tc>
              <w:tc>
                <w:tcPr>
                  <w:tcW w:w="464" w:type="pct"/>
                  <w:vAlign w:val="bottom"/>
                </w:tcPr>
                <w:p w:rsidR="00745FEA" w:rsidRPr="008E78A1" w:rsidRDefault="00745FEA" w:rsidP="00745FEA">
                  <w:pPr>
                    <w:pStyle w:val="TableBodyText"/>
                    <w:ind w:right="57"/>
                  </w:pPr>
                  <w:r w:rsidRPr="008E78A1">
                    <w:t>0.8</w:t>
                  </w:r>
                </w:p>
              </w:tc>
              <w:tc>
                <w:tcPr>
                  <w:tcW w:w="464" w:type="pct"/>
                  <w:shd w:val="clear" w:color="auto" w:fill="auto"/>
                  <w:vAlign w:val="bottom"/>
                </w:tcPr>
                <w:p w:rsidR="00745FEA" w:rsidRPr="008E78A1" w:rsidRDefault="00745FEA" w:rsidP="00745FEA">
                  <w:pPr>
                    <w:pStyle w:val="TableBodyText"/>
                    <w:ind w:right="57"/>
                  </w:pPr>
                  <w:r w:rsidRPr="008E78A1">
                    <w:t>&lt;0.1</w:t>
                  </w:r>
                </w:p>
              </w:tc>
              <w:tc>
                <w:tcPr>
                  <w:tcW w:w="461" w:type="pct"/>
                  <w:shd w:val="clear" w:color="auto" w:fill="auto"/>
                  <w:vAlign w:val="bottom"/>
                </w:tcPr>
                <w:p w:rsidR="00745FEA" w:rsidRPr="008E78A1" w:rsidRDefault="00745FEA" w:rsidP="00745FEA">
                  <w:pPr>
                    <w:pStyle w:val="TableBodyText"/>
                    <w:ind w:right="57"/>
                  </w:pPr>
                  <w:r w:rsidRPr="008E78A1">
                    <w:t>–</w:t>
                  </w:r>
                </w:p>
              </w:tc>
            </w:tr>
            <w:tr w:rsidR="00745FEA" w:rsidTr="00745FEA">
              <w:tc>
                <w:tcPr>
                  <w:tcW w:w="2219" w:type="pct"/>
                </w:tcPr>
                <w:p w:rsidR="00745FEA" w:rsidRPr="00A024B4" w:rsidRDefault="00745FEA" w:rsidP="00745FEA">
                  <w:pPr>
                    <w:pStyle w:val="TableBodyText"/>
                    <w:spacing w:after="0"/>
                    <w:ind w:left="227" w:right="0"/>
                    <w:jc w:val="left"/>
                  </w:pPr>
                  <w:r w:rsidRPr="00A024B4">
                    <w:t>Entrepreneurs’ Infrastructure Programme - Accelerating Commercialisation</w:t>
                  </w:r>
                </w:p>
              </w:tc>
              <w:tc>
                <w:tcPr>
                  <w:tcW w:w="464" w:type="pct"/>
                  <w:vAlign w:val="bottom"/>
                </w:tcPr>
                <w:p w:rsidR="00745FEA" w:rsidRPr="008E78A1" w:rsidRDefault="00745FEA" w:rsidP="00745FEA">
                  <w:pPr>
                    <w:pStyle w:val="TableBodyText"/>
                    <w:ind w:right="57"/>
                  </w:pPr>
                  <w:r w:rsidRPr="008E78A1">
                    <w:t>–</w:t>
                  </w:r>
                </w:p>
              </w:tc>
              <w:tc>
                <w:tcPr>
                  <w:tcW w:w="464" w:type="pct"/>
                  <w:vAlign w:val="bottom"/>
                </w:tcPr>
                <w:p w:rsidR="00745FEA" w:rsidRPr="008E78A1" w:rsidRDefault="00745FEA" w:rsidP="00745FEA">
                  <w:pPr>
                    <w:pStyle w:val="TableBodyText"/>
                    <w:ind w:right="57"/>
                  </w:pPr>
                  <w:r w:rsidRPr="008E78A1">
                    <w:t>–</w:t>
                  </w:r>
                </w:p>
              </w:tc>
              <w:tc>
                <w:tcPr>
                  <w:tcW w:w="464" w:type="pct"/>
                  <w:shd w:val="clear" w:color="auto" w:fill="auto"/>
                  <w:vAlign w:val="bottom"/>
                </w:tcPr>
                <w:p w:rsidR="00745FEA" w:rsidRPr="008E78A1" w:rsidRDefault="00745FEA" w:rsidP="00745FEA">
                  <w:pPr>
                    <w:pStyle w:val="TableBodyText"/>
                    <w:ind w:right="57"/>
                  </w:pPr>
                  <w:r w:rsidRPr="008E78A1">
                    <w:t>–</w:t>
                  </w:r>
                </w:p>
              </w:tc>
              <w:tc>
                <w:tcPr>
                  <w:tcW w:w="464" w:type="pct"/>
                  <w:vAlign w:val="bottom"/>
                </w:tcPr>
                <w:p w:rsidR="00745FEA" w:rsidRPr="008E78A1" w:rsidRDefault="00745FEA" w:rsidP="00745FEA">
                  <w:pPr>
                    <w:pStyle w:val="TableBodyText"/>
                    <w:ind w:right="57"/>
                  </w:pPr>
                  <w:r w:rsidRPr="008E78A1">
                    <w:t>0.1</w:t>
                  </w:r>
                </w:p>
              </w:tc>
              <w:tc>
                <w:tcPr>
                  <w:tcW w:w="464" w:type="pct"/>
                  <w:shd w:val="clear" w:color="auto" w:fill="auto"/>
                  <w:vAlign w:val="bottom"/>
                </w:tcPr>
                <w:p w:rsidR="00745FEA" w:rsidRPr="008E78A1" w:rsidRDefault="00745FEA" w:rsidP="00745FEA">
                  <w:pPr>
                    <w:pStyle w:val="TableBodyText"/>
                    <w:ind w:right="57"/>
                  </w:pPr>
                  <w:r w:rsidRPr="008E78A1">
                    <w:t>0.5</w:t>
                  </w:r>
                </w:p>
              </w:tc>
              <w:tc>
                <w:tcPr>
                  <w:tcW w:w="461" w:type="pct"/>
                  <w:shd w:val="clear" w:color="auto" w:fill="auto"/>
                  <w:vAlign w:val="bottom"/>
                </w:tcPr>
                <w:p w:rsidR="00745FEA" w:rsidRPr="008E78A1" w:rsidRDefault="00745FEA" w:rsidP="00745FEA">
                  <w:pPr>
                    <w:pStyle w:val="TableBodyText"/>
                    <w:ind w:right="57"/>
                  </w:pPr>
                  <w:r w:rsidRPr="008E78A1">
                    <w:t>0.1</w:t>
                  </w:r>
                </w:p>
              </w:tc>
            </w:tr>
            <w:tr w:rsidR="00745FEA" w:rsidTr="00745FEA">
              <w:tc>
                <w:tcPr>
                  <w:tcW w:w="2219" w:type="pct"/>
                </w:tcPr>
                <w:p w:rsidR="00745FEA" w:rsidRPr="00A024B4" w:rsidRDefault="00745FEA" w:rsidP="00745FEA">
                  <w:pPr>
                    <w:pStyle w:val="TableBodyText"/>
                    <w:spacing w:after="0"/>
                    <w:ind w:left="227" w:right="0"/>
                    <w:jc w:val="left"/>
                  </w:pPr>
                  <w:r w:rsidRPr="00A024B4">
                    <w:t>Entrepreneurs’ Infrastructure Programme - Business Management Skills</w:t>
                  </w:r>
                </w:p>
              </w:tc>
              <w:tc>
                <w:tcPr>
                  <w:tcW w:w="464" w:type="pct"/>
                  <w:vAlign w:val="bottom"/>
                </w:tcPr>
                <w:p w:rsidR="00745FEA" w:rsidRPr="008E78A1" w:rsidRDefault="00745FEA" w:rsidP="00745FEA">
                  <w:pPr>
                    <w:pStyle w:val="TableBodyText"/>
                    <w:ind w:right="57"/>
                  </w:pPr>
                  <w:r w:rsidRPr="008E78A1">
                    <w:t>–</w:t>
                  </w:r>
                </w:p>
              </w:tc>
              <w:tc>
                <w:tcPr>
                  <w:tcW w:w="464" w:type="pct"/>
                  <w:vAlign w:val="bottom"/>
                </w:tcPr>
                <w:p w:rsidR="00745FEA" w:rsidRPr="008E78A1" w:rsidRDefault="00745FEA" w:rsidP="00745FEA">
                  <w:pPr>
                    <w:pStyle w:val="TableBodyText"/>
                    <w:ind w:right="57"/>
                  </w:pPr>
                  <w:r w:rsidRPr="008E78A1">
                    <w:t>–</w:t>
                  </w:r>
                </w:p>
              </w:tc>
              <w:tc>
                <w:tcPr>
                  <w:tcW w:w="464" w:type="pct"/>
                  <w:shd w:val="clear" w:color="auto" w:fill="auto"/>
                  <w:vAlign w:val="bottom"/>
                </w:tcPr>
                <w:p w:rsidR="00745FEA" w:rsidRPr="008E78A1" w:rsidRDefault="00745FEA" w:rsidP="00745FEA">
                  <w:pPr>
                    <w:pStyle w:val="TableBodyText"/>
                    <w:ind w:right="57"/>
                  </w:pPr>
                  <w:r w:rsidRPr="008E78A1">
                    <w:t>–</w:t>
                  </w:r>
                </w:p>
              </w:tc>
              <w:tc>
                <w:tcPr>
                  <w:tcW w:w="464" w:type="pct"/>
                  <w:vAlign w:val="bottom"/>
                </w:tcPr>
                <w:p w:rsidR="00745FEA" w:rsidRPr="008E78A1" w:rsidRDefault="00745FEA" w:rsidP="00745FEA">
                  <w:pPr>
                    <w:pStyle w:val="TableBodyText"/>
                    <w:ind w:right="57"/>
                  </w:pPr>
                  <w:r w:rsidRPr="008E78A1">
                    <w:t>0.2</w:t>
                  </w:r>
                </w:p>
              </w:tc>
              <w:tc>
                <w:tcPr>
                  <w:tcW w:w="464" w:type="pct"/>
                  <w:shd w:val="clear" w:color="auto" w:fill="auto"/>
                  <w:vAlign w:val="bottom"/>
                </w:tcPr>
                <w:p w:rsidR="00745FEA" w:rsidRPr="008E78A1" w:rsidRDefault="00745FEA" w:rsidP="00745FEA">
                  <w:pPr>
                    <w:pStyle w:val="TableBodyText"/>
                    <w:ind w:right="57"/>
                  </w:pPr>
                  <w:r w:rsidRPr="008E78A1">
                    <w:t>0.7</w:t>
                  </w:r>
                </w:p>
              </w:tc>
              <w:tc>
                <w:tcPr>
                  <w:tcW w:w="461" w:type="pct"/>
                  <w:shd w:val="clear" w:color="auto" w:fill="auto"/>
                  <w:vAlign w:val="bottom"/>
                </w:tcPr>
                <w:p w:rsidR="00745FEA" w:rsidRPr="008E78A1" w:rsidRDefault="00745FEA" w:rsidP="00745FEA">
                  <w:pPr>
                    <w:pStyle w:val="TableBodyText"/>
                    <w:ind w:right="57"/>
                  </w:pPr>
                  <w:r w:rsidRPr="008E78A1">
                    <w:t>0.5</w:t>
                  </w:r>
                </w:p>
              </w:tc>
            </w:tr>
            <w:tr w:rsidR="00745FEA" w:rsidTr="00745FEA">
              <w:tc>
                <w:tcPr>
                  <w:tcW w:w="2219" w:type="pct"/>
                  <w:tcBorders>
                    <w:bottom w:val="single" w:sz="6" w:space="0" w:color="BFBFBF"/>
                  </w:tcBorders>
                </w:tcPr>
                <w:p w:rsidR="00745FEA" w:rsidRPr="00A024B4" w:rsidRDefault="00745FEA" w:rsidP="00745FEA">
                  <w:pPr>
                    <w:pStyle w:val="TableBodyText"/>
                    <w:ind w:left="227" w:right="0"/>
                    <w:jc w:val="left"/>
                  </w:pPr>
                  <w:r w:rsidRPr="00A024B4">
                    <w:t>Illawarra Region Innovation and Investment Fund</w:t>
                  </w:r>
                </w:p>
              </w:tc>
              <w:tc>
                <w:tcPr>
                  <w:tcW w:w="464" w:type="pct"/>
                  <w:tcBorders>
                    <w:bottom w:val="single" w:sz="6" w:space="0" w:color="BFBFBF"/>
                  </w:tcBorders>
                  <w:vAlign w:val="bottom"/>
                </w:tcPr>
                <w:p w:rsidR="00745FEA" w:rsidRPr="008E78A1" w:rsidRDefault="00745FEA" w:rsidP="00745FEA">
                  <w:pPr>
                    <w:pStyle w:val="TableBodyText"/>
                    <w:ind w:right="57"/>
                  </w:pPr>
                  <w:r w:rsidRPr="008E78A1">
                    <w:t>–</w:t>
                  </w:r>
                </w:p>
              </w:tc>
              <w:tc>
                <w:tcPr>
                  <w:tcW w:w="464" w:type="pct"/>
                  <w:tcBorders>
                    <w:bottom w:val="single" w:sz="6" w:space="0" w:color="BFBFBF"/>
                  </w:tcBorders>
                  <w:vAlign w:val="bottom"/>
                </w:tcPr>
                <w:p w:rsidR="00745FEA" w:rsidRPr="008E78A1" w:rsidRDefault="00745FEA" w:rsidP="00745FEA">
                  <w:pPr>
                    <w:pStyle w:val="TableBodyText"/>
                    <w:ind w:right="57"/>
                  </w:pPr>
                  <w:r w:rsidRPr="008E78A1">
                    <w:t>0.1</w:t>
                  </w:r>
                </w:p>
              </w:tc>
              <w:tc>
                <w:tcPr>
                  <w:tcW w:w="464" w:type="pct"/>
                  <w:tcBorders>
                    <w:bottom w:val="single" w:sz="6" w:space="0" w:color="BFBFBF"/>
                  </w:tcBorders>
                  <w:shd w:val="clear" w:color="auto" w:fill="auto"/>
                  <w:vAlign w:val="bottom"/>
                </w:tcPr>
                <w:p w:rsidR="00745FEA" w:rsidRPr="008E78A1" w:rsidRDefault="00745FEA" w:rsidP="00745FEA">
                  <w:pPr>
                    <w:pStyle w:val="TableBodyText"/>
                    <w:ind w:right="57"/>
                  </w:pPr>
                  <w:r w:rsidRPr="008E78A1">
                    <w:t>–</w:t>
                  </w:r>
                </w:p>
              </w:tc>
              <w:tc>
                <w:tcPr>
                  <w:tcW w:w="464" w:type="pct"/>
                  <w:tcBorders>
                    <w:bottom w:val="single" w:sz="6" w:space="0" w:color="BFBFBF"/>
                  </w:tcBorders>
                  <w:vAlign w:val="bottom"/>
                </w:tcPr>
                <w:p w:rsidR="00745FEA" w:rsidRPr="008E78A1" w:rsidRDefault="00745FEA" w:rsidP="00745FEA">
                  <w:pPr>
                    <w:pStyle w:val="TableBodyText"/>
                    <w:ind w:right="57"/>
                  </w:pPr>
                  <w:r w:rsidRPr="008E78A1">
                    <w:t>–</w:t>
                  </w:r>
                </w:p>
              </w:tc>
              <w:tc>
                <w:tcPr>
                  <w:tcW w:w="464" w:type="pct"/>
                  <w:tcBorders>
                    <w:bottom w:val="single" w:sz="6" w:space="0" w:color="BFBFBF"/>
                  </w:tcBorders>
                  <w:shd w:val="clear" w:color="auto" w:fill="auto"/>
                  <w:vAlign w:val="bottom"/>
                </w:tcPr>
                <w:p w:rsidR="00745FEA" w:rsidRPr="008E78A1" w:rsidRDefault="00745FEA" w:rsidP="00745FEA">
                  <w:pPr>
                    <w:pStyle w:val="TableBodyText"/>
                    <w:ind w:right="57"/>
                  </w:pPr>
                  <w:r w:rsidRPr="008E78A1">
                    <w:t>–</w:t>
                  </w:r>
                </w:p>
              </w:tc>
              <w:tc>
                <w:tcPr>
                  <w:tcW w:w="461" w:type="pct"/>
                  <w:tcBorders>
                    <w:bottom w:val="single" w:sz="6" w:space="0" w:color="BFBFBF"/>
                  </w:tcBorders>
                  <w:shd w:val="clear" w:color="auto" w:fill="auto"/>
                  <w:vAlign w:val="bottom"/>
                </w:tcPr>
                <w:p w:rsidR="00745FEA" w:rsidRDefault="00745FEA" w:rsidP="00745FEA">
                  <w:pPr>
                    <w:pStyle w:val="TableBodyText"/>
                    <w:ind w:right="57"/>
                  </w:pPr>
                  <w:r w:rsidRPr="008E78A1">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58" w:type="dxa"/>
              <w:tblCellMar>
                <w:top w:w="28" w:type="dxa"/>
                <w:left w:w="0" w:type="dxa"/>
                <w:right w:w="0" w:type="dxa"/>
              </w:tblCellMar>
              <w:tblLook w:val="0000" w:firstRow="0" w:lastRow="0" w:firstColumn="0" w:lastColumn="0" w:noHBand="0" w:noVBand="0"/>
            </w:tblPr>
            <w:tblGrid>
              <w:gridCol w:w="3799"/>
              <w:gridCol w:w="794"/>
              <w:gridCol w:w="794"/>
              <w:gridCol w:w="794"/>
              <w:gridCol w:w="794"/>
              <w:gridCol w:w="794"/>
              <w:gridCol w:w="789"/>
            </w:tblGrid>
            <w:tr w:rsidR="00745FEA" w:rsidTr="00C719FB">
              <w:trPr>
                <w:tblHeader/>
              </w:trPr>
              <w:tc>
                <w:tcPr>
                  <w:tcW w:w="2219" w:type="pct"/>
                  <w:tcBorders>
                    <w:top w:val="single" w:sz="6" w:space="0" w:color="BFBFBF"/>
                    <w:bottom w:val="single" w:sz="6" w:space="0" w:color="BFBFBF"/>
                  </w:tcBorders>
                </w:tcPr>
                <w:p w:rsidR="00745FEA" w:rsidRDefault="00745FEA" w:rsidP="00745FEA">
                  <w:pPr>
                    <w:pStyle w:val="TableColumnHeading"/>
                    <w:jc w:val="left"/>
                  </w:pP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1"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C719FB">
              <w:tc>
                <w:tcPr>
                  <w:tcW w:w="2219" w:type="pct"/>
                </w:tcPr>
                <w:p w:rsidR="00745FEA" w:rsidRPr="00826457" w:rsidRDefault="00745FEA" w:rsidP="00745FEA">
                  <w:pPr>
                    <w:pStyle w:val="TableBodyText"/>
                    <w:spacing w:before="40" w:after="0"/>
                    <w:ind w:left="113"/>
                    <w:jc w:val="left"/>
                    <w:rPr>
                      <w:i/>
                    </w:rPr>
                  </w:pPr>
                  <w:r w:rsidRPr="00826457">
                    <w:rPr>
                      <w:i/>
                    </w:rPr>
                    <w:t>Other measures</w:t>
                  </w:r>
                  <w:r>
                    <w:rPr>
                      <w:i/>
                    </w:rPr>
                    <w:t xml:space="preserve"> (continued)</w:t>
                  </w: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1" w:type="pct"/>
                  <w:shd w:val="clear" w:color="auto" w:fill="auto"/>
                  <w:vAlign w:val="bottom"/>
                </w:tcPr>
                <w:p w:rsidR="00745FEA" w:rsidRDefault="00745FEA" w:rsidP="00745FEA">
                  <w:pPr>
                    <w:pStyle w:val="TableBodyText"/>
                    <w:spacing w:before="40" w:after="0"/>
                    <w:ind w:left="113" w:right="57"/>
                  </w:pPr>
                </w:p>
              </w:tc>
            </w:tr>
            <w:tr w:rsidR="00745FEA" w:rsidTr="00C719FB">
              <w:tc>
                <w:tcPr>
                  <w:tcW w:w="2219" w:type="pct"/>
                </w:tcPr>
                <w:p w:rsidR="00745FEA" w:rsidRPr="00A024B4" w:rsidRDefault="00745FEA" w:rsidP="00745FEA">
                  <w:pPr>
                    <w:pStyle w:val="TableBodyText"/>
                    <w:spacing w:after="0"/>
                    <w:ind w:left="227" w:right="0"/>
                    <w:jc w:val="left"/>
                  </w:pPr>
                  <w:r w:rsidRPr="00A024B4">
                    <w:t>South East South Australia Innovation and Investment Fund</w:t>
                  </w:r>
                </w:p>
              </w:tc>
              <w:tc>
                <w:tcPr>
                  <w:tcW w:w="464" w:type="pct"/>
                  <w:vAlign w:val="bottom"/>
                </w:tcPr>
                <w:p w:rsidR="00745FEA" w:rsidRPr="00D7568B" w:rsidRDefault="00745FEA" w:rsidP="00745FEA">
                  <w:pPr>
                    <w:pStyle w:val="TableBodyText"/>
                    <w:ind w:right="57"/>
                  </w:pPr>
                  <w:r w:rsidRPr="00D7568B">
                    <w:t>0.1</w:t>
                  </w:r>
                </w:p>
              </w:tc>
              <w:tc>
                <w:tcPr>
                  <w:tcW w:w="464" w:type="pct"/>
                  <w:vAlign w:val="bottom"/>
                </w:tcPr>
                <w:p w:rsidR="00745FEA" w:rsidRPr="00D7568B" w:rsidRDefault="00745FEA" w:rsidP="00745FEA">
                  <w:pPr>
                    <w:pStyle w:val="TableBodyText"/>
                    <w:ind w:right="57"/>
                  </w:pPr>
                  <w:r w:rsidRPr="00D7568B">
                    <w:t>0.5</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4" w:type="pct"/>
                  <w:vAlign w:val="bottom"/>
                </w:tcPr>
                <w:p w:rsidR="00745FEA" w:rsidRPr="00D7568B" w:rsidRDefault="00745FEA" w:rsidP="00745FEA">
                  <w:pPr>
                    <w:pStyle w:val="TableBodyText"/>
                    <w:ind w:right="57"/>
                  </w:pPr>
                  <w:r w:rsidRPr="00D7568B">
                    <w:t>–</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1" w:type="pct"/>
                  <w:shd w:val="clear" w:color="auto" w:fill="auto"/>
                  <w:vAlign w:val="bottom"/>
                </w:tcPr>
                <w:p w:rsidR="00745FEA" w:rsidRPr="00D7568B" w:rsidRDefault="00745FEA" w:rsidP="00745FEA">
                  <w:pPr>
                    <w:pStyle w:val="TableBodyText"/>
                    <w:ind w:right="57"/>
                  </w:pPr>
                  <w:r w:rsidRPr="00D7568B">
                    <w:t>–</w:t>
                  </w:r>
                </w:p>
              </w:tc>
            </w:tr>
            <w:tr w:rsidR="00745FEA" w:rsidTr="00C719FB">
              <w:tc>
                <w:tcPr>
                  <w:tcW w:w="2219" w:type="pct"/>
                </w:tcPr>
                <w:p w:rsidR="00745FEA" w:rsidRPr="00A024B4" w:rsidRDefault="00745FEA" w:rsidP="00745FEA">
                  <w:pPr>
                    <w:pStyle w:val="TableBodyText"/>
                    <w:spacing w:after="0"/>
                    <w:ind w:left="227" w:right="0"/>
                    <w:jc w:val="left"/>
                  </w:pPr>
                  <w:r w:rsidRPr="00A024B4">
                    <w:t>Tasmanian Innovation and Investment Fund</w:t>
                  </w:r>
                </w:p>
              </w:tc>
              <w:tc>
                <w:tcPr>
                  <w:tcW w:w="464" w:type="pct"/>
                  <w:vAlign w:val="bottom"/>
                </w:tcPr>
                <w:p w:rsidR="00745FEA" w:rsidRPr="00D7568B" w:rsidRDefault="00745FEA" w:rsidP="00745FEA">
                  <w:pPr>
                    <w:pStyle w:val="TableBodyText"/>
                    <w:ind w:right="57"/>
                  </w:pPr>
                  <w:r w:rsidRPr="00D7568B">
                    <w:t>0.8</w:t>
                  </w:r>
                </w:p>
              </w:tc>
              <w:tc>
                <w:tcPr>
                  <w:tcW w:w="464" w:type="pct"/>
                  <w:vAlign w:val="bottom"/>
                </w:tcPr>
                <w:p w:rsidR="00745FEA" w:rsidRPr="00D7568B" w:rsidRDefault="00745FEA" w:rsidP="00745FEA">
                  <w:pPr>
                    <w:pStyle w:val="TableBodyText"/>
                    <w:ind w:right="57"/>
                  </w:pPr>
                  <w:r w:rsidRPr="00D7568B">
                    <w:t>0.7</w:t>
                  </w:r>
                </w:p>
              </w:tc>
              <w:tc>
                <w:tcPr>
                  <w:tcW w:w="464" w:type="pct"/>
                  <w:shd w:val="clear" w:color="auto" w:fill="auto"/>
                  <w:vAlign w:val="bottom"/>
                </w:tcPr>
                <w:p w:rsidR="00745FEA" w:rsidRPr="00D7568B" w:rsidRDefault="00745FEA" w:rsidP="00745FEA">
                  <w:pPr>
                    <w:pStyle w:val="TableBodyText"/>
                    <w:ind w:right="57"/>
                  </w:pPr>
                  <w:r w:rsidRPr="00D7568B">
                    <w:t>0.1</w:t>
                  </w:r>
                </w:p>
              </w:tc>
              <w:tc>
                <w:tcPr>
                  <w:tcW w:w="464" w:type="pct"/>
                  <w:vAlign w:val="bottom"/>
                </w:tcPr>
                <w:p w:rsidR="00745FEA" w:rsidRPr="00D7568B" w:rsidRDefault="00745FEA" w:rsidP="00745FEA">
                  <w:pPr>
                    <w:pStyle w:val="TableBodyText"/>
                    <w:ind w:right="57"/>
                  </w:pPr>
                  <w:r w:rsidRPr="00D7568B">
                    <w:t>–</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1" w:type="pct"/>
                  <w:shd w:val="clear" w:color="auto" w:fill="auto"/>
                  <w:vAlign w:val="bottom"/>
                </w:tcPr>
                <w:p w:rsidR="00745FEA" w:rsidRPr="00D7568B" w:rsidRDefault="00745FEA" w:rsidP="00745FEA">
                  <w:pPr>
                    <w:pStyle w:val="TableBodyText"/>
                    <w:ind w:right="57"/>
                  </w:pPr>
                  <w:r w:rsidRPr="00D7568B">
                    <w:t>–</w:t>
                  </w:r>
                </w:p>
              </w:tc>
            </w:tr>
            <w:tr w:rsidR="00745FEA" w:rsidTr="00C719FB">
              <w:tc>
                <w:tcPr>
                  <w:tcW w:w="2219" w:type="pct"/>
                </w:tcPr>
                <w:p w:rsidR="00745FEA" w:rsidRPr="00C97FCA" w:rsidRDefault="00745FEA" w:rsidP="00745FEA">
                  <w:pPr>
                    <w:pStyle w:val="TableBodyText"/>
                    <w:spacing w:after="0"/>
                    <w:ind w:left="227" w:right="0"/>
                    <w:jc w:val="left"/>
                  </w:pPr>
                  <w:r w:rsidRPr="00C97FCA">
                    <w:t>Tasmanian Jobs and Investment Fund</w:t>
                  </w:r>
                </w:p>
              </w:tc>
              <w:tc>
                <w:tcPr>
                  <w:tcW w:w="464" w:type="pct"/>
                  <w:vAlign w:val="bottom"/>
                </w:tcPr>
                <w:p w:rsidR="00745FEA" w:rsidRPr="00D7568B" w:rsidRDefault="00745FEA" w:rsidP="00745FEA">
                  <w:pPr>
                    <w:pStyle w:val="TableBodyText"/>
                    <w:ind w:right="57"/>
                  </w:pPr>
                  <w:r w:rsidRPr="00D7568B">
                    <w:t>–</w:t>
                  </w:r>
                </w:p>
              </w:tc>
              <w:tc>
                <w:tcPr>
                  <w:tcW w:w="464" w:type="pct"/>
                  <w:vAlign w:val="bottom"/>
                </w:tcPr>
                <w:p w:rsidR="00745FEA" w:rsidRPr="00D7568B" w:rsidRDefault="00745FEA" w:rsidP="00745FEA">
                  <w:pPr>
                    <w:pStyle w:val="TableBodyText"/>
                    <w:ind w:right="57"/>
                  </w:pPr>
                  <w:r w:rsidRPr="00D7568B">
                    <w:t>–</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4" w:type="pct"/>
                  <w:vAlign w:val="bottom"/>
                </w:tcPr>
                <w:p w:rsidR="00745FEA" w:rsidRPr="00D7568B" w:rsidRDefault="00745FEA" w:rsidP="00745FEA">
                  <w:pPr>
                    <w:pStyle w:val="TableBodyText"/>
                    <w:ind w:right="57"/>
                  </w:pPr>
                  <w:r w:rsidRPr="00D7568B">
                    <w:t>–</w:t>
                  </w:r>
                </w:p>
              </w:tc>
              <w:tc>
                <w:tcPr>
                  <w:tcW w:w="464" w:type="pct"/>
                  <w:shd w:val="clear" w:color="auto" w:fill="auto"/>
                  <w:vAlign w:val="bottom"/>
                </w:tcPr>
                <w:p w:rsidR="00745FEA" w:rsidRPr="00D7568B" w:rsidRDefault="00745FEA" w:rsidP="00745FEA">
                  <w:pPr>
                    <w:pStyle w:val="TableBodyText"/>
                    <w:ind w:right="57"/>
                  </w:pPr>
                  <w:r w:rsidRPr="00D7568B">
                    <w:t>0.5</w:t>
                  </w:r>
                </w:p>
              </w:tc>
              <w:tc>
                <w:tcPr>
                  <w:tcW w:w="461" w:type="pct"/>
                  <w:shd w:val="clear" w:color="auto" w:fill="auto"/>
                  <w:vAlign w:val="bottom"/>
                </w:tcPr>
                <w:p w:rsidR="00745FEA" w:rsidRPr="00D7568B" w:rsidRDefault="00745FEA" w:rsidP="00745FEA">
                  <w:pPr>
                    <w:pStyle w:val="TableBodyText"/>
                    <w:ind w:right="57"/>
                  </w:pPr>
                  <w:r w:rsidRPr="00D7568B">
                    <w:t>0.4</w:t>
                  </w:r>
                </w:p>
              </w:tc>
            </w:tr>
            <w:tr w:rsidR="00745FEA" w:rsidTr="00C719FB">
              <w:tc>
                <w:tcPr>
                  <w:tcW w:w="2219" w:type="pct"/>
                </w:tcPr>
                <w:p w:rsidR="00745FEA" w:rsidRPr="00C97FCA" w:rsidRDefault="00745FEA" w:rsidP="00745FEA">
                  <w:pPr>
                    <w:pStyle w:val="TableBodyText"/>
                    <w:spacing w:after="0"/>
                    <w:ind w:left="227" w:right="0"/>
                    <w:jc w:val="left"/>
                  </w:pPr>
                  <w:r w:rsidRPr="00C97FCA">
                    <w:t xml:space="preserve">Small business </w:t>
                  </w:r>
                  <w:r>
                    <w:t>capital gains tax</w:t>
                  </w:r>
                  <w:r w:rsidRPr="00C97FCA">
                    <w:t xml:space="preserve"> rollover deferral</w:t>
                  </w:r>
                </w:p>
              </w:tc>
              <w:tc>
                <w:tcPr>
                  <w:tcW w:w="464" w:type="pct"/>
                  <w:vAlign w:val="bottom"/>
                </w:tcPr>
                <w:p w:rsidR="00745FEA" w:rsidRPr="00D7568B" w:rsidRDefault="00745FEA" w:rsidP="00745FEA">
                  <w:pPr>
                    <w:pStyle w:val="TableBodyText"/>
                    <w:ind w:right="57"/>
                  </w:pPr>
                  <w:r w:rsidRPr="00D7568B">
                    <w:t>0.2</w:t>
                  </w:r>
                </w:p>
              </w:tc>
              <w:tc>
                <w:tcPr>
                  <w:tcW w:w="464" w:type="pct"/>
                  <w:vAlign w:val="bottom"/>
                </w:tcPr>
                <w:p w:rsidR="00745FEA" w:rsidRPr="00D7568B" w:rsidRDefault="00745FEA" w:rsidP="00745FEA">
                  <w:pPr>
                    <w:pStyle w:val="TableBodyText"/>
                    <w:ind w:right="57"/>
                  </w:pPr>
                  <w:r w:rsidRPr="00D7568B">
                    <w:t>0.3</w:t>
                  </w:r>
                </w:p>
              </w:tc>
              <w:tc>
                <w:tcPr>
                  <w:tcW w:w="464" w:type="pct"/>
                  <w:shd w:val="clear" w:color="auto" w:fill="auto"/>
                  <w:vAlign w:val="bottom"/>
                </w:tcPr>
                <w:p w:rsidR="00745FEA" w:rsidRPr="00D7568B" w:rsidRDefault="00745FEA" w:rsidP="00745FEA">
                  <w:pPr>
                    <w:pStyle w:val="TableBodyText"/>
                    <w:ind w:right="57"/>
                  </w:pPr>
                  <w:r w:rsidRPr="00D7568B">
                    <w:t>0.3</w:t>
                  </w:r>
                </w:p>
              </w:tc>
              <w:tc>
                <w:tcPr>
                  <w:tcW w:w="464" w:type="pct"/>
                  <w:vAlign w:val="bottom"/>
                </w:tcPr>
                <w:p w:rsidR="00745FEA" w:rsidRPr="00D7568B" w:rsidRDefault="00745FEA" w:rsidP="00745FEA">
                  <w:pPr>
                    <w:pStyle w:val="TableBodyText"/>
                    <w:ind w:right="57"/>
                  </w:pPr>
                  <w:r w:rsidRPr="00D7568B">
                    <w:t>0.5</w:t>
                  </w:r>
                </w:p>
              </w:tc>
              <w:tc>
                <w:tcPr>
                  <w:tcW w:w="464" w:type="pct"/>
                  <w:shd w:val="clear" w:color="auto" w:fill="auto"/>
                  <w:vAlign w:val="bottom"/>
                </w:tcPr>
                <w:p w:rsidR="00745FEA" w:rsidRPr="00D7568B" w:rsidRDefault="00745FEA" w:rsidP="00745FEA">
                  <w:pPr>
                    <w:pStyle w:val="TableBodyText"/>
                    <w:ind w:right="57"/>
                  </w:pPr>
                  <w:r w:rsidRPr="00D7568B">
                    <w:t>0.4</w:t>
                  </w:r>
                </w:p>
              </w:tc>
              <w:tc>
                <w:tcPr>
                  <w:tcW w:w="461" w:type="pct"/>
                  <w:shd w:val="clear" w:color="auto" w:fill="auto"/>
                  <w:vAlign w:val="bottom"/>
                </w:tcPr>
                <w:p w:rsidR="00745FEA" w:rsidRPr="00D7568B" w:rsidRDefault="00745FEA" w:rsidP="00745FEA">
                  <w:pPr>
                    <w:pStyle w:val="TableBodyText"/>
                    <w:ind w:right="57"/>
                  </w:pPr>
                  <w:r w:rsidRPr="00D7568B">
                    <w:t>0.4</w:t>
                  </w:r>
                </w:p>
              </w:tc>
            </w:tr>
            <w:tr w:rsidR="00745FEA" w:rsidTr="00C719FB">
              <w:tc>
                <w:tcPr>
                  <w:tcW w:w="2219" w:type="pct"/>
                </w:tcPr>
                <w:p w:rsidR="00745FEA" w:rsidRPr="00C97FCA" w:rsidRDefault="00745FEA" w:rsidP="00745FEA">
                  <w:pPr>
                    <w:pStyle w:val="TableBodyText"/>
                    <w:spacing w:after="0"/>
                    <w:ind w:left="227" w:right="0"/>
                    <w:jc w:val="left"/>
                  </w:pPr>
                  <w:r w:rsidRPr="00C97FCA">
                    <w:t>The Small Business and General Business Tax Break</w:t>
                  </w:r>
                </w:p>
              </w:tc>
              <w:tc>
                <w:tcPr>
                  <w:tcW w:w="464" w:type="pct"/>
                  <w:vAlign w:val="bottom"/>
                </w:tcPr>
                <w:p w:rsidR="00745FEA" w:rsidRPr="00D7568B" w:rsidRDefault="00745FEA" w:rsidP="00745FEA">
                  <w:pPr>
                    <w:pStyle w:val="TableBodyText"/>
                    <w:ind w:right="57"/>
                  </w:pPr>
                  <w:r w:rsidRPr="00D7568B">
                    <w:t>3.5</w:t>
                  </w:r>
                </w:p>
              </w:tc>
              <w:tc>
                <w:tcPr>
                  <w:tcW w:w="464" w:type="pct"/>
                  <w:vAlign w:val="bottom"/>
                </w:tcPr>
                <w:p w:rsidR="00745FEA" w:rsidRPr="00D7568B" w:rsidRDefault="00745FEA" w:rsidP="00745FEA">
                  <w:pPr>
                    <w:pStyle w:val="TableBodyText"/>
                    <w:ind w:right="57"/>
                  </w:pPr>
                  <w:r w:rsidRPr="00D7568B">
                    <w:t>1.2</w:t>
                  </w:r>
                </w:p>
              </w:tc>
              <w:tc>
                <w:tcPr>
                  <w:tcW w:w="464" w:type="pct"/>
                  <w:shd w:val="clear" w:color="auto" w:fill="auto"/>
                  <w:vAlign w:val="bottom"/>
                </w:tcPr>
                <w:p w:rsidR="00745FEA" w:rsidRPr="00D7568B" w:rsidRDefault="00745FEA" w:rsidP="00745FEA">
                  <w:pPr>
                    <w:pStyle w:val="TableBodyText"/>
                    <w:ind w:right="57"/>
                  </w:pPr>
                  <w:r w:rsidRPr="00D7568B">
                    <w:t>0.1</w:t>
                  </w:r>
                </w:p>
              </w:tc>
              <w:tc>
                <w:tcPr>
                  <w:tcW w:w="464" w:type="pct"/>
                  <w:vAlign w:val="bottom"/>
                </w:tcPr>
                <w:p w:rsidR="00745FEA" w:rsidRPr="00D7568B" w:rsidRDefault="00745FEA" w:rsidP="00745FEA">
                  <w:pPr>
                    <w:pStyle w:val="TableBodyText"/>
                    <w:ind w:right="57"/>
                  </w:pPr>
                  <w:r w:rsidRPr="00D7568B">
                    <w:t>–</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1" w:type="pct"/>
                  <w:shd w:val="clear" w:color="auto" w:fill="auto"/>
                  <w:vAlign w:val="bottom"/>
                </w:tcPr>
                <w:p w:rsidR="00745FEA" w:rsidRPr="00D7568B" w:rsidRDefault="00745FEA" w:rsidP="00745FEA">
                  <w:pPr>
                    <w:pStyle w:val="TableBodyText"/>
                    <w:ind w:right="57"/>
                  </w:pPr>
                  <w:r w:rsidRPr="00D7568B">
                    <w:t>–</w:t>
                  </w:r>
                </w:p>
              </w:tc>
            </w:tr>
            <w:tr w:rsidR="00745FEA" w:rsidTr="00C719FB">
              <w:tc>
                <w:tcPr>
                  <w:tcW w:w="2219" w:type="pct"/>
                </w:tcPr>
                <w:p w:rsidR="00745FEA" w:rsidRPr="00C97FCA" w:rsidRDefault="00745FEA" w:rsidP="00745FEA">
                  <w:pPr>
                    <w:pStyle w:val="TableBodyText"/>
                    <w:spacing w:after="0"/>
                    <w:ind w:left="227" w:right="0"/>
                    <w:jc w:val="left"/>
                  </w:pPr>
                  <w:r w:rsidRPr="00C97FCA">
                    <w:t>Small Business - Simplified depreciation rules</w:t>
                  </w:r>
                </w:p>
              </w:tc>
              <w:tc>
                <w:tcPr>
                  <w:tcW w:w="464" w:type="pct"/>
                  <w:vAlign w:val="bottom"/>
                </w:tcPr>
                <w:p w:rsidR="00745FEA" w:rsidRPr="00D7568B" w:rsidRDefault="00745FEA" w:rsidP="00745FEA">
                  <w:pPr>
                    <w:pStyle w:val="TableBodyText"/>
                    <w:ind w:right="57"/>
                  </w:pPr>
                  <w:r w:rsidRPr="00D7568B">
                    <w:t>0.1</w:t>
                  </w:r>
                </w:p>
              </w:tc>
              <w:tc>
                <w:tcPr>
                  <w:tcW w:w="464" w:type="pct"/>
                  <w:vAlign w:val="bottom"/>
                </w:tcPr>
                <w:p w:rsidR="00745FEA" w:rsidRPr="00D7568B" w:rsidRDefault="00745FEA" w:rsidP="00745FEA">
                  <w:pPr>
                    <w:pStyle w:val="TableBodyText"/>
                    <w:ind w:right="57"/>
                  </w:pPr>
                  <w:r w:rsidRPr="00D7568B">
                    <w:t>-0.4</w:t>
                  </w:r>
                </w:p>
              </w:tc>
              <w:tc>
                <w:tcPr>
                  <w:tcW w:w="464" w:type="pct"/>
                  <w:shd w:val="clear" w:color="auto" w:fill="auto"/>
                  <w:vAlign w:val="bottom"/>
                </w:tcPr>
                <w:p w:rsidR="00745FEA" w:rsidRPr="00D7568B" w:rsidRDefault="00745FEA" w:rsidP="00745FEA">
                  <w:pPr>
                    <w:pStyle w:val="TableBodyText"/>
                    <w:ind w:right="57"/>
                  </w:pPr>
                  <w:r w:rsidRPr="00D7568B">
                    <w:t>1.5</w:t>
                  </w:r>
                </w:p>
              </w:tc>
              <w:tc>
                <w:tcPr>
                  <w:tcW w:w="464" w:type="pct"/>
                  <w:vAlign w:val="bottom"/>
                </w:tcPr>
                <w:p w:rsidR="00745FEA" w:rsidRPr="00D7568B" w:rsidRDefault="00745FEA" w:rsidP="00745FEA">
                  <w:pPr>
                    <w:pStyle w:val="TableBodyText"/>
                    <w:ind w:right="57"/>
                  </w:pPr>
                  <w:r w:rsidRPr="00D7568B">
                    <w:t>-0.7</w:t>
                  </w:r>
                </w:p>
              </w:tc>
              <w:tc>
                <w:tcPr>
                  <w:tcW w:w="464" w:type="pct"/>
                  <w:shd w:val="clear" w:color="auto" w:fill="auto"/>
                  <w:vAlign w:val="bottom"/>
                </w:tcPr>
                <w:p w:rsidR="00745FEA" w:rsidRPr="00D7568B" w:rsidRDefault="00745FEA" w:rsidP="00745FEA">
                  <w:pPr>
                    <w:pStyle w:val="TableBodyText"/>
                    <w:ind w:right="57"/>
                  </w:pPr>
                  <w:r w:rsidRPr="00D7568B">
                    <w:t>-1.4</w:t>
                  </w:r>
                </w:p>
              </w:tc>
              <w:tc>
                <w:tcPr>
                  <w:tcW w:w="461" w:type="pct"/>
                  <w:shd w:val="clear" w:color="auto" w:fill="auto"/>
                  <w:vAlign w:val="bottom"/>
                </w:tcPr>
                <w:p w:rsidR="00745FEA" w:rsidRPr="00D7568B" w:rsidRDefault="00745FEA" w:rsidP="00745FEA">
                  <w:pPr>
                    <w:pStyle w:val="TableBodyText"/>
                    <w:ind w:right="57"/>
                  </w:pPr>
                  <w:r w:rsidRPr="00D7568B">
                    <w:t>8.0</w:t>
                  </w:r>
                </w:p>
              </w:tc>
            </w:tr>
            <w:tr w:rsidR="00745FEA" w:rsidTr="00C719FB">
              <w:tc>
                <w:tcPr>
                  <w:tcW w:w="2219" w:type="pct"/>
                </w:tcPr>
                <w:p w:rsidR="00745FEA" w:rsidRPr="00C97FCA" w:rsidRDefault="00745FEA" w:rsidP="00745FEA">
                  <w:pPr>
                    <w:pStyle w:val="TableBodyText"/>
                    <w:spacing w:after="0"/>
                    <w:ind w:left="227" w:right="0"/>
                    <w:jc w:val="left"/>
                  </w:pPr>
                  <w:r w:rsidRPr="00C97FCA">
                    <w:t xml:space="preserve">Small business </w:t>
                  </w:r>
                  <w:r>
                    <w:t>capital gains tax</w:t>
                  </w:r>
                  <w:r w:rsidRPr="00C97FCA">
                    <w:t xml:space="preserve"> retirement exemption</w:t>
                  </w:r>
                </w:p>
              </w:tc>
              <w:tc>
                <w:tcPr>
                  <w:tcW w:w="464" w:type="pct"/>
                  <w:vAlign w:val="bottom"/>
                </w:tcPr>
                <w:p w:rsidR="00745FEA" w:rsidRPr="00D7568B" w:rsidRDefault="00745FEA" w:rsidP="00745FEA">
                  <w:pPr>
                    <w:pStyle w:val="TableBodyText"/>
                    <w:ind w:right="57"/>
                  </w:pPr>
                  <w:r w:rsidRPr="00D7568B">
                    <w:t>1.0</w:t>
                  </w:r>
                </w:p>
              </w:tc>
              <w:tc>
                <w:tcPr>
                  <w:tcW w:w="464" w:type="pct"/>
                  <w:vAlign w:val="bottom"/>
                </w:tcPr>
                <w:p w:rsidR="00745FEA" w:rsidRPr="00D7568B" w:rsidRDefault="00745FEA" w:rsidP="00745FEA">
                  <w:pPr>
                    <w:pStyle w:val="TableBodyText"/>
                    <w:ind w:right="57"/>
                  </w:pPr>
                  <w:r w:rsidRPr="00D7568B">
                    <w:t>1.0</w:t>
                  </w:r>
                </w:p>
              </w:tc>
              <w:tc>
                <w:tcPr>
                  <w:tcW w:w="464" w:type="pct"/>
                  <w:shd w:val="clear" w:color="auto" w:fill="auto"/>
                  <w:vAlign w:val="bottom"/>
                </w:tcPr>
                <w:p w:rsidR="00745FEA" w:rsidRPr="00D7568B" w:rsidRDefault="00745FEA" w:rsidP="00745FEA">
                  <w:pPr>
                    <w:pStyle w:val="TableBodyText"/>
                    <w:ind w:right="57"/>
                  </w:pPr>
                  <w:r w:rsidRPr="00D7568B">
                    <w:t>1.0</w:t>
                  </w:r>
                </w:p>
              </w:tc>
              <w:tc>
                <w:tcPr>
                  <w:tcW w:w="464" w:type="pct"/>
                  <w:vAlign w:val="bottom"/>
                </w:tcPr>
                <w:p w:rsidR="00745FEA" w:rsidRPr="00D7568B" w:rsidRDefault="00745FEA" w:rsidP="00745FEA">
                  <w:pPr>
                    <w:pStyle w:val="TableBodyText"/>
                    <w:ind w:right="57"/>
                  </w:pPr>
                  <w:r w:rsidRPr="00D7568B">
                    <w:t>1.1</w:t>
                  </w:r>
                </w:p>
              </w:tc>
              <w:tc>
                <w:tcPr>
                  <w:tcW w:w="464" w:type="pct"/>
                  <w:shd w:val="clear" w:color="auto" w:fill="auto"/>
                  <w:vAlign w:val="bottom"/>
                </w:tcPr>
                <w:p w:rsidR="00745FEA" w:rsidRPr="00D7568B" w:rsidRDefault="00745FEA" w:rsidP="00745FEA">
                  <w:pPr>
                    <w:pStyle w:val="TableBodyText"/>
                    <w:ind w:right="57"/>
                  </w:pPr>
                  <w:r w:rsidRPr="00D7568B">
                    <w:t>1.1</w:t>
                  </w:r>
                </w:p>
              </w:tc>
              <w:tc>
                <w:tcPr>
                  <w:tcW w:w="461" w:type="pct"/>
                  <w:shd w:val="clear" w:color="auto" w:fill="auto"/>
                  <w:vAlign w:val="bottom"/>
                </w:tcPr>
                <w:p w:rsidR="00745FEA" w:rsidRPr="00D7568B" w:rsidRDefault="00745FEA" w:rsidP="00745FEA">
                  <w:pPr>
                    <w:pStyle w:val="TableBodyText"/>
                    <w:ind w:right="57"/>
                  </w:pPr>
                  <w:r w:rsidRPr="00D7568B">
                    <w:t>1.1</w:t>
                  </w:r>
                </w:p>
              </w:tc>
            </w:tr>
            <w:tr w:rsidR="00745FEA" w:rsidTr="00C719FB">
              <w:tc>
                <w:tcPr>
                  <w:tcW w:w="2219" w:type="pct"/>
                </w:tcPr>
                <w:p w:rsidR="00745FEA" w:rsidRPr="00C97FCA" w:rsidRDefault="00745FEA" w:rsidP="00745FEA">
                  <w:pPr>
                    <w:pStyle w:val="TableBodyText"/>
                    <w:spacing w:after="0"/>
                    <w:ind w:left="227" w:right="0"/>
                    <w:jc w:val="left"/>
                  </w:pPr>
                  <w:r w:rsidRPr="00C97FCA">
                    <w:t xml:space="preserve">Small business </w:t>
                  </w:r>
                  <w:r>
                    <w:t>capital gains tax</w:t>
                  </w:r>
                  <w:r w:rsidRPr="00C97FCA">
                    <w:t xml:space="preserve"> 50 per cent reduction</w:t>
                  </w:r>
                </w:p>
              </w:tc>
              <w:tc>
                <w:tcPr>
                  <w:tcW w:w="464" w:type="pct"/>
                  <w:vAlign w:val="bottom"/>
                </w:tcPr>
                <w:p w:rsidR="00745FEA" w:rsidRPr="00D7568B" w:rsidRDefault="00745FEA" w:rsidP="00745FEA">
                  <w:pPr>
                    <w:pStyle w:val="TableBodyText"/>
                    <w:ind w:right="57"/>
                  </w:pPr>
                  <w:r w:rsidRPr="00D7568B">
                    <w:t>1.2</w:t>
                  </w:r>
                </w:p>
              </w:tc>
              <w:tc>
                <w:tcPr>
                  <w:tcW w:w="464" w:type="pct"/>
                  <w:vAlign w:val="bottom"/>
                </w:tcPr>
                <w:p w:rsidR="00745FEA" w:rsidRPr="00D7568B" w:rsidRDefault="00745FEA" w:rsidP="00745FEA">
                  <w:pPr>
                    <w:pStyle w:val="TableBodyText"/>
                    <w:ind w:right="57"/>
                  </w:pPr>
                  <w:r w:rsidRPr="00D7568B">
                    <w:t>1.3</w:t>
                  </w:r>
                </w:p>
              </w:tc>
              <w:tc>
                <w:tcPr>
                  <w:tcW w:w="464" w:type="pct"/>
                  <w:shd w:val="clear" w:color="auto" w:fill="auto"/>
                  <w:vAlign w:val="bottom"/>
                </w:tcPr>
                <w:p w:rsidR="00745FEA" w:rsidRPr="00D7568B" w:rsidRDefault="00745FEA" w:rsidP="00745FEA">
                  <w:pPr>
                    <w:pStyle w:val="TableBodyText"/>
                    <w:ind w:right="57"/>
                  </w:pPr>
                  <w:r w:rsidRPr="00D7568B">
                    <w:t>1.3</w:t>
                  </w:r>
                </w:p>
              </w:tc>
              <w:tc>
                <w:tcPr>
                  <w:tcW w:w="464" w:type="pct"/>
                  <w:vAlign w:val="bottom"/>
                </w:tcPr>
                <w:p w:rsidR="00745FEA" w:rsidRPr="00D7568B" w:rsidRDefault="00745FEA" w:rsidP="00745FEA">
                  <w:pPr>
                    <w:pStyle w:val="TableBodyText"/>
                    <w:ind w:right="57"/>
                  </w:pPr>
                  <w:r w:rsidRPr="00D7568B">
                    <w:t>1.0</w:t>
                  </w:r>
                </w:p>
              </w:tc>
              <w:tc>
                <w:tcPr>
                  <w:tcW w:w="464" w:type="pct"/>
                  <w:shd w:val="clear" w:color="auto" w:fill="auto"/>
                  <w:vAlign w:val="bottom"/>
                </w:tcPr>
                <w:p w:rsidR="00745FEA" w:rsidRPr="00D7568B" w:rsidRDefault="00745FEA" w:rsidP="00745FEA">
                  <w:pPr>
                    <w:pStyle w:val="TableBodyText"/>
                    <w:ind w:right="57"/>
                  </w:pPr>
                  <w:r w:rsidRPr="00D7568B">
                    <w:t>1.1</w:t>
                  </w:r>
                </w:p>
              </w:tc>
              <w:tc>
                <w:tcPr>
                  <w:tcW w:w="461" w:type="pct"/>
                  <w:shd w:val="clear" w:color="auto" w:fill="auto"/>
                  <w:vAlign w:val="bottom"/>
                </w:tcPr>
                <w:p w:rsidR="00745FEA" w:rsidRPr="00D7568B" w:rsidRDefault="00745FEA" w:rsidP="00745FEA">
                  <w:pPr>
                    <w:pStyle w:val="TableBodyText"/>
                    <w:ind w:right="57"/>
                  </w:pPr>
                  <w:r w:rsidRPr="00D7568B">
                    <w:t>0.8</w:t>
                  </w:r>
                </w:p>
              </w:tc>
            </w:tr>
            <w:tr w:rsidR="00745FEA" w:rsidTr="00C719FB">
              <w:tc>
                <w:tcPr>
                  <w:tcW w:w="2219" w:type="pct"/>
                </w:tcPr>
                <w:p w:rsidR="00745FEA" w:rsidRPr="00C97FCA" w:rsidRDefault="00745FEA" w:rsidP="00745FEA">
                  <w:pPr>
                    <w:pStyle w:val="TableBodyText"/>
                    <w:spacing w:after="0"/>
                    <w:ind w:left="227" w:right="0"/>
                    <w:jc w:val="left"/>
                  </w:pPr>
                  <w:r w:rsidRPr="00C97FCA">
                    <w:t>25 per cent entrepreneurs' tax offset</w:t>
                  </w:r>
                </w:p>
              </w:tc>
              <w:tc>
                <w:tcPr>
                  <w:tcW w:w="464" w:type="pct"/>
                  <w:vAlign w:val="bottom"/>
                </w:tcPr>
                <w:p w:rsidR="00745FEA" w:rsidRPr="00D7568B" w:rsidRDefault="00745FEA" w:rsidP="00745FEA">
                  <w:pPr>
                    <w:pStyle w:val="TableBodyText"/>
                    <w:ind w:right="57"/>
                  </w:pPr>
                  <w:r w:rsidRPr="00D7568B">
                    <w:t>1.0</w:t>
                  </w:r>
                </w:p>
              </w:tc>
              <w:tc>
                <w:tcPr>
                  <w:tcW w:w="464" w:type="pct"/>
                  <w:vAlign w:val="bottom"/>
                </w:tcPr>
                <w:p w:rsidR="00745FEA" w:rsidRPr="00D7568B" w:rsidRDefault="00745FEA" w:rsidP="00745FEA">
                  <w:pPr>
                    <w:pStyle w:val="TableBodyText"/>
                    <w:ind w:right="57"/>
                  </w:pPr>
                  <w:r w:rsidRPr="00D7568B">
                    <w:t>1.4</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4" w:type="pct"/>
                  <w:vAlign w:val="bottom"/>
                </w:tcPr>
                <w:p w:rsidR="00745FEA" w:rsidRPr="00D7568B" w:rsidRDefault="00745FEA" w:rsidP="00745FEA">
                  <w:pPr>
                    <w:pStyle w:val="TableBodyText"/>
                    <w:ind w:right="57"/>
                  </w:pPr>
                  <w:r w:rsidRPr="00D7568B">
                    <w:t>–</w:t>
                  </w:r>
                </w:p>
              </w:tc>
              <w:tc>
                <w:tcPr>
                  <w:tcW w:w="464" w:type="pct"/>
                  <w:shd w:val="clear" w:color="auto" w:fill="auto"/>
                  <w:vAlign w:val="bottom"/>
                </w:tcPr>
                <w:p w:rsidR="00745FEA" w:rsidRPr="00D7568B" w:rsidRDefault="00745FEA" w:rsidP="00745FEA">
                  <w:pPr>
                    <w:pStyle w:val="TableBodyText"/>
                    <w:ind w:right="57"/>
                  </w:pPr>
                  <w:r w:rsidRPr="00D7568B">
                    <w:t>–</w:t>
                  </w:r>
                </w:p>
              </w:tc>
              <w:tc>
                <w:tcPr>
                  <w:tcW w:w="461" w:type="pct"/>
                  <w:shd w:val="clear" w:color="auto" w:fill="auto"/>
                  <w:vAlign w:val="bottom"/>
                </w:tcPr>
                <w:p w:rsidR="00745FEA" w:rsidRDefault="00745FEA" w:rsidP="00745FEA">
                  <w:pPr>
                    <w:pStyle w:val="TableBodyText"/>
                    <w:ind w:right="57"/>
                  </w:pPr>
                  <w:r w:rsidRPr="00D7568B">
                    <w:t>–</w:t>
                  </w:r>
                </w:p>
              </w:tc>
            </w:tr>
            <w:tr w:rsidR="00745FEA" w:rsidTr="00C719FB">
              <w:tc>
                <w:tcPr>
                  <w:tcW w:w="2219" w:type="pct"/>
                </w:tcPr>
                <w:p w:rsidR="00745FEA" w:rsidRPr="00826457" w:rsidRDefault="00745FEA" w:rsidP="00745FEA">
                  <w:pPr>
                    <w:pStyle w:val="TableBodyText"/>
                    <w:spacing w:before="20" w:after="20"/>
                    <w:jc w:val="left"/>
                    <w:rPr>
                      <w:i/>
                    </w:rPr>
                  </w:pPr>
                  <w:r w:rsidRPr="00826457">
                    <w:rPr>
                      <w:i/>
                    </w:rPr>
                    <w:t>Total</w:t>
                  </w:r>
                </w:p>
              </w:tc>
              <w:tc>
                <w:tcPr>
                  <w:tcW w:w="464" w:type="pct"/>
                  <w:vAlign w:val="bottom"/>
                </w:tcPr>
                <w:p w:rsidR="00745FEA" w:rsidRPr="009B75ED" w:rsidRDefault="00745FEA" w:rsidP="00745FEA">
                  <w:pPr>
                    <w:pStyle w:val="TableBodyText"/>
                    <w:spacing w:before="20" w:after="20"/>
                    <w:ind w:right="57"/>
                    <w:rPr>
                      <w:i/>
                    </w:rPr>
                  </w:pPr>
                  <w:r>
                    <w:rPr>
                      <w:i/>
                    </w:rPr>
                    <w:t>288.7</w:t>
                  </w:r>
                </w:p>
              </w:tc>
              <w:tc>
                <w:tcPr>
                  <w:tcW w:w="464" w:type="pct"/>
                  <w:vAlign w:val="bottom"/>
                </w:tcPr>
                <w:p w:rsidR="00745FEA" w:rsidRPr="009B75ED" w:rsidRDefault="00745FEA" w:rsidP="00745FEA">
                  <w:pPr>
                    <w:pStyle w:val="TableBodyText"/>
                    <w:spacing w:before="20" w:after="20"/>
                    <w:ind w:right="57"/>
                    <w:rPr>
                      <w:i/>
                    </w:rPr>
                  </w:pPr>
                  <w:r>
                    <w:rPr>
                      <w:i/>
                    </w:rPr>
                    <w:t>362.2</w:t>
                  </w:r>
                </w:p>
              </w:tc>
              <w:tc>
                <w:tcPr>
                  <w:tcW w:w="464" w:type="pct"/>
                  <w:shd w:val="clear" w:color="auto" w:fill="auto"/>
                </w:tcPr>
                <w:p w:rsidR="00745FEA" w:rsidRPr="000C3843" w:rsidRDefault="00745FEA" w:rsidP="00745FEA">
                  <w:pPr>
                    <w:pStyle w:val="TableBodyText"/>
                    <w:spacing w:before="20" w:after="20"/>
                    <w:ind w:right="57"/>
                    <w:rPr>
                      <w:i/>
                    </w:rPr>
                  </w:pPr>
                  <w:r>
                    <w:rPr>
                      <w:i/>
                    </w:rPr>
                    <w:t>298.7</w:t>
                  </w:r>
                </w:p>
              </w:tc>
              <w:tc>
                <w:tcPr>
                  <w:tcW w:w="464" w:type="pct"/>
                </w:tcPr>
                <w:p w:rsidR="00745FEA" w:rsidRPr="000C3843" w:rsidRDefault="00745FEA" w:rsidP="00745FEA">
                  <w:pPr>
                    <w:pStyle w:val="TableBodyText"/>
                    <w:spacing w:before="20" w:after="20"/>
                    <w:ind w:right="57"/>
                    <w:rPr>
                      <w:i/>
                    </w:rPr>
                  </w:pPr>
                  <w:r>
                    <w:rPr>
                      <w:i/>
                    </w:rPr>
                    <w:t>255.8</w:t>
                  </w:r>
                </w:p>
              </w:tc>
              <w:tc>
                <w:tcPr>
                  <w:tcW w:w="464" w:type="pct"/>
                  <w:shd w:val="clear" w:color="auto" w:fill="auto"/>
                </w:tcPr>
                <w:p w:rsidR="00745FEA" w:rsidRPr="000C3843" w:rsidRDefault="00745FEA" w:rsidP="00745FEA">
                  <w:pPr>
                    <w:pStyle w:val="TableBodyText"/>
                    <w:spacing w:before="20" w:after="20"/>
                    <w:ind w:right="57"/>
                    <w:rPr>
                      <w:i/>
                    </w:rPr>
                  </w:pPr>
                  <w:r>
                    <w:rPr>
                      <w:i/>
                    </w:rPr>
                    <w:t>208.8</w:t>
                  </w:r>
                </w:p>
              </w:tc>
              <w:tc>
                <w:tcPr>
                  <w:tcW w:w="461" w:type="pct"/>
                  <w:shd w:val="clear" w:color="auto" w:fill="auto"/>
                </w:tcPr>
                <w:p w:rsidR="00745FEA" w:rsidRPr="000C3843" w:rsidRDefault="00745FEA" w:rsidP="00745FEA">
                  <w:pPr>
                    <w:pStyle w:val="TableBodyText"/>
                    <w:spacing w:before="20" w:after="20"/>
                    <w:ind w:right="57"/>
                    <w:rPr>
                      <w:i/>
                    </w:rPr>
                  </w:pPr>
                  <w:r>
                    <w:rPr>
                      <w:i/>
                    </w:rPr>
                    <w:t>263.8</w:t>
                  </w:r>
                </w:p>
              </w:tc>
            </w:tr>
            <w:tr w:rsidR="00745FEA" w:rsidTr="00C719FB">
              <w:tc>
                <w:tcPr>
                  <w:tcW w:w="2219" w:type="pct"/>
                </w:tcPr>
                <w:p w:rsidR="00745FEA" w:rsidRPr="005237FE" w:rsidRDefault="00745FEA" w:rsidP="00745FEA">
                  <w:pPr>
                    <w:pStyle w:val="TableUnitsRow"/>
                    <w:jc w:val="left"/>
                    <w:rPr>
                      <w:b/>
                    </w:rPr>
                  </w:pPr>
                  <w:r w:rsidRPr="005237FE">
                    <w:rPr>
                      <w:b/>
                    </w:rPr>
                    <w:t>Motor vehicle</w:t>
                  </w:r>
                  <w:r>
                    <w:rPr>
                      <w:b/>
                    </w:rPr>
                    <w:t>s</w:t>
                  </w:r>
                  <w:r w:rsidRPr="005237FE">
                    <w:rPr>
                      <w:b/>
                    </w:rPr>
                    <w:t xml:space="preserve"> and parts</w:t>
                  </w: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1" w:type="pct"/>
                  <w:vAlign w:val="bottom"/>
                </w:tcPr>
                <w:p w:rsidR="00745FEA" w:rsidRDefault="00745FEA" w:rsidP="00745FEA">
                  <w:pPr>
                    <w:pStyle w:val="TableBodyText"/>
                    <w:spacing w:before="40"/>
                    <w:ind w:right="57"/>
                  </w:pPr>
                </w:p>
              </w:tc>
            </w:tr>
            <w:tr w:rsidR="00745FEA" w:rsidTr="00C719FB">
              <w:tc>
                <w:tcPr>
                  <w:tcW w:w="2219" w:type="pct"/>
                </w:tcPr>
                <w:p w:rsidR="00745FEA" w:rsidRPr="005237FE" w:rsidRDefault="00745FEA" w:rsidP="00745FEA">
                  <w:pPr>
                    <w:pStyle w:val="TableBodyText"/>
                    <w:spacing w:before="40" w:after="0"/>
                    <w:ind w:left="113"/>
                    <w:jc w:val="left"/>
                    <w:rPr>
                      <w:i/>
                    </w:rPr>
                  </w:pPr>
                  <w:r w:rsidRPr="005237FE">
                    <w:rPr>
                      <w:i/>
                    </w:rPr>
                    <w:t>Industry-specific measures</w:t>
                  </w: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1" w:type="pct"/>
                  <w:vAlign w:val="bottom"/>
                </w:tcPr>
                <w:p w:rsidR="00745FEA" w:rsidRDefault="00745FEA" w:rsidP="00745FEA">
                  <w:pPr>
                    <w:pStyle w:val="TableBodyText"/>
                    <w:ind w:right="57"/>
                  </w:pPr>
                </w:p>
              </w:tc>
            </w:tr>
            <w:tr w:rsidR="00745FEA" w:rsidTr="00C719FB">
              <w:tc>
                <w:tcPr>
                  <w:tcW w:w="2219" w:type="pct"/>
                </w:tcPr>
                <w:p w:rsidR="00745FEA" w:rsidRPr="004A50DF" w:rsidRDefault="00745FEA" w:rsidP="00745FEA">
                  <w:pPr>
                    <w:pStyle w:val="TableBodyText"/>
                    <w:spacing w:after="0"/>
                    <w:ind w:left="227" w:right="0"/>
                    <w:jc w:val="left"/>
                  </w:pPr>
                  <w:r w:rsidRPr="004A50DF">
                    <w:t>Automotive Transformation Scheme</w:t>
                  </w:r>
                </w:p>
              </w:tc>
              <w:tc>
                <w:tcPr>
                  <w:tcW w:w="464" w:type="pct"/>
                  <w:vAlign w:val="bottom"/>
                </w:tcPr>
                <w:p w:rsidR="00745FEA" w:rsidRPr="00D8333C" w:rsidRDefault="00745FEA" w:rsidP="00745FEA">
                  <w:pPr>
                    <w:pStyle w:val="TableBodyText"/>
                    <w:ind w:right="57"/>
                  </w:pPr>
                  <w:r w:rsidRPr="00D8333C">
                    <w:t>381.0</w:t>
                  </w:r>
                </w:p>
              </w:tc>
              <w:tc>
                <w:tcPr>
                  <w:tcW w:w="464" w:type="pct"/>
                  <w:vAlign w:val="bottom"/>
                </w:tcPr>
                <w:p w:rsidR="00745FEA" w:rsidRPr="00D8333C" w:rsidRDefault="00745FEA" w:rsidP="00745FEA">
                  <w:pPr>
                    <w:pStyle w:val="TableBodyText"/>
                    <w:ind w:right="57"/>
                  </w:pPr>
                  <w:r w:rsidRPr="00D8333C">
                    <w:t>334.4</w:t>
                  </w:r>
                </w:p>
              </w:tc>
              <w:tc>
                <w:tcPr>
                  <w:tcW w:w="464" w:type="pct"/>
                  <w:vAlign w:val="bottom"/>
                </w:tcPr>
                <w:p w:rsidR="00745FEA" w:rsidRPr="00D8333C" w:rsidRDefault="00745FEA" w:rsidP="00745FEA">
                  <w:pPr>
                    <w:pStyle w:val="TableBodyText"/>
                    <w:ind w:right="57"/>
                  </w:pPr>
                  <w:r w:rsidRPr="00D8333C">
                    <w:t>332.8</w:t>
                  </w:r>
                </w:p>
              </w:tc>
              <w:tc>
                <w:tcPr>
                  <w:tcW w:w="464" w:type="pct"/>
                  <w:shd w:val="clear" w:color="auto" w:fill="auto"/>
                  <w:vAlign w:val="bottom"/>
                </w:tcPr>
                <w:p w:rsidR="00745FEA" w:rsidRPr="00D8333C" w:rsidRDefault="00745FEA" w:rsidP="00745FEA">
                  <w:pPr>
                    <w:pStyle w:val="TableBodyText"/>
                    <w:ind w:right="57"/>
                  </w:pPr>
                  <w:r w:rsidRPr="00D8333C">
                    <w:t>269.4</w:t>
                  </w:r>
                </w:p>
              </w:tc>
              <w:tc>
                <w:tcPr>
                  <w:tcW w:w="464" w:type="pct"/>
                  <w:shd w:val="clear" w:color="auto" w:fill="auto"/>
                  <w:vAlign w:val="bottom"/>
                </w:tcPr>
                <w:p w:rsidR="00745FEA" w:rsidRPr="00D8333C" w:rsidRDefault="00745FEA" w:rsidP="00745FEA">
                  <w:pPr>
                    <w:pStyle w:val="TableBodyText"/>
                    <w:ind w:right="57"/>
                  </w:pPr>
                  <w:r w:rsidRPr="00D8333C">
                    <w:t>222.7</w:t>
                  </w:r>
                </w:p>
              </w:tc>
              <w:tc>
                <w:tcPr>
                  <w:tcW w:w="461" w:type="pct"/>
                  <w:shd w:val="clear" w:color="auto" w:fill="auto"/>
                  <w:vAlign w:val="bottom"/>
                </w:tcPr>
                <w:p w:rsidR="00745FEA" w:rsidRPr="00D8333C" w:rsidRDefault="00745FEA" w:rsidP="00745FEA">
                  <w:pPr>
                    <w:pStyle w:val="TableBodyText"/>
                    <w:ind w:right="57"/>
                  </w:pPr>
                  <w:r w:rsidRPr="00D8333C">
                    <w:t>168.5</w:t>
                  </w:r>
                </w:p>
              </w:tc>
            </w:tr>
            <w:tr w:rsidR="00745FEA" w:rsidTr="00C719FB">
              <w:tc>
                <w:tcPr>
                  <w:tcW w:w="2219" w:type="pct"/>
                </w:tcPr>
                <w:p w:rsidR="00745FEA" w:rsidRPr="004A50DF" w:rsidRDefault="00745FEA" w:rsidP="00745FEA">
                  <w:pPr>
                    <w:pStyle w:val="TableBodyText"/>
                    <w:spacing w:after="0"/>
                    <w:ind w:left="227" w:right="0"/>
                    <w:jc w:val="left"/>
                  </w:pPr>
                  <w:r w:rsidRPr="004A50DF">
                    <w:t>Automotive Industry Structural Adjustment Program</w:t>
                  </w:r>
                </w:p>
              </w:tc>
              <w:tc>
                <w:tcPr>
                  <w:tcW w:w="464" w:type="pct"/>
                  <w:vAlign w:val="bottom"/>
                </w:tcPr>
                <w:p w:rsidR="00745FEA" w:rsidRPr="00D8333C" w:rsidRDefault="00745FEA" w:rsidP="00745FEA">
                  <w:pPr>
                    <w:pStyle w:val="TableBodyText"/>
                    <w:ind w:right="57"/>
                  </w:pPr>
                  <w:r w:rsidRPr="00D8333C">
                    <w:t>16.8</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1" w:type="pct"/>
                  <w:shd w:val="clear" w:color="auto" w:fill="auto"/>
                  <w:vAlign w:val="bottom"/>
                </w:tcPr>
                <w:p w:rsidR="00745FEA" w:rsidRPr="00D8333C" w:rsidRDefault="00745FEA" w:rsidP="00745FEA">
                  <w:pPr>
                    <w:pStyle w:val="TableBodyText"/>
                    <w:ind w:right="57"/>
                  </w:pPr>
                  <w:r w:rsidRPr="00D8333C">
                    <w:t>–</w:t>
                  </w:r>
                </w:p>
              </w:tc>
            </w:tr>
            <w:tr w:rsidR="00745FEA" w:rsidTr="00C719FB">
              <w:tc>
                <w:tcPr>
                  <w:tcW w:w="2219" w:type="pct"/>
                </w:tcPr>
                <w:p w:rsidR="00745FEA" w:rsidRPr="004A50DF" w:rsidRDefault="00745FEA" w:rsidP="00745FEA">
                  <w:pPr>
                    <w:pStyle w:val="TableBodyText"/>
                    <w:spacing w:after="0"/>
                    <w:ind w:left="227" w:right="0"/>
                    <w:jc w:val="left"/>
                  </w:pPr>
                  <w:r w:rsidRPr="004A50DF">
                    <w:t>Automotive Market Access Program</w:t>
                  </w:r>
                </w:p>
              </w:tc>
              <w:tc>
                <w:tcPr>
                  <w:tcW w:w="464" w:type="pct"/>
                  <w:vAlign w:val="bottom"/>
                </w:tcPr>
                <w:p w:rsidR="00745FEA" w:rsidRPr="00D8333C" w:rsidRDefault="00745FEA" w:rsidP="00745FEA">
                  <w:pPr>
                    <w:pStyle w:val="TableBodyText"/>
                    <w:ind w:right="57"/>
                  </w:pPr>
                  <w:r w:rsidRPr="00D8333C">
                    <w:t>0.5</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1" w:type="pct"/>
                  <w:shd w:val="clear" w:color="auto" w:fill="auto"/>
                  <w:vAlign w:val="bottom"/>
                </w:tcPr>
                <w:p w:rsidR="00745FEA" w:rsidRPr="00D8333C" w:rsidRDefault="00745FEA" w:rsidP="00745FEA">
                  <w:pPr>
                    <w:pStyle w:val="TableBodyText"/>
                    <w:ind w:right="57"/>
                  </w:pPr>
                  <w:r w:rsidRPr="00D8333C">
                    <w:t>–</w:t>
                  </w:r>
                </w:p>
              </w:tc>
            </w:tr>
            <w:tr w:rsidR="00745FEA" w:rsidTr="00C719FB">
              <w:tc>
                <w:tcPr>
                  <w:tcW w:w="2219" w:type="pct"/>
                </w:tcPr>
                <w:p w:rsidR="00745FEA" w:rsidRPr="004A50DF" w:rsidRDefault="00745FEA" w:rsidP="00745FEA">
                  <w:pPr>
                    <w:pStyle w:val="TableBodyText"/>
                    <w:spacing w:after="0"/>
                    <w:ind w:left="227" w:right="0"/>
                    <w:jc w:val="left"/>
                  </w:pPr>
                  <w:r w:rsidRPr="004A50DF">
                    <w:t>Automotive New Markets Initiative</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2.9</w:t>
                  </w:r>
                </w:p>
              </w:tc>
              <w:tc>
                <w:tcPr>
                  <w:tcW w:w="464" w:type="pct"/>
                  <w:vAlign w:val="bottom"/>
                </w:tcPr>
                <w:p w:rsidR="00745FEA" w:rsidRPr="00D8333C" w:rsidRDefault="00745FEA" w:rsidP="00745FEA">
                  <w:pPr>
                    <w:pStyle w:val="TableBodyText"/>
                    <w:ind w:right="57"/>
                  </w:pPr>
                  <w:r w:rsidRPr="00D8333C">
                    <w:t>6.3</w:t>
                  </w:r>
                </w:p>
              </w:tc>
              <w:tc>
                <w:tcPr>
                  <w:tcW w:w="464" w:type="pct"/>
                  <w:shd w:val="clear" w:color="auto" w:fill="auto"/>
                  <w:vAlign w:val="bottom"/>
                </w:tcPr>
                <w:p w:rsidR="00745FEA" w:rsidRPr="00D8333C" w:rsidRDefault="00745FEA" w:rsidP="00745FEA">
                  <w:pPr>
                    <w:pStyle w:val="TableBodyText"/>
                    <w:ind w:right="57"/>
                  </w:pPr>
                  <w:r w:rsidRPr="00D8333C">
                    <w:t>3.8</w:t>
                  </w:r>
                </w:p>
              </w:tc>
              <w:tc>
                <w:tcPr>
                  <w:tcW w:w="464" w:type="pct"/>
                  <w:shd w:val="clear" w:color="auto" w:fill="auto"/>
                  <w:vAlign w:val="bottom"/>
                </w:tcPr>
                <w:p w:rsidR="00745FEA" w:rsidRPr="00D8333C" w:rsidRDefault="00745FEA" w:rsidP="00745FEA">
                  <w:pPr>
                    <w:pStyle w:val="TableBodyText"/>
                    <w:ind w:right="57"/>
                  </w:pPr>
                  <w:r w:rsidRPr="00D8333C">
                    <w:t>0.3</w:t>
                  </w:r>
                </w:p>
              </w:tc>
              <w:tc>
                <w:tcPr>
                  <w:tcW w:w="461" w:type="pct"/>
                  <w:shd w:val="clear" w:color="auto" w:fill="auto"/>
                  <w:vAlign w:val="bottom"/>
                </w:tcPr>
                <w:p w:rsidR="00745FEA" w:rsidRPr="00D8333C" w:rsidRDefault="00745FEA" w:rsidP="00745FEA">
                  <w:pPr>
                    <w:pStyle w:val="TableBodyText"/>
                    <w:ind w:right="57"/>
                  </w:pPr>
                  <w:r w:rsidRPr="00D8333C">
                    <w:t>–</w:t>
                  </w:r>
                </w:p>
              </w:tc>
            </w:tr>
            <w:tr w:rsidR="00745FEA" w:rsidTr="00C719FB">
              <w:tc>
                <w:tcPr>
                  <w:tcW w:w="2219" w:type="pct"/>
                </w:tcPr>
                <w:p w:rsidR="00745FEA" w:rsidRPr="004A50DF" w:rsidRDefault="00745FEA" w:rsidP="00745FEA">
                  <w:pPr>
                    <w:pStyle w:val="TableBodyText"/>
                    <w:spacing w:after="0"/>
                    <w:ind w:left="227" w:right="0"/>
                    <w:jc w:val="left"/>
                  </w:pPr>
                  <w:r w:rsidRPr="004A50DF">
                    <w:t>Automotive Supply Chain Development Program</w:t>
                  </w:r>
                </w:p>
              </w:tc>
              <w:tc>
                <w:tcPr>
                  <w:tcW w:w="464" w:type="pct"/>
                  <w:vAlign w:val="bottom"/>
                </w:tcPr>
                <w:p w:rsidR="00745FEA" w:rsidRPr="00D8333C" w:rsidRDefault="00745FEA" w:rsidP="00745FEA">
                  <w:pPr>
                    <w:pStyle w:val="TableBodyText"/>
                    <w:ind w:right="57"/>
                  </w:pPr>
                  <w:r w:rsidRPr="00D8333C">
                    <w:t>5.4</w:t>
                  </w:r>
                </w:p>
              </w:tc>
              <w:tc>
                <w:tcPr>
                  <w:tcW w:w="464" w:type="pct"/>
                  <w:vAlign w:val="bottom"/>
                </w:tcPr>
                <w:p w:rsidR="00745FEA" w:rsidRPr="00D8333C" w:rsidRDefault="00745FEA" w:rsidP="00745FEA">
                  <w:pPr>
                    <w:pStyle w:val="TableBodyText"/>
                    <w:ind w:right="57"/>
                  </w:pPr>
                  <w:r w:rsidRPr="00D8333C">
                    <w:t>4.4</w:t>
                  </w:r>
                </w:p>
              </w:tc>
              <w:tc>
                <w:tcPr>
                  <w:tcW w:w="464" w:type="pct"/>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1" w:type="pct"/>
                  <w:shd w:val="clear" w:color="auto" w:fill="auto"/>
                  <w:vAlign w:val="bottom"/>
                </w:tcPr>
                <w:p w:rsidR="00745FEA" w:rsidRPr="00D8333C" w:rsidRDefault="00745FEA" w:rsidP="00745FEA">
                  <w:pPr>
                    <w:pStyle w:val="TableBodyText"/>
                    <w:ind w:right="57"/>
                  </w:pPr>
                  <w:r w:rsidRPr="00D8333C">
                    <w:t>–</w:t>
                  </w:r>
                </w:p>
              </w:tc>
            </w:tr>
            <w:tr w:rsidR="00745FEA" w:rsidTr="00C719FB">
              <w:tc>
                <w:tcPr>
                  <w:tcW w:w="2219" w:type="pct"/>
                </w:tcPr>
                <w:p w:rsidR="00745FEA" w:rsidRPr="004A50DF" w:rsidRDefault="00745FEA" w:rsidP="00745FEA">
                  <w:pPr>
                    <w:pStyle w:val="TableBodyText"/>
                    <w:spacing w:after="0"/>
                    <w:ind w:left="227" w:right="0"/>
                    <w:jc w:val="left"/>
                  </w:pPr>
                  <w:r w:rsidRPr="004A50DF">
                    <w:t>Automotive Diversification Programme</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2.2</w:t>
                  </w:r>
                </w:p>
              </w:tc>
              <w:tc>
                <w:tcPr>
                  <w:tcW w:w="464" w:type="pct"/>
                  <w:shd w:val="clear" w:color="auto" w:fill="auto"/>
                  <w:vAlign w:val="bottom"/>
                </w:tcPr>
                <w:p w:rsidR="00745FEA" w:rsidRPr="00D8333C" w:rsidRDefault="00745FEA" w:rsidP="00745FEA">
                  <w:pPr>
                    <w:pStyle w:val="TableBodyText"/>
                    <w:ind w:right="57"/>
                  </w:pPr>
                  <w:r w:rsidRPr="00D8333C">
                    <w:t>8.8</w:t>
                  </w:r>
                </w:p>
              </w:tc>
              <w:tc>
                <w:tcPr>
                  <w:tcW w:w="461" w:type="pct"/>
                  <w:shd w:val="clear" w:color="auto" w:fill="auto"/>
                  <w:vAlign w:val="bottom"/>
                </w:tcPr>
                <w:p w:rsidR="00745FEA" w:rsidRPr="00D8333C" w:rsidRDefault="00745FEA" w:rsidP="00745FEA">
                  <w:pPr>
                    <w:pStyle w:val="TableBodyText"/>
                    <w:ind w:right="57"/>
                  </w:pPr>
                  <w:r w:rsidRPr="00D8333C">
                    <w:t>4.3</w:t>
                  </w:r>
                </w:p>
              </w:tc>
            </w:tr>
            <w:tr w:rsidR="00745FEA" w:rsidTr="00C719FB">
              <w:tc>
                <w:tcPr>
                  <w:tcW w:w="2219" w:type="pct"/>
                </w:tcPr>
                <w:p w:rsidR="00745FEA" w:rsidRPr="004A50DF" w:rsidRDefault="00745FEA" w:rsidP="00745FEA">
                  <w:pPr>
                    <w:pStyle w:val="TableBodyText"/>
                    <w:spacing w:after="0"/>
                    <w:ind w:left="227" w:right="0"/>
                    <w:jc w:val="left"/>
                  </w:pPr>
                  <w:r w:rsidRPr="004A50DF">
                    <w:t>Ford Australia Assistance</w:t>
                  </w:r>
                </w:p>
              </w:tc>
              <w:tc>
                <w:tcPr>
                  <w:tcW w:w="464" w:type="pct"/>
                  <w:vAlign w:val="bottom"/>
                </w:tcPr>
                <w:p w:rsidR="00745FEA" w:rsidRPr="00D8333C" w:rsidRDefault="00745FEA" w:rsidP="00745FEA">
                  <w:pPr>
                    <w:pStyle w:val="TableBodyText"/>
                    <w:ind w:right="57"/>
                  </w:pPr>
                  <w:r w:rsidRPr="00D8333C">
                    <w:t>34.0</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1" w:type="pct"/>
                  <w:shd w:val="clear" w:color="auto" w:fill="auto"/>
                  <w:vAlign w:val="bottom"/>
                </w:tcPr>
                <w:p w:rsidR="00745FEA" w:rsidRPr="00D8333C" w:rsidRDefault="00745FEA" w:rsidP="00745FEA">
                  <w:pPr>
                    <w:pStyle w:val="TableBodyText"/>
                    <w:ind w:right="57"/>
                  </w:pPr>
                  <w:r w:rsidRPr="00D8333C">
                    <w:t>–</w:t>
                  </w:r>
                </w:p>
              </w:tc>
            </w:tr>
            <w:tr w:rsidR="00745FEA" w:rsidTr="00C719FB">
              <w:tc>
                <w:tcPr>
                  <w:tcW w:w="2219" w:type="pct"/>
                </w:tcPr>
                <w:p w:rsidR="00745FEA" w:rsidRPr="004A50DF" w:rsidRDefault="00745FEA" w:rsidP="00745FEA">
                  <w:pPr>
                    <w:pStyle w:val="TableBodyText"/>
                    <w:spacing w:after="0"/>
                    <w:ind w:left="227" w:right="0"/>
                    <w:jc w:val="left"/>
                  </w:pPr>
                  <w:r w:rsidRPr="004A50DF">
                    <w:t>Green Car Innovation Fund</w:t>
                  </w:r>
                </w:p>
              </w:tc>
              <w:tc>
                <w:tcPr>
                  <w:tcW w:w="464" w:type="pct"/>
                  <w:vAlign w:val="bottom"/>
                </w:tcPr>
                <w:p w:rsidR="00745FEA" w:rsidRPr="00D8333C" w:rsidRDefault="00745FEA" w:rsidP="00745FEA">
                  <w:pPr>
                    <w:pStyle w:val="TableBodyText"/>
                    <w:ind w:right="57"/>
                  </w:pPr>
                  <w:r w:rsidRPr="00D8333C">
                    <w:t>125.5</w:t>
                  </w:r>
                </w:p>
              </w:tc>
              <w:tc>
                <w:tcPr>
                  <w:tcW w:w="464" w:type="pct"/>
                  <w:vAlign w:val="bottom"/>
                </w:tcPr>
                <w:p w:rsidR="00745FEA" w:rsidRPr="00D8333C" w:rsidRDefault="00745FEA" w:rsidP="00745FEA">
                  <w:pPr>
                    <w:pStyle w:val="TableBodyText"/>
                    <w:ind w:right="57"/>
                  </w:pPr>
                  <w:r w:rsidRPr="00D8333C">
                    <w:t>47.4</w:t>
                  </w:r>
                </w:p>
              </w:tc>
              <w:tc>
                <w:tcPr>
                  <w:tcW w:w="464" w:type="pct"/>
                  <w:vAlign w:val="bottom"/>
                </w:tcPr>
                <w:p w:rsidR="00745FEA" w:rsidRPr="00D8333C" w:rsidRDefault="00745FEA" w:rsidP="00745FEA">
                  <w:pPr>
                    <w:pStyle w:val="TableBodyText"/>
                    <w:ind w:right="57"/>
                  </w:pPr>
                  <w:r w:rsidRPr="00D8333C">
                    <w:t>6.0</w:t>
                  </w:r>
                </w:p>
              </w:tc>
              <w:tc>
                <w:tcPr>
                  <w:tcW w:w="464" w:type="pct"/>
                  <w:shd w:val="clear" w:color="auto" w:fill="auto"/>
                  <w:vAlign w:val="bottom"/>
                </w:tcPr>
                <w:p w:rsidR="00745FEA" w:rsidRPr="00D8333C" w:rsidRDefault="00745FEA" w:rsidP="00745FEA">
                  <w:pPr>
                    <w:pStyle w:val="TableBodyText"/>
                    <w:ind w:right="57"/>
                  </w:pPr>
                  <w:r w:rsidRPr="00D8333C">
                    <w:t>0.1</w:t>
                  </w:r>
                </w:p>
              </w:tc>
              <w:tc>
                <w:tcPr>
                  <w:tcW w:w="464" w:type="pct"/>
                  <w:shd w:val="clear" w:color="auto" w:fill="auto"/>
                  <w:vAlign w:val="bottom"/>
                </w:tcPr>
                <w:p w:rsidR="00745FEA" w:rsidRPr="00D8333C" w:rsidRDefault="00745FEA" w:rsidP="00745FEA">
                  <w:pPr>
                    <w:pStyle w:val="TableBodyText"/>
                    <w:ind w:right="57"/>
                  </w:pPr>
                  <w:r w:rsidRPr="00D8333C">
                    <w:t>–</w:t>
                  </w:r>
                </w:p>
              </w:tc>
              <w:tc>
                <w:tcPr>
                  <w:tcW w:w="461" w:type="pct"/>
                  <w:shd w:val="clear" w:color="auto" w:fill="auto"/>
                  <w:vAlign w:val="bottom"/>
                </w:tcPr>
                <w:p w:rsidR="00745FEA" w:rsidRPr="00D8333C" w:rsidRDefault="00745FEA" w:rsidP="00745FEA">
                  <w:pPr>
                    <w:pStyle w:val="TableBodyText"/>
                    <w:ind w:right="57"/>
                  </w:pPr>
                  <w:r w:rsidRPr="00D8333C">
                    <w:t>–</w:t>
                  </w:r>
                </w:p>
              </w:tc>
            </w:tr>
            <w:tr w:rsidR="00745FEA" w:rsidTr="00C719FB">
              <w:tc>
                <w:tcPr>
                  <w:tcW w:w="2219" w:type="pct"/>
                </w:tcPr>
                <w:p w:rsidR="00745FEA" w:rsidRPr="004A50DF" w:rsidRDefault="00745FEA" w:rsidP="00745FEA">
                  <w:pPr>
                    <w:pStyle w:val="TableBodyText"/>
                    <w:spacing w:after="0"/>
                    <w:ind w:left="227" w:right="0"/>
                    <w:jc w:val="left"/>
                  </w:pPr>
                  <w:r w:rsidRPr="004A50DF">
                    <w:t>Toyota Major Facelift Vehicle and Supplier Grant</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vAlign w:val="bottom"/>
                </w:tcPr>
                <w:p w:rsidR="00745FEA" w:rsidRPr="00D8333C" w:rsidRDefault="00745FEA" w:rsidP="00745FEA">
                  <w:pPr>
                    <w:pStyle w:val="TableBodyText"/>
                    <w:ind w:right="57"/>
                  </w:pPr>
                  <w:r w:rsidRPr="00D8333C">
                    <w:t>–</w:t>
                  </w:r>
                </w:p>
              </w:tc>
              <w:tc>
                <w:tcPr>
                  <w:tcW w:w="464" w:type="pct"/>
                  <w:shd w:val="clear" w:color="auto" w:fill="auto"/>
                  <w:vAlign w:val="bottom"/>
                </w:tcPr>
                <w:p w:rsidR="00745FEA" w:rsidRPr="00D8333C" w:rsidRDefault="00745FEA" w:rsidP="00745FEA">
                  <w:pPr>
                    <w:pStyle w:val="TableBodyText"/>
                    <w:ind w:right="57"/>
                  </w:pPr>
                  <w:r w:rsidRPr="00D8333C">
                    <w:t>15.5</w:t>
                  </w:r>
                </w:p>
              </w:tc>
              <w:tc>
                <w:tcPr>
                  <w:tcW w:w="464" w:type="pct"/>
                  <w:shd w:val="clear" w:color="auto" w:fill="auto"/>
                  <w:vAlign w:val="bottom"/>
                </w:tcPr>
                <w:p w:rsidR="00745FEA" w:rsidRPr="00D8333C" w:rsidRDefault="00745FEA" w:rsidP="00745FEA">
                  <w:pPr>
                    <w:pStyle w:val="TableBodyText"/>
                    <w:ind w:right="57"/>
                  </w:pPr>
                  <w:r w:rsidRPr="00D8333C">
                    <w:t>2.1</w:t>
                  </w:r>
                </w:p>
              </w:tc>
              <w:tc>
                <w:tcPr>
                  <w:tcW w:w="461" w:type="pct"/>
                  <w:shd w:val="clear" w:color="auto" w:fill="auto"/>
                  <w:vAlign w:val="bottom"/>
                </w:tcPr>
                <w:p w:rsidR="00745FEA" w:rsidRDefault="00745FEA" w:rsidP="00745FEA">
                  <w:pPr>
                    <w:pStyle w:val="TableBodyText"/>
                    <w:ind w:right="57"/>
                  </w:pPr>
                  <w:r w:rsidRPr="00D8333C">
                    <w:t>1.0</w:t>
                  </w:r>
                </w:p>
              </w:tc>
            </w:tr>
            <w:tr w:rsidR="00745FEA" w:rsidTr="00C719FB">
              <w:tc>
                <w:tcPr>
                  <w:tcW w:w="2219" w:type="pct"/>
                </w:tcPr>
                <w:p w:rsidR="00745FEA" w:rsidRPr="005237FE" w:rsidRDefault="00745FEA" w:rsidP="00745FEA">
                  <w:pPr>
                    <w:pStyle w:val="TableBodyText"/>
                    <w:spacing w:before="40" w:after="0"/>
                    <w:ind w:left="113"/>
                    <w:jc w:val="left"/>
                    <w:rPr>
                      <w:i/>
                    </w:rPr>
                  </w:pPr>
                  <w:r w:rsidRPr="005237FE">
                    <w:rPr>
                      <w:i/>
                    </w:rPr>
                    <w:t>Sector-specific measures</w:t>
                  </w:r>
                </w:p>
              </w:tc>
              <w:tc>
                <w:tcPr>
                  <w:tcW w:w="464" w:type="pct"/>
                  <w:vAlign w:val="bottom"/>
                </w:tcPr>
                <w:p w:rsidR="00745FEA" w:rsidRPr="00777A4D" w:rsidRDefault="00745FEA" w:rsidP="00745FEA">
                  <w:pPr>
                    <w:pStyle w:val="TableBodyText"/>
                    <w:ind w:right="57"/>
                  </w:pPr>
                </w:p>
              </w:tc>
              <w:tc>
                <w:tcPr>
                  <w:tcW w:w="464" w:type="pct"/>
                  <w:vAlign w:val="bottom"/>
                </w:tcPr>
                <w:p w:rsidR="00745FEA" w:rsidRPr="00777A4D" w:rsidRDefault="00745FEA" w:rsidP="00745FEA">
                  <w:pPr>
                    <w:pStyle w:val="TableBodyText"/>
                    <w:ind w:right="57"/>
                  </w:pPr>
                </w:p>
              </w:tc>
              <w:tc>
                <w:tcPr>
                  <w:tcW w:w="464" w:type="pct"/>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c>
                <w:tcPr>
                  <w:tcW w:w="461" w:type="pct"/>
                  <w:shd w:val="clear" w:color="auto" w:fill="auto"/>
                  <w:vAlign w:val="bottom"/>
                </w:tcPr>
                <w:p w:rsidR="00745FEA" w:rsidRPr="00777A4D" w:rsidRDefault="00745FEA" w:rsidP="00745FEA">
                  <w:pPr>
                    <w:pStyle w:val="TableBodyText"/>
                    <w:ind w:right="57"/>
                  </w:pPr>
                </w:p>
              </w:tc>
            </w:tr>
            <w:tr w:rsidR="00745FEA" w:rsidTr="00C719FB">
              <w:tc>
                <w:tcPr>
                  <w:tcW w:w="2219" w:type="pct"/>
                </w:tcPr>
                <w:p w:rsidR="00745FEA" w:rsidRPr="0093040D" w:rsidRDefault="00745FEA" w:rsidP="00745FEA">
                  <w:pPr>
                    <w:pStyle w:val="TableBodyText"/>
                    <w:spacing w:after="0"/>
                    <w:ind w:left="227" w:right="0"/>
                    <w:jc w:val="left"/>
                  </w:pPr>
                  <w:r w:rsidRPr="0093040D">
                    <w:t>Clean Technology Investment - General Program</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0.8</w:t>
                  </w:r>
                </w:p>
              </w:tc>
              <w:tc>
                <w:tcPr>
                  <w:tcW w:w="464" w:type="pct"/>
                  <w:vAlign w:val="bottom"/>
                </w:tcPr>
                <w:p w:rsidR="00745FEA" w:rsidRPr="00506683" w:rsidRDefault="00745FEA" w:rsidP="00745FEA">
                  <w:pPr>
                    <w:pStyle w:val="TableBodyText"/>
                    <w:ind w:right="57"/>
                  </w:pPr>
                  <w:r w:rsidRPr="00506683">
                    <w:t>1.8</w:t>
                  </w:r>
                </w:p>
              </w:tc>
              <w:tc>
                <w:tcPr>
                  <w:tcW w:w="464" w:type="pct"/>
                  <w:shd w:val="clear" w:color="auto" w:fill="auto"/>
                  <w:vAlign w:val="bottom"/>
                </w:tcPr>
                <w:p w:rsidR="00745FEA" w:rsidRPr="00506683" w:rsidRDefault="00745FEA" w:rsidP="00745FEA">
                  <w:pPr>
                    <w:pStyle w:val="TableBodyText"/>
                    <w:ind w:right="57"/>
                  </w:pPr>
                  <w:r w:rsidRPr="00506683">
                    <w:t>0.4</w:t>
                  </w:r>
                </w:p>
              </w:tc>
              <w:tc>
                <w:tcPr>
                  <w:tcW w:w="464" w:type="pct"/>
                  <w:shd w:val="clear" w:color="auto" w:fill="auto"/>
                  <w:vAlign w:val="bottom"/>
                </w:tcPr>
                <w:p w:rsidR="00745FEA" w:rsidRPr="00506683" w:rsidRDefault="00745FEA" w:rsidP="00745FEA">
                  <w:pPr>
                    <w:pStyle w:val="TableBodyText"/>
                    <w:ind w:right="57"/>
                  </w:pPr>
                  <w:r w:rsidRPr="00506683">
                    <w:t>–</w:t>
                  </w:r>
                </w:p>
              </w:tc>
              <w:tc>
                <w:tcPr>
                  <w:tcW w:w="461" w:type="pct"/>
                  <w:shd w:val="clear" w:color="auto" w:fill="auto"/>
                  <w:vAlign w:val="bottom"/>
                </w:tcPr>
                <w:p w:rsidR="00745FEA" w:rsidRPr="00506683" w:rsidRDefault="00745FEA" w:rsidP="00745FEA">
                  <w:pPr>
                    <w:pStyle w:val="TableBodyText"/>
                    <w:ind w:right="57"/>
                  </w:pPr>
                  <w:r w:rsidRPr="00506683">
                    <w:t>–</w:t>
                  </w:r>
                </w:p>
              </w:tc>
            </w:tr>
            <w:tr w:rsidR="00745FEA" w:rsidTr="00C719FB">
              <w:tc>
                <w:tcPr>
                  <w:tcW w:w="2219" w:type="pct"/>
                </w:tcPr>
                <w:p w:rsidR="00745FEA" w:rsidRPr="0093040D" w:rsidRDefault="00745FEA" w:rsidP="00745FEA">
                  <w:pPr>
                    <w:pStyle w:val="TableBodyText"/>
                    <w:spacing w:after="0"/>
                    <w:ind w:left="227" w:right="0"/>
                    <w:jc w:val="left"/>
                  </w:pPr>
                  <w:r w:rsidRPr="0093040D">
                    <w:t>Manufacturing Transition Grants Programme</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w:t>
                  </w:r>
                </w:p>
              </w:tc>
              <w:tc>
                <w:tcPr>
                  <w:tcW w:w="464" w:type="pct"/>
                  <w:shd w:val="clear" w:color="auto" w:fill="auto"/>
                  <w:vAlign w:val="bottom"/>
                </w:tcPr>
                <w:p w:rsidR="00745FEA" w:rsidRPr="00506683" w:rsidRDefault="00745FEA" w:rsidP="00745FEA">
                  <w:pPr>
                    <w:pStyle w:val="TableBodyText"/>
                    <w:ind w:right="57"/>
                  </w:pPr>
                  <w:r w:rsidRPr="00506683">
                    <w:t>0.1</w:t>
                  </w:r>
                </w:p>
              </w:tc>
              <w:tc>
                <w:tcPr>
                  <w:tcW w:w="464" w:type="pct"/>
                  <w:shd w:val="clear" w:color="auto" w:fill="auto"/>
                  <w:vAlign w:val="bottom"/>
                </w:tcPr>
                <w:p w:rsidR="00745FEA" w:rsidRPr="00506683" w:rsidRDefault="00745FEA" w:rsidP="00745FEA">
                  <w:pPr>
                    <w:pStyle w:val="TableBodyText"/>
                    <w:ind w:right="57"/>
                  </w:pPr>
                  <w:r w:rsidRPr="00506683">
                    <w:t>1.1</w:t>
                  </w:r>
                </w:p>
              </w:tc>
              <w:tc>
                <w:tcPr>
                  <w:tcW w:w="461" w:type="pct"/>
                  <w:shd w:val="clear" w:color="auto" w:fill="auto"/>
                  <w:vAlign w:val="bottom"/>
                </w:tcPr>
                <w:p w:rsidR="00745FEA" w:rsidRPr="00506683" w:rsidRDefault="00745FEA" w:rsidP="00745FEA">
                  <w:pPr>
                    <w:pStyle w:val="TableBodyText"/>
                    <w:ind w:right="57"/>
                  </w:pPr>
                  <w:r w:rsidRPr="00506683">
                    <w:t>0.3</w:t>
                  </w:r>
                </w:p>
              </w:tc>
            </w:tr>
            <w:tr w:rsidR="00745FEA" w:rsidTr="00C719FB">
              <w:tc>
                <w:tcPr>
                  <w:tcW w:w="2219" w:type="pct"/>
                </w:tcPr>
                <w:p w:rsidR="00745FEA" w:rsidRPr="0093040D" w:rsidRDefault="00745FEA" w:rsidP="00745FEA">
                  <w:pPr>
                    <w:pStyle w:val="TableBodyText"/>
                    <w:spacing w:after="0"/>
                    <w:ind w:left="227" w:right="0"/>
                    <w:jc w:val="left"/>
                  </w:pPr>
                  <w:r w:rsidRPr="0093040D">
                    <w:t>Next Generation Manufacturing Investment Programme</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w:t>
                  </w:r>
                </w:p>
              </w:tc>
              <w:tc>
                <w:tcPr>
                  <w:tcW w:w="464" w:type="pct"/>
                  <w:shd w:val="clear" w:color="auto" w:fill="auto"/>
                  <w:vAlign w:val="bottom"/>
                </w:tcPr>
                <w:p w:rsidR="00745FEA" w:rsidRPr="00506683" w:rsidRDefault="00745FEA" w:rsidP="00745FEA">
                  <w:pPr>
                    <w:pStyle w:val="TableBodyText"/>
                    <w:ind w:right="57"/>
                  </w:pPr>
                  <w:r w:rsidRPr="00506683">
                    <w:t>–</w:t>
                  </w:r>
                </w:p>
              </w:tc>
              <w:tc>
                <w:tcPr>
                  <w:tcW w:w="464" w:type="pct"/>
                  <w:shd w:val="clear" w:color="auto" w:fill="auto"/>
                  <w:vAlign w:val="bottom"/>
                </w:tcPr>
                <w:p w:rsidR="00745FEA" w:rsidRPr="00506683" w:rsidRDefault="00745FEA" w:rsidP="00745FEA">
                  <w:pPr>
                    <w:pStyle w:val="TableBodyText"/>
                    <w:ind w:right="57"/>
                  </w:pPr>
                  <w:r w:rsidRPr="00506683">
                    <w:t>1.2</w:t>
                  </w:r>
                </w:p>
              </w:tc>
              <w:tc>
                <w:tcPr>
                  <w:tcW w:w="461" w:type="pct"/>
                  <w:shd w:val="clear" w:color="auto" w:fill="auto"/>
                  <w:vAlign w:val="bottom"/>
                </w:tcPr>
                <w:p w:rsidR="00745FEA" w:rsidRPr="00506683" w:rsidRDefault="00745FEA" w:rsidP="00745FEA">
                  <w:pPr>
                    <w:pStyle w:val="TableBodyText"/>
                    <w:ind w:right="57"/>
                  </w:pPr>
                  <w:r w:rsidRPr="00506683">
                    <w:t>1.2</w:t>
                  </w:r>
                </w:p>
              </w:tc>
            </w:tr>
            <w:tr w:rsidR="00745FEA" w:rsidTr="00C719FB">
              <w:tc>
                <w:tcPr>
                  <w:tcW w:w="2219" w:type="pct"/>
                </w:tcPr>
                <w:p w:rsidR="00745FEA" w:rsidRPr="0093040D" w:rsidRDefault="00745FEA" w:rsidP="00745FEA">
                  <w:pPr>
                    <w:pStyle w:val="TableBodyText"/>
                    <w:spacing w:after="0"/>
                    <w:ind w:left="227" w:right="0"/>
                    <w:jc w:val="left"/>
                  </w:pPr>
                  <w:r w:rsidRPr="0093040D">
                    <w:t>Victorian Innovation and Investment Fund - Ford Assistance</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w:t>
                  </w:r>
                </w:p>
              </w:tc>
              <w:tc>
                <w:tcPr>
                  <w:tcW w:w="464" w:type="pct"/>
                  <w:vAlign w:val="bottom"/>
                </w:tcPr>
                <w:p w:rsidR="00745FEA" w:rsidRPr="00506683" w:rsidRDefault="00745FEA" w:rsidP="00745FEA">
                  <w:pPr>
                    <w:pStyle w:val="TableBodyText"/>
                    <w:ind w:right="57"/>
                  </w:pPr>
                  <w:r w:rsidRPr="00506683">
                    <w:t>–</w:t>
                  </w:r>
                </w:p>
              </w:tc>
              <w:tc>
                <w:tcPr>
                  <w:tcW w:w="464" w:type="pct"/>
                  <w:shd w:val="clear" w:color="auto" w:fill="auto"/>
                  <w:vAlign w:val="bottom"/>
                </w:tcPr>
                <w:p w:rsidR="00745FEA" w:rsidRPr="00506683" w:rsidRDefault="00745FEA" w:rsidP="00745FEA">
                  <w:pPr>
                    <w:pStyle w:val="TableBodyText"/>
                    <w:ind w:right="57"/>
                  </w:pPr>
                  <w:r w:rsidRPr="00506683">
                    <w:t>1.4</w:t>
                  </w:r>
                </w:p>
              </w:tc>
              <w:tc>
                <w:tcPr>
                  <w:tcW w:w="464" w:type="pct"/>
                  <w:shd w:val="clear" w:color="auto" w:fill="auto"/>
                  <w:vAlign w:val="bottom"/>
                </w:tcPr>
                <w:p w:rsidR="00745FEA" w:rsidRPr="00506683" w:rsidRDefault="00745FEA" w:rsidP="00745FEA">
                  <w:pPr>
                    <w:pStyle w:val="TableBodyText"/>
                    <w:ind w:right="57"/>
                  </w:pPr>
                  <w:r w:rsidRPr="00506683">
                    <w:t>1.2</w:t>
                  </w:r>
                </w:p>
              </w:tc>
              <w:tc>
                <w:tcPr>
                  <w:tcW w:w="461" w:type="pct"/>
                  <w:shd w:val="clear" w:color="auto" w:fill="auto"/>
                  <w:vAlign w:val="bottom"/>
                </w:tcPr>
                <w:p w:rsidR="00745FEA" w:rsidRDefault="00745FEA" w:rsidP="00745FEA">
                  <w:pPr>
                    <w:pStyle w:val="TableBodyText"/>
                    <w:ind w:right="57"/>
                  </w:pPr>
                  <w:r w:rsidRPr="00506683">
                    <w:t>1.2</w:t>
                  </w:r>
                </w:p>
              </w:tc>
            </w:tr>
            <w:tr w:rsidR="00745FEA" w:rsidTr="00C719FB">
              <w:tc>
                <w:tcPr>
                  <w:tcW w:w="2219" w:type="pct"/>
                </w:tcPr>
                <w:p w:rsidR="00745FEA" w:rsidRPr="006A6199" w:rsidRDefault="00745FEA" w:rsidP="00745FEA">
                  <w:pPr>
                    <w:pStyle w:val="TableBodyText"/>
                    <w:spacing w:before="40" w:after="0"/>
                    <w:ind w:left="113"/>
                    <w:jc w:val="left"/>
                    <w:rPr>
                      <w:i/>
                    </w:rPr>
                  </w:pPr>
                  <w:r w:rsidRPr="006A6199">
                    <w:rPr>
                      <w:i/>
                    </w:rPr>
                    <w:t>General export measures</w:t>
                  </w:r>
                </w:p>
              </w:tc>
              <w:tc>
                <w:tcPr>
                  <w:tcW w:w="464" w:type="pct"/>
                  <w:vAlign w:val="bottom"/>
                </w:tcPr>
                <w:p w:rsidR="00745FEA" w:rsidRPr="00777A4D" w:rsidRDefault="00745FEA" w:rsidP="00745FEA">
                  <w:pPr>
                    <w:pStyle w:val="TableBodyText"/>
                    <w:ind w:right="57"/>
                  </w:pPr>
                </w:p>
              </w:tc>
              <w:tc>
                <w:tcPr>
                  <w:tcW w:w="464" w:type="pct"/>
                  <w:vAlign w:val="bottom"/>
                </w:tcPr>
                <w:p w:rsidR="00745FEA" w:rsidRPr="00777A4D" w:rsidRDefault="00745FEA" w:rsidP="00745FEA">
                  <w:pPr>
                    <w:pStyle w:val="TableBodyText"/>
                    <w:ind w:right="57"/>
                  </w:pPr>
                </w:p>
              </w:tc>
              <w:tc>
                <w:tcPr>
                  <w:tcW w:w="464" w:type="pct"/>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c>
                <w:tcPr>
                  <w:tcW w:w="461" w:type="pct"/>
                  <w:shd w:val="clear" w:color="auto" w:fill="auto"/>
                  <w:vAlign w:val="bottom"/>
                </w:tcPr>
                <w:p w:rsidR="00745FEA" w:rsidRPr="00777A4D" w:rsidRDefault="00745FEA" w:rsidP="00745FEA">
                  <w:pPr>
                    <w:pStyle w:val="TableBodyText"/>
                    <w:ind w:right="57"/>
                  </w:pPr>
                </w:p>
              </w:tc>
            </w:tr>
            <w:tr w:rsidR="00745FEA" w:rsidTr="00C719FB">
              <w:tc>
                <w:tcPr>
                  <w:tcW w:w="2219" w:type="pct"/>
                </w:tcPr>
                <w:p w:rsidR="00745FEA" w:rsidRPr="00CB073F" w:rsidRDefault="00745FEA" w:rsidP="00745FEA">
                  <w:pPr>
                    <w:pStyle w:val="TableBodyText"/>
                    <w:spacing w:after="0"/>
                    <w:ind w:left="227" w:right="0"/>
                    <w:jc w:val="left"/>
                  </w:pPr>
                  <w:r w:rsidRPr="00CB073F">
                    <w:t>Export Market Development Grants Scheme</w:t>
                  </w:r>
                </w:p>
              </w:tc>
              <w:tc>
                <w:tcPr>
                  <w:tcW w:w="464" w:type="pct"/>
                  <w:vAlign w:val="bottom"/>
                </w:tcPr>
                <w:p w:rsidR="00745FEA" w:rsidRPr="002A06D9" w:rsidRDefault="00745FEA" w:rsidP="00745FEA">
                  <w:pPr>
                    <w:pStyle w:val="TableBodyText"/>
                    <w:ind w:right="57"/>
                  </w:pPr>
                  <w:r w:rsidRPr="002A06D9">
                    <w:t>0.9</w:t>
                  </w:r>
                </w:p>
              </w:tc>
              <w:tc>
                <w:tcPr>
                  <w:tcW w:w="464" w:type="pct"/>
                  <w:vAlign w:val="bottom"/>
                </w:tcPr>
                <w:p w:rsidR="00745FEA" w:rsidRPr="002A06D9" w:rsidRDefault="00745FEA" w:rsidP="00745FEA">
                  <w:pPr>
                    <w:pStyle w:val="TableBodyText"/>
                    <w:ind w:right="57"/>
                  </w:pPr>
                  <w:r w:rsidRPr="002A06D9">
                    <w:t>1.0</w:t>
                  </w:r>
                </w:p>
              </w:tc>
              <w:tc>
                <w:tcPr>
                  <w:tcW w:w="464" w:type="pct"/>
                  <w:vAlign w:val="bottom"/>
                </w:tcPr>
                <w:p w:rsidR="00745FEA" w:rsidRPr="002A06D9" w:rsidRDefault="00745FEA" w:rsidP="00745FEA">
                  <w:pPr>
                    <w:pStyle w:val="TableBodyText"/>
                    <w:ind w:right="57"/>
                  </w:pPr>
                  <w:r w:rsidRPr="002A06D9">
                    <w:t>0.9</w:t>
                  </w:r>
                </w:p>
              </w:tc>
              <w:tc>
                <w:tcPr>
                  <w:tcW w:w="464" w:type="pct"/>
                  <w:shd w:val="clear" w:color="auto" w:fill="auto"/>
                  <w:vAlign w:val="bottom"/>
                </w:tcPr>
                <w:p w:rsidR="00745FEA" w:rsidRPr="002A06D9" w:rsidRDefault="00745FEA" w:rsidP="00745FEA">
                  <w:pPr>
                    <w:pStyle w:val="TableBodyText"/>
                    <w:ind w:right="57"/>
                  </w:pPr>
                  <w:r w:rsidRPr="002A06D9">
                    <w:t>0.9</w:t>
                  </w:r>
                </w:p>
              </w:tc>
              <w:tc>
                <w:tcPr>
                  <w:tcW w:w="464" w:type="pct"/>
                  <w:shd w:val="clear" w:color="auto" w:fill="auto"/>
                  <w:vAlign w:val="bottom"/>
                </w:tcPr>
                <w:p w:rsidR="00745FEA" w:rsidRPr="002A06D9" w:rsidRDefault="00745FEA" w:rsidP="00745FEA">
                  <w:pPr>
                    <w:pStyle w:val="TableBodyText"/>
                    <w:ind w:right="57"/>
                  </w:pPr>
                  <w:r w:rsidRPr="002A06D9">
                    <w:t>0.7</w:t>
                  </w:r>
                </w:p>
              </w:tc>
              <w:tc>
                <w:tcPr>
                  <w:tcW w:w="461" w:type="pct"/>
                  <w:shd w:val="clear" w:color="auto" w:fill="auto"/>
                  <w:vAlign w:val="bottom"/>
                </w:tcPr>
                <w:p w:rsidR="00745FEA" w:rsidRPr="002A06D9" w:rsidRDefault="00745FEA" w:rsidP="00745FEA">
                  <w:pPr>
                    <w:pStyle w:val="TableBodyText"/>
                    <w:ind w:right="57"/>
                  </w:pPr>
                  <w:r w:rsidRPr="002A06D9">
                    <w:t>0.4</w:t>
                  </w:r>
                </w:p>
              </w:tc>
            </w:tr>
            <w:tr w:rsidR="00745FEA" w:rsidTr="00C719FB">
              <w:tc>
                <w:tcPr>
                  <w:tcW w:w="2219" w:type="pct"/>
                </w:tcPr>
                <w:p w:rsidR="00745FEA" w:rsidRPr="00CB073F" w:rsidRDefault="00745FEA" w:rsidP="00745FEA">
                  <w:pPr>
                    <w:pStyle w:val="TableBodyText"/>
                    <w:spacing w:after="0"/>
                    <w:ind w:left="227" w:right="0"/>
                    <w:jc w:val="left"/>
                  </w:pPr>
                  <w:r w:rsidRPr="00CB073F">
                    <w:t>TRADEX</w:t>
                  </w:r>
                </w:p>
              </w:tc>
              <w:tc>
                <w:tcPr>
                  <w:tcW w:w="464" w:type="pct"/>
                  <w:vAlign w:val="bottom"/>
                </w:tcPr>
                <w:p w:rsidR="00745FEA" w:rsidRPr="002A06D9" w:rsidRDefault="00745FEA" w:rsidP="00745FEA">
                  <w:pPr>
                    <w:pStyle w:val="TableBodyText"/>
                    <w:ind w:right="57"/>
                  </w:pPr>
                  <w:r w:rsidRPr="002A06D9">
                    <w:t>24.4</w:t>
                  </w:r>
                </w:p>
              </w:tc>
              <w:tc>
                <w:tcPr>
                  <w:tcW w:w="464" w:type="pct"/>
                  <w:vAlign w:val="bottom"/>
                </w:tcPr>
                <w:p w:rsidR="00745FEA" w:rsidRPr="002A06D9" w:rsidRDefault="00745FEA" w:rsidP="00745FEA">
                  <w:pPr>
                    <w:pStyle w:val="TableBodyText"/>
                    <w:ind w:right="57"/>
                  </w:pPr>
                  <w:r w:rsidRPr="002A06D9">
                    <w:t>25.6</w:t>
                  </w:r>
                </w:p>
              </w:tc>
              <w:tc>
                <w:tcPr>
                  <w:tcW w:w="464" w:type="pct"/>
                  <w:vAlign w:val="bottom"/>
                </w:tcPr>
                <w:p w:rsidR="00745FEA" w:rsidRPr="002A06D9" w:rsidRDefault="00745FEA" w:rsidP="00745FEA">
                  <w:pPr>
                    <w:pStyle w:val="TableBodyText"/>
                    <w:ind w:right="57"/>
                  </w:pPr>
                  <w:r w:rsidRPr="002A06D9">
                    <w:t>25.4</w:t>
                  </w:r>
                </w:p>
              </w:tc>
              <w:tc>
                <w:tcPr>
                  <w:tcW w:w="464" w:type="pct"/>
                  <w:shd w:val="clear" w:color="auto" w:fill="auto"/>
                  <w:vAlign w:val="bottom"/>
                </w:tcPr>
                <w:p w:rsidR="00745FEA" w:rsidRPr="002A06D9" w:rsidRDefault="00745FEA" w:rsidP="00745FEA">
                  <w:pPr>
                    <w:pStyle w:val="TableBodyText"/>
                    <w:ind w:right="57"/>
                  </w:pPr>
                  <w:r w:rsidRPr="002A06D9">
                    <w:t>27.1</w:t>
                  </w:r>
                </w:p>
              </w:tc>
              <w:tc>
                <w:tcPr>
                  <w:tcW w:w="464" w:type="pct"/>
                  <w:shd w:val="clear" w:color="auto" w:fill="auto"/>
                  <w:vAlign w:val="bottom"/>
                </w:tcPr>
                <w:p w:rsidR="00745FEA" w:rsidRPr="002A06D9" w:rsidRDefault="00745FEA" w:rsidP="00745FEA">
                  <w:pPr>
                    <w:pStyle w:val="TableBodyText"/>
                    <w:ind w:right="57"/>
                  </w:pPr>
                  <w:r w:rsidRPr="002A06D9">
                    <w:t>31.3</w:t>
                  </w:r>
                </w:p>
              </w:tc>
              <w:tc>
                <w:tcPr>
                  <w:tcW w:w="461" w:type="pct"/>
                  <w:shd w:val="clear" w:color="auto" w:fill="auto"/>
                  <w:vAlign w:val="bottom"/>
                </w:tcPr>
                <w:p w:rsidR="00745FEA" w:rsidRDefault="00745FEA" w:rsidP="00745FEA">
                  <w:pPr>
                    <w:pStyle w:val="TableBodyText"/>
                    <w:ind w:right="57"/>
                  </w:pPr>
                  <w:r w:rsidRPr="002A06D9">
                    <w:t>28.7</w:t>
                  </w:r>
                </w:p>
              </w:tc>
            </w:tr>
            <w:tr w:rsidR="00745FEA" w:rsidTr="00C719FB">
              <w:tc>
                <w:tcPr>
                  <w:tcW w:w="2219" w:type="pct"/>
                </w:tcPr>
                <w:p w:rsidR="00745FEA" w:rsidRPr="006A6199" w:rsidRDefault="00745FEA" w:rsidP="00745FEA">
                  <w:pPr>
                    <w:pStyle w:val="TableBodyText"/>
                    <w:spacing w:before="40" w:after="0"/>
                    <w:ind w:left="113"/>
                    <w:jc w:val="left"/>
                    <w:rPr>
                      <w:i/>
                    </w:rPr>
                  </w:pPr>
                  <w:r w:rsidRPr="006A6199">
                    <w:rPr>
                      <w:i/>
                    </w:rPr>
                    <w:t>General R&amp;D measures</w:t>
                  </w:r>
                </w:p>
              </w:tc>
              <w:tc>
                <w:tcPr>
                  <w:tcW w:w="464" w:type="pct"/>
                  <w:vAlign w:val="bottom"/>
                </w:tcPr>
                <w:p w:rsidR="00745FEA" w:rsidRPr="00777A4D" w:rsidRDefault="00745FEA" w:rsidP="00745FEA">
                  <w:pPr>
                    <w:pStyle w:val="TableBodyText"/>
                    <w:ind w:right="57"/>
                  </w:pPr>
                </w:p>
              </w:tc>
              <w:tc>
                <w:tcPr>
                  <w:tcW w:w="464" w:type="pct"/>
                  <w:vAlign w:val="bottom"/>
                </w:tcPr>
                <w:p w:rsidR="00745FEA" w:rsidRPr="00777A4D" w:rsidRDefault="00745FEA" w:rsidP="00745FEA">
                  <w:pPr>
                    <w:pStyle w:val="TableBodyText"/>
                    <w:ind w:right="57"/>
                  </w:pPr>
                </w:p>
              </w:tc>
              <w:tc>
                <w:tcPr>
                  <w:tcW w:w="464" w:type="pct"/>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c>
                <w:tcPr>
                  <w:tcW w:w="461" w:type="pct"/>
                  <w:shd w:val="clear" w:color="auto" w:fill="auto"/>
                  <w:vAlign w:val="bottom"/>
                </w:tcPr>
                <w:p w:rsidR="00745FEA" w:rsidRPr="00777A4D" w:rsidRDefault="00745FEA" w:rsidP="00745FEA">
                  <w:pPr>
                    <w:pStyle w:val="TableBodyText"/>
                    <w:ind w:right="57"/>
                  </w:pPr>
                </w:p>
              </w:tc>
            </w:tr>
            <w:tr w:rsidR="00745FEA" w:rsidTr="00C719FB">
              <w:tc>
                <w:tcPr>
                  <w:tcW w:w="2219" w:type="pct"/>
                </w:tcPr>
                <w:p w:rsidR="00745FEA" w:rsidRPr="008B1A61" w:rsidRDefault="00745FEA" w:rsidP="00745FEA">
                  <w:pPr>
                    <w:pStyle w:val="TableBodyText"/>
                    <w:spacing w:after="0"/>
                    <w:ind w:left="227" w:right="0"/>
                    <w:jc w:val="left"/>
                  </w:pPr>
                  <w:r w:rsidRPr="008B1A61">
                    <w:t>Commercialisation Australia</w:t>
                  </w:r>
                </w:p>
              </w:tc>
              <w:tc>
                <w:tcPr>
                  <w:tcW w:w="464" w:type="pct"/>
                  <w:vAlign w:val="bottom"/>
                </w:tcPr>
                <w:p w:rsidR="00745FEA" w:rsidRPr="00121685" w:rsidRDefault="00745FEA" w:rsidP="00745FEA">
                  <w:pPr>
                    <w:pStyle w:val="TableBodyText"/>
                    <w:ind w:right="57"/>
                  </w:pPr>
                  <w:r w:rsidRPr="00121685">
                    <w:t>1.2</w:t>
                  </w:r>
                </w:p>
              </w:tc>
              <w:tc>
                <w:tcPr>
                  <w:tcW w:w="464" w:type="pct"/>
                  <w:vAlign w:val="bottom"/>
                </w:tcPr>
                <w:p w:rsidR="00745FEA" w:rsidRPr="00121685" w:rsidRDefault="00745FEA" w:rsidP="00745FEA">
                  <w:pPr>
                    <w:pStyle w:val="TableBodyText"/>
                    <w:ind w:right="57"/>
                  </w:pPr>
                  <w:r w:rsidRPr="00121685">
                    <w:t>0.8</w:t>
                  </w:r>
                </w:p>
              </w:tc>
              <w:tc>
                <w:tcPr>
                  <w:tcW w:w="464" w:type="pct"/>
                  <w:vAlign w:val="bottom"/>
                </w:tcPr>
                <w:p w:rsidR="00745FEA" w:rsidRPr="00121685" w:rsidRDefault="00745FEA" w:rsidP="00745FEA">
                  <w:pPr>
                    <w:pStyle w:val="TableBodyText"/>
                    <w:ind w:right="57"/>
                  </w:pPr>
                  <w:r w:rsidRPr="00121685">
                    <w:t>0.1</w:t>
                  </w:r>
                </w:p>
              </w:tc>
              <w:tc>
                <w:tcPr>
                  <w:tcW w:w="464" w:type="pct"/>
                  <w:shd w:val="clear" w:color="auto" w:fill="auto"/>
                  <w:vAlign w:val="bottom"/>
                </w:tcPr>
                <w:p w:rsidR="00745FEA" w:rsidRPr="00121685" w:rsidRDefault="00745FEA" w:rsidP="00745FEA">
                  <w:pPr>
                    <w:pStyle w:val="TableBodyText"/>
                    <w:ind w:right="57"/>
                  </w:pPr>
                  <w:r w:rsidRPr="00121685">
                    <w:t>&lt;0.1</w:t>
                  </w:r>
                </w:p>
              </w:tc>
              <w:tc>
                <w:tcPr>
                  <w:tcW w:w="464" w:type="pct"/>
                  <w:shd w:val="clear" w:color="auto" w:fill="auto"/>
                  <w:vAlign w:val="bottom"/>
                </w:tcPr>
                <w:p w:rsidR="00745FEA" w:rsidRPr="00121685" w:rsidRDefault="00745FEA" w:rsidP="00745FEA">
                  <w:pPr>
                    <w:pStyle w:val="TableBodyText"/>
                    <w:ind w:right="57"/>
                  </w:pPr>
                  <w:r w:rsidRPr="00121685">
                    <w:t>–</w:t>
                  </w:r>
                </w:p>
              </w:tc>
              <w:tc>
                <w:tcPr>
                  <w:tcW w:w="461" w:type="pct"/>
                  <w:shd w:val="clear" w:color="auto" w:fill="auto"/>
                  <w:vAlign w:val="bottom"/>
                </w:tcPr>
                <w:p w:rsidR="00745FEA" w:rsidRPr="00121685" w:rsidRDefault="00745FEA" w:rsidP="00745FEA">
                  <w:pPr>
                    <w:pStyle w:val="TableBodyText"/>
                    <w:ind w:right="57"/>
                  </w:pPr>
                  <w:r w:rsidRPr="00121685">
                    <w:t>–</w:t>
                  </w:r>
                </w:p>
              </w:tc>
            </w:tr>
            <w:tr w:rsidR="00745FEA" w:rsidTr="00C719FB">
              <w:tc>
                <w:tcPr>
                  <w:tcW w:w="2219" w:type="pct"/>
                  <w:tcBorders>
                    <w:bottom w:val="single" w:sz="6" w:space="0" w:color="BFBFBF"/>
                  </w:tcBorders>
                </w:tcPr>
                <w:p w:rsidR="00745FEA" w:rsidRPr="008B1A61" w:rsidRDefault="00745FEA" w:rsidP="00745FEA">
                  <w:pPr>
                    <w:pStyle w:val="TableBodyText"/>
                    <w:ind w:left="227" w:right="0"/>
                    <w:jc w:val="left"/>
                  </w:pPr>
                  <w:r>
                    <w:t>COMET Program</w:t>
                  </w:r>
                </w:p>
              </w:tc>
              <w:tc>
                <w:tcPr>
                  <w:tcW w:w="464" w:type="pct"/>
                  <w:tcBorders>
                    <w:bottom w:val="single" w:sz="6" w:space="0" w:color="BFBFBF"/>
                  </w:tcBorders>
                  <w:vAlign w:val="bottom"/>
                </w:tcPr>
                <w:p w:rsidR="00745FEA" w:rsidRPr="00121685" w:rsidRDefault="00745FEA" w:rsidP="00745FEA">
                  <w:pPr>
                    <w:pStyle w:val="TableBodyText"/>
                    <w:ind w:right="57"/>
                  </w:pPr>
                  <w:r w:rsidRPr="00121685">
                    <w:t>&lt;0.1</w:t>
                  </w:r>
                </w:p>
              </w:tc>
              <w:tc>
                <w:tcPr>
                  <w:tcW w:w="464" w:type="pct"/>
                  <w:tcBorders>
                    <w:bottom w:val="single" w:sz="6" w:space="0" w:color="BFBFBF"/>
                  </w:tcBorders>
                  <w:vAlign w:val="bottom"/>
                </w:tcPr>
                <w:p w:rsidR="00745FEA" w:rsidRPr="00121685" w:rsidRDefault="00745FEA" w:rsidP="00745FEA">
                  <w:pPr>
                    <w:pStyle w:val="TableBodyText"/>
                    <w:ind w:right="57"/>
                  </w:pPr>
                  <w:r w:rsidRPr="00121685">
                    <w:t>–</w:t>
                  </w:r>
                </w:p>
              </w:tc>
              <w:tc>
                <w:tcPr>
                  <w:tcW w:w="464" w:type="pct"/>
                  <w:tcBorders>
                    <w:bottom w:val="single" w:sz="6" w:space="0" w:color="BFBFBF"/>
                  </w:tcBorders>
                  <w:vAlign w:val="bottom"/>
                </w:tcPr>
                <w:p w:rsidR="00745FEA" w:rsidRPr="00121685" w:rsidRDefault="00745FEA" w:rsidP="00745FEA">
                  <w:pPr>
                    <w:pStyle w:val="TableBodyText"/>
                    <w:ind w:right="57"/>
                  </w:pPr>
                  <w:r w:rsidRPr="00121685">
                    <w:t>–</w:t>
                  </w:r>
                </w:p>
              </w:tc>
              <w:tc>
                <w:tcPr>
                  <w:tcW w:w="464" w:type="pct"/>
                  <w:tcBorders>
                    <w:bottom w:val="single" w:sz="6" w:space="0" w:color="BFBFBF"/>
                  </w:tcBorders>
                  <w:shd w:val="clear" w:color="auto" w:fill="auto"/>
                  <w:vAlign w:val="bottom"/>
                </w:tcPr>
                <w:p w:rsidR="00745FEA" w:rsidRPr="00121685" w:rsidRDefault="00745FEA" w:rsidP="00745FEA">
                  <w:pPr>
                    <w:pStyle w:val="TableBodyText"/>
                    <w:ind w:right="57"/>
                  </w:pPr>
                  <w:r w:rsidRPr="00121685">
                    <w:t>–</w:t>
                  </w:r>
                </w:p>
              </w:tc>
              <w:tc>
                <w:tcPr>
                  <w:tcW w:w="464" w:type="pct"/>
                  <w:tcBorders>
                    <w:bottom w:val="single" w:sz="6" w:space="0" w:color="BFBFBF"/>
                  </w:tcBorders>
                  <w:shd w:val="clear" w:color="auto" w:fill="auto"/>
                  <w:vAlign w:val="bottom"/>
                </w:tcPr>
                <w:p w:rsidR="00745FEA" w:rsidRPr="00121685" w:rsidRDefault="00745FEA" w:rsidP="00745FEA">
                  <w:pPr>
                    <w:pStyle w:val="TableBodyText"/>
                    <w:ind w:right="57"/>
                  </w:pPr>
                  <w:r w:rsidRPr="00121685">
                    <w:t>–</w:t>
                  </w:r>
                </w:p>
              </w:tc>
              <w:tc>
                <w:tcPr>
                  <w:tcW w:w="461" w:type="pct"/>
                  <w:tcBorders>
                    <w:bottom w:val="single" w:sz="6" w:space="0" w:color="BFBFBF"/>
                  </w:tcBorders>
                  <w:shd w:val="clear" w:color="auto" w:fill="auto"/>
                  <w:vAlign w:val="bottom"/>
                </w:tcPr>
                <w:p w:rsidR="00745FEA" w:rsidRDefault="00745FEA" w:rsidP="00745FEA">
                  <w:pPr>
                    <w:pStyle w:val="TableBodyText"/>
                    <w:ind w:right="57"/>
                  </w:pPr>
                  <w:r w:rsidRPr="00121685">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744"/>
              <w:gridCol w:w="795"/>
              <w:gridCol w:w="794"/>
              <w:gridCol w:w="794"/>
              <w:gridCol w:w="794"/>
              <w:gridCol w:w="794"/>
              <w:gridCol w:w="789"/>
            </w:tblGrid>
            <w:tr w:rsidR="00745FEA" w:rsidTr="00C719FB">
              <w:trPr>
                <w:tblHeader/>
              </w:trPr>
              <w:tc>
                <w:tcPr>
                  <w:tcW w:w="2201" w:type="pct"/>
                  <w:tcBorders>
                    <w:top w:val="single" w:sz="6" w:space="0" w:color="BFBFBF"/>
                    <w:bottom w:val="single" w:sz="6" w:space="0" w:color="BFBFBF"/>
                  </w:tcBorders>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1" w:type="pct"/>
                </w:tcPr>
                <w:p w:rsidR="00745FEA" w:rsidRPr="006A6199" w:rsidRDefault="00745FEA" w:rsidP="00745FEA">
                  <w:pPr>
                    <w:pStyle w:val="TableBodyText"/>
                    <w:spacing w:before="40" w:after="0"/>
                    <w:ind w:left="113"/>
                    <w:jc w:val="left"/>
                    <w:rPr>
                      <w:i/>
                    </w:rPr>
                  </w:pPr>
                  <w:r w:rsidRPr="006A6199">
                    <w:rPr>
                      <w:i/>
                    </w:rPr>
                    <w:t>General R&amp;D measures</w:t>
                  </w:r>
                  <w:r>
                    <w:rPr>
                      <w:i/>
                    </w:rPr>
                    <w:t xml:space="preserve"> (continued)</w:t>
                  </w:r>
                </w:p>
              </w:tc>
              <w:tc>
                <w:tcPr>
                  <w:tcW w:w="467" w:type="pct"/>
                  <w:vAlign w:val="bottom"/>
                </w:tcPr>
                <w:p w:rsidR="00745FEA" w:rsidRPr="00777A4D" w:rsidRDefault="00745FEA" w:rsidP="00745FEA">
                  <w:pPr>
                    <w:pStyle w:val="TableBodyText"/>
                    <w:ind w:right="57"/>
                  </w:pPr>
                </w:p>
              </w:tc>
              <w:tc>
                <w:tcPr>
                  <w:tcW w:w="467" w:type="pct"/>
                  <w:vAlign w:val="bottom"/>
                </w:tcPr>
                <w:p w:rsidR="00745FEA" w:rsidRPr="00777A4D" w:rsidRDefault="00745FEA" w:rsidP="00745FEA">
                  <w:pPr>
                    <w:pStyle w:val="TableBodyText"/>
                    <w:ind w:right="57"/>
                  </w:pPr>
                </w:p>
              </w:tc>
              <w:tc>
                <w:tcPr>
                  <w:tcW w:w="467" w:type="pct"/>
                  <w:vAlign w:val="bottom"/>
                </w:tcPr>
                <w:p w:rsidR="00745FEA" w:rsidRPr="00777A4D" w:rsidRDefault="00745FEA" w:rsidP="00745FEA">
                  <w:pPr>
                    <w:pStyle w:val="TableBodyText"/>
                    <w:ind w:right="57"/>
                  </w:pPr>
                </w:p>
              </w:tc>
              <w:tc>
                <w:tcPr>
                  <w:tcW w:w="467" w:type="pct"/>
                  <w:shd w:val="clear" w:color="auto" w:fill="auto"/>
                  <w:vAlign w:val="bottom"/>
                </w:tcPr>
                <w:p w:rsidR="00745FEA" w:rsidRPr="00777A4D" w:rsidRDefault="00745FEA" w:rsidP="00745FEA">
                  <w:pPr>
                    <w:pStyle w:val="TableBodyText"/>
                    <w:ind w:right="57"/>
                  </w:pPr>
                </w:p>
              </w:tc>
              <w:tc>
                <w:tcPr>
                  <w:tcW w:w="467" w:type="pct"/>
                  <w:shd w:val="clear" w:color="auto" w:fill="auto"/>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r>
            <w:tr w:rsidR="00745FEA" w:rsidTr="00745FEA">
              <w:tc>
                <w:tcPr>
                  <w:tcW w:w="2201" w:type="pct"/>
                </w:tcPr>
                <w:p w:rsidR="00745FEA" w:rsidRPr="008B1A61" w:rsidRDefault="00745FEA" w:rsidP="00745FEA">
                  <w:pPr>
                    <w:pStyle w:val="TableBodyText"/>
                    <w:spacing w:after="0"/>
                    <w:ind w:left="227" w:right="0"/>
                    <w:jc w:val="left"/>
                  </w:pPr>
                  <w:r w:rsidRPr="008B1A61">
                    <w:t>Cooperative Research Centres</w:t>
                  </w:r>
                </w:p>
              </w:tc>
              <w:tc>
                <w:tcPr>
                  <w:tcW w:w="467" w:type="pct"/>
                  <w:vAlign w:val="bottom"/>
                </w:tcPr>
                <w:p w:rsidR="00745FEA" w:rsidRPr="00CE678E" w:rsidRDefault="00745FEA" w:rsidP="00745FEA">
                  <w:pPr>
                    <w:pStyle w:val="TableBodyText"/>
                    <w:ind w:right="57"/>
                  </w:pPr>
                  <w:r w:rsidRPr="00CE678E">
                    <w:t>5.0</w:t>
                  </w:r>
                </w:p>
              </w:tc>
              <w:tc>
                <w:tcPr>
                  <w:tcW w:w="467" w:type="pct"/>
                  <w:vAlign w:val="bottom"/>
                </w:tcPr>
                <w:p w:rsidR="00745FEA" w:rsidRPr="00CE678E" w:rsidRDefault="00745FEA" w:rsidP="00745FEA">
                  <w:pPr>
                    <w:pStyle w:val="TableBodyText"/>
                    <w:ind w:right="57"/>
                  </w:pPr>
                  <w:r w:rsidRPr="00CE678E">
                    <w:t>10.7</w:t>
                  </w:r>
                </w:p>
              </w:tc>
              <w:tc>
                <w:tcPr>
                  <w:tcW w:w="467" w:type="pct"/>
                  <w:vAlign w:val="bottom"/>
                </w:tcPr>
                <w:p w:rsidR="00745FEA" w:rsidRPr="00CE678E" w:rsidRDefault="00745FEA" w:rsidP="00745FEA">
                  <w:pPr>
                    <w:pStyle w:val="TableBodyText"/>
                    <w:ind w:right="57"/>
                  </w:pPr>
                  <w:r w:rsidRPr="00CE678E">
                    <w:t>1.1</w:t>
                  </w:r>
                </w:p>
              </w:tc>
              <w:tc>
                <w:tcPr>
                  <w:tcW w:w="467" w:type="pct"/>
                  <w:shd w:val="clear" w:color="auto" w:fill="auto"/>
                  <w:vAlign w:val="bottom"/>
                </w:tcPr>
                <w:p w:rsidR="00745FEA" w:rsidRPr="00CE678E" w:rsidRDefault="00745FEA" w:rsidP="00745FEA">
                  <w:pPr>
                    <w:pStyle w:val="TableBodyText"/>
                    <w:ind w:right="57"/>
                  </w:pPr>
                  <w:r w:rsidRPr="00CE678E">
                    <w:t>6.1</w:t>
                  </w:r>
                </w:p>
              </w:tc>
              <w:tc>
                <w:tcPr>
                  <w:tcW w:w="467" w:type="pct"/>
                  <w:shd w:val="clear" w:color="auto" w:fill="auto"/>
                  <w:vAlign w:val="bottom"/>
                </w:tcPr>
                <w:p w:rsidR="00745FEA" w:rsidRPr="00CE678E" w:rsidRDefault="00745FEA" w:rsidP="00745FEA">
                  <w:pPr>
                    <w:pStyle w:val="TableBodyText"/>
                    <w:ind w:right="57"/>
                  </w:pPr>
                  <w:r w:rsidRPr="00CE678E">
                    <w:t>4.4</w:t>
                  </w:r>
                </w:p>
              </w:tc>
              <w:tc>
                <w:tcPr>
                  <w:tcW w:w="464" w:type="pct"/>
                  <w:shd w:val="clear" w:color="auto" w:fill="auto"/>
                  <w:vAlign w:val="bottom"/>
                </w:tcPr>
                <w:p w:rsidR="00745FEA" w:rsidRPr="00CE678E" w:rsidRDefault="00745FEA" w:rsidP="00745FEA">
                  <w:pPr>
                    <w:pStyle w:val="TableBodyText"/>
                    <w:ind w:right="57"/>
                  </w:pPr>
                  <w:r w:rsidRPr="00CE678E">
                    <w:t>3.6</w:t>
                  </w:r>
                </w:p>
              </w:tc>
            </w:tr>
            <w:tr w:rsidR="00745FEA" w:rsidTr="00745FEA">
              <w:tc>
                <w:tcPr>
                  <w:tcW w:w="2201" w:type="pct"/>
                </w:tcPr>
                <w:p w:rsidR="00745FEA" w:rsidRPr="008B1A61" w:rsidRDefault="00745FEA" w:rsidP="00745FEA">
                  <w:pPr>
                    <w:pStyle w:val="TableBodyText"/>
                    <w:spacing w:after="0"/>
                    <w:ind w:left="227" w:right="0"/>
                    <w:jc w:val="left"/>
                  </w:pPr>
                  <w:r w:rsidRPr="008B1A61">
                    <w:t>Clean Business Australia - Climate Ready Program</w:t>
                  </w:r>
                </w:p>
              </w:tc>
              <w:tc>
                <w:tcPr>
                  <w:tcW w:w="467" w:type="pct"/>
                  <w:vAlign w:val="bottom"/>
                </w:tcPr>
                <w:p w:rsidR="00745FEA" w:rsidRPr="00CE678E" w:rsidRDefault="00745FEA" w:rsidP="00745FEA">
                  <w:pPr>
                    <w:pStyle w:val="TableBodyText"/>
                    <w:ind w:right="57"/>
                  </w:pPr>
                  <w:r w:rsidRPr="00CE678E">
                    <w:t>0.2</w:t>
                  </w:r>
                </w:p>
              </w:tc>
              <w:tc>
                <w:tcPr>
                  <w:tcW w:w="467" w:type="pct"/>
                  <w:vAlign w:val="bottom"/>
                </w:tcPr>
                <w:p w:rsidR="00745FEA" w:rsidRPr="00CE678E" w:rsidRDefault="00745FEA" w:rsidP="00745FEA">
                  <w:pPr>
                    <w:pStyle w:val="TableBodyText"/>
                    <w:ind w:right="57"/>
                  </w:pPr>
                  <w:r w:rsidRPr="00CE678E">
                    <w:t>–</w:t>
                  </w:r>
                </w:p>
              </w:tc>
              <w:tc>
                <w:tcPr>
                  <w:tcW w:w="467" w:type="pct"/>
                  <w:vAlign w:val="bottom"/>
                </w:tcPr>
                <w:p w:rsidR="00745FEA" w:rsidRPr="00CE678E" w:rsidRDefault="00745FEA" w:rsidP="00745FEA">
                  <w:pPr>
                    <w:pStyle w:val="TableBodyText"/>
                    <w:ind w:right="57"/>
                  </w:pPr>
                  <w:r w:rsidRPr="00CE678E">
                    <w:t>–</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4" w:type="pct"/>
                  <w:shd w:val="clear" w:color="auto" w:fill="auto"/>
                  <w:vAlign w:val="bottom"/>
                </w:tcPr>
                <w:p w:rsidR="00745FEA" w:rsidRPr="00CE678E" w:rsidRDefault="00745FEA" w:rsidP="00745FEA">
                  <w:pPr>
                    <w:pStyle w:val="TableBodyText"/>
                    <w:ind w:right="57"/>
                  </w:pPr>
                  <w:r w:rsidRPr="00CE678E">
                    <w:t>–</w:t>
                  </w:r>
                </w:p>
              </w:tc>
            </w:tr>
            <w:tr w:rsidR="00745FEA" w:rsidTr="00745FEA">
              <w:tc>
                <w:tcPr>
                  <w:tcW w:w="2201" w:type="pct"/>
                </w:tcPr>
                <w:p w:rsidR="00745FEA" w:rsidRPr="00112129" w:rsidRDefault="00745FEA" w:rsidP="00745FEA">
                  <w:pPr>
                    <w:pStyle w:val="TableBodyText"/>
                    <w:spacing w:after="0"/>
                    <w:ind w:left="227" w:right="0"/>
                    <w:jc w:val="left"/>
                  </w:pPr>
                  <w:r w:rsidRPr="00112129">
                    <w:t>CSIRO</w:t>
                  </w:r>
                </w:p>
              </w:tc>
              <w:tc>
                <w:tcPr>
                  <w:tcW w:w="467" w:type="pct"/>
                  <w:vAlign w:val="bottom"/>
                </w:tcPr>
                <w:p w:rsidR="00745FEA" w:rsidRPr="00CE678E" w:rsidRDefault="00745FEA" w:rsidP="00745FEA">
                  <w:pPr>
                    <w:pStyle w:val="TableBodyText"/>
                    <w:ind w:right="57"/>
                  </w:pPr>
                  <w:r w:rsidRPr="00CE678E">
                    <w:t>4.4</w:t>
                  </w:r>
                </w:p>
              </w:tc>
              <w:tc>
                <w:tcPr>
                  <w:tcW w:w="467" w:type="pct"/>
                  <w:vAlign w:val="bottom"/>
                </w:tcPr>
                <w:p w:rsidR="00745FEA" w:rsidRPr="00CE678E" w:rsidRDefault="00745FEA" w:rsidP="00745FEA">
                  <w:pPr>
                    <w:pStyle w:val="TableBodyText"/>
                    <w:ind w:right="57"/>
                  </w:pPr>
                  <w:r w:rsidRPr="00CE678E">
                    <w:t>2.2</w:t>
                  </w:r>
                </w:p>
              </w:tc>
              <w:tc>
                <w:tcPr>
                  <w:tcW w:w="467" w:type="pct"/>
                  <w:vAlign w:val="bottom"/>
                </w:tcPr>
                <w:p w:rsidR="00745FEA" w:rsidRPr="00CE678E" w:rsidRDefault="00745FEA" w:rsidP="00745FEA">
                  <w:pPr>
                    <w:pStyle w:val="TableBodyText"/>
                    <w:ind w:right="57"/>
                  </w:pPr>
                  <w:r w:rsidRPr="00CE678E">
                    <w:t>1.8</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4" w:type="pct"/>
                  <w:shd w:val="clear" w:color="auto" w:fill="auto"/>
                  <w:vAlign w:val="bottom"/>
                </w:tcPr>
                <w:p w:rsidR="00745FEA" w:rsidRPr="00CE678E" w:rsidRDefault="00745FEA" w:rsidP="00745FEA">
                  <w:pPr>
                    <w:pStyle w:val="TableBodyText"/>
                    <w:ind w:right="57"/>
                  </w:pPr>
                  <w:r w:rsidRPr="00CE678E">
                    <w:t>–</w:t>
                  </w:r>
                </w:p>
              </w:tc>
            </w:tr>
            <w:tr w:rsidR="00745FEA" w:rsidTr="00745FEA">
              <w:tc>
                <w:tcPr>
                  <w:tcW w:w="2201" w:type="pct"/>
                </w:tcPr>
                <w:p w:rsidR="00745FEA" w:rsidRPr="00112129" w:rsidRDefault="00745FEA" w:rsidP="00745FEA">
                  <w:pPr>
                    <w:pStyle w:val="TableBodyText"/>
                    <w:spacing w:after="0"/>
                    <w:ind w:left="227" w:right="0"/>
                    <w:jc w:val="left"/>
                  </w:pPr>
                  <w:r w:rsidRPr="00112129">
                    <w:t>R&amp;D Tax Incentive - refundable tax offset</w:t>
                  </w:r>
                </w:p>
              </w:tc>
              <w:tc>
                <w:tcPr>
                  <w:tcW w:w="467" w:type="pct"/>
                  <w:vAlign w:val="bottom"/>
                </w:tcPr>
                <w:p w:rsidR="00745FEA" w:rsidRPr="00CE678E" w:rsidRDefault="00745FEA" w:rsidP="00745FEA">
                  <w:pPr>
                    <w:pStyle w:val="TableBodyText"/>
                    <w:ind w:right="57"/>
                  </w:pPr>
                  <w:r w:rsidRPr="00CE678E">
                    <w:t>–</w:t>
                  </w:r>
                </w:p>
              </w:tc>
              <w:tc>
                <w:tcPr>
                  <w:tcW w:w="467" w:type="pct"/>
                  <w:vAlign w:val="bottom"/>
                </w:tcPr>
                <w:p w:rsidR="00745FEA" w:rsidRPr="00CE678E" w:rsidRDefault="00745FEA" w:rsidP="00745FEA">
                  <w:pPr>
                    <w:pStyle w:val="TableBodyText"/>
                    <w:ind w:right="57"/>
                  </w:pPr>
                  <w:r w:rsidRPr="00CE678E">
                    <w:t>15.7</w:t>
                  </w:r>
                </w:p>
              </w:tc>
              <w:tc>
                <w:tcPr>
                  <w:tcW w:w="467" w:type="pct"/>
                  <w:vAlign w:val="bottom"/>
                </w:tcPr>
                <w:p w:rsidR="00745FEA" w:rsidRPr="00CE678E" w:rsidRDefault="00745FEA" w:rsidP="00745FEA">
                  <w:pPr>
                    <w:pStyle w:val="TableBodyText"/>
                    <w:ind w:right="57"/>
                  </w:pPr>
                  <w:r w:rsidRPr="00CE678E">
                    <w:t>15.2</w:t>
                  </w:r>
                </w:p>
              </w:tc>
              <w:tc>
                <w:tcPr>
                  <w:tcW w:w="467" w:type="pct"/>
                  <w:shd w:val="clear" w:color="auto" w:fill="auto"/>
                  <w:vAlign w:val="bottom"/>
                </w:tcPr>
                <w:p w:rsidR="00745FEA" w:rsidRPr="00CE678E" w:rsidRDefault="00745FEA" w:rsidP="00745FEA">
                  <w:pPr>
                    <w:pStyle w:val="TableBodyText"/>
                    <w:ind w:right="57"/>
                  </w:pPr>
                  <w:r w:rsidRPr="00CE678E">
                    <w:t>20.4</w:t>
                  </w:r>
                </w:p>
              </w:tc>
              <w:tc>
                <w:tcPr>
                  <w:tcW w:w="467" w:type="pct"/>
                  <w:shd w:val="clear" w:color="auto" w:fill="auto"/>
                  <w:vAlign w:val="bottom"/>
                </w:tcPr>
                <w:p w:rsidR="00745FEA" w:rsidRPr="00CE678E" w:rsidRDefault="00745FEA" w:rsidP="00745FEA">
                  <w:pPr>
                    <w:pStyle w:val="TableBodyText"/>
                    <w:ind w:right="57"/>
                  </w:pPr>
                  <w:r w:rsidRPr="00CE678E">
                    <w:t>21.7</w:t>
                  </w:r>
                </w:p>
              </w:tc>
              <w:tc>
                <w:tcPr>
                  <w:tcW w:w="464" w:type="pct"/>
                  <w:shd w:val="clear" w:color="auto" w:fill="auto"/>
                  <w:vAlign w:val="bottom"/>
                </w:tcPr>
                <w:p w:rsidR="00745FEA" w:rsidRPr="00CE678E" w:rsidRDefault="00745FEA" w:rsidP="00745FEA">
                  <w:pPr>
                    <w:pStyle w:val="TableBodyText"/>
                    <w:ind w:right="57"/>
                  </w:pPr>
                  <w:r w:rsidRPr="00CE678E">
                    <w:t>26.2</w:t>
                  </w:r>
                </w:p>
              </w:tc>
            </w:tr>
            <w:tr w:rsidR="00745FEA" w:rsidTr="00745FEA">
              <w:tc>
                <w:tcPr>
                  <w:tcW w:w="2201" w:type="pct"/>
                </w:tcPr>
                <w:p w:rsidR="00745FEA" w:rsidRPr="00112129" w:rsidRDefault="00745FEA" w:rsidP="00745FEA">
                  <w:pPr>
                    <w:pStyle w:val="TableBodyText"/>
                    <w:spacing w:after="0"/>
                    <w:ind w:left="227" w:right="0"/>
                    <w:jc w:val="left"/>
                  </w:pPr>
                  <w:r w:rsidRPr="00112129">
                    <w:t>R&amp;D tax offsets - Refundable</w:t>
                  </w:r>
                </w:p>
              </w:tc>
              <w:tc>
                <w:tcPr>
                  <w:tcW w:w="467" w:type="pct"/>
                  <w:vAlign w:val="bottom"/>
                </w:tcPr>
                <w:p w:rsidR="00745FEA" w:rsidRPr="00CE678E" w:rsidRDefault="00745FEA" w:rsidP="00745FEA">
                  <w:pPr>
                    <w:pStyle w:val="TableBodyText"/>
                    <w:ind w:right="57"/>
                  </w:pPr>
                  <w:r w:rsidRPr="00CE678E">
                    <w:t>5.3</w:t>
                  </w:r>
                </w:p>
              </w:tc>
              <w:tc>
                <w:tcPr>
                  <w:tcW w:w="467" w:type="pct"/>
                  <w:vAlign w:val="bottom"/>
                </w:tcPr>
                <w:p w:rsidR="00745FEA" w:rsidRPr="00CE678E" w:rsidRDefault="00745FEA" w:rsidP="00745FEA">
                  <w:pPr>
                    <w:pStyle w:val="TableBodyText"/>
                    <w:ind w:right="57"/>
                  </w:pPr>
                  <w:r w:rsidRPr="00CE678E">
                    <w:t>–</w:t>
                  </w:r>
                </w:p>
              </w:tc>
              <w:tc>
                <w:tcPr>
                  <w:tcW w:w="467" w:type="pct"/>
                  <w:vAlign w:val="bottom"/>
                </w:tcPr>
                <w:p w:rsidR="00745FEA" w:rsidRPr="00CE678E" w:rsidRDefault="00745FEA" w:rsidP="00745FEA">
                  <w:pPr>
                    <w:pStyle w:val="TableBodyText"/>
                    <w:ind w:right="57"/>
                  </w:pPr>
                  <w:r w:rsidRPr="00CE678E">
                    <w:t>–</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4" w:type="pct"/>
                  <w:shd w:val="clear" w:color="auto" w:fill="auto"/>
                  <w:vAlign w:val="bottom"/>
                </w:tcPr>
                <w:p w:rsidR="00745FEA" w:rsidRPr="00CE678E" w:rsidRDefault="00745FEA" w:rsidP="00745FEA">
                  <w:pPr>
                    <w:pStyle w:val="TableBodyText"/>
                    <w:ind w:right="57"/>
                  </w:pPr>
                  <w:r w:rsidRPr="00CE678E">
                    <w:t>–</w:t>
                  </w:r>
                </w:p>
              </w:tc>
            </w:tr>
            <w:tr w:rsidR="00745FEA" w:rsidTr="00745FEA">
              <w:tc>
                <w:tcPr>
                  <w:tcW w:w="2201" w:type="pct"/>
                </w:tcPr>
                <w:p w:rsidR="00745FEA" w:rsidRPr="00112129" w:rsidRDefault="00745FEA" w:rsidP="00745FEA">
                  <w:pPr>
                    <w:pStyle w:val="TableBodyText"/>
                    <w:spacing w:after="0"/>
                    <w:ind w:left="227" w:right="0"/>
                    <w:jc w:val="left"/>
                  </w:pPr>
                  <w:r w:rsidRPr="00112129">
                    <w:t>Premium R&amp;D tax concession</w:t>
                  </w:r>
                </w:p>
              </w:tc>
              <w:tc>
                <w:tcPr>
                  <w:tcW w:w="467" w:type="pct"/>
                  <w:vAlign w:val="bottom"/>
                </w:tcPr>
                <w:p w:rsidR="00745FEA" w:rsidRPr="00CE678E" w:rsidRDefault="00745FEA" w:rsidP="00745FEA">
                  <w:pPr>
                    <w:pStyle w:val="TableBodyText"/>
                    <w:ind w:right="57"/>
                  </w:pPr>
                  <w:r w:rsidRPr="00CE678E">
                    <w:t>3.7</w:t>
                  </w:r>
                </w:p>
              </w:tc>
              <w:tc>
                <w:tcPr>
                  <w:tcW w:w="467" w:type="pct"/>
                  <w:vAlign w:val="bottom"/>
                </w:tcPr>
                <w:p w:rsidR="00745FEA" w:rsidRPr="00CE678E" w:rsidRDefault="00745FEA" w:rsidP="00745FEA">
                  <w:pPr>
                    <w:pStyle w:val="TableBodyText"/>
                    <w:ind w:right="57"/>
                  </w:pPr>
                  <w:r w:rsidRPr="00CE678E">
                    <w:t>1.0</w:t>
                  </w:r>
                </w:p>
              </w:tc>
              <w:tc>
                <w:tcPr>
                  <w:tcW w:w="467" w:type="pct"/>
                  <w:vAlign w:val="bottom"/>
                </w:tcPr>
                <w:p w:rsidR="00745FEA" w:rsidRPr="00CE678E" w:rsidRDefault="00745FEA" w:rsidP="00745FEA">
                  <w:pPr>
                    <w:pStyle w:val="TableBodyText"/>
                    <w:ind w:right="57"/>
                  </w:pPr>
                  <w:r w:rsidRPr="00CE678E">
                    <w:t>0.4</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4" w:type="pct"/>
                  <w:shd w:val="clear" w:color="auto" w:fill="auto"/>
                  <w:vAlign w:val="bottom"/>
                </w:tcPr>
                <w:p w:rsidR="00745FEA" w:rsidRPr="00CE678E" w:rsidRDefault="00745FEA" w:rsidP="00745FEA">
                  <w:pPr>
                    <w:pStyle w:val="TableBodyText"/>
                    <w:ind w:right="57"/>
                  </w:pPr>
                  <w:r w:rsidRPr="00CE678E">
                    <w:t>–</w:t>
                  </w:r>
                </w:p>
              </w:tc>
            </w:tr>
            <w:tr w:rsidR="00745FEA" w:rsidTr="00745FEA">
              <w:tc>
                <w:tcPr>
                  <w:tcW w:w="2201" w:type="pct"/>
                </w:tcPr>
                <w:p w:rsidR="00745FEA" w:rsidRPr="00112129" w:rsidRDefault="00745FEA" w:rsidP="00745FEA">
                  <w:pPr>
                    <w:pStyle w:val="TableBodyText"/>
                    <w:spacing w:after="0"/>
                    <w:ind w:left="227" w:right="0"/>
                    <w:jc w:val="left"/>
                  </w:pPr>
                  <w:r w:rsidRPr="00112129">
                    <w:t>R&amp;D tax concession</w:t>
                  </w:r>
                </w:p>
              </w:tc>
              <w:tc>
                <w:tcPr>
                  <w:tcW w:w="467" w:type="pct"/>
                  <w:vAlign w:val="bottom"/>
                </w:tcPr>
                <w:p w:rsidR="00745FEA" w:rsidRPr="00CE678E" w:rsidRDefault="00745FEA" w:rsidP="00745FEA">
                  <w:pPr>
                    <w:pStyle w:val="TableBodyText"/>
                    <w:ind w:right="57"/>
                  </w:pPr>
                  <w:r w:rsidRPr="00CE678E">
                    <w:t>15.5</w:t>
                  </w:r>
                </w:p>
              </w:tc>
              <w:tc>
                <w:tcPr>
                  <w:tcW w:w="467" w:type="pct"/>
                  <w:vAlign w:val="bottom"/>
                </w:tcPr>
                <w:p w:rsidR="00745FEA" w:rsidRPr="00CE678E" w:rsidRDefault="00745FEA" w:rsidP="00745FEA">
                  <w:pPr>
                    <w:pStyle w:val="TableBodyText"/>
                    <w:ind w:right="57"/>
                  </w:pPr>
                  <w:r w:rsidRPr="00CE678E">
                    <w:t>6.9</w:t>
                  </w:r>
                </w:p>
              </w:tc>
              <w:tc>
                <w:tcPr>
                  <w:tcW w:w="467" w:type="pct"/>
                  <w:vAlign w:val="bottom"/>
                </w:tcPr>
                <w:p w:rsidR="00745FEA" w:rsidRPr="00CE678E" w:rsidRDefault="00745FEA" w:rsidP="00745FEA">
                  <w:pPr>
                    <w:pStyle w:val="TableBodyText"/>
                    <w:ind w:right="57"/>
                  </w:pPr>
                  <w:r w:rsidRPr="00CE678E">
                    <w:t>2.3</w:t>
                  </w:r>
                </w:p>
              </w:tc>
              <w:tc>
                <w:tcPr>
                  <w:tcW w:w="467" w:type="pct"/>
                  <w:shd w:val="clear" w:color="auto" w:fill="auto"/>
                  <w:vAlign w:val="bottom"/>
                </w:tcPr>
                <w:p w:rsidR="00745FEA" w:rsidRPr="00CE678E" w:rsidRDefault="00745FEA" w:rsidP="00745FEA">
                  <w:pPr>
                    <w:pStyle w:val="TableBodyText"/>
                    <w:ind w:right="57"/>
                  </w:pPr>
                  <w:r w:rsidRPr="00CE678E">
                    <w:t>0.4</w:t>
                  </w:r>
                </w:p>
              </w:tc>
              <w:tc>
                <w:tcPr>
                  <w:tcW w:w="467" w:type="pct"/>
                  <w:shd w:val="clear" w:color="auto" w:fill="auto"/>
                  <w:vAlign w:val="bottom"/>
                </w:tcPr>
                <w:p w:rsidR="00745FEA" w:rsidRPr="00CE678E" w:rsidRDefault="00745FEA" w:rsidP="00745FEA">
                  <w:pPr>
                    <w:pStyle w:val="TableBodyText"/>
                    <w:ind w:right="57"/>
                  </w:pPr>
                  <w:r w:rsidRPr="00CE678E">
                    <w:t>–</w:t>
                  </w:r>
                </w:p>
              </w:tc>
              <w:tc>
                <w:tcPr>
                  <w:tcW w:w="464" w:type="pct"/>
                  <w:shd w:val="clear" w:color="auto" w:fill="auto"/>
                  <w:vAlign w:val="bottom"/>
                </w:tcPr>
                <w:p w:rsidR="00745FEA" w:rsidRPr="00CE678E" w:rsidRDefault="00745FEA" w:rsidP="00745FEA">
                  <w:pPr>
                    <w:pStyle w:val="TableBodyText"/>
                    <w:ind w:right="57"/>
                  </w:pPr>
                  <w:r w:rsidRPr="00CE678E">
                    <w:t>–</w:t>
                  </w:r>
                </w:p>
              </w:tc>
            </w:tr>
            <w:tr w:rsidR="00745FEA" w:rsidTr="00745FEA">
              <w:tc>
                <w:tcPr>
                  <w:tcW w:w="2201" w:type="pct"/>
                </w:tcPr>
                <w:p w:rsidR="00745FEA" w:rsidRPr="00112129" w:rsidRDefault="00745FEA" w:rsidP="00745FEA">
                  <w:pPr>
                    <w:pStyle w:val="TableBodyText"/>
                    <w:spacing w:after="0"/>
                    <w:ind w:left="227" w:right="0"/>
                    <w:jc w:val="left"/>
                  </w:pPr>
                  <w:r w:rsidRPr="00112129">
                    <w:t>R&amp;D Tax Incentive - non-refundable tax offset</w:t>
                  </w:r>
                </w:p>
              </w:tc>
              <w:tc>
                <w:tcPr>
                  <w:tcW w:w="467" w:type="pct"/>
                  <w:vAlign w:val="bottom"/>
                </w:tcPr>
                <w:p w:rsidR="00745FEA" w:rsidRPr="00CE678E" w:rsidRDefault="00745FEA" w:rsidP="00745FEA">
                  <w:pPr>
                    <w:pStyle w:val="TableBodyText"/>
                    <w:ind w:right="57"/>
                  </w:pPr>
                  <w:r w:rsidRPr="00CE678E">
                    <w:t>–</w:t>
                  </w:r>
                </w:p>
              </w:tc>
              <w:tc>
                <w:tcPr>
                  <w:tcW w:w="467" w:type="pct"/>
                  <w:vAlign w:val="bottom"/>
                </w:tcPr>
                <w:p w:rsidR="00745FEA" w:rsidRPr="00CE678E" w:rsidRDefault="00745FEA" w:rsidP="00745FEA">
                  <w:pPr>
                    <w:pStyle w:val="TableBodyText"/>
                    <w:ind w:right="57"/>
                  </w:pPr>
                  <w:r w:rsidRPr="00CE678E">
                    <w:t>3.3</w:t>
                  </w:r>
                </w:p>
              </w:tc>
              <w:tc>
                <w:tcPr>
                  <w:tcW w:w="467" w:type="pct"/>
                  <w:vAlign w:val="bottom"/>
                </w:tcPr>
                <w:p w:rsidR="00745FEA" w:rsidRPr="00CE678E" w:rsidRDefault="00745FEA" w:rsidP="00745FEA">
                  <w:pPr>
                    <w:pStyle w:val="TableBodyText"/>
                    <w:ind w:right="57"/>
                  </w:pPr>
                  <w:r w:rsidRPr="00CE678E">
                    <w:t>4.0</w:t>
                  </w:r>
                </w:p>
              </w:tc>
              <w:tc>
                <w:tcPr>
                  <w:tcW w:w="467" w:type="pct"/>
                  <w:shd w:val="clear" w:color="auto" w:fill="auto"/>
                  <w:vAlign w:val="bottom"/>
                </w:tcPr>
                <w:p w:rsidR="00745FEA" w:rsidRPr="00CE678E" w:rsidRDefault="00745FEA" w:rsidP="00745FEA">
                  <w:pPr>
                    <w:pStyle w:val="TableBodyText"/>
                    <w:ind w:right="57"/>
                  </w:pPr>
                  <w:r w:rsidRPr="00CE678E">
                    <w:t>2.7</w:t>
                  </w:r>
                </w:p>
              </w:tc>
              <w:tc>
                <w:tcPr>
                  <w:tcW w:w="467" w:type="pct"/>
                  <w:shd w:val="clear" w:color="auto" w:fill="auto"/>
                  <w:vAlign w:val="bottom"/>
                </w:tcPr>
                <w:p w:rsidR="00745FEA" w:rsidRPr="00CE678E" w:rsidRDefault="00745FEA" w:rsidP="00745FEA">
                  <w:pPr>
                    <w:pStyle w:val="TableBodyText"/>
                    <w:ind w:right="57"/>
                  </w:pPr>
                  <w:r w:rsidRPr="00CE678E">
                    <w:t>2.8</w:t>
                  </w:r>
                </w:p>
              </w:tc>
              <w:tc>
                <w:tcPr>
                  <w:tcW w:w="464" w:type="pct"/>
                  <w:shd w:val="clear" w:color="auto" w:fill="auto"/>
                  <w:vAlign w:val="bottom"/>
                </w:tcPr>
                <w:p w:rsidR="00745FEA" w:rsidRDefault="00745FEA" w:rsidP="00745FEA">
                  <w:pPr>
                    <w:pStyle w:val="TableBodyText"/>
                    <w:ind w:right="57"/>
                  </w:pPr>
                  <w:r w:rsidRPr="00CE678E">
                    <w:t>5.2</w:t>
                  </w:r>
                </w:p>
              </w:tc>
            </w:tr>
            <w:tr w:rsidR="00745FEA" w:rsidTr="00745FEA">
              <w:tc>
                <w:tcPr>
                  <w:tcW w:w="2201" w:type="pct"/>
                </w:tcPr>
                <w:p w:rsidR="00745FEA" w:rsidRPr="006A6199" w:rsidRDefault="00745FEA" w:rsidP="00745FEA">
                  <w:pPr>
                    <w:pStyle w:val="TableBodyText"/>
                    <w:spacing w:before="40" w:after="0"/>
                    <w:ind w:left="113"/>
                    <w:jc w:val="left"/>
                    <w:rPr>
                      <w:i/>
                    </w:rPr>
                  </w:pPr>
                  <w:r w:rsidRPr="006A6199">
                    <w:rPr>
                      <w:i/>
                    </w:rPr>
                    <w:t>Other measures</w:t>
                  </w:r>
                </w:p>
              </w:tc>
              <w:tc>
                <w:tcPr>
                  <w:tcW w:w="467" w:type="pct"/>
                  <w:vAlign w:val="bottom"/>
                </w:tcPr>
                <w:p w:rsidR="00745FEA" w:rsidRPr="00777A4D" w:rsidRDefault="00745FEA" w:rsidP="00745FEA">
                  <w:pPr>
                    <w:pStyle w:val="TableBodyText"/>
                    <w:ind w:right="57"/>
                  </w:pPr>
                </w:p>
              </w:tc>
              <w:tc>
                <w:tcPr>
                  <w:tcW w:w="467" w:type="pct"/>
                  <w:vAlign w:val="bottom"/>
                </w:tcPr>
                <w:p w:rsidR="00745FEA" w:rsidRPr="00777A4D" w:rsidRDefault="00745FEA" w:rsidP="00745FEA">
                  <w:pPr>
                    <w:pStyle w:val="TableBodyText"/>
                    <w:ind w:right="57"/>
                  </w:pPr>
                </w:p>
              </w:tc>
              <w:tc>
                <w:tcPr>
                  <w:tcW w:w="467" w:type="pct"/>
                  <w:vAlign w:val="bottom"/>
                </w:tcPr>
                <w:p w:rsidR="00745FEA" w:rsidRPr="00777A4D" w:rsidRDefault="00745FEA" w:rsidP="00745FEA">
                  <w:pPr>
                    <w:pStyle w:val="TableBodyText"/>
                    <w:ind w:right="57"/>
                  </w:pPr>
                </w:p>
              </w:tc>
              <w:tc>
                <w:tcPr>
                  <w:tcW w:w="467" w:type="pct"/>
                  <w:shd w:val="clear" w:color="auto" w:fill="auto"/>
                  <w:vAlign w:val="bottom"/>
                </w:tcPr>
                <w:p w:rsidR="00745FEA" w:rsidRPr="00777A4D" w:rsidRDefault="00745FEA" w:rsidP="00745FEA">
                  <w:pPr>
                    <w:pStyle w:val="TableBodyText"/>
                    <w:ind w:right="57"/>
                  </w:pPr>
                </w:p>
              </w:tc>
              <w:tc>
                <w:tcPr>
                  <w:tcW w:w="467" w:type="pct"/>
                  <w:shd w:val="clear" w:color="auto" w:fill="auto"/>
                  <w:vAlign w:val="bottom"/>
                </w:tcPr>
                <w:p w:rsidR="00745FEA" w:rsidRPr="00777A4D" w:rsidRDefault="00745FEA" w:rsidP="00745FEA">
                  <w:pPr>
                    <w:pStyle w:val="TableBodyText"/>
                    <w:ind w:right="57"/>
                  </w:pPr>
                </w:p>
              </w:tc>
              <w:tc>
                <w:tcPr>
                  <w:tcW w:w="464" w:type="pct"/>
                  <w:shd w:val="clear" w:color="auto" w:fill="auto"/>
                  <w:vAlign w:val="bottom"/>
                </w:tcPr>
                <w:p w:rsidR="00745FEA" w:rsidRPr="00777A4D" w:rsidRDefault="00745FEA" w:rsidP="00745FEA">
                  <w:pPr>
                    <w:pStyle w:val="TableBodyText"/>
                    <w:ind w:right="57"/>
                  </w:pPr>
                </w:p>
              </w:tc>
            </w:tr>
            <w:tr w:rsidR="00745FEA" w:rsidTr="00745FEA">
              <w:tc>
                <w:tcPr>
                  <w:tcW w:w="2201" w:type="pct"/>
                </w:tcPr>
                <w:p w:rsidR="00745FEA" w:rsidRPr="00C92641" w:rsidRDefault="00745FEA" w:rsidP="00745FEA">
                  <w:pPr>
                    <w:pStyle w:val="TableBodyText"/>
                    <w:spacing w:after="0"/>
                    <w:ind w:left="227" w:right="0"/>
                    <w:jc w:val="left"/>
                  </w:pPr>
                  <w:r w:rsidRPr="00C92641">
                    <w:t>Enterprise Connect Innovation Centres</w:t>
                  </w:r>
                </w:p>
              </w:tc>
              <w:tc>
                <w:tcPr>
                  <w:tcW w:w="467" w:type="pct"/>
                  <w:vAlign w:val="bottom"/>
                </w:tcPr>
                <w:p w:rsidR="00745FEA" w:rsidRPr="00EF5B41" w:rsidRDefault="00745FEA" w:rsidP="00745FEA">
                  <w:pPr>
                    <w:pStyle w:val="TableBodyText"/>
                    <w:ind w:right="57"/>
                  </w:pPr>
                  <w:r w:rsidRPr="00EF5B41">
                    <w:t>0.2</w:t>
                  </w:r>
                </w:p>
              </w:tc>
              <w:tc>
                <w:tcPr>
                  <w:tcW w:w="467" w:type="pct"/>
                  <w:vAlign w:val="bottom"/>
                </w:tcPr>
                <w:p w:rsidR="00745FEA" w:rsidRPr="00EF5B41" w:rsidRDefault="00745FEA" w:rsidP="00745FEA">
                  <w:pPr>
                    <w:pStyle w:val="TableBodyText"/>
                    <w:ind w:right="57"/>
                  </w:pPr>
                  <w:r w:rsidRPr="00EF5B41">
                    <w:t>0.1</w:t>
                  </w:r>
                </w:p>
              </w:tc>
              <w:tc>
                <w:tcPr>
                  <w:tcW w:w="467" w:type="pct"/>
                  <w:vAlign w:val="bottom"/>
                </w:tcPr>
                <w:p w:rsidR="00745FEA" w:rsidRPr="00EF5B41" w:rsidRDefault="00745FEA" w:rsidP="00745FEA">
                  <w:pPr>
                    <w:pStyle w:val="TableBodyText"/>
                    <w:ind w:right="57"/>
                  </w:pPr>
                  <w:r w:rsidRPr="00EF5B41">
                    <w:t>0.1</w:t>
                  </w:r>
                </w:p>
              </w:tc>
              <w:tc>
                <w:tcPr>
                  <w:tcW w:w="467" w:type="pct"/>
                  <w:shd w:val="clear" w:color="auto" w:fill="auto"/>
                  <w:vAlign w:val="bottom"/>
                </w:tcPr>
                <w:p w:rsidR="00745FEA" w:rsidRPr="00EF5B41" w:rsidRDefault="00745FEA" w:rsidP="00745FEA">
                  <w:pPr>
                    <w:pStyle w:val="TableBodyText"/>
                    <w:ind w:right="57"/>
                  </w:pPr>
                  <w:r w:rsidRPr="00EF5B41">
                    <w:t>0.1</w:t>
                  </w:r>
                </w:p>
              </w:tc>
              <w:tc>
                <w:tcPr>
                  <w:tcW w:w="467" w:type="pct"/>
                  <w:shd w:val="clear" w:color="auto" w:fill="auto"/>
                  <w:vAlign w:val="bottom"/>
                </w:tcPr>
                <w:p w:rsidR="00745FEA" w:rsidRPr="00EF5B41" w:rsidRDefault="00745FEA" w:rsidP="00745FEA">
                  <w:pPr>
                    <w:pStyle w:val="TableBodyText"/>
                    <w:ind w:right="57"/>
                  </w:pPr>
                  <w:r w:rsidRPr="00EF5B41">
                    <w:t>&lt;0.1</w:t>
                  </w:r>
                </w:p>
              </w:tc>
              <w:tc>
                <w:tcPr>
                  <w:tcW w:w="464" w:type="pct"/>
                  <w:shd w:val="clear" w:color="auto" w:fill="auto"/>
                  <w:vAlign w:val="bottom"/>
                </w:tcPr>
                <w:p w:rsidR="00745FEA" w:rsidRPr="00EF5B41" w:rsidRDefault="00745FEA" w:rsidP="00745FEA">
                  <w:pPr>
                    <w:pStyle w:val="TableBodyText"/>
                    <w:ind w:right="57"/>
                  </w:pPr>
                  <w:r w:rsidRPr="00EF5B41">
                    <w:t>–</w:t>
                  </w:r>
                </w:p>
              </w:tc>
            </w:tr>
            <w:tr w:rsidR="00745FEA" w:rsidTr="00745FEA">
              <w:tc>
                <w:tcPr>
                  <w:tcW w:w="2201" w:type="pct"/>
                </w:tcPr>
                <w:p w:rsidR="00745FEA" w:rsidRPr="00C92641" w:rsidRDefault="00745FEA" w:rsidP="00745FEA">
                  <w:pPr>
                    <w:pStyle w:val="TableBodyText"/>
                    <w:spacing w:after="0"/>
                    <w:ind w:left="227" w:right="0"/>
                    <w:jc w:val="left"/>
                  </w:pPr>
                  <w:r w:rsidRPr="00B91828">
                    <w:t>Entrepreneurs’ Infrastructure Programme - Accelerating Commercialisation</w:t>
                  </w:r>
                </w:p>
              </w:tc>
              <w:tc>
                <w:tcPr>
                  <w:tcW w:w="467" w:type="pct"/>
                  <w:vAlign w:val="bottom"/>
                </w:tcPr>
                <w:p w:rsidR="00745FEA" w:rsidRPr="00EF5B41" w:rsidRDefault="00745FEA" w:rsidP="00745FEA">
                  <w:pPr>
                    <w:pStyle w:val="TableBodyText"/>
                    <w:ind w:right="57"/>
                  </w:pPr>
                  <w:r w:rsidRPr="00EF5B41">
                    <w:t>–</w:t>
                  </w:r>
                </w:p>
              </w:tc>
              <w:tc>
                <w:tcPr>
                  <w:tcW w:w="467" w:type="pct"/>
                  <w:vAlign w:val="bottom"/>
                </w:tcPr>
                <w:p w:rsidR="00745FEA" w:rsidRPr="00EF5B41" w:rsidRDefault="00745FEA" w:rsidP="00745FEA">
                  <w:pPr>
                    <w:pStyle w:val="TableBodyText"/>
                    <w:ind w:right="57"/>
                  </w:pPr>
                  <w:r w:rsidRPr="00EF5B41">
                    <w:t>–</w:t>
                  </w:r>
                </w:p>
              </w:tc>
              <w:tc>
                <w:tcPr>
                  <w:tcW w:w="467" w:type="pct"/>
                  <w:vAlign w:val="bottom"/>
                </w:tcPr>
                <w:p w:rsidR="00745FEA" w:rsidRPr="00EF5B41" w:rsidRDefault="00745FEA" w:rsidP="00745FEA">
                  <w:pPr>
                    <w:pStyle w:val="TableBodyText"/>
                    <w:ind w:right="57"/>
                  </w:pPr>
                  <w:r w:rsidRPr="00EF5B41">
                    <w:t>–</w:t>
                  </w:r>
                </w:p>
              </w:tc>
              <w:tc>
                <w:tcPr>
                  <w:tcW w:w="467" w:type="pct"/>
                  <w:shd w:val="clear" w:color="auto" w:fill="auto"/>
                  <w:vAlign w:val="bottom"/>
                </w:tcPr>
                <w:p w:rsidR="00745FEA" w:rsidRPr="00EF5B41" w:rsidRDefault="00745FEA" w:rsidP="00745FEA">
                  <w:pPr>
                    <w:pStyle w:val="TableBodyText"/>
                    <w:ind w:right="57"/>
                  </w:pPr>
                  <w:r w:rsidRPr="00EF5B41">
                    <w:t>–</w:t>
                  </w:r>
                </w:p>
              </w:tc>
              <w:tc>
                <w:tcPr>
                  <w:tcW w:w="467" w:type="pct"/>
                  <w:shd w:val="clear" w:color="auto" w:fill="auto"/>
                  <w:vAlign w:val="bottom"/>
                </w:tcPr>
                <w:p w:rsidR="00745FEA" w:rsidRPr="00EF5B41" w:rsidRDefault="00745FEA" w:rsidP="00745FEA">
                  <w:pPr>
                    <w:pStyle w:val="TableBodyText"/>
                    <w:ind w:right="57"/>
                  </w:pPr>
                  <w:r w:rsidRPr="00EF5B41">
                    <w:t>–</w:t>
                  </w:r>
                </w:p>
              </w:tc>
              <w:tc>
                <w:tcPr>
                  <w:tcW w:w="464" w:type="pct"/>
                  <w:shd w:val="clear" w:color="auto" w:fill="auto"/>
                  <w:vAlign w:val="bottom"/>
                </w:tcPr>
                <w:p w:rsidR="00745FEA" w:rsidRPr="00EF5B41" w:rsidRDefault="00745FEA" w:rsidP="00745FEA">
                  <w:pPr>
                    <w:pStyle w:val="TableBodyText"/>
                    <w:ind w:right="57"/>
                  </w:pPr>
                  <w:r w:rsidRPr="00EF5B41">
                    <w:t>0.2</w:t>
                  </w:r>
                </w:p>
              </w:tc>
            </w:tr>
            <w:tr w:rsidR="00745FEA" w:rsidTr="00745FEA">
              <w:tc>
                <w:tcPr>
                  <w:tcW w:w="2201" w:type="pct"/>
                </w:tcPr>
                <w:p w:rsidR="00745FEA" w:rsidRPr="00C92641" w:rsidRDefault="00745FEA" w:rsidP="00745FEA">
                  <w:pPr>
                    <w:pStyle w:val="TableBodyText"/>
                    <w:spacing w:after="0"/>
                    <w:ind w:left="227" w:right="0"/>
                    <w:jc w:val="left"/>
                  </w:pPr>
                  <w:r w:rsidRPr="00C92641">
                    <w:t>Entrepreneurs’ Infrastructure Programme - Business Management Skills</w:t>
                  </w:r>
                </w:p>
              </w:tc>
              <w:tc>
                <w:tcPr>
                  <w:tcW w:w="467" w:type="pct"/>
                  <w:vAlign w:val="bottom"/>
                </w:tcPr>
                <w:p w:rsidR="00745FEA" w:rsidRPr="00EF5B41" w:rsidRDefault="00745FEA" w:rsidP="00745FEA">
                  <w:pPr>
                    <w:pStyle w:val="TableBodyText"/>
                    <w:ind w:right="57"/>
                  </w:pPr>
                  <w:r w:rsidRPr="00EF5B41">
                    <w:t>–</w:t>
                  </w:r>
                </w:p>
              </w:tc>
              <w:tc>
                <w:tcPr>
                  <w:tcW w:w="467" w:type="pct"/>
                  <w:vAlign w:val="bottom"/>
                </w:tcPr>
                <w:p w:rsidR="00745FEA" w:rsidRPr="00EF5B41" w:rsidRDefault="00745FEA" w:rsidP="00745FEA">
                  <w:pPr>
                    <w:pStyle w:val="TableBodyText"/>
                    <w:ind w:right="57"/>
                  </w:pPr>
                  <w:r w:rsidRPr="00EF5B41">
                    <w:t>–</w:t>
                  </w:r>
                </w:p>
              </w:tc>
              <w:tc>
                <w:tcPr>
                  <w:tcW w:w="467" w:type="pct"/>
                  <w:vAlign w:val="bottom"/>
                </w:tcPr>
                <w:p w:rsidR="00745FEA" w:rsidRPr="00EF5B41" w:rsidRDefault="00745FEA" w:rsidP="00745FEA">
                  <w:pPr>
                    <w:pStyle w:val="TableBodyText"/>
                    <w:ind w:right="57"/>
                  </w:pPr>
                  <w:r w:rsidRPr="00EF5B41">
                    <w:t>–</w:t>
                  </w:r>
                </w:p>
              </w:tc>
              <w:tc>
                <w:tcPr>
                  <w:tcW w:w="467" w:type="pct"/>
                  <w:shd w:val="clear" w:color="auto" w:fill="auto"/>
                  <w:vAlign w:val="bottom"/>
                </w:tcPr>
                <w:p w:rsidR="00745FEA" w:rsidRPr="00EF5B41" w:rsidRDefault="00745FEA" w:rsidP="00745FEA">
                  <w:pPr>
                    <w:pStyle w:val="TableBodyText"/>
                    <w:ind w:right="57"/>
                  </w:pPr>
                  <w:r w:rsidRPr="00EF5B41">
                    <w:t>&lt;0.1</w:t>
                  </w:r>
                </w:p>
              </w:tc>
              <w:tc>
                <w:tcPr>
                  <w:tcW w:w="467" w:type="pct"/>
                  <w:shd w:val="clear" w:color="auto" w:fill="auto"/>
                  <w:vAlign w:val="bottom"/>
                </w:tcPr>
                <w:p w:rsidR="00745FEA" w:rsidRPr="00EF5B41" w:rsidRDefault="00745FEA" w:rsidP="00745FEA">
                  <w:pPr>
                    <w:pStyle w:val="TableBodyText"/>
                    <w:ind w:right="57"/>
                  </w:pPr>
                  <w:r w:rsidRPr="00EF5B41">
                    <w:t>0.1</w:t>
                  </w:r>
                </w:p>
              </w:tc>
              <w:tc>
                <w:tcPr>
                  <w:tcW w:w="464" w:type="pct"/>
                  <w:shd w:val="clear" w:color="auto" w:fill="auto"/>
                  <w:vAlign w:val="bottom"/>
                </w:tcPr>
                <w:p w:rsidR="00745FEA" w:rsidRPr="00EF5B41" w:rsidRDefault="00745FEA" w:rsidP="00745FEA">
                  <w:pPr>
                    <w:pStyle w:val="TableBodyText"/>
                    <w:ind w:right="57"/>
                  </w:pPr>
                  <w:r w:rsidRPr="00EF5B41">
                    <w:t>0.1</w:t>
                  </w:r>
                </w:p>
              </w:tc>
            </w:tr>
            <w:tr w:rsidR="00745FEA" w:rsidTr="00745FEA">
              <w:tc>
                <w:tcPr>
                  <w:tcW w:w="2201" w:type="pct"/>
                </w:tcPr>
                <w:p w:rsidR="00745FEA" w:rsidRPr="00C92641" w:rsidRDefault="00745FEA" w:rsidP="00745FEA">
                  <w:pPr>
                    <w:pStyle w:val="TableBodyText"/>
                    <w:spacing w:after="0"/>
                    <w:ind w:left="227" w:right="0"/>
                    <w:jc w:val="left"/>
                  </w:pPr>
                  <w:r w:rsidRPr="00C92641">
                    <w:t>Small Business - Simplified depreciation rules</w:t>
                  </w:r>
                </w:p>
              </w:tc>
              <w:tc>
                <w:tcPr>
                  <w:tcW w:w="467" w:type="pct"/>
                  <w:vAlign w:val="bottom"/>
                </w:tcPr>
                <w:p w:rsidR="00745FEA" w:rsidRPr="00EF5B41" w:rsidRDefault="00745FEA" w:rsidP="00745FEA">
                  <w:pPr>
                    <w:pStyle w:val="TableBodyText"/>
                    <w:ind w:right="57"/>
                  </w:pPr>
                  <w:r w:rsidRPr="00EF5B41">
                    <w:t>&lt;0.1</w:t>
                  </w:r>
                </w:p>
              </w:tc>
              <w:tc>
                <w:tcPr>
                  <w:tcW w:w="467" w:type="pct"/>
                  <w:vAlign w:val="bottom"/>
                </w:tcPr>
                <w:p w:rsidR="00745FEA" w:rsidRPr="00EF5B41" w:rsidRDefault="00745FEA" w:rsidP="00745FEA">
                  <w:pPr>
                    <w:pStyle w:val="TableBodyText"/>
                    <w:ind w:right="57"/>
                  </w:pPr>
                  <w:r w:rsidRPr="00EF5B41">
                    <w:t>-0.1</w:t>
                  </w:r>
                </w:p>
              </w:tc>
              <w:tc>
                <w:tcPr>
                  <w:tcW w:w="467" w:type="pct"/>
                  <w:vAlign w:val="bottom"/>
                </w:tcPr>
                <w:p w:rsidR="00745FEA" w:rsidRPr="00EF5B41" w:rsidRDefault="00745FEA" w:rsidP="00745FEA">
                  <w:pPr>
                    <w:pStyle w:val="TableBodyText"/>
                    <w:ind w:right="57"/>
                  </w:pPr>
                  <w:r w:rsidRPr="00EF5B41">
                    <w:t>0.2</w:t>
                  </w:r>
                </w:p>
              </w:tc>
              <w:tc>
                <w:tcPr>
                  <w:tcW w:w="467" w:type="pct"/>
                  <w:shd w:val="clear" w:color="auto" w:fill="auto"/>
                  <w:vAlign w:val="bottom"/>
                </w:tcPr>
                <w:p w:rsidR="00745FEA" w:rsidRPr="00EF5B41" w:rsidRDefault="00745FEA" w:rsidP="00745FEA">
                  <w:pPr>
                    <w:pStyle w:val="TableBodyText"/>
                    <w:ind w:right="57"/>
                  </w:pPr>
                  <w:r w:rsidRPr="00EF5B41">
                    <w:t>-0.1</w:t>
                  </w:r>
                </w:p>
              </w:tc>
              <w:tc>
                <w:tcPr>
                  <w:tcW w:w="467" w:type="pct"/>
                  <w:shd w:val="clear" w:color="auto" w:fill="auto"/>
                  <w:vAlign w:val="bottom"/>
                </w:tcPr>
                <w:p w:rsidR="00745FEA" w:rsidRPr="00EF5B41" w:rsidRDefault="00745FEA" w:rsidP="00745FEA">
                  <w:pPr>
                    <w:pStyle w:val="TableBodyText"/>
                    <w:ind w:right="57"/>
                  </w:pPr>
                  <w:r w:rsidRPr="00EF5B41">
                    <w:t>-0.2</w:t>
                  </w:r>
                </w:p>
              </w:tc>
              <w:tc>
                <w:tcPr>
                  <w:tcW w:w="464" w:type="pct"/>
                  <w:shd w:val="clear" w:color="auto" w:fill="auto"/>
                  <w:vAlign w:val="bottom"/>
                </w:tcPr>
                <w:p w:rsidR="00745FEA" w:rsidRPr="00EF5B41" w:rsidRDefault="00745FEA" w:rsidP="00745FEA">
                  <w:pPr>
                    <w:pStyle w:val="TableBodyText"/>
                    <w:ind w:right="57"/>
                  </w:pPr>
                  <w:r w:rsidRPr="00EF5B41">
                    <w:t>1.5</w:t>
                  </w:r>
                </w:p>
              </w:tc>
            </w:tr>
            <w:tr w:rsidR="00745FEA" w:rsidTr="00745FEA">
              <w:tc>
                <w:tcPr>
                  <w:tcW w:w="2201" w:type="pct"/>
                </w:tcPr>
                <w:p w:rsidR="00745FEA" w:rsidRPr="00C92641" w:rsidRDefault="00745FEA" w:rsidP="00745FEA">
                  <w:pPr>
                    <w:pStyle w:val="TableBodyText"/>
                    <w:spacing w:after="0"/>
                    <w:ind w:left="227" w:right="0"/>
                    <w:jc w:val="left"/>
                  </w:pPr>
                  <w:r w:rsidRPr="00C92641">
                    <w:t xml:space="preserve">Small business </w:t>
                  </w:r>
                  <w:r>
                    <w:t>capital gains tax</w:t>
                  </w:r>
                  <w:r w:rsidRPr="00C92641">
                    <w:t xml:space="preserve"> 50 per cent reduction</w:t>
                  </w:r>
                </w:p>
              </w:tc>
              <w:tc>
                <w:tcPr>
                  <w:tcW w:w="467" w:type="pct"/>
                  <w:vAlign w:val="bottom"/>
                </w:tcPr>
                <w:p w:rsidR="00745FEA" w:rsidRPr="00EF5B41" w:rsidRDefault="00745FEA" w:rsidP="00745FEA">
                  <w:pPr>
                    <w:pStyle w:val="TableBodyText"/>
                    <w:ind w:right="57"/>
                  </w:pPr>
                  <w:r w:rsidRPr="00EF5B41">
                    <w:t>1.4</w:t>
                  </w:r>
                </w:p>
              </w:tc>
              <w:tc>
                <w:tcPr>
                  <w:tcW w:w="467" w:type="pct"/>
                  <w:vAlign w:val="bottom"/>
                </w:tcPr>
                <w:p w:rsidR="00745FEA" w:rsidRPr="00EF5B41" w:rsidRDefault="00745FEA" w:rsidP="00745FEA">
                  <w:pPr>
                    <w:pStyle w:val="TableBodyText"/>
                    <w:ind w:right="57"/>
                  </w:pPr>
                  <w:r w:rsidRPr="00EF5B41">
                    <w:t>1.4</w:t>
                  </w:r>
                </w:p>
              </w:tc>
              <w:tc>
                <w:tcPr>
                  <w:tcW w:w="467" w:type="pct"/>
                  <w:vAlign w:val="bottom"/>
                </w:tcPr>
                <w:p w:rsidR="00745FEA" w:rsidRPr="00EF5B41" w:rsidRDefault="00745FEA" w:rsidP="00745FEA">
                  <w:pPr>
                    <w:pStyle w:val="TableBodyText"/>
                    <w:ind w:right="57"/>
                  </w:pPr>
                  <w:r w:rsidRPr="00EF5B41">
                    <w:t>1.4</w:t>
                  </w:r>
                </w:p>
              </w:tc>
              <w:tc>
                <w:tcPr>
                  <w:tcW w:w="467" w:type="pct"/>
                  <w:shd w:val="clear" w:color="auto" w:fill="auto"/>
                  <w:vAlign w:val="bottom"/>
                </w:tcPr>
                <w:p w:rsidR="00745FEA" w:rsidRPr="00EF5B41" w:rsidRDefault="00745FEA" w:rsidP="00745FEA">
                  <w:pPr>
                    <w:pStyle w:val="TableBodyText"/>
                    <w:ind w:right="57"/>
                  </w:pPr>
                  <w:r w:rsidRPr="00EF5B41">
                    <w:t>1.1</w:t>
                  </w:r>
                </w:p>
              </w:tc>
              <w:tc>
                <w:tcPr>
                  <w:tcW w:w="467" w:type="pct"/>
                  <w:shd w:val="clear" w:color="auto" w:fill="auto"/>
                  <w:vAlign w:val="bottom"/>
                </w:tcPr>
                <w:p w:rsidR="00745FEA" w:rsidRPr="00EF5B41" w:rsidRDefault="00745FEA" w:rsidP="00745FEA">
                  <w:pPr>
                    <w:pStyle w:val="TableBodyText"/>
                    <w:ind w:right="57"/>
                  </w:pPr>
                  <w:r w:rsidRPr="00EF5B41">
                    <w:t>1.2</w:t>
                  </w:r>
                </w:p>
              </w:tc>
              <w:tc>
                <w:tcPr>
                  <w:tcW w:w="464" w:type="pct"/>
                  <w:shd w:val="clear" w:color="auto" w:fill="auto"/>
                  <w:vAlign w:val="bottom"/>
                </w:tcPr>
                <w:p w:rsidR="00745FEA" w:rsidRPr="00EF5B41" w:rsidRDefault="00745FEA" w:rsidP="00745FEA">
                  <w:pPr>
                    <w:pStyle w:val="TableBodyText"/>
                    <w:ind w:right="57"/>
                  </w:pPr>
                  <w:r w:rsidRPr="00EF5B41">
                    <w:t>0.9</w:t>
                  </w:r>
                </w:p>
              </w:tc>
            </w:tr>
            <w:tr w:rsidR="00745FEA" w:rsidTr="00745FEA">
              <w:tc>
                <w:tcPr>
                  <w:tcW w:w="2201" w:type="pct"/>
                </w:tcPr>
                <w:p w:rsidR="00745FEA" w:rsidRPr="00C92641" w:rsidRDefault="00745FEA" w:rsidP="00745FEA">
                  <w:pPr>
                    <w:pStyle w:val="TableBodyText"/>
                    <w:spacing w:after="0"/>
                    <w:ind w:left="227" w:right="0"/>
                    <w:jc w:val="left"/>
                  </w:pPr>
                  <w:r w:rsidRPr="00C92641">
                    <w:t>25 per cent entrepreneurs' tax offset</w:t>
                  </w:r>
                </w:p>
              </w:tc>
              <w:tc>
                <w:tcPr>
                  <w:tcW w:w="467" w:type="pct"/>
                  <w:vAlign w:val="bottom"/>
                </w:tcPr>
                <w:p w:rsidR="00745FEA" w:rsidRPr="00EF5B41" w:rsidRDefault="00745FEA" w:rsidP="00745FEA">
                  <w:pPr>
                    <w:pStyle w:val="TableBodyText"/>
                    <w:ind w:right="57"/>
                  </w:pPr>
                  <w:r w:rsidRPr="00EF5B41">
                    <w:t>0.1</w:t>
                  </w:r>
                </w:p>
              </w:tc>
              <w:tc>
                <w:tcPr>
                  <w:tcW w:w="467" w:type="pct"/>
                  <w:vAlign w:val="bottom"/>
                </w:tcPr>
                <w:p w:rsidR="00745FEA" w:rsidRPr="00EF5B41" w:rsidRDefault="00745FEA" w:rsidP="00745FEA">
                  <w:pPr>
                    <w:pStyle w:val="TableBodyText"/>
                    <w:ind w:right="57"/>
                  </w:pPr>
                  <w:r w:rsidRPr="00EF5B41">
                    <w:t>0.1</w:t>
                  </w:r>
                </w:p>
              </w:tc>
              <w:tc>
                <w:tcPr>
                  <w:tcW w:w="467" w:type="pct"/>
                  <w:vAlign w:val="bottom"/>
                </w:tcPr>
                <w:p w:rsidR="00745FEA" w:rsidRPr="00EF5B41" w:rsidRDefault="00745FEA" w:rsidP="00745FEA">
                  <w:pPr>
                    <w:pStyle w:val="TableBodyText"/>
                    <w:ind w:right="57"/>
                  </w:pPr>
                  <w:r w:rsidRPr="00EF5B41">
                    <w:t>–</w:t>
                  </w:r>
                </w:p>
              </w:tc>
              <w:tc>
                <w:tcPr>
                  <w:tcW w:w="467" w:type="pct"/>
                  <w:shd w:val="clear" w:color="auto" w:fill="auto"/>
                  <w:vAlign w:val="bottom"/>
                </w:tcPr>
                <w:p w:rsidR="00745FEA" w:rsidRPr="00EF5B41" w:rsidRDefault="00745FEA" w:rsidP="00745FEA">
                  <w:pPr>
                    <w:pStyle w:val="TableBodyText"/>
                    <w:ind w:right="57"/>
                  </w:pPr>
                  <w:r w:rsidRPr="00EF5B41">
                    <w:t>–</w:t>
                  </w:r>
                </w:p>
              </w:tc>
              <w:tc>
                <w:tcPr>
                  <w:tcW w:w="467" w:type="pct"/>
                  <w:shd w:val="clear" w:color="auto" w:fill="auto"/>
                  <w:vAlign w:val="bottom"/>
                </w:tcPr>
                <w:p w:rsidR="00745FEA" w:rsidRPr="00EF5B41" w:rsidRDefault="00745FEA" w:rsidP="00745FEA">
                  <w:pPr>
                    <w:pStyle w:val="TableBodyText"/>
                    <w:ind w:right="57"/>
                  </w:pPr>
                  <w:r w:rsidRPr="00EF5B41">
                    <w:t>–</w:t>
                  </w:r>
                </w:p>
              </w:tc>
              <w:tc>
                <w:tcPr>
                  <w:tcW w:w="464" w:type="pct"/>
                  <w:shd w:val="clear" w:color="auto" w:fill="auto"/>
                  <w:vAlign w:val="bottom"/>
                </w:tcPr>
                <w:p w:rsidR="00745FEA" w:rsidRDefault="00745FEA" w:rsidP="00745FEA">
                  <w:pPr>
                    <w:pStyle w:val="TableBodyText"/>
                    <w:ind w:right="57"/>
                  </w:pPr>
                  <w:r w:rsidRPr="00EF5B41">
                    <w:t>–</w:t>
                  </w:r>
                </w:p>
              </w:tc>
            </w:tr>
            <w:tr w:rsidR="00745FEA" w:rsidTr="00745FEA">
              <w:tc>
                <w:tcPr>
                  <w:tcW w:w="2201" w:type="pct"/>
                </w:tcPr>
                <w:p w:rsidR="00745FEA" w:rsidRPr="006A6199" w:rsidRDefault="00745FEA" w:rsidP="00745FEA">
                  <w:pPr>
                    <w:pStyle w:val="TableBodyText"/>
                    <w:spacing w:before="20" w:after="20"/>
                    <w:jc w:val="left"/>
                    <w:rPr>
                      <w:i/>
                    </w:rPr>
                  </w:pPr>
                  <w:r w:rsidRPr="006A6199">
                    <w:rPr>
                      <w:i/>
                    </w:rPr>
                    <w:t>Total</w:t>
                  </w:r>
                </w:p>
              </w:tc>
              <w:tc>
                <w:tcPr>
                  <w:tcW w:w="467" w:type="pct"/>
                  <w:vAlign w:val="bottom"/>
                </w:tcPr>
                <w:p w:rsidR="00745FEA" w:rsidRPr="009B75ED" w:rsidRDefault="00745FEA" w:rsidP="00745FEA">
                  <w:pPr>
                    <w:pStyle w:val="TableBodyText"/>
                    <w:spacing w:before="20" w:after="20"/>
                    <w:ind w:right="57"/>
                    <w:rPr>
                      <w:i/>
                    </w:rPr>
                  </w:pPr>
                  <w:r>
                    <w:rPr>
                      <w:i/>
                    </w:rPr>
                    <w:t>625.4</w:t>
                  </w:r>
                </w:p>
              </w:tc>
              <w:tc>
                <w:tcPr>
                  <w:tcW w:w="467" w:type="pct"/>
                  <w:vAlign w:val="bottom"/>
                </w:tcPr>
                <w:p w:rsidR="00745FEA" w:rsidRPr="009B75ED" w:rsidRDefault="00745FEA" w:rsidP="00745FEA">
                  <w:pPr>
                    <w:pStyle w:val="TableBodyText"/>
                    <w:spacing w:before="20" w:after="20"/>
                    <w:ind w:right="57"/>
                    <w:rPr>
                      <w:i/>
                    </w:rPr>
                  </w:pPr>
                  <w:r>
                    <w:rPr>
                      <w:i/>
                    </w:rPr>
                    <w:t>458.6</w:t>
                  </w:r>
                </w:p>
              </w:tc>
              <w:tc>
                <w:tcPr>
                  <w:tcW w:w="467" w:type="pct"/>
                </w:tcPr>
                <w:p w:rsidR="00745FEA" w:rsidRPr="000C3843" w:rsidRDefault="00745FEA" w:rsidP="00745FEA">
                  <w:pPr>
                    <w:pStyle w:val="TableBodyText"/>
                    <w:spacing w:before="20" w:after="20"/>
                    <w:ind w:right="57"/>
                    <w:rPr>
                      <w:i/>
                    </w:rPr>
                  </w:pPr>
                  <w:r>
                    <w:rPr>
                      <w:i/>
                    </w:rPr>
                    <w:t>399.9</w:t>
                  </w:r>
                </w:p>
              </w:tc>
              <w:tc>
                <w:tcPr>
                  <w:tcW w:w="467" w:type="pct"/>
                  <w:shd w:val="clear" w:color="auto" w:fill="auto"/>
                </w:tcPr>
                <w:p w:rsidR="00745FEA" w:rsidRPr="000C3843" w:rsidRDefault="00745FEA" w:rsidP="00745FEA">
                  <w:pPr>
                    <w:pStyle w:val="TableBodyText"/>
                    <w:spacing w:before="20" w:after="20"/>
                    <w:ind w:right="57"/>
                    <w:rPr>
                      <w:i/>
                    </w:rPr>
                  </w:pPr>
                  <w:r>
                    <w:rPr>
                      <w:i/>
                    </w:rPr>
                    <w:t>351.8</w:t>
                  </w:r>
                </w:p>
              </w:tc>
              <w:tc>
                <w:tcPr>
                  <w:tcW w:w="467" w:type="pct"/>
                  <w:shd w:val="clear" w:color="auto" w:fill="auto"/>
                </w:tcPr>
                <w:p w:rsidR="00745FEA" w:rsidRPr="000C3843" w:rsidRDefault="00745FEA" w:rsidP="00745FEA">
                  <w:pPr>
                    <w:pStyle w:val="TableBodyText"/>
                    <w:spacing w:before="20" w:after="20"/>
                    <w:ind w:right="57"/>
                    <w:rPr>
                      <w:i/>
                    </w:rPr>
                  </w:pPr>
                  <w:r>
                    <w:rPr>
                      <w:i/>
                    </w:rPr>
                    <w:t>299.4</w:t>
                  </w:r>
                </w:p>
              </w:tc>
              <w:tc>
                <w:tcPr>
                  <w:tcW w:w="464" w:type="pct"/>
                  <w:shd w:val="clear" w:color="auto" w:fill="auto"/>
                </w:tcPr>
                <w:p w:rsidR="00745FEA" w:rsidRPr="000C3843" w:rsidRDefault="00745FEA" w:rsidP="00745FEA">
                  <w:pPr>
                    <w:pStyle w:val="TableBodyText"/>
                    <w:spacing w:before="20" w:after="20"/>
                    <w:ind w:right="57"/>
                    <w:rPr>
                      <w:i/>
                    </w:rPr>
                  </w:pPr>
                  <w:r>
                    <w:rPr>
                      <w:i/>
                    </w:rPr>
                    <w:t>243.4</w:t>
                  </w:r>
                </w:p>
              </w:tc>
            </w:tr>
            <w:tr w:rsidR="00745FEA" w:rsidTr="00745FEA">
              <w:tc>
                <w:tcPr>
                  <w:tcW w:w="2201" w:type="pct"/>
                </w:tcPr>
                <w:p w:rsidR="00745FEA" w:rsidRPr="00F5446C" w:rsidRDefault="00745FEA" w:rsidP="00745FEA">
                  <w:pPr>
                    <w:pStyle w:val="TableUnitsRow"/>
                    <w:jc w:val="left"/>
                    <w:rPr>
                      <w:b/>
                    </w:rPr>
                  </w:pPr>
                  <w:r w:rsidRPr="00F5446C">
                    <w:rPr>
                      <w:b/>
                    </w:rPr>
                    <w:t>Other transport equipment</w:t>
                  </w: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r>
            <w:tr w:rsidR="00745FEA" w:rsidTr="00745FEA">
              <w:tc>
                <w:tcPr>
                  <w:tcW w:w="2201" w:type="pct"/>
                </w:tcPr>
                <w:p w:rsidR="00745FEA" w:rsidRPr="00F5446C" w:rsidRDefault="00745FEA" w:rsidP="00745FEA">
                  <w:pPr>
                    <w:pStyle w:val="TableBodyText"/>
                    <w:spacing w:before="40" w:after="0"/>
                    <w:ind w:left="113"/>
                    <w:jc w:val="left"/>
                    <w:rPr>
                      <w:i/>
                    </w:rPr>
                  </w:pPr>
                  <w:r w:rsidRPr="005237FE">
                    <w:rPr>
                      <w:i/>
                    </w:rPr>
                    <w:t>Sector-specific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r>
            <w:tr w:rsidR="00745FEA" w:rsidTr="00745FEA">
              <w:tc>
                <w:tcPr>
                  <w:tcW w:w="2201" w:type="pct"/>
                </w:tcPr>
                <w:p w:rsidR="00745FEA" w:rsidRPr="007C1E21" w:rsidRDefault="00745FEA" w:rsidP="00745FEA">
                  <w:pPr>
                    <w:pStyle w:val="TableBodyText"/>
                    <w:spacing w:after="0"/>
                    <w:ind w:left="227" w:right="0"/>
                    <w:jc w:val="left"/>
                  </w:pPr>
                  <w:r w:rsidRPr="007C1E21">
                    <w:t>Victorian Innovation and Investment Fund - Ford Assistance</w:t>
                  </w:r>
                </w:p>
              </w:tc>
              <w:tc>
                <w:tcPr>
                  <w:tcW w:w="467" w:type="pct"/>
                </w:tcPr>
                <w:p w:rsidR="00745FEA" w:rsidRPr="002E7729" w:rsidRDefault="00745FEA" w:rsidP="00745FEA">
                  <w:r w:rsidRPr="002E7729">
                    <w:t>–</w:t>
                  </w:r>
                </w:p>
              </w:tc>
              <w:tc>
                <w:tcPr>
                  <w:tcW w:w="467" w:type="pct"/>
                </w:tcPr>
                <w:p w:rsidR="00745FEA" w:rsidRPr="002E7729" w:rsidRDefault="00745FEA" w:rsidP="00745FEA">
                  <w:r w:rsidRPr="002E7729">
                    <w:t>–</w:t>
                  </w:r>
                </w:p>
              </w:tc>
              <w:tc>
                <w:tcPr>
                  <w:tcW w:w="467" w:type="pct"/>
                </w:tcPr>
                <w:p w:rsidR="00745FEA" w:rsidRPr="002E7729" w:rsidRDefault="00745FEA" w:rsidP="00745FEA">
                  <w:r w:rsidRPr="002E7729">
                    <w:t>–</w:t>
                  </w:r>
                </w:p>
              </w:tc>
              <w:tc>
                <w:tcPr>
                  <w:tcW w:w="467" w:type="pct"/>
                  <w:shd w:val="clear" w:color="auto" w:fill="auto"/>
                </w:tcPr>
                <w:p w:rsidR="00745FEA" w:rsidRPr="00005470" w:rsidRDefault="00745FEA" w:rsidP="00745FEA">
                  <w:pPr>
                    <w:jc w:val="right"/>
                    <w:rPr>
                      <w:rFonts w:asciiTheme="minorHAnsi" w:hAnsiTheme="minorHAnsi" w:cstheme="minorHAnsi"/>
                      <w:sz w:val="18"/>
                      <w:szCs w:val="18"/>
                    </w:rPr>
                  </w:pPr>
                  <w:r w:rsidRPr="00005470">
                    <w:rPr>
                      <w:rFonts w:asciiTheme="minorHAnsi" w:hAnsiTheme="minorHAnsi" w:cstheme="minorHAnsi"/>
                      <w:sz w:val="18"/>
                      <w:szCs w:val="18"/>
                    </w:rPr>
                    <w:t>1.3</w:t>
                  </w:r>
                </w:p>
              </w:tc>
              <w:tc>
                <w:tcPr>
                  <w:tcW w:w="467" w:type="pct"/>
                  <w:shd w:val="clear" w:color="auto" w:fill="auto"/>
                </w:tcPr>
                <w:p w:rsidR="00745FEA" w:rsidRPr="00005470" w:rsidRDefault="00745FEA" w:rsidP="00745FEA">
                  <w:pPr>
                    <w:jc w:val="right"/>
                    <w:rPr>
                      <w:rFonts w:asciiTheme="minorHAnsi" w:hAnsiTheme="minorHAnsi" w:cstheme="minorHAnsi"/>
                      <w:sz w:val="18"/>
                      <w:szCs w:val="18"/>
                    </w:rPr>
                  </w:pPr>
                  <w:r w:rsidRPr="00005470">
                    <w:rPr>
                      <w:rFonts w:asciiTheme="minorHAnsi" w:hAnsiTheme="minorHAnsi" w:cstheme="minorHAnsi"/>
                      <w:sz w:val="18"/>
                      <w:szCs w:val="18"/>
                    </w:rPr>
                    <w:t>1.2</w:t>
                  </w:r>
                </w:p>
              </w:tc>
              <w:tc>
                <w:tcPr>
                  <w:tcW w:w="464" w:type="pct"/>
                  <w:shd w:val="clear" w:color="auto" w:fill="auto"/>
                </w:tcPr>
                <w:p w:rsidR="00745FEA" w:rsidRPr="00005470" w:rsidRDefault="00745FEA" w:rsidP="00745FEA">
                  <w:pPr>
                    <w:jc w:val="right"/>
                    <w:rPr>
                      <w:rFonts w:asciiTheme="minorHAnsi" w:hAnsiTheme="minorHAnsi" w:cstheme="minorHAnsi"/>
                      <w:sz w:val="18"/>
                      <w:szCs w:val="18"/>
                    </w:rPr>
                  </w:pPr>
                  <w:r w:rsidRPr="00005470">
                    <w:rPr>
                      <w:rFonts w:asciiTheme="minorHAnsi" w:hAnsiTheme="minorHAnsi" w:cstheme="minorHAnsi"/>
                      <w:sz w:val="18"/>
                      <w:szCs w:val="18"/>
                    </w:rPr>
                    <w:t>0.5</w:t>
                  </w:r>
                </w:p>
              </w:tc>
            </w:tr>
            <w:tr w:rsidR="00745FEA" w:rsidTr="00745FEA">
              <w:tc>
                <w:tcPr>
                  <w:tcW w:w="2201" w:type="pct"/>
                </w:tcPr>
                <w:p w:rsidR="00745FEA" w:rsidRPr="00F5446C" w:rsidRDefault="00745FEA" w:rsidP="00745FEA">
                  <w:pPr>
                    <w:pStyle w:val="TableBodyText"/>
                    <w:spacing w:before="40" w:after="0"/>
                    <w:ind w:left="113"/>
                    <w:jc w:val="left"/>
                    <w:rPr>
                      <w:i/>
                    </w:rPr>
                  </w:pPr>
                  <w:r w:rsidRPr="00F5446C">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r>
            <w:tr w:rsidR="00745FEA" w:rsidTr="00745FEA">
              <w:tc>
                <w:tcPr>
                  <w:tcW w:w="2201" w:type="pct"/>
                </w:tcPr>
                <w:p w:rsidR="00745FEA" w:rsidRPr="00AE1829" w:rsidRDefault="00745FEA" w:rsidP="00745FEA">
                  <w:pPr>
                    <w:pStyle w:val="TableBodyText"/>
                    <w:spacing w:after="0"/>
                    <w:ind w:left="227" w:right="0"/>
                    <w:jc w:val="left"/>
                  </w:pPr>
                  <w:r w:rsidRPr="00AE1829">
                    <w:t>Export Market Development Grants Scheme</w:t>
                  </w:r>
                </w:p>
              </w:tc>
              <w:tc>
                <w:tcPr>
                  <w:tcW w:w="467" w:type="pct"/>
                  <w:vAlign w:val="bottom"/>
                </w:tcPr>
                <w:p w:rsidR="00745FEA" w:rsidRPr="007B2960" w:rsidRDefault="00745FEA" w:rsidP="00745FEA">
                  <w:pPr>
                    <w:pStyle w:val="TableBodyText"/>
                    <w:ind w:right="57"/>
                  </w:pPr>
                  <w:r w:rsidRPr="007B2960">
                    <w:t>1.1</w:t>
                  </w:r>
                </w:p>
              </w:tc>
              <w:tc>
                <w:tcPr>
                  <w:tcW w:w="467" w:type="pct"/>
                  <w:vAlign w:val="bottom"/>
                </w:tcPr>
                <w:p w:rsidR="00745FEA" w:rsidRPr="007B2960" w:rsidRDefault="00745FEA" w:rsidP="00745FEA">
                  <w:pPr>
                    <w:pStyle w:val="TableBodyText"/>
                    <w:ind w:right="57"/>
                  </w:pPr>
                  <w:r w:rsidRPr="007B2960">
                    <w:t>1.0</w:t>
                  </w:r>
                </w:p>
              </w:tc>
              <w:tc>
                <w:tcPr>
                  <w:tcW w:w="467" w:type="pct"/>
                  <w:vAlign w:val="bottom"/>
                </w:tcPr>
                <w:p w:rsidR="00745FEA" w:rsidRPr="007B2960" w:rsidRDefault="00745FEA" w:rsidP="00745FEA">
                  <w:pPr>
                    <w:pStyle w:val="TableBodyText"/>
                    <w:ind w:right="57"/>
                  </w:pPr>
                  <w:r w:rsidRPr="007B2960">
                    <w:t>0.5</w:t>
                  </w:r>
                </w:p>
              </w:tc>
              <w:tc>
                <w:tcPr>
                  <w:tcW w:w="467" w:type="pct"/>
                  <w:shd w:val="clear" w:color="auto" w:fill="auto"/>
                  <w:vAlign w:val="bottom"/>
                </w:tcPr>
                <w:p w:rsidR="00745FEA" w:rsidRPr="007B2960" w:rsidRDefault="00745FEA" w:rsidP="00745FEA">
                  <w:pPr>
                    <w:pStyle w:val="TableBodyText"/>
                    <w:ind w:right="57"/>
                  </w:pPr>
                  <w:r w:rsidRPr="007B2960">
                    <w:t>1.0</w:t>
                  </w:r>
                </w:p>
              </w:tc>
              <w:tc>
                <w:tcPr>
                  <w:tcW w:w="467" w:type="pct"/>
                  <w:shd w:val="clear" w:color="auto" w:fill="auto"/>
                  <w:vAlign w:val="bottom"/>
                </w:tcPr>
                <w:p w:rsidR="00745FEA" w:rsidRPr="007B2960" w:rsidRDefault="00745FEA" w:rsidP="00745FEA">
                  <w:pPr>
                    <w:pStyle w:val="TableBodyText"/>
                    <w:ind w:right="57"/>
                  </w:pPr>
                  <w:r w:rsidRPr="007B2960">
                    <w:t>0.8</w:t>
                  </w:r>
                </w:p>
              </w:tc>
              <w:tc>
                <w:tcPr>
                  <w:tcW w:w="464" w:type="pct"/>
                  <w:shd w:val="clear" w:color="auto" w:fill="auto"/>
                  <w:vAlign w:val="bottom"/>
                </w:tcPr>
                <w:p w:rsidR="00745FEA" w:rsidRPr="007B2960" w:rsidRDefault="00745FEA" w:rsidP="00745FEA">
                  <w:pPr>
                    <w:pStyle w:val="TableBodyText"/>
                    <w:ind w:right="57"/>
                  </w:pPr>
                  <w:r w:rsidRPr="007B2960">
                    <w:t>1.1</w:t>
                  </w:r>
                </w:p>
              </w:tc>
            </w:tr>
            <w:tr w:rsidR="00745FEA" w:rsidTr="00745FEA">
              <w:tc>
                <w:tcPr>
                  <w:tcW w:w="2201" w:type="pct"/>
                </w:tcPr>
                <w:p w:rsidR="00745FEA" w:rsidRPr="00AE1829" w:rsidRDefault="00745FEA" w:rsidP="00745FEA">
                  <w:pPr>
                    <w:pStyle w:val="TableBodyText"/>
                    <w:spacing w:after="0"/>
                    <w:ind w:left="227" w:right="0"/>
                    <w:jc w:val="left"/>
                  </w:pPr>
                  <w:r w:rsidRPr="00AE1829">
                    <w:t>TRADEX</w:t>
                  </w:r>
                </w:p>
              </w:tc>
              <w:tc>
                <w:tcPr>
                  <w:tcW w:w="467" w:type="pct"/>
                  <w:vAlign w:val="bottom"/>
                </w:tcPr>
                <w:p w:rsidR="00745FEA" w:rsidRPr="007B2960" w:rsidRDefault="00745FEA" w:rsidP="00745FEA">
                  <w:pPr>
                    <w:pStyle w:val="TableBodyText"/>
                    <w:ind w:right="57"/>
                  </w:pPr>
                  <w:r w:rsidRPr="007B2960">
                    <w:t>0.1</w:t>
                  </w:r>
                </w:p>
              </w:tc>
              <w:tc>
                <w:tcPr>
                  <w:tcW w:w="467" w:type="pct"/>
                  <w:vAlign w:val="bottom"/>
                </w:tcPr>
                <w:p w:rsidR="00745FEA" w:rsidRPr="007B2960" w:rsidRDefault="00745FEA" w:rsidP="00745FEA">
                  <w:pPr>
                    <w:pStyle w:val="TableBodyText"/>
                    <w:ind w:right="57"/>
                  </w:pPr>
                  <w:r w:rsidRPr="007B2960">
                    <w:t>0.1</w:t>
                  </w:r>
                </w:p>
              </w:tc>
              <w:tc>
                <w:tcPr>
                  <w:tcW w:w="467" w:type="pct"/>
                  <w:vAlign w:val="bottom"/>
                </w:tcPr>
                <w:p w:rsidR="00745FEA" w:rsidRPr="007B2960" w:rsidRDefault="00745FEA" w:rsidP="00745FEA">
                  <w:pPr>
                    <w:pStyle w:val="TableBodyText"/>
                    <w:ind w:right="57"/>
                  </w:pPr>
                  <w:r w:rsidRPr="007B2960">
                    <w:t>0.1</w:t>
                  </w:r>
                </w:p>
              </w:tc>
              <w:tc>
                <w:tcPr>
                  <w:tcW w:w="467" w:type="pct"/>
                  <w:shd w:val="clear" w:color="auto" w:fill="auto"/>
                  <w:vAlign w:val="bottom"/>
                </w:tcPr>
                <w:p w:rsidR="00745FEA" w:rsidRPr="007B2960" w:rsidRDefault="00745FEA" w:rsidP="00745FEA">
                  <w:pPr>
                    <w:pStyle w:val="TableBodyText"/>
                    <w:ind w:right="57"/>
                  </w:pPr>
                  <w:r w:rsidRPr="007B2960">
                    <w:t>0.1</w:t>
                  </w:r>
                </w:p>
              </w:tc>
              <w:tc>
                <w:tcPr>
                  <w:tcW w:w="467" w:type="pct"/>
                  <w:shd w:val="clear" w:color="auto" w:fill="auto"/>
                  <w:vAlign w:val="bottom"/>
                </w:tcPr>
                <w:p w:rsidR="00745FEA" w:rsidRPr="007B2960" w:rsidRDefault="00745FEA" w:rsidP="00745FEA">
                  <w:pPr>
                    <w:pStyle w:val="TableBodyText"/>
                    <w:ind w:right="57"/>
                  </w:pPr>
                  <w:r w:rsidRPr="007B2960">
                    <w:t>0.1</w:t>
                  </w:r>
                </w:p>
              </w:tc>
              <w:tc>
                <w:tcPr>
                  <w:tcW w:w="464" w:type="pct"/>
                  <w:shd w:val="clear" w:color="auto" w:fill="auto"/>
                  <w:vAlign w:val="bottom"/>
                </w:tcPr>
                <w:p w:rsidR="00745FEA" w:rsidRDefault="00745FEA" w:rsidP="00745FEA">
                  <w:pPr>
                    <w:pStyle w:val="TableBodyText"/>
                    <w:ind w:right="57"/>
                  </w:pPr>
                  <w:r w:rsidRPr="007B2960">
                    <w:t>0.1</w:t>
                  </w:r>
                </w:p>
              </w:tc>
            </w:tr>
            <w:tr w:rsidR="00745FEA" w:rsidTr="00745FEA">
              <w:tc>
                <w:tcPr>
                  <w:tcW w:w="2201" w:type="pct"/>
                </w:tcPr>
                <w:p w:rsidR="00745FEA" w:rsidRPr="00F5446C" w:rsidRDefault="00745FEA" w:rsidP="00745FEA">
                  <w:pPr>
                    <w:pStyle w:val="TableBodyText"/>
                    <w:spacing w:before="40" w:after="0"/>
                    <w:ind w:left="113"/>
                    <w:jc w:val="left"/>
                    <w:rPr>
                      <w:i/>
                    </w:rPr>
                  </w:pPr>
                  <w:r w:rsidRPr="00F5446C">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Tr="00745FEA">
              <w:tc>
                <w:tcPr>
                  <w:tcW w:w="2201" w:type="pct"/>
                </w:tcPr>
                <w:p w:rsidR="00745FEA" w:rsidRPr="00FF6BC2" w:rsidRDefault="00745FEA" w:rsidP="00745FEA">
                  <w:pPr>
                    <w:pStyle w:val="TableBodyText"/>
                    <w:spacing w:after="0"/>
                    <w:ind w:left="227" w:right="0"/>
                    <w:jc w:val="left"/>
                  </w:pPr>
                  <w:r w:rsidRPr="00FF6BC2">
                    <w:t>Commercialisation Australia</w:t>
                  </w:r>
                </w:p>
              </w:tc>
              <w:tc>
                <w:tcPr>
                  <w:tcW w:w="467" w:type="pct"/>
                  <w:vAlign w:val="bottom"/>
                </w:tcPr>
                <w:p w:rsidR="00745FEA" w:rsidRPr="00A40F0A" w:rsidRDefault="00745FEA" w:rsidP="00745FEA">
                  <w:pPr>
                    <w:pStyle w:val="TableBodyText"/>
                    <w:ind w:right="57"/>
                  </w:pPr>
                  <w:r w:rsidRPr="00A40F0A">
                    <w:t>0.6</w:t>
                  </w:r>
                </w:p>
              </w:tc>
              <w:tc>
                <w:tcPr>
                  <w:tcW w:w="467" w:type="pct"/>
                  <w:vAlign w:val="bottom"/>
                </w:tcPr>
                <w:p w:rsidR="00745FEA" w:rsidRPr="00A40F0A" w:rsidRDefault="00745FEA" w:rsidP="00745FEA">
                  <w:pPr>
                    <w:pStyle w:val="TableBodyText"/>
                    <w:ind w:right="57"/>
                  </w:pPr>
                  <w:r w:rsidRPr="00A40F0A">
                    <w:t>0.5</w:t>
                  </w:r>
                </w:p>
              </w:tc>
              <w:tc>
                <w:tcPr>
                  <w:tcW w:w="467" w:type="pct"/>
                  <w:vAlign w:val="bottom"/>
                </w:tcPr>
                <w:p w:rsidR="00745FEA" w:rsidRPr="00A40F0A" w:rsidRDefault="00745FEA" w:rsidP="00745FEA">
                  <w:pPr>
                    <w:pStyle w:val="TableBodyText"/>
                    <w:ind w:right="57"/>
                  </w:pPr>
                  <w:r w:rsidRPr="00A40F0A">
                    <w:t>0.3</w:t>
                  </w:r>
                </w:p>
              </w:tc>
              <w:tc>
                <w:tcPr>
                  <w:tcW w:w="467" w:type="pct"/>
                  <w:shd w:val="clear" w:color="auto" w:fill="auto"/>
                  <w:vAlign w:val="bottom"/>
                </w:tcPr>
                <w:p w:rsidR="00745FEA" w:rsidRPr="00A40F0A" w:rsidRDefault="00745FEA" w:rsidP="00745FEA">
                  <w:pPr>
                    <w:pStyle w:val="TableBodyText"/>
                    <w:ind w:right="57"/>
                  </w:pPr>
                  <w:r w:rsidRPr="00A40F0A">
                    <w:t>0.3</w:t>
                  </w:r>
                </w:p>
              </w:tc>
              <w:tc>
                <w:tcPr>
                  <w:tcW w:w="467" w:type="pct"/>
                  <w:shd w:val="clear" w:color="auto" w:fill="auto"/>
                  <w:vAlign w:val="bottom"/>
                </w:tcPr>
                <w:p w:rsidR="00745FEA" w:rsidRPr="00A40F0A" w:rsidRDefault="00745FEA" w:rsidP="00745FEA">
                  <w:pPr>
                    <w:pStyle w:val="TableBodyText"/>
                    <w:ind w:right="57"/>
                  </w:pPr>
                  <w:r w:rsidRPr="00A40F0A">
                    <w:t>0.1</w:t>
                  </w:r>
                </w:p>
              </w:tc>
              <w:tc>
                <w:tcPr>
                  <w:tcW w:w="464" w:type="pct"/>
                  <w:shd w:val="clear" w:color="auto" w:fill="auto"/>
                  <w:vAlign w:val="bottom"/>
                </w:tcPr>
                <w:p w:rsidR="00745FEA" w:rsidRPr="00A40F0A" w:rsidRDefault="00745FEA" w:rsidP="00745FEA">
                  <w:pPr>
                    <w:pStyle w:val="TableBodyText"/>
                    <w:ind w:right="57"/>
                  </w:pPr>
                  <w:r w:rsidRPr="00A40F0A">
                    <w:t>–</w:t>
                  </w:r>
                </w:p>
              </w:tc>
            </w:tr>
            <w:tr w:rsidR="00745FEA" w:rsidTr="00745FEA">
              <w:tc>
                <w:tcPr>
                  <w:tcW w:w="2201" w:type="pct"/>
                </w:tcPr>
                <w:p w:rsidR="00745FEA" w:rsidRPr="00FF6BC2" w:rsidRDefault="00745FEA" w:rsidP="00745FEA">
                  <w:pPr>
                    <w:pStyle w:val="TableBodyText"/>
                    <w:spacing w:after="0"/>
                    <w:ind w:left="227" w:right="0"/>
                    <w:jc w:val="left"/>
                  </w:pPr>
                  <w:r w:rsidRPr="00FF6BC2">
                    <w:t>Cooperative Research Centres</w:t>
                  </w:r>
                </w:p>
              </w:tc>
              <w:tc>
                <w:tcPr>
                  <w:tcW w:w="467" w:type="pct"/>
                  <w:vAlign w:val="bottom"/>
                </w:tcPr>
                <w:p w:rsidR="00745FEA" w:rsidRPr="00A40F0A" w:rsidRDefault="00745FEA" w:rsidP="00745FEA">
                  <w:pPr>
                    <w:pStyle w:val="TableBodyText"/>
                    <w:ind w:right="57"/>
                  </w:pPr>
                  <w:r w:rsidRPr="00A40F0A">
                    <w:t>5.1</w:t>
                  </w:r>
                </w:p>
              </w:tc>
              <w:tc>
                <w:tcPr>
                  <w:tcW w:w="467" w:type="pct"/>
                  <w:vAlign w:val="bottom"/>
                </w:tcPr>
                <w:p w:rsidR="00745FEA" w:rsidRPr="00A40F0A" w:rsidRDefault="00745FEA" w:rsidP="00745FEA">
                  <w:pPr>
                    <w:pStyle w:val="TableBodyText"/>
                    <w:ind w:right="57"/>
                  </w:pPr>
                  <w:r w:rsidRPr="00A40F0A">
                    <w:t>6.0</w:t>
                  </w:r>
                </w:p>
              </w:tc>
              <w:tc>
                <w:tcPr>
                  <w:tcW w:w="467" w:type="pct"/>
                  <w:vAlign w:val="bottom"/>
                </w:tcPr>
                <w:p w:rsidR="00745FEA" w:rsidRPr="00A40F0A" w:rsidRDefault="00745FEA" w:rsidP="00745FEA">
                  <w:pPr>
                    <w:pStyle w:val="TableBodyText"/>
                    <w:ind w:right="57"/>
                  </w:pPr>
                  <w:r w:rsidRPr="00A40F0A">
                    <w:t>5.3</w:t>
                  </w:r>
                </w:p>
              </w:tc>
              <w:tc>
                <w:tcPr>
                  <w:tcW w:w="467" w:type="pct"/>
                  <w:shd w:val="clear" w:color="auto" w:fill="auto"/>
                  <w:vAlign w:val="bottom"/>
                </w:tcPr>
                <w:p w:rsidR="00745FEA" w:rsidRPr="00A40F0A" w:rsidRDefault="00745FEA" w:rsidP="00745FEA">
                  <w:pPr>
                    <w:pStyle w:val="TableBodyText"/>
                    <w:ind w:right="57"/>
                  </w:pPr>
                  <w:r w:rsidRPr="00A40F0A">
                    <w:t>5.3</w:t>
                  </w:r>
                </w:p>
              </w:tc>
              <w:tc>
                <w:tcPr>
                  <w:tcW w:w="467" w:type="pct"/>
                  <w:shd w:val="clear" w:color="auto" w:fill="auto"/>
                  <w:vAlign w:val="bottom"/>
                </w:tcPr>
                <w:p w:rsidR="00745FEA" w:rsidRPr="00A40F0A" w:rsidRDefault="00745FEA" w:rsidP="00745FEA">
                  <w:pPr>
                    <w:pStyle w:val="TableBodyText"/>
                    <w:ind w:right="57"/>
                  </w:pPr>
                  <w:r w:rsidRPr="00A40F0A">
                    <w:t>6.7</w:t>
                  </w:r>
                </w:p>
              </w:tc>
              <w:tc>
                <w:tcPr>
                  <w:tcW w:w="464" w:type="pct"/>
                  <w:shd w:val="clear" w:color="auto" w:fill="auto"/>
                  <w:vAlign w:val="bottom"/>
                </w:tcPr>
                <w:p w:rsidR="00745FEA" w:rsidRPr="00A40F0A" w:rsidRDefault="00745FEA" w:rsidP="00745FEA">
                  <w:pPr>
                    <w:pStyle w:val="TableBodyText"/>
                    <w:ind w:right="57"/>
                  </w:pPr>
                  <w:r w:rsidRPr="00A40F0A">
                    <w:t>6.6</w:t>
                  </w:r>
                </w:p>
              </w:tc>
            </w:tr>
            <w:tr w:rsidR="00745FEA" w:rsidTr="00745FEA">
              <w:tc>
                <w:tcPr>
                  <w:tcW w:w="2201" w:type="pct"/>
                </w:tcPr>
                <w:p w:rsidR="00745FEA" w:rsidRPr="00FF6BC2" w:rsidRDefault="00745FEA" w:rsidP="00745FEA">
                  <w:pPr>
                    <w:pStyle w:val="TableBodyText"/>
                    <w:spacing w:after="0"/>
                    <w:ind w:left="227" w:right="0"/>
                    <w:jc w:val="left"/>
                  </w:pPr>
                  <w:r w:rsidRPr="00FF6BC2">
                    <w:t>CSIRO</w:t>
                  </w:r>
                </w:p>
              </w:tc>
              <w:tc>
                <w:tcPr>
                  <w:tcW w:w="467" w:type="pct"/>
                  <w:vAlign w:val="bottom"/>
                </w:tcPr>
                <w:p w:rsidR="00745FEA" w:rsidRPr="00A40F0A" w:rsidRDefault="00745FEA" w:rsidP="00745FEA">
                  <w:pPr>
                    <w:pStyle w:val="TableBodyText"/>
                    <w:ind w:right="57"/>
                  </w:pPr>
                  <w:r w:rsidRPr="00A40F0A">
                    <w:t>3.1</w:t>
                  </w:r>
                </w:p>
              </w:tc>
              <w:tc>
                <w:tcPr>
                  <w:tcW w:w="467" w:type="pct"/>
                  <w:vAlign w:val="bottom"/>
                </w:tcPr>
                <w:p w:rsidR="00745FEA" w:rsidRPr="00A40F0A" w:rsidRDefault="00745FEA" w:rsidP="00745FEA">
                  <w:pPr>
                    <w:pStyle w:val="TableBodyText"/>
                    <w:ind w:right="57"/>
                  </w:pPr>
                  <w:r w:rsidRPr="00A40F0A">
                    <w:t>3.5</w:t>
                  </w:r>
                </w:p>
              </w:tc>
              <w:tc>
                <w:tcPr>
                  <w:tcW w:w="467" w:type="pct"/>
                  <w:vAlign w:val="bottom"/>
                </w:tcPr>
                <w:p w:rsidR="00745FEA" w:rsidRPr="00A40F0A" w:rsidRDefault="00745FEA" w:rsidP="00745FEA">
                  <w:pPr>
                    <w:pStyle w:val="TableBodyText"/>
                    <w:ind w:right="57"/>
                  </w:pPr>
                  <w:r w:rsidRPr="00A40F0A">
                    <w:t>3.5</w:t>
                  </w:r>
                </w:p>
              </w:tc>
              <w:tc>
                <w:tcPr>
                  <w:tcW w:w="467" w:type="pct"/>
                  <w:shd w:val="clear" w:color="auto" w:fill="auto"/>
                  <w:vAlign w:val="bottom"/>
                </w:tcPr>
                <w:p w:rsidR="00745FEA" w:rsidRPr="00A40F0A" w:rsidRDefault="00745FEA" w:rsidP="00745FEA">
                  <w:pPr>
                    <w:pStyle w:val="TableBodyText"/>
                    <w:ind w:right="57"/>
                  </w:pPr>
                  <w:r w:rsidRPr="00A40F0A">
                    <w:t>4.6</w:t>
                  </w:r>
                </w:p>
              </w:tc>
              <w:tc>
                <w:tcPr>
                  <w:tcW w:w="467" w:type="pct"/>
                  <w:shd w:val="clear" w:color="auto" w:fill="auto"/>
                  <w:vAlign w:val="bottom"/>
                </w:tcPr>
                <w:p w:rsidR="00745FEA" w:rsidRPr="00A40F0A" w:rsidRDefault="00745FEA" w:rsidP="00745FEA">
                  <w:pPr>
                    <w:pStyle w:val="TableBodyText"/>
                    <w:ind w:right="57"/>
                  </w:pPr>
                  <w:r w:rsidRPr="00A40F0A">
                    <w:t>4.6</w:t>
                  </w:r>
                </w:p>
              </w:tc>
              <w:tc>
                <w:tcPr>
                  <w:tcW w:w="464" w:type="pct"/>
                  <w:shd w:val="clear" w:color="auto" w:fill="auto"/>
                  <w:vAlign w:val="bottom"/>
                </w:tcPr>
                <w:p w:rsidR="00745FEA" w:rsidRPr="00A40F0A" w:rsidRDefault="00745FEA" w:rsidP="00745FEA">
                  <w:pPr>
                    <w:pStyle w:val="TableBodyText"/>
                    <w:ind w:right="57"/>
                  </w:pPr>
                  <w:r w:rsidRPr="00A40F0A">
                    <w:t>3.8</w:t>
                  </w:r>
                </w:p>
              </w:tc>
            </w:tr>
            <w:tr w:rsidR="00745FEA" w:rsidTr="00745FEA">
              <w:tc>
                <w:tcPr>
                  <w:tcW w:w="2201" w:type="pct"/>
                </w:tcPr>
                <w:p w:rsidR="00745FEA" w:rsidRPr="00FF6BC2" w:rsidRDefault="00745FEA" w:rsidP="00745FEA">
                  <w:pPr>
                    <w:pStyle w:val="TableBodyText"/>
                    <w:spacing w:after="0"/>
                    <w:ind w:left="227" w:right="0"/>
                    <w:jc w:val="left"/>
                  </w:pPr>
                  <w:r w:rsidRPr="00FF6BC2">
                    <w:t>R&amp;D Tax Incentive - refundable tax offset</w:t>
                  </w:r>
                </w:p>
              </w:tc>
              <w:tc>
                <w:tcPr>
                  <w:tcW w:w="467" w:type="pct"/>
                  <w:vAlign w:val="bottom"/>
                </w:tcPr>
                <w:p w:rsidR="00745FEA" w:rsidRPr="00A40F0A" w:rsidRDefault="00745FEA" w:rsidP="00745FEA">
                  <w:pPr>
                    <w:pStyle w:val="TableBodyText"/>
                    <w:ind w:right="57"/>
                  </w:pPr>
                  <w:r w:rsidRPr="00A40F0A">
                    <w:t>–</w:t>
                  </w:r>
                </w:p>
              </w:tc>
              <w:tc>
                <w:tcPr>
                  <w:tcW w:w="467" w:type="pct"/>
                  <w:vAlign w:val="bottom"/>
                </w:tcPr>
                <w:p w:rsidR="00745FEA" w:rsidRPr="00A40F0A" w:rsidRDefault="00745FEA" w:rsidP="00745FEA">
                  <w:pPr>
                    <w:pStyle w:val="TableBodyText"/>
                    <w:ind w:right="57"/>
                  </w:pPr>
                  <w:r w:rsidRPr="00A40F0A">
                    <w:t>7.9</w:t>
                  </w:r>
                </w:p>
              </w:tc>
              <w:tc>
                <w:tcPr>
                  <w:tcW w:w="467" w:type="pct"/>
                  <w:vAlign w:val="bottom"/>
                </w:tcPr>
                <w:p w:rsidR="00745FEA" w:rsidRPr="00A40F0A" w:rsidRDefault="00745FEA" w:rsidP="00745FEA">
                  <w:pPr>
                    <w:pStyle w:val="TableBodyText"/>
                    <w:ind w:right="57"/>
                  </w:pPr>
                  <w:r w:rsidRPr="00A40F0A">
                    <w:t>7.6</w:t>
                  </w:r>
                </w:p>
              </w:tc>
              <w:tc>
                <w:tcPr>
                  <w:tcW w:w="467" w:type="pct"/>
                  <w:shd w:val="clear" w:color="auto" w:fill="auto"/>
                  <w:vAlign w:val="bottom"/>
                </w:tcPr>
                <w:p w:rsidR="00745FEA" w:rsidRPr="00A40F0A" w:rsidRDefault="00745FEA" w:rsidP="00745FEA">
                  <w:pPr>
                    <w:pStyle w:val="TableBodyText"/>
                    <w:ind w:right="57"/>
                  </w:pPr>
                  <w:r w:rsidRPr="00A40F0A">
                    <w:t>10.2</w:t>
                  </w:r>
                </w:p>
              </w:tc>
              <w:tc>
                <w:tcPr>
                  <w:tcW w:w="467" w:type="pct"/>
                  <w:shd w:val="clear" w:color="auto" w:fill="auto"/>
                  <w:vAlign w:val="bottom"/>
                </w:tcPr>
                <w:p w:rsidR="00745FEA" w:rsidRPr="00A40F0A" w:rsidRDefault="00745FEA" w:rsidP="00745FEA">
                  <w:pPr>
                    <w:pStyle w:val="TableBodyText"/>
                    <w:ind w:right="57"/>
                  </w:pPr>
                  <w:r w:rsidRPr="00A40F0A">
                    <w:t>10.9</w:t>
                  </w:r>
                </w:p>
              </w:tc>
              <w:tc>
                <w:tcPr>
                  <w:tcW w:w="464" w:type="pct"/>
                  <w:shd w:val="clear" w:color="auto" w:fill="auto"/>
                  <w:vAlign w:val="bottom"/>
                </w:tcPr>
                <w:p w:rsidR="00745FEA" w:rsidRPr="00A40F0A" w:rsidRDefault="00745FEA" w:rsidP="00745FEA">
                  <w:pPr>
                    <w:pStyle w:val="TableBodyText"/>
                    <w:ind w:right="57"/>
                  </w:pPr>
                  <w:r w:rsidRPr="00A40F0A">
                    <w:t>13.1</w:t>
                  </w:r>
                </w:p>
              </w:tc>
            </w:tr>
            <w:tr w:rsidR="00745FEA" w:rsidTr="00745FEA">
              <w:tc>
                <w:tcPr>
                  <w:tcW w:w="2201" w:type="pct"/>
                </w:tcPr>
                <w:p w:rsidR="00745FEA" w:rsidRPr="00FF6BC2" w:rsidRDefault="00745FEA" w:rsidP="00745FEA">
                  <w:pPr>
                    <w:pStyle w:val="TableBodyText"/>
                    <w:spacing w:after="0"/>
                    <w:ind w:left="227" w:right="0"/>
                    <w:jc w:val="left"/>
                  </w:pPr>
                  <w:r w:rsidRPr="00FF6BC2">
                    <w:t>R&amp;D tax offsets - Refundable</w:t>
                  </w:r>
                </w:p>
              </w:tc>
              <w:tc>
                <w:tcPr>
                  <w:tcW w:w="467" w:type="pct"/>
                  <w:vAlign w:val="bottom"/>
                </w:tcPr>
                <w:p w:rsidR="00745FEA" w:rsidRPr="00A40F0A" w:rsidRDefault="00745FEA" w:rsidP="00745FEA">
                  <w:pPr>
                    <w:pStyle w:val="TableBodyText"/>
                    <w:ind w:right="57"/>
                  </w:pPr>
                  <w:r w:rsidRPr="00A40F0A">
                    <w:t>3.6</w:t>
                  </w:r>
                </w:p>
              </w:tc>
              <w:tc>
                <w:tcPr>
                  <w:tcW w:w="467" w:type="pct"/>
                  <w:vAlign w:val="bottom"/>
                </w:tcPr>
                <w:p w:rsidR="00745FEA" w:rsidRPr="00A40F0A" w:rsidRDefault="00745FEA" w:rsidP="00745FEA">
                  <w:pPr>
                    <w:pStyle w:val="TableBodyText"/>
                    <w:ind w:right="57"/>
                  </w:pPr>
                  <w:r w:rsidRPr="00A40F0A">
                    <w:t>–</w:t>
                  </w:r>
                </w:p>
              </w:tc>
              <w:tc>
                <w:tcPr>
                  <w:tcW w:w="467" w:type="pct"/>
                  <w:vAlign w:val="bottom"/>
                </w:tcPr>
                <w:p w:rsidR="00745FEA" w:rsidRPr="00A40F0A" w:rsidRDefault="00745FEA" w:rsidP="00745FEA">
                  <w:pPr>
                    <w:pStyle w:val="TableBodyText"/>
                    <w:ind w:right="57"/>
                  </w:pPr>
                  <w:r w:rsidRPr="00A40F0A">
                    <w:t>–</w:t>
                  </w:r>
                </w:p>
              </w:tc>
              <w:tc>
                <w:tcPr>
                  <w:tcW w:w="467" w:type="pct"/>
                  <w:shd w:val="clear" w:color="auto" w:fill="auto"/>
                  <w:vAlign w:val="bottom"/>
                </w:tcPr>
                <w:p w:rsidR="00745FEA" w:rsidRPr="00A40F0A" w:rsidRDefault="00745FEA" w:rsidP="00745FEA">
                  <w:pPr>
                    <w:pStyle w:val="TableBodyText"/>
                    <w:ind w:right="57"/>
                  </w:pPr>
                  <w:r w:rsidRPr="00A40F0A">
                    <w:t>–</w:t>
                  </w:r>
                </w:p>
              </w:tc>
              <w:tc>
                <w:tcPr>
                  <w:tcW w:w="467" w:type="pct"/>
                  <w:shd w:val="clear" w:color="auto" w:fill="auto"/>
                  <w:vAlign w:val="bottom"/>
                </w:tcPr>
                <w:p w:rsidR="00745FEA" w:rsidRPr="00A40F0A" w:rsidRDefault="00745FEA" w:rsidP="00745FEA">
                  <w:pPr>
                    <w:pStyle w:val="TableBodyText"/>
                    <w:ind w:right="57"/>
                  </w:pPr>
                  <w:r w:rsidRPr="00A40F0A">
                    <w:t>–</w:t>
                  </w:r>
                </w:p>
              </w:tc>
              <w:tc>
                <w:tcPr>
                  <w:tcW w:w="464" w:type="pct"/>
                  <w:shd w:val="clear" w:color="auto" w:fill="auto"/>
                  <w:vAlign w:val="bottom"/>
                </w:tcPr>
                <w:p w:rsidR="00745FEA" w:rsidRPr="00A40F0A" w:rsidRDefault="00745FEA" w:rsidP="00745FEA">
                  <w:pPr>
                    <w:pStyle w:val="TableBodyText"/>
                    <w:ind w:right="57"/>
                  </w:pPr>
                  <w:r w:rsidRPr="00A40F0A">
                    <w:t>–</w:t>
                  </w:r>
                </w:p>
              </w:tc>
            </w:tr>
            <w:tr w:rsidR="00745FEA" w:rsidTr="00745FEA">
              <w:tc>
                <w:tcPr>
                  <w:tcW w:w="2201" w:type="pct"/>
                </w:tcPr>
                <w:p w:rsidR="00745FEA" w:rsidRPr="00FF6BC2" w:rsidRDefault="00745FEA" w:rsidP="00745FEA">
                  <w:pPr>
                    <w:pStyle w:val="TableBodyText"/>
                    <w:spacing w:after="0"/>
                    <w:ind w:left="227" w:right="0"/>
                    <w:jc w:val="left"/>
                  </w:pPr>
                  <w:r w:rsidRPr="00FF6BC2">
                    <w:t>Premium R&amp;D tax concession</w:t>
                  </w:r>
                </w:p>
              </w:tc>
              <w:tc>
                <w:tcPr>
                  <w:tcW w:w="467" w:type="pct"/>
                  <w:vAlign w:val="bottom"/>
                </w:tcPr>
                <w:p w:rsidR="00745FEA" w:rsidRPr="00A40F0A" w:rsidRDefault="00745FEA" w:rsidP="00745FEA">
                  <w:pPr>
                    <w:pStyle w:val="TableBodyText"/>
                    <w:ind w:right="57"/>
                  </w:pPr>
                  <w:r w:rsidRPr="00A40F0A">
                    <w:t>1.2</w:t>
                  </w:r>
                </w:p>
              </w:tc>
              <w:tc>
                <w:tcPr>
                  <w:tcW w:w="467" w:type="pct"/>
                  <w:vAlign w:val="bottom"/>
                </w:tcPr>
                <w:p w:rsidR="00745FEA" w:rsidRPr="00A40F0A" w:rsidRDefault="00745FEA" w:rsidP="00745FEA">
                  <w:pPr>
                    <w:pStyle w:val="TableBodyText"/>
                    <w:ind w:right="57"/>
                  </w:pPr>
                  <w:r w:rsidRPr="00A40F0A">
                    <w:t>0.3</w:t>
                  </w:r>
                </w:p>
              </w:tc>
              <w:tc>
                <w:tcPr>
                  <w:tcW w:w="467" w:type="pct"/>
                  <w:vAlign w:val="bottom"/>
                </w:tcPr>
                <w:p w:rsidR="00745FEA" w:rsidRPr="00A40F0A" w:rsidRDefault="00745FEA" w:rsidP="00745FEA">
                  <w:pPr>
                    <w:pStyle w:val="TableBodyText"/>
                    <w:ind w:right="57"/>
                  </w:pPr>
                  <w:r w:rsidRPr="00A40F0A">
                    <w:t>0.1</w:t>
                  </w:r>
                </w:p>
              </w:tc>
              <w:tc>
                <w:tcPr>
                  <w:tcW w:w="467" w:type="pct"/>
                  <w:shd w:val="clear" w:color="auto" w:fill="auto"/>
                  <w:vAlign w:val="bottom"/>
                </w:tcPr>
                <w:p w:rsidR="00745FEA" w:rsidRPr="00A40F0A" w:rsidRDefault="00745FEA" w:rsidP="00745FEA">
                  <w:pPr>
                    <w:pStyle w:val="TableBodyText"/>
                    <w:ind w:right="57"/>
                  </w:pPr>
                  <w:r w:rsidRPr="00A40F0A">
                    <w:t>–</w:t>
                  </w:r>
                </w:p>
              </w:tc>
              <w:tc>
                <w:tcPr>
                  <w:tcW w:w="467" w:type="pct"/>
                  <w:shd w:val="clear" w:color="auto" w:fill="auto"/>
                  <w:vAlign w:val="bottom"/>
                </w:tcPr>
                <w:p w:rsidR="00745FEA" w:rsidRPr="00A40F0A" w:rsidRDefault="00745FEA" w:rsidP="00745FEA">
                  <w:pPr>
                    <w:pStyle w:val="TableBodyText"/>
                    <w:ind w:right="57"/>
                  </w:pPr>
                  <w:r w:rsidRPr="00A40F0A">
                    <w:t>–</w:t>
                  </w:r>
                </w:p>
              </w:tc>
              <w:tc>
                <w:tcPr>
                  <w:tcW w:w="464" w:type="pct"/>
                  <w:shd w:val="clear" w:color="auto" w:fill="auto"/>
                  <w:vAlign w:val="bottom"/>
                </w:tcPr>
                <w:p w:rsidR="00745FEA" w:rsidRPr="00A40F0A" w:rsidRDefault="00745FEA" w:rsidP="00745FEA">
                  <w:pPr>
                    <w:pStyle w:val="TableBodyText"/>
                    <w:ind w:right="57"/>
                  </w:pPr>
                  <w:r w:rsidRPr="00A40F0A">
                    <w:t>–</w:t>
                  </w:r>
                </w:p>
              </w:tc>
            </w:tr>
            <w:tr w:rsidR="00745FEA" w:rsidTr="00745FEA">
              <w:tc>
                <w:tcPr>
                  <w:tcW w:w="2201" w:type="pct"/>
                </w:tcPr>
                <w:p w:rsidR="00745FEA" w:rsidRPr="00FF6BC2" w:rsidRDefault="00745FEA" w:rsidP="00745FEA">
                  <w:pPr>
                    <w:pStyle w:val="TableBodyText"/>
                    <w:spacing w:after="0"/>
                    <w:ind w:left="227" w:right="0"/>
                    <w:jc w:val="left"/>
                  </w:pPr>
                  <w:r w:rsidRPr="00FF6BC2">
                    <w:t>R&amp;D tax concession</w:t>
                  </w:r>
                </w:p>
              </w:tc>
              <w:tc>
                <w:tcPr>
                  <w:tcW w:w="467" w:type="pct"/>
                  <w:vAlign w:val="bottom"/>
                </w:tcPr>
                <w:p w:rsidR="00745FEA" w:rsidRPr="00A40F0A" w:rsidRDefault="00745FEA" w:rsidP="00745FEA">
                  <w:pPr>
                    <w:pStyle w:val="TableBodyText"/>
                    <w:ind w:right="57"/>
                  </w:pPr>
                  <w:r w:rsidRPr="00A40F0A">
                    <w:t>5.2</w:t>
                  </w:r>
                </w:p>
              </w:tc>
              <w:tc>
                <w:tcPr>
                  <w:tcW w:w="467" w:type="pct"/>
                  <w:vAlign w:val="bottom"/>
                </w:tcPr>
                <w:p w:rsidR="00745FEA" w:rsidRPr="00A40F0A" w:rsidRDefault="00745FEA" w:rsidP="00745FEA">
                  <w:pPr>
                    <w:pStyle w:val="TableBodyText"/>
                    <w:ind w:right="57"/>
                  </w:pPr>
                  <w:r w:rsidRPr="00A40F0A">
                    <w:t>2.3</w:t>
                  </w:r>
                </w:p>
              </w:tc>
              <w:tc>
                <w:tcPr>
                  <w:tcW w:w="467" w:type="pct"/>
                  <w:vAlign w:val="bottom"/>
                </w:tcPr>
                <w:p w:rsidR="00745FEA" w:rsidRPr="00A40F0A" w:rsidRDefault="00745FEA" w:rsidP="00745FEA">
                  <w:pPr>
                    <w:pStyle w:val="TableBodyText"/>
                    <w:ind w:right="57"/>
                  </w:pPr>
                  <w:r w:rsidRPr="00A40F0A">
                    <w:t>0.8</w:t>
                  </w:r>
                </w:p>
              </w:tc>
              <w:tc>
                <w:tcPr>
                  <w:tcW w:w="467" w:type="pct"/>
                  <w:shd w:val="clear" w:color="auto" w:fill="auto"/>
                  <w:vAlign w:val="bottom"/>
                </w:tcPr>
                <w:p w:rsidR="00745FEA" w:rsidRPr="00A40F0A" w:rsidRDefault="00745FEA" w:rsidP="00745FEA">
                  <w:pPr>
                    <w:pStyle w:val="TableBodyText"/>
                    <w:ind w:right="57"/>
                  </w:pPr>
                  <w:r w:rsidRPr="00A40F0A">
                    <w:t>0.1</w:t>
                  </w:r>
                </w:p>
              </w:tc>
              <w:tc>
                <w:tcPr>
                  <w:tcW w:w="467" w:type="pct"/>
                  <w:shd w:val="clear" w:color="auto" w:fill="auto"/>
                  <w:vAlign w:val="bottom"/>
                </w:tcPr>
                <w:p w:rsidR="00745FEA" w:rsidRPr="00A40F0A" w:rsidRDefault="00745FEA" w:rsidP="00745FEA">
                  <w:pPr>
                    <w:pStyle w:val="TableBodyText"/>
                    <w:ind w:right="57"/>
                  </w:pPr>
                  <w:r w:rsidRPr="00A40F0A">
                    <w:t>–</w:t>
                  </w:r>
                </w:p>
              </w:tc>
              <w:tc>
                <w:tcPr>
                  <w:tcW w:w="464" w:type="pct"/>
                  <w:shd w:val="clear" w:color="auto" w:fill="auto"/>
                  <w:vAlign w:val="bottom"/>
                </w:tcPr>
                <w:p w:rsidR="00745FEA" w:rsidRPr="00A40F0A" w:rsidRDefault="00745FEA" w:rsidP="00745FEA">
                  <w:pPr>
                    <w:pStyle w:val="TableBodyText"/>
                    <w:ind w:right="57"/>
                  </w:pPr>
                  <w:r w:rsidRPr="00A40F0A">
                    <w:t>–</w:t>
                  </w:r>
                </w:p>
              </w:tc>
            </w:tr>
            <w:tr w:rsidR="00745FEA" w:rsidTr="00745FEA">
              <w:tc>
                <w:tcPr>
                  <w:tcW w:w="2201" w:type="pct"/>
                  <w:tcBorders>
                    <w:bottom w:val="single" w:sz="6" w:space="0" w:color="BFBFBF"/>
                  </w:tcBorders>
                </w:tcPr>
                <w:p w:rsidR="00745FEA" w:rsidRPr="00CB066C" w:rsidRDefault="00745FEA" w:rsidP="00745FEA">
                  <w:pPr>
                    <w:pStyle w:val="TableBodyText"/>
                    <w:ind w:left="227" w:right="0"/>
                    <w:jc w:val="left"/>
                  </w:pPr>
                  <w:r>
                    <w:t>R&amp;D Tax Incentive – non-refundable tax offset</w:t>
                  </w:r>
                </w:p>
              </w:tc>
              <w:tc>
                <w:tcPr>
                  <w:tcW w:w="467" w:type="pct"/>
                  <w:tcBorders>
                    <w:bottom w:val="single" w:sz="6" w:space="0" w:color="BFBFBF"/>
                  </w:tcBorders>
                  <w:vAlign w:val="bottom"/>
                </w:tcPr>
                <w:p w:rsidR="00745FEA" w:rsidRPr="00A40F0A" w:rsidRDefault="00745FEA" w:rsidP="00745FEA">
                  <w:pPr>
                    <w:pStyle w:val="TableBodyText"/>
                    <w:ind w:right="57"/>
                  </w:pPr>
                  <w:r w:rsidRPr="00A40F0A">
                    <w:t>–</w:t>
                  </w:r>
                </w:p>
              </w:tc>
              <w:tc>
                <w:tcPr>
                  <w:tcW w:w="467" w:type="pct"/>
                  <w:tcBorders>
                    <w:bottom w:val="single" w:sz="6" w:space="0" w:color="BFBFBF"/>
                  </w:tcBorders>
                  <w:vAlign w:val="bottom"/>
                </w:tcPr>
                <w:p w:rsidR="00745FEA" w:rsidRPr="00A40F0A" w:rsidRDefault="00745FEA" w:rsidP="00745FEA">
                  <w:pPr>
                    <w:pStyle w:val="TableBodyText"/>
                    <w:ind w:right="57"/>
                  </w:pPr>
                  <w:r w:rsidRPr="00A40F0A">
                    <w:t>1.0</w:t>
                  </w:r>
                </w:p>
              </w:tc>
              <w:tc>
                <w:tcPr>
                  <w:tcW w:w="467" w:type="pct"/>
                  <w:tcBorders>
                    <w:bottom w:val="single" w:sz="6" w:space="0" w:color="BFBFBF"/>
                  </w:tcBorders>
                  <w:vAlign w:val="bottom"/>
                </w:tcPr>
                <w:p w:rsidR="00745FEA" w:rsidRPr="00A40F0A" w:rsidRDefault="00745FEA" w:rsidP="00745FEA">
                  <w:pPr>
                    <w:pStyle w:val="TableBodyText"/>
                    <w:ind w:right="57"/>
                  </w:pPr>
                  <w:r w:rsidRPr="00A40F0A">
                    <w:t>2.7</w:t>
                  </w:r>
                </w:p>
              </w:tc>
              <w:tc>
                <w:tcPr>
                  <w:tcW w:w="467" w:type="pct"/>
                  <w:tcBorders>
                    <w:bottom w:val="single" w:sz="6" w:space="0" w:color="BFBFBF"/>
                  </w:tcBorders>
                  <w:shd w:val="clear" w:color="auto" w:fill="auto"/>
                  <w:vAlign w:val="bottom"/>
                </w:tcPr>
                <w:p w:rsidR="00745FEA" w:rsidRPr="00A40F0A" w:rsidRDefault="00745FEA" w:rsidP="00745FEA">
                  <w:pPr>
                    <w:pStyle w:val="TableBodyText"/>
                    <w:ind w:right="57"/>
                  </w:pPr>
                  <w:r w:rsidRPr="00A40F0A">
                    <w:t>6.6</w:t>
                  </w:r>
                </w:p>
              </w:tc>
              <w:tc>
                <w:tcPr>
                  <w:tcW w:w="467" w:type="pct"/>
                  <w:tcBorders>
                    <w:bottom w:val="single" w:sz="6" w:space="0" w:color="BFBFBF"/>
                  </w:tcBorders>
                  <w:shd w:val="clear" w:color="auto" w:fill="auto"/>
                  <w:vAlign w:val="bottom"/>
                </w:tcPr>
                <w:p w:rsidR="00745FEA" w:rsidRPr="00A40F0A" w:rsidRDefault="00745FEA" w:rsidP="00745FEA">
                  <w:pPr>
                    <w:pStyle w:val="TableBodyText"/>
                    <w:ind w:right="57"/>
                  </w:pPr>
                  <w:r w:rsidRPr="00A40F0A">
                    <w:t>15.9</w:t>
                  </w:r>
                </w:p>
              </w:tc>
              <w:tc>
                <w:tcPr>
                  <w:tcW w:w="464" w:type="pct"/>
                  <w:tcBorders>
                    <w:bottom w:val="single" w:sz="6" w:space="0" w:color="BFBFBF"/>
                  </w:tcBorders>
                  <w:shd w:val="clear" w:color="auto" w:fill="auto"/>
                  <w:vAlign w:val="bottom"/>
                </w:tcPr>
                <w:p w:rsidR="00745FEA" w:rsidRDefault="00745FEA" w:rsidP="00745FEA">
                  <w:pPr>
                    <w:pStyle w:val="TableBodyText"/>
                    <w:ind w:right="57"/>
                  </w:pPr>
                  <w:r w:rsidRPr="00A40F0A">
                    <w:t>7.4</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8"/>
              <w:gridCol w:w="795"/>
              <w:gridCol w:w="794"/>
              <w:gridCol w:w="794"/>
              <w:gridCol w:w="794"/>
              <w:gridCol w:w="794"/>
              <w:gridCol w:w="786"/>
            </w:tblGrid>
            <w:tr w:rsidR="00745FEA" w:rsidTr="00C719FB">
              <w:trPr>
                <w:tblHeader/>
              </w:trPr>
              <w:tc>
                <w:tcPr>
                  <w:tcW w:w="2203" w:type="pct"/>
                  <w:tcBorders>
                    <w:top w:val="single" w:sz="6" w:space="0" w:color="BFBFBF"/>
                    <w:bottom w:val="single" w:sz="6" w:space="0" w:color="BFBFBF"/>
                  </w:tcBorders>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3" w:type="pct"/>
                </w:tcPr>
                <w:p w:rsidR="00745FEA" w:rsidRPr="00F5446C" w:rsidRDefault="00745FEA" w:rsidP="00745FEA">
                  <w:pPr>
                    <w:pStyle w:val="TableBodyText"/>
                    <w:spacing w:before="40" w:after="0"/>
                    <w:ind w:left="113"/>
                    <w:jc w:val="left"/>
                    <w:rPr>
                      <w:i/>
                    </w:rPr>
                  </w:pPr>
                  <w:r w:rsidRPr="00F5446C">
                    <w:rPr>
                      <w:i/>
                    </w:rPr>
                    <w:t>Other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03" w:type="pct"/>
                </w:tcPr>
                <w:p w:rsidR="00745FEA" w:rsidRPr="00CB066C" w:rsidRDefault="00745FEA" w:rsidP="00745FEA">
                  <w:pPr>
                    <w:pStyle w:val="TableBodyText"/>
                    <w:spacing w:after="0"/>
                    <w:ind w:left="227" w:right="0"/>
                    <w:jc w:val="left"/>
                  </w:pPr>
                  <w:r w:rsidRPr="00CB066C">
                    <w:t>Australian Government Innovation and Investment Fund - Tasmania</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0.6</w:t>
                  </w:r>
                </w:p>
              </w:tc>
              <w:tc>
                <w:tcPr>
                  <w:tcW w:w="467" w:type="pct"/>
                  <w:shd w:val="clear" w:color="auto" w:fill="auto"/>
                  <w:vAlign w:val="bottom"/>
                </w:tcPr>
                <w:p w:rsidR="00745FEA" w:rsidRPr="008F0154" w:rsidRDefault="00745FEA" w:rsidP="00745FEA">
                  <w:pPr>
                    <w:pStyle w:val="TableBodyText"/>
                    <w:ind w:right="57"/>
                  </w:pPr>
                  <w:r w:rsidRPr="008F0154">
                    <w:t>0.6</w:t>
                  </w:r>
                </w:p>
              </w:tc>
              <w:tc>
                <w:tcPr>
                  <w:tcW w:w="462" w:type="pct"/>
                  <w:shd w:val="clear" w:color="auto" w:fill="auto"/>
                  <w:vAlign w:val="bottom"/>
                </w:tcPr>
                <w:p w:rsidR="00745FEA" w:rsidRPr="008F0154" w:rsidRDefault="00745FEA" w:rsidP="00745FEA">
                  <w:pPr>
                    <w:pStyle w:val="TableBodyText"/>
                    <w:ind w:right="57"/>
                  </w:pPr>
                  <w:r w:rsidRPr="008F0154">
                    <w:t>–</w:t>
                  </w:r>
                </w:p>
              </w:tc>
            </w:tr>
            <w:tr w:rsidR="00745FEA" w:rsidTr="00745FEA">
              <w:tc>
                <w:tcPr>
                  <w:tcW w:w="2203" w:type="pct"/>
                </w:tcPr>
                <w:p w:rsidR="00745FEA" w:rsidRPr="00CB066C" w:rsidRDefault="00745FEA" w:rsidP="00745FEA">
                  <w:pPr>
                    <w:pStyle w:val="TableBodyText"/>
                    <w:spacing w:after="0"/>
                    <w:ind w:left="227" w:right="0"/>
                    <w:jc w:val="left"/>
                  </w:pPr>
                  <w:r w:rsidRPr="00CB066C">
                    <w:t>Enterprise Connect Innovation Centres</w:t>
                  </w:r>
                </w:p>
              </w:tc>
              <w:tc>
                <w:tcPr>
                  <w:tcW w:w="467" w:type="pct"/>
                  <w:vAlign w:val="bottom"/>
                </w:tcPr>
                <w:p w:rsidR="00745FEA" w:rsidRPr="008F0154" w:rsidRDefault="00745FEA" w:rsidP="00745FEA">
                  <w:pPr>
                    <w:pStyle w:val="TableBodyText"/>
                    <w:ind w:right="57"/>
                  </w:pPr>
                  <w:r w:rsidRPr="008F0154">
                    <w:t>&lt;0.1</w:t>
                  </w:r>
                </w:p>
              </w:tc>
              <w:tc>
                <w:tcPr>
                  <w:tcW w:w="467" w:type="pct"/>
                  <w:vAlign w:val="bottom"/>
                </w:tcPr>
                <w:p w:rsidR="00745FEA" w:rsidRPr="008F0154" w:rsidRDefault="00745FEA" w:rsidP="00745FEA">
                  <w:pPr>
                    <w:pStyle w:val="TableBodyText"/>
                    <w:ind w:right="57"/>
                  </w:pPr>
                  <w:r w:rsidRPr="008F0154">
                    <w:t>0.1</w:t>
                  </w:r>
                </w:p>
              </w:tc>
              <w:tc>
                <w:tcPr>
                  <w:tcW w:w="467" w:type="pct"/>
                  <w:vAlign w:val="bottom"/>
                </w:tcPr>
                <w:p w:rsidR="00745FEA" w:rsidRPr="008F0154" w:rsidRDefault="00745FEA" w:rsidP="00745FEA">
                  <w:pPr>
                    <w:pStyle w:val="TableBodyText"/>
                    <w:ind w:right="57"/>
                  </w:pPr>
                  <w:r w:rsidRPr="008F0154">
                    <w:t>0.1</w:t>
                  </w:r>
                </w:p>
              </w:tc>
              <w:tc>
                <w:tcPr>
                  <w:tcW w:w="467" w:type="pct"/>
                  <w:shd w:val="clear" w:color="auto" w:fill="auto"/>
                  <w:vAlign w:val="bottom"/>
                </w:tcPr>
                <w:p w:rsidR="00745FEA" w:rsidRPr="008F0154" w:rsidRDefault="00745FEA" w:rsidP="00745FEA">
                  <w:pPr>
                    <w:pStyle w:val="TableBodyText"/>
                    <w:ind w:right="57"/>
                  </w:pPr>
                  <w:r w:rsidRPr="008F0154">
                    <w:t>0.1</w:t>
                  </w:r>
                </w:p>
              </w:tc>
              <w:tc>
                <w:tcPr>
                  <w:tcW w:w="467" w:type="pct"/>
                  <w:shd w:val="clear" w:color="auto" w:fill="auto"/>
                  <w:vAlign w:val="bottom"/>
                </w:tcPr>
                <w:p w:rsidR="00745FEA" w:rsidRPr="008F0154" w:rsidRDefault="00745FEA" w:rsidP="00745FEA">
                  <w:pPr>
                    <w:pStyle w:val="TableBodyText"/>
                    <w:ind w:right="57"/>
                  </w:pPr>
                  <w:r w:rsidRPr="008F0154">
                    <w:t>&lt;0.1</w:t>
                  </w:r>
                </w:p>
              </w:tc>
              <w:tc>
                <w:tcPr>
                  <w:tcW w:w="462" w:type="pct"/>
                  <w:shd w:val="clear" w:color="auto" w:fill="auto"/>
                  <w:vAlign w:val="bottom"/>
                </w:tcPr>
                <w:p w:rsidR="00745FEA" w:rsidRPr="008F0154" w:rsidRDefault="00745FEA" w:rsidP="00745FEA">
                  <w:pPr>
                    <w:pStyle w:val="TableBodyText"/>
                    <w:ind w:right="57"/>
                  </w:pPr>
                  <w:r w:rsidRPr="008F0154">
                    <w:t>–</w:t>
                  </w:r>
                </w:p>
              </w:tc>
            </w:tr>
            <w:tr w:rsidR="00745FEA" w:rsidTr="00745FEA">
              <w:tc>
                <w:tcPr>
                  <w:tcW w:w="2203" w:type="pct"/>
                </w:tcPr>
                <w:p w:rsidR="00745FEA" w:rsidRPr="00E506EE" w:rsidRDefault="00745FEA" w:rsidP="00745FEA">
                  <w:pPr>
                    <w:pStyle w:val="TableBodyText"/>
                    <w:spacing w:after="0"/>
                    <w:ind w:left="227" w:right="0"/>
                    <w:jc w:val="left"/>
                  </w:pPr>
                  <w:r w:rsidRPr="00E506EE">
                    <w:t>Entrepreneurs’ Infrastructure Programme - Accelerating Commercialisation</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0.1</w:t>
                  </w:r>
                </w:p>
              </w:tc>
              <w:tc>
                <w:tcPr>
                  <w:tcW w:w="467" w:type="pct"/>
                  <w:shd w:val="clear" w:color="auto" w:fill="auto"/>
                  <w:vAlign w:val="bottom"/>
                </w:tcPr>
                <w:p w:rsidR="00745FEA" w:rsidRPr="008F0154" w:rsidRDefault="00745FEA" w:rsidP="00745FEA">
                  <w:pPr>
                    <w:pStyle w:val="TableBodyText"/>
                    <w:ind w:right="57"/>
                  </w:pPr>
                  <w:r w:rsidRPr="008F0154">
                    <w:t>1.1</w:t>
                  </w:r>
                </w:p>
              </w:tc>
              <w:tc>
                <w:tcPr>
                  <w:tcW w:w="462" w:type="pct"/>
                  <w:shd w:val="clear" w:color="auto" w:fill="auto"/>
                  <w:vAlign w:val="bottom"/>
                </w:tcPr>
                <w:p w:rsidR="00745FEA" w:rsidRPr="008F0154" w:rsidRDefault="00745FEA" w:rsidP="00745FEA">
                  <w:pPr>
                    <w:pStyle w:val="TableBodyText"/>
                    <w:ind w:right="57"/>
                  </w:pPr>
                  <w:r w:rsidRPr="008F0154">
                    <w:t>1.2</w:t>
                  </w:r>
                </w:p>
              </w:tc>
            </w:tr>
            <w:tr w:rsidR="00745FEA" w:rsidTr="00745FEA">
              <w:tc>
                <w:tcPr>
                  <w:tcW w:w="2203" w:type="pct"/>
                </w:tcPr>
                <w:p w:rsidR="00745FEA" w:rsidRPr="00E506EE" w:rsidRDefault="00745FEA" w:rsidP="00745FEA">
                  <w:pPr>
                    <w:pStyle w:val="TableBodyText"/>
                    <w:spacing w:after="0"/>
                    <w:ind w:left="227" w:right="0"/>
                    <w:jc w:val="left"/>
                  </w:pPr>
                  <w:r w:rsidRPr="00E506EE">
                    <w:t>Entrepreneurs’ Infrastructure Programme - Business Management Skills</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&lt;0.1</w:t>
                  </w:r>
                </w:p>
              </w:tc>
              <w:tc>
                <w:tcPr>
                  <w:tcW w:w="467" w:type="pct"/>
                  <w:shd w:val="clear" w:color="auto" w:fill="auto"/>
                  <w:vAlign w:val="bottom"/>
                </w:tcPr>
                <w:p w:rsidR="00745FEA" w:rsidRPr="008F0154" w:rsidRDefault="00745FEA" w:rsidP="00745FEA">
                  <w:pPr>
                    <w:pStyle w:val="TableBodyText"/>
                    <w:ind w:right="57"/>
                  </w:pPr>
                  <w:r w:rsidRPr="008F0154">
                    <w:t>0.2</w:t>
                  </w:r>
                </w:p>
              </w:tc>
              <w:tc>
                <w:tcPr>
                  <w:tcW w:w="462" w:type="pct"/>
                  <w:shd w:val="clear" w:color="auto" w:fill="auto"/>
                  <w:vAlign w:val="bottom"/>
                </w:tcPr>
                <w:p w:rsidR="00745FEA" w:rsidRPr="008F0154" w:rsidRDefault="00745FEA" w:rsidP="00745FEA">
                  <w:pPr>
                    <w:pStyle w:val="TableBodyText"/>
                    <w:ind w:right="57"/>
                  </w:pPr>
                  <w:r w:rsidRPr="008F0154">
                    <w:t>0.1</w:t>
                  </w:r>
                </w:p>
              </w:tc>
            </w:tr>
            <w:tr w:rsidR="00745FEA" w:rsidTr="00745FEA">
              <w:tc>
                <w:tcPr>
                  <w:tcW w:w="2203" w:type="pct"/>
                </w:tcPr>
                <w:p w:rsidR="00745FEA" w:rsidRPr="00E506EE" w:rsidRDefault="00745FEA" w:rsidP="00745FEA">
                  <w:pPr>
                    <w:pStyle w:val="TableBodyText"/>
                    <w:spacing w:after="0"/>
                    <w:ind w:left="227" w:right="0"/>
                    <w:jc w:val="left"/>
                  </w:pPr>
                  <w:r w:rsidRPr="00E506EE">
                    <w:t>Tasmanian Jobs and Investment Fund</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&lt;0.1</w:t>
                  </w:r>
                </w:p>
              </w:tc>
              <w:tc>
                <w:tcPr>
                  <w:tcW w:w="462" w:type="pct"/>
                  <w:shd w:val="clear" w:color="auto" w:fill="auto"/>
                  <w:vAlign w:val="bottom"/>
                </w:tcPr>
                <w:p w:rsidR="00745FEA" w:rsidRPr="008F0154" w:rsidRDefault="00745FEA" w:rsidP="00745FEA">
                  <w:pPr>
                    <w:pStyle w:val="TableBodyText"/>
                    <w:ind w:right="57"/>
                  </w:pPr>
                  <w:r w:rsidRPr="008F0154">
                    <w:t>–</w:t>
                  </w:r>
                </w:p>
              </w:tc>
            </w:tr>
            <w:tr w:rsidR="00745FEA" w:rsidTr="00745FEA">
              <w:tc>
                <w:tcPr>
                  <w:tcW w:w="2203" w:type="pct"/>
                </w:tcPr>
                <w:p w:rsidR="00745FEA" w:rsidRPr="00E506EE" w:rsidRDefault="00745FEA" w:rsidP="00745FEA">
                  <w:pPr>
                    <w:pStyle w:val="TableBodyText"/>
                    <w:spacing w:after="0"/>
                    <w:ind w:left="227" w:right="0"/>
                    <w:jc w:val="left"/>
                  </w:pPr>
                  <w:r w:rsidRPr="00E506EE">
                    <w:t>The Small Business and General Business Tax Break</w:t>
                  </w:r>
                </w:p>
              </w:tc>
              <w:tc>
                <w:tcPr>
                  <w:tcW w:w="467" w:type="pct"/>
                  <w:vAlign w:val="bottom"/>
                </w:tcPr>
                <w:p w:rsidR="00745FEA" w:rsidRPr="008F0154" w:rsidRDefault="00745FEA" w:rsidP="00745FEA">
                  <w:pPr>
                    <w:pStyle w:val="TableBodyText"/>
                    <w:ind w:right="57"/>
                  </w:pPr>
                  <w:r w:rsidRPr="008F0154">
                    <w:t>0.9</w:t>
                  </w:r>
                </w:p>
              </w:tc>
              <w:tc>
                <w:tcPr>
                  <w:tcW w:w="467" w:type="pct"/>
                  <w:vAlign w:val="bottom"/>
                </w:tcPr>
                <w:p w:rsidR="00745FEA" w:rsidRPr="008F0154" w:rsidRDefault="00745FEA" w:rsidP="00745FEA">
                  <w:pPr>
                    <w:pStyle w:val="TableBodyText"/>
                    <w:ind w:right="57"/>
                  </w:pPr>
                  <w:r w:rsidRPr="008F0154">
                    <w:t>0.3</w:t>
                  </w:r>
                </w:p>
              </w:tc>
              <w:tc>
                <w:tcPr>
                  <w:tcW w:w="467" w:type="pct"/>
                  <w:vAlign w:val="bottom"/>
                </w:tcPr>
                <w:p w:rsidR="00745FEA" w:rsidRPr="008F0154" w:rsidRDefault="00745FEA" w:rsidP="00745FEA">
                  <w:pPr>
                    <w:pStyle w:val="TableBodyText"/>
                    <w:ind w:right="57"/>
                  </w:pPr>
                  <w:r w:rsidRPr="008F0154">
                    <w:t>&lt;0.1</w:t>
                  </w:r>
                </w:p>
              </w:tc>
              <w:tc>
                <w:tcPr>
                  <w:tcW w:w="467" w:type="pct"/>
                  <w:shd w:val="clear" w:color="auto" w:fill="auto"/>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w:t>
                  </w:r>
                </w:p>
              </w:tc>
              <w:tc>
                <w:tcPr>
                  <w:tcW w:w="462" w:type="pct"/>
                  <w:shd w:val="clear" w:color="auto" w:fill="auto"/>
                  <w:vAlign w:val="bottom"/>
                </w:tcPr>
                <w:p w:rsidR="00745FEA" w:rsidRPr="008F0154" w:rsidRDefault="00745FEA" w:rsidP="00745FEA">
                  <w:pPr>
                    <w:pStyle w:val="TableBodyText"/>
                    <w:ind w:right="57"/>
                  </w:pPr>
                  <w:r w:rsidRPr="008F0154">
                    <w:t>–</w:t>
                  </w:r>
                </w:p>
              </w:tc>
            </w:tr>
            <w:tr w:rsidR="00745FEA" w:rsidTr="00745FEA">
              <w:tc>
                <w:tcPr>
                  <w:tcW w:w="2203" w:type="pct"/>
                </w:tcPr>
                <w:p w:rsidR="00745FEA" w:rsidRPr="00E506EE" w:rsidRDefault="00745FEA" w:rsidP="00745FEA">
                  <w:pPr>
                    <w:pStyle w:val="TableBodyText"/>
                    <w:spacing w:after="0"/>
                    <w:ind w:left="227" w:right="0"/>
                    <w:jc w:val="left"/>
                  </w:pPr>
                  <w:r w:rsidRPr="00E506EE">
                    <w:t>Small Business - Simplified depreciation rules</w:t>
                  </w:r>
                </w:p>
              </w:tc>
              <w:tc>
                <w:tcPr>
                  <w:tcW w:w="467" w:type="pct"/>
                  <w:vAlign w:val="bottom"/>
                </w:tcPr>
                <w:p w:rsidR="00745FEA" w:rsidRPr="008F0154" w:rsidRDefault="00745FEA" w:rsidP="00745FEA">
                  <w:pPr>
                    <w:pStyle w:val="TableBodyText"/>
                    <w:ind w:right="57"/>
                  </w:pPr>
                  <w:r w:rsidRPr="008F0154">
                    <w:t>&lt;0.1</w:t>
                  </w:r>
                </w:p>
              </w:tc>
              <w:tc>
                <w:tcPr>
                  <w:tcW w:w="467" w:type="pct"/>
                  <w:vAlign w:val="bottom"/>
                </w:tcPr>
                <w:p w:rsidR="00745FEA" w:rsidRPr="008F0154" w:rsidRDefault="00745FEA" w:rsidP="00745FEA">
                  <w:pPr>
                    <w:pStyle w:val="TableBodyText"/>
                    <w:ind w:right="57"/>
                  </w:pPr>
                  <w:r w:rsidRPr="008F0154">
                    <w:t>-0.1</w:t>
                  </w:r>
                </w:p>
              </w:tc>
              <w:tc>
                <w:tcPr>
                  <w:tcW w:w="467" w:type="pct"/>
                  <w:vAlign w:val="bottom"/>
                </w:tcPr>
                <w:p w:rsidR="00745FEA" w:rsidRPr="008F0154" w:rsidRDefault="00745FEA" w:rsidP="00745FEA">
                  <w:pPr>
                    <w:pStyle w:val="TableBodyText"/>
                    <w:ind w:right="57"/>
                  </w:pPr>
                  <w:r w:rsidRPr="008F0154">
                    <w:t>0.3</w:t>
                  </w:r>
                </w:p>
              </w:tc>
              <w:tc>
                <w:tcPr>
                  <w:tcW w:w="467" w:type="pct"/>
                  <w:shd w:val="clear" w:color="auto" w:fill="auto"/>
                  <w:vAlign w:val="bottom"/>
                </w:tcPr>
                <w:p w:rsidR="00745FEA" w:rsidRPr="008F0154" w:rsidRDefault="00745FEA" w:rsidP="00745FEA">
                  <w:pPr>
                    <w:pStyle w:val="TableBodyText"/>
                    <w:ind w:right="57"/>
                  </w:pPr>
                  <w:r w:rsidRPr="008F0154">
                    <w:t>-0.2</w:t>
                  </w:r>
                </w:p>
              </w:tc>
              <w:tc>
                <w:tcPr>
                  <w:tcW w:w="467" w:type="pct"/>
                  <w:shd w:val="clear" w:color="auto" w:fill="auto"/>
                  <w:vAlign w:val="bottom"/>
                </w:tcPr>
                <w:p w:rsidR="00745FEA" w:rsidRPr="008F0154" w:rsidRDefault="00745FEA" w:rsidP="00745FEA">
                  <w:pPr>
                    <w:pStyle w:val="TableBodyText"/>
                    <w:ind w:right="57"/>
                  </w:pPr>
                  <w:r w:rsidRPr="008F0154">
                    <w:t>-0.3</w:t>
                  </w:r>
                </w:p>
              </w:tc>
              <w:tc>
                <w:tcPr>
                  <w:tcW w:w="462" w:type="pct"/>
                  <w:shd w:val="clear" w:color="auto" w:fill="auto"/>
                  <w:vAlign w:val="bottom"/>
                </w:tcPr>
                <w:p w:rsidR="00745FEA" w:rsidRPr="008F0154" w:rsidRDefault="00745FEA" w:rsidP="00745FEA">
                  <w:pPr>
                    <w:pStyle w:val="TableBodyText"/>
                    <w:ind w:right="57"/>
                  </w:pPr>
                  <w:r w:rsidRPr="008F0154">
                    <w:t>1.6</w:t>
                  </w:r>
                </w:p>
              </w:tc>
            </w:tr>
            <w:tr w:rsidR="00745FEA" w:rsidTr="00745FEA">
              <w:tc>
                <w:tcPr>
                  <w:tcW w:w="2203" w:type="pct"/>
                </w:tcPr>
                <w:p w:rsidR="00745FEA" w:rsidRPr="00E506EE" w:rsidRDefault="00745FEA" w:rsidP="00745FEA">
                  <w:pPr>
                    <w:pStyle w:val="TableBodyText"/>
                    <w:spacing w:after="0"/>
                    <w:ind w:left="227" w:right="0"/>
                    <w:jc w:val="left"/>
                  </w:pPr>
                  <w:r w:rsidRPr="00E506EE">
                    <w:t xml:space="preserve">Small business </w:t>
                  </w:r>
                  <w:r>
                    <w:t>capital gains tax</w:t>
                  </w:r>
                  <w:r w:rsidRPr="00E506EE">
                    <w:t xml:space="preserve"> 50 per cent reduction</w:t>
                  </w:r>
                </w:p>
              </w:tc>
              <w:tc>
                <w:tcPr>
                  <w:tcW w:w="467" w:type="pct"/>
                  <w:vAlign w:val="bottom"/>
                </w:tcPr>
                <w:p w:rsidR="00745FEA" w:rsidRPr="008F0154" w:rsidRDefault="00745FEA" w:rsidP="00745FEA">
                  <w:pPr>
                    <w:pStyle w:val="TableBodyText"/>
                    <w:ind w:right="57"/>
                  </w:pPr>
                  <w:r w:rsidRPr="008F0154">
                    <w:t>0.7</w:t>
                  </w:r>
                </w:p>
              </w:tc>
              <w:tc>
                <w:tcPr>
                  <w:tcW w:w="467" w:type="pct"/>
                  <w:vAlign w:val="bottom"/>
                </w:tcPr>
                <w:p w:rsidR="00745FEA" w:rsidRPr="008F0154" w:rsidRDefault="00745FEA" w:rsidP="00745FEA">
                  <w:pPr>
                    <w:pStyle w:val="TableBodyText"/>
                    <w:ind w:right="57"/>
                  </w:pPr>
                  <w:r w:rsidRPr="008F0154">
                    <w:t>0.7</w:t>
                  </w:r>
                </w:p>
              </w:tc>
              <w:tc>
                <w:tcPr>
                  <w:tcW w:w="467" w:type="pct"/>
                  <w:vAlign w:val="bottom"/>
                </w:tcPr>
                <w:p w:rsidR="00745FEA" w:rsidRPr="008F0154" w:rsidRDefault="00745FEA" w:rsidP="00745FEA">
                  <w:pPr>
                    <w:pStyle w:val="TableBodyText"/>
                    <w:ind w:right="57"/>
                  </w:pPr>
                  <w:r w:rsidRPr="008F0154">
                    <w:t>0.7</w:t>
                  </w:r>
                </w:p>
              </w:tc>
              <w:tc>
                <w:tcPr>
                  <w:tcW w:w="467" w:type="pct"/>
                  <w:shd w:val="clear" w:color="auto" w:fill="auto"/>
                  <w:vAlign w:val="bottom"/>
                </w:tcPr>
                <w:p w:rsidR="00745FEA" w:rsidRPr="008F0154" w:rsidRDefault="00745FEA" w:rsidP="00745FEA">
                  <w:pPr>
                    <w:pStyle w:val="TableBodyText"/>
                    <w:ind w:right="57"/>
                  </w:pPr>
                  <w:r w:rsidRPr="008F0154">
                    <w:t>0.5</w:t>
                  </w:r>
                </w:p>
              </w:tc>
              <w:tc>
                <w:tcPr>
                  <w:tcW w:w="467" w:type="pct"/>
                  <w:shd w:val="clear" w:color="auto" w:fill="auto"/>
                  <w:vAlign w:val="bottom"/>
                </w:tcPr>
                <w:p w:rsidR="00745FEA" w:rsidRPr="008F0154" w:rsidRDefault="00745FEA" w:rsidP="00745FEA">
                  <w:pPr>
                    <w:pStyle w:val="TableBodyText"/>
                    <w:ind w:right="57"/>
                  </w:pPr>
                  <w:r w:rsidRPr="008F0154">
                    <w:t>0.6</w:t>
                  </w:r>
                </w:p>
              </w:tc>
              <w:tc>
                <w:tcPr>
                  <w:tcW w:w="462" w:type="pct"/>
                  <w:shd w:val="clear" w:color="auto" w:fill="auto"/>
                  <w:vAlign w:val="bottom"/>
                </w:tcPr>
                <w:p w:rsidR="00745FEA" w:rsidRPr="008F0154" w:rsidRDefault="00745FEA" w:rsidP="00745FEA">
                  <w:pPr>
                    <w:pStyle w:val="TableBodyText"/>
                    <w:ind w:right="57"/>
                  </w:pPr>
                  <w:r w:rsidRPr="008F0154">
                    <w:t>0.5</w:t>
                  </w:r>
                </w:p>
              </w:tc>
            </w:tr>
            <w:tr w:rsidR="00745FEA" w:rsidTr="00745FEA">
              <w:tc>
                <w:tcPr>
                  <w:tcW w:w="2203" w:type="pct"/>
                </w:tcPr>
                <w:p w:rsidR="00745FEA" w:rsidRPr="00E506EE" w:rsidRDefault="00745FEA" w:rsidP="00745FEA">
                  <w:pPr>
                    <w:pStyle w:val="TableBodyText"/>
                    <w:spacing w:after="0"/>
                    <w:ind w:left="227" w:right="0"/>
                    <w:jc w:val="left"/>
                  </w:pPr>
                  <w:r w:rsidRPr="00E506EE">
                    <w:t>25 per cent entrepreneurs' tax offset</w:t>
                  </w:r>
                </w:p>
              </w:tc>
              <w:tc>
                <w:tcPr>
                  <w:tcW w:w="467" w:type="pct"/>
                  <w:vAlign w:val="bottom"/>
                </w:tcPr>
                <w:p w:rsidR="00745FEA" w:rsidRPr="008F0154" w:rsidRDefault="00745FEA" w:rsidP="00745FEA">
                  <w:pPr>
                    <w:pStyle w:val="TableBodyText"/>
                    <w:ind w:right="57"/>
                  </w:pPr>
                  <w:r w:rsidRPr="008F0154">
                    <w:t>0.4</w:t>
                  </w:r>
                </w:p>
              </w:tc>
              <w:tc>
                <w:tcPr>
                  <w:tcW w:w="467" w:type="pct"/>
                  <w:vAlign w:val="bottom"/>
                </w:tcPr>
                <w:p w:rsidR="00745FEA" w:rsidRPr="008F0154" w:rsidRDefault="00745FEA" w:rsidP="00745FEA">
                  <w:pPr>
                    <w:pStyle w:val="TableBodyText"/>
                    <w:ind w:right="57"/>
                  </w:pPr>
                  <w:r w:rsidRPr="008F0154">
                    <w:t>0.4</w:t>
                  </w:r>
                </w:p>
              </w:tc>
              <w:tc>
                <w:tcPr>
                  <w:tcW w:w="467" w:type="pct"/>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w:t>
                  </w:r>
                </w:p>
              </w:tc>
              <w:tc>
                <w:tcPr>
                  <w:tcW w:w="467" w:type="pct"/>
                  <w:shd w:val="clear" w:color="auto" w:fill="auto"/>
                  <w:vAlign w:val="bottom"/>
                </w:tcPr>
                <w:p w:rsidR="00745FEA" w:rsidRPr="008F0154" w:rsidRDefault="00745FEA" w:rsidP="00745FEA">
                  <w:pPr>
                    <w:pStyle w:val="TableBodyText"/>
                    <w:ind w:right="57"/>
                  </w:pPr>
                  <w:r w:rsidRPr="008F0154">
                    <w:t>–</w:t>
                  </w:r>
                </w:p>
              </w:tc>
              <w:tc>
                <w:tcPr>
                  <w:tcW w:w="462" w:type="pct"/>
                  <w:shd w:val="clear" w:color="auto" w:fill="auto"/>
                  <w:vAlign w:val="bottom"/>
                </w:tcPr>
                <w:p w:rsidR="00745FEA" w:rsidRDefault="00745FEA" w:rsidP="00745FEA">
                  <w:pPr>
                    <w:pStyle w:val="TableBodyText"/>
                    <w:ind w:right="57"/>
                  </w:pPr>
                  <w:r w:rsidRPr="008F0154">
                    <w:t>–</w:t>
                  </w:r>
                </w:p>
              </w:tc>
            </w:tr>
            <w:tr w:rsidR="00745FEA" w:rsidTr="00745FEA">
              <w:tc>
                <w:tcPr>
                  <w:tcW w:w="2203" w:type="pct"/>
                </w:tcPr>
                <w:p w:rsidR="00745FEA" w:rsidRPr="004B42E7" w:rsidRDefault="00745FEA" w:rsidP="00745FEA">
                  <w:pPr>
                    <w:pStyle w:val="TableBodyText"/>
                    <w:spacing w:before="20" w:after="20"/>
                    <w:jc w:val="left"/>
                    <w:rPr>
                      <w:i/>
                    </w:rPr>
                  </w:pPr>
                  <w:r w:rsidRPr="004B42E7">
                    <w:rPr>
                      <w:i/>
                    </w:rPr>
                    <w:t>Total</w:t>
                  </w:r>
                </w:p>
              </w:tc>
              <w:tc>
                <w:tcPr>
                  <w:tcW w:w="467" w:type="pct"/>
                  <w:vAlign w:val="bottom"/>
                </w:tcPr>
                <w:p w:rsidR="00745FEA" w:rsidRPr="009B75ED" w:rsidRDefault="00745FEA" w:rsidP="00745FEA">
                  <w:pPr>
                    <w:pStyle w:val="TableBodyText"/>
                    <w:spacing w:before="20" w:after="20"/>
                    <w:ind w:right="57"/>
                    <w:rPr>
                      <w:i/>
                    </w:rPr>
                  </w:pPr>
                  <w:r>
                    <w:rPr>
                      <w:i/>
                    </w:rPr>
                    <w:t>22.0</w:t>
                  </w:r>
                </w:p>
              </w:tc>
              <w:tc>
                <w:tcPr>
                  <w:tcW w:w="467" w:type="pct"/>
                  <w:vAlign w:val="bottom"/>
                </w:tcPr>
                <w:p w:rsidR="00745FEA" w:rsidRPr="009B75ED" w:rsidRDefault="00745FEA" w:rsidP="00745FEA">
                  <w:pPr>
                    <w:pStyle w:val="TableBodyText"/>
                    <w:spacing w:before="20" w:after="20"/>
                    <w:ind w:right="57"/>
                    <w:rPr>
                      <w:i/>
                    </w:rPr>
                  </w:pPr>
                  <w:r>
                    <w:rPr>
                      <w:i/>
                    </w:rPr>
                    <w:t>24.3</w:t>
                  </w:r>
                </w:p>
              </w:tc>
              <w:tc>
                <w:tcPr>
                  <w:tcW w:w="467" w:type="pct"/>
                </w:tcPr>
                <w:p w:rsidR="00745FEA" w:rsidRPr="000C3843" w:rsidRDefault="00745FEA" w:rsidP="00745FEA">
                  <w:pPr>
                    <w:pStyle w:val="TableBodyText"/>
                    <w:spacing w:before="20" w:after="20"/>
                    <w:ind w:right="57"/>
                    <w:rPr>
                      <w:i/>
                    </w:rPr>
                  </w:pPr>
                  <w:r>
                    <w:rPr>
                      <w:i/>
                    </w:rPr>
                    <w:t>22.3</w:t>
                  </w:r>
                </w:p>
              </w:tc>
              <w:tc>
                <w:tcPr>
                  <w:tcW w:w="467" w:type="pct"/>
                  <w:shd w:val="clear" w:color="auto" w:fill="auto"/>
                </w:tcPr>
                <w:p w:rsidR="00745FEA" w:rsidRPr="000C3843" w:rsidRDefault="00745FEA" w:rsidP="00745FEA">
                  <w:pPr>
                    <w:pStyle w:val="TableBodyText"/>
                    <w:spacing w:before="20" w:after="20"/>
                    <w:ind w:right="57"/>
                    <w:rPr>
                      <w:i/>
                    </w:rPr>
                  </w:pPr>
                  <w:r>
                    <w:rPr>
                      <w:i/>
                    </w:rPr>
                    <w:t>30.7</w:t>
                  </w:r>
                </w:p>
              </w:tc>
              <w:tc>
                <w:tcPr>
                  <w:tcW w:w="467" w:type="pct"/>
                  <w:shd w:val="clear" w:color="auto" w:fill="auto"/>
                </w:tcPr>
                <w:p w:rsidR="00745FEA" w:rsidRPr="000C3843" w:rsidRDefault="00745FEA" w:rsidP="00745FEA">
                  <w:pPr>
                    <w:pStyle w:val="TableBodyText"/>
                    <w:spacing w:before="20" w:after="20"/>
                    <w:ind w:right="57"/>
                    <w:rPr>
                      <w:i/>
                    </w:rPr>
                  </w:pPr>
                  <w:r>
                    <w:rPr>
                      <w:i/>
                    </w:rPr>
                    <w:t>42.5</w:t>
                  </w:r>
                </w:p>
              </w:tc>
              <w:tc>
                <w:tcPr>
                  <w:tcW w:w="462" w:type="pct"/>
                  <w:shd w:val="clear" w:color="auto" w:fill="auto"/>
                </w:tcPr>
                <w:p w:rsidR="00745FEA" w:rsidRPr="000C3843" w:rsidRDefault="00745FEA" w:rsidP="00745FEA">
                  <w:pPr>
                    <w:pStyle w:val="TableBodyText"/>
                    <w:spacing w:before="20" w:after="20"/>
                    <w:ind w:right="57"/>
                    <w:rPr>
                      <w:i/>
                    </w:rPr>
                  </w:pPr>
                  <w:r>
                    <w:rPr>
                      <w:i/>
                    </w:rPr>
                    <w:t>36.2</w:t>
                  </w:r>
                </w:p>
              </w:tc>
            </w:tr>
            <w:tr w:rsidR="00745FEA" w:rsidTr="00745FEA">
              <w:tc>
                <w:tcPr>
                  <w:tcW w:w="2203" w:type="pct"/>
                </w:tcPr>
                <w:p w:rsidR="00745FEA" w:rsidRPr="004B42E7" w:rsidRDefault="00745FEA" w:rsidP="00745FEA">
                  <w:pPr>
                    <w:pStyle w:val="TableBodyText"/>
                    <w:spacing w:before="40"/>
                    <w:jc w:val="left"/>
                    <w:rPr>
                      <w:b/>
                    </w:rPr>
                  </w:pPr>
                  <w:r w:rsidRPr="004B42E7">
                    <w:rPr>
                      <w:b/>
                    </w:rPr>
                    <w:t>Machinery and equipment manufacturing</w:t>
                  </w: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2" w:type="pct"/>
                  <w:shd w:val="clear" w:color="auto" w:fill="auto"/>
                  <w:vAlign w:val="bottom"/>
                </w:tcPr>
                <w:p w:rsidR="00745FEA" w:rsidRDefault="00745FEA" w:rsidP="00745FEA">
                  <w:pPr>
                    <w:pStyle w:val="TableBodyText"/>
                    <w:spacing w:before="40"/>
                    <w:ind w:right="57"/>
                  </w:pPr>
                </w:p>
              </w:tc>
            </w:tr>
            <w:tr w:rsidR="00745FEA" w:rsidTr="00745FEA">
              <w:tc>
                <w:tcPr>
                  <w:tcW w:w="2203" w:type="pct"/>
                </w:tcPr>
                <w:p w:rsidR="00745FEA" w:rsidRPr="004B42E7" w:rsidRDefault="00745FEA" w:rsidP="00745FEA">
                  <w:pPr>
                    <w:pStyle w:val="TableBodyText"/>
                    <w:spacing w:before="40" w:after="0"/>
                    <w:ind w:left="113"/>
                    <w:jc w:val="left"/>
                    <w:rPr>
                      <w:i/>
                    </w:rPr>
                  </w:pPr>
                  <w:r w:rsidRPr="004B42E7">
                    <w:rPr>
                      <w:i/>
                    </w:rPr>
                    <w:t>Sector-specific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03" w:type="pct"/>
                </w:tcPr>
                <w:p w:rsidR="00745FEA" w:rsidRPr="00F06C43" w:rsidRDefault="00745FEA" w:rsidP="00745FEA">
                  <w:pPr>
                    <w:pStyle w:val="TableBodyText"/>
                    <w:spacing w:after="0"/>
                    <w:ind w:left="227" w:right="0"/>
                    <w:jc w:val="left"/>
                  </w:pPr>
                  <w:r w:rsidRPr="00F06C43">
                    <w:t>Clean Technology Investment - General Program</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1.3</w:t>
                  </w:r>
                </w:p>
              </w:tc>
              <w:tc>
                <w:tcPr>
                  <w:tcW w:w="467" w:type="pct"/>
                  <w:vAlign w:val="bottom"/>
                </w:tcPr>
                <w:p w:rsidR="00745FEA" w:rsidRPr="00FE2DD4" w:rsidRDefault="00745FEA" w:rsidP="00745FEA">
                  <w:pPr>
                    <w:pStyle w:val="TableBodyText"/>
                    <w:ind w:right="57"/>
                  </w:pPr>
                  <w:r w:rsidRPr="00FE2DD4">
                    <w:t>1.9</w:t>
                  </w:r>
                </w:p>
              </w:tc>
              <w:tc>
                <w:tcPr>
                  <w:tcW w:w="467" w:type="pct"/>
                  <w:shd w:val="clear" w:color="auto" w:fill="auto"/>
                  <w:vAlign w:val="bottom"/>
                </w:tcPr>
                <w:p w:rsidR="00745FEA" w:rsidRPr="00FE2DD4" w:rsidRDefault="00745FEA" w:rsidP="00745FEA">
                  <w:pPr>
                    <w:pStyle w:val="TableBodyText"/>
                    <w:ind w:right="57"/>
                  </w:pPr>
                  <w:r w:rsidRPr="00FE2DD4">
                    <w:t>1.6</w:t>
                  </w:r>
                </w:p>
              </w:tc>
              <w:tc>
                <w:tcPr>
                  <w:tcW w:w="467" w:type="pct"/>
                  <w:shd w:val="clear" w:color="auto" w:fill="auto"/>
                  <w:vAlign w:val="bottom"/>
                </w:tcPr>
                <w:p w:rsidR="00745FEA" w:rsidRPr="00FE2DD4" w:rsidRDefault="00745FEA" w:rsidP="00745FEA">
                  <w:pPr>
                    <w:pStyle w:val="TableBodyText"/>
                    <w:ind w:right="57"/>
                  </w:pPr>
                  <w:r w:rsidRPr="00FE2DD4">
                    <w:t>0.2</w:t>
                  </w:r>
                </w:p>
              </w:tc>
              <w:tc>
                <w:tcPr>
                  <w:tcW w:w="462" w:type="pct"/>
                  <w:shd w:val="clear" w:color="auto" w:fill="auto"/>
                  <w:vAlign w:val="bottom"/>
                </w:tcPr>
                <w:p w:rsidR="00745FEA" w:rsidRPr="00FE2DD4" w:rsidRDefault="00745FEA" w:rsidP="00745FEA">
                  <w:pPr>
                    <w:pStyle w:val="TableBodyText"/>
                    <w:ind w:right="57"/>
                  </w:pPr>
                  <w:r w:rsidRPr="00FE2DD4">
                    <w:t>–</w:t>
                  </w:r>
                </w:p>
              </w:tc>
            </w:tr>
            <w:tr w:rsidR="00745FEA" w:rsidTr="00745FEA">
              <w:tc>
                <w:tcPr>
                  <w:tcW w:w="2203" w:type="pct"/>
                </w:tcPr>
                <w:p w:rsidR="00745FEA" w:rsidRPr="00F06C43" w:rsidRDefault="00745FEA" w:rsidP="00745FEA">
                  <w:pPr>
                    <w:pStyle w:val="TableBodyText"/>
                    <w:spacing w:after="0"/>
                    <w:ind w:left="227" w:right="0"/>
                    <w:jc w:val="left"/>
                  </w:pPr>
                  <w:r w:rsidRPr="00F06C43">
                    <w:t>Manufacturing Transition Grants Programme</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w:t>
                  </w:r>
                </w:p>
              </w:tc>
              <w:tc>
                <w:tcPr>
                  <w:tcW w:w="467" w:type="pct"/>
                  <w:shd w:val="clear" w:color="auto" w:fill="auto"/>
                  <w:vAlign w:val="bottom"/>
                </w:tcPr>
                <w:p w:rsidR="00745FEA" w:rsidRPr="00FE2DD4" w:rsidRDefault="00745FEA" w:rsidP="00745FEA">
                  <w:pPr>
                    <w:pStyle w:val="TableBodyText"/>
                    <w:ind w:right="57"/>
                  </w:pPr>
                  <w:r w:rsidRPr="00FE2DD4">
                    <w:t>0.5</w:t>
                  </w:r>
                </w:p>
              </w:tc>
              <w:tc>
                <w:tcPr>
                  <w:tcW w:w="467" w:type="pct"/>
                  <w:shd w:val="clear" w:color="auto" w:fill="auto"/>
                  <w:vAlign w:val="bottom"/>
                </w:tcPr>
                <w:p w:rsidR="00745FEA" w:rsidRPr="00FE2DD4" w:rsidRDefault="00745FEA" w:rsidP="00745FEA">
                  <w:pPr>
                    <w:pStyle w:val="TableBodyText"/>
                    <w:ind w:right="57"/>
                  </w:pPr>
                  <w:r w:rsidRPr="00FE2DD4">
                    <w:t>4.0</w:t>
                  </w:r>
                </w:p>
              </w:tc>
              <w:tc>
                <w:tcPr>
                  <w:tcW w:w="462" w:type="pct"/>
                  <w:shd w:val="clear" w:color="auto" w:fill="auto"/>
                  <w:vAlign w:val="bottom"/>
                </w:tcPr>
                <w:p w:rsidR="00745FEA" w:rsidRPr="00FE2DD4" w:rsidRDefault="00745FEA" w:rsidP="00745FEA">
                  <w:pPr>
                    <w:pStyle w:val="TableBodyText"/>
                    <w:ind w:right="57"/>
                  </w:pPr>
                  <w:r w:rsidRPr="00FE2DD4">
                    <w:t>1.4</w:t>
                  </w:r>
                </w:p>
              </w:tc>
            </w:tr>
            <w:tr w:rsidR="00745FEA" w:rsidTr="00745FEA">
              <w:tc>
                <w:tcPr>
                  <w:tcW w:w="2203" w:type="pct"/>
                </w:tcPr>
                <w:p w:rsidR="00745FEA" w:rsidRPr="00F06C43" w:rsidRDefault="00745FEA" w:rsidP="00745FEA">
                  <w:pPr>
                    <w:pStyle w:val="TableBodyText"/>
                    <w:spacing w:after="0"/>
                    <w:ind w:left="227" w:right="0"/>
                    <w:jc w:val="left"/>
                  </w:pPr>
                  <w:r w:rsidRPr="00F06C43">
                    <w:t>Next Generation Manufacturing Investment Programme</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w:t>
                  </w:r>
                </w:p>
              </w:tc>
              <w:tc>
                <w:tcPr>
                  <w:tcW w:w="467" w:type="pct"/>
                  <w:shd w:val="clear" w:color="auto" w:fill="auto"/>
                  <w:vAlign w:val="bottom"/>
                </w:tcPr>
                <w:p w:rsidR="00745FEA" w:rsidRPr="00FE2DD4" w:rsidRDefault="00745FEA" w:rsidP="00745FEA">
                  <w:pPr>
                    <w:pStyle w:val="TableBodyText"/>
                    <w:ind w:right="57"/>
                  </w:pPr>
                  <w:r w:rsidRPr="00FE2DD4">
                    <w:t>–</w:t>
                  </w:r>
                </w:p>
              </w:tc>
              <w:tc>
                <w:tcPr>
                  <w:tcW w:w="467" w:type="pct"/>
                  <w:shd w:val="clear" w:color="auto" w:fill="auto"/>
                  <w:vAlign w:val="bottom"/>
                </w:tcPr>
                <w:p w:rsidR="00745FEA" w:rsidRPr="00FE2DD4" w:rsidRDefault="00745FEA" w:rsidP="00745FEA">
                  <w:pPr>
                    <w:pStyle w:val="TableBodyText"/>
                    <w:ind w:right="57"/>
                  </w:pPr>
                  <w:r w:rsidRPr="00FE2DD4">
                    <w:t>1.8</w:t>
                  </w:r>
                </w:p>
              </w:tc>
              <w:tc>
                <w:tcPr>
                  <w:tcW w:w="462" w:type="pct"/>
                  <w:shd w:val="clear" w:color="auto" w:fill="auto"/>
                  <w:vAlign w:val="bottom"/>
                </w:tcPr>
                <w:p w:rsidR="00745FEA" w:rsidRPr="00FE2DD4" w:rsidRDefault="00745FEA" w:rsidP="00745FEA">
                  <w:pPr>
                    <w:pStyle w:val="TableBodyText"/>
                    <w:ind w:right="57"/>
                  </w:pPr>
                  <w:r w:rsidRPr="00FE2DD4">
                    <w:t>7.2</w:t>
                  </w:r>
                </w:p>
              </w:tc>
            </w:tr>
            <w:tr w:rsidR="00745FEA" w:rsidTr="00745FEA">
              <w:tc>
                <w:tcPr>
                  <w:tcW w:w="2203" w:type="pct"/>
                </w:tcPr>
                <w:p w:rsidR="00745FEA" w:rsidRPr="00F06C43" w:rsidRDefault="00745FEA" w:rsidP="00745FEA">
                  <w:pPr>
                    <w:pStyle w:val="TableBodyText"/>
                    <w:spacing w:after="0"/>
                    <w:ind w:left="227" w:right="0"/>
                    <w:jc w:val="left"/>
                  </w:pPr>
                  <w:r w:rsidRPr="00F06C43">
                    <w:t>Victorian Innovation and Investment Fund - Ford Assistance</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w:t>
                  </w:r>
                </w:p>
              </w:tc>
              <w:tc>
                <w:tcPr>
                  <w:tcW w:w="467" w:type="pct"/>
                  <w:vAlign w:val="bottom"/>
                </w:tcPr>
                <w:p w:rsidR="00745FEA" w:rsidRPr="00FE2DD4" w:rsidRDefault="00745FEA" w:rsidP="00745FEA">
                  <w:pPr>
                    <w:pStyle w:val="TableBodyText"/>
                    <w:ind w:right="57"/>
                  </w:pPr>
                  <w:r w:rsidRPr="00FE2DD4">
                    <w:t>–</w:t>
                  </w:r>
                </w:p>
              </w:tc>
              <w:tc>
                <w:tcPr>
                  <w:tcW w:w="467" w:type="pct"/>
                  <w:shd w:val="clear" w:color="auto" w:fill="auto"/>
                  <w:vAlign w:val="bottom"/>
                </w:tcPr>
                <w:p w:rsidR="00745FEA" w:rsidRPr="00FE2DD4" w:rsidRDefault="00745FEA" w:rsidP="00745FEA">
                  <w:pPr>
                    <w:pStyle w:val="TableBodyText"/>
                    <w:ind w:right="57"/>
                  </w:pPr>
                  <w:r w:rsidRPr="00FE2DD4">
                    <w:t>1.5</w:t>
                  </w:r>
                </w:p>
              </w:tc>
              <w:tc>
                <w:tcPr>
                  <w:tcW w:w="467" w:type="pct"/>
                  <w:shd w:val="clear" w:color="auto" w:fill="auto"/>
                  <w:vAlign w:val="bottom"/>
                </w:tcPr>
                <w:p w:rsidR="00745FEA" w:rsidRPr="00FE2DD4" w:rsidRDefault="00745FEA" w:rsidP="00745FEA">
                  <w:pPr>
                    <w:pStyle w:val="TableBodyText"/>
                    <w:ind w:right="57"/>
                  </w:pPr>
                  <w:r w:rsidRPr="00FE2DD4">
                    <w:t>1.4</w:t>
                  </w:r>
                </w:p>
              </w:tc>
              <w:tc>
                <w:tcPr>
                  <w:tcW w:w="462" w:type="pct"/>
                  <w:shd w:val="clear" w:color="auto" w:fill="auto"/>
                  <w:vAlign w:val="bottom"/>
                </w:tcPr>
                <w:p w:rsidR="00745FEA" w:rsidRDefault="00745FEA" w:rsidP="00745FEA">
                  <w:pPr>
                    <w:pStyle w:val="TableBodyText"/>
                    <w:ind w:right="57"/>
                  </w:pPr>
                  <w:r w:rsidRPr="00FE2DD4">
                    <w:t>0.2</w:t>
                  </w:r>
                </w:p>
              </w:tc>
            </w:tr>
            <w:tr w:rsidR="00745FEA" w:rsidTr="00745FEA">
              <w:tc>
                <w:tcPr>
                  <w:tcW w:w="2203" w:type="pct"/>
                </w:tcPr>
                <w:p w:rsidR="00745FEA" w:rsidRPr="004B42E7" w:rsidRDefault="00745FEA" w:rsidP="00745FEA">
                  <w:pPr>
                    <w:pStyle w:val="TableBodyText"/>
                    <w:spacing w:before="40" w:after="0"/>
                    <w:ind w:left="113"/>
                    <w:jc w:val="left"/>
                    <w:rPr>
                      <w:i/>
                    </w:rPr>
                  </w:pPr>
                  <w:r w:rsidRPr="004B42E7">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2" w:type="pct"/>
                  <w:shd w:val="clear" w:color="auto" w:fill="auto"/>
                  <w:vAlign w:val="bottom"/>
                </w:tcPr>
                <w:p w:rsidR="00745FEA" w:rsidRDefault="00745FEA" w:rsidP="00745FEA">
                  <w:pPr>
                    <w:pStyle w:val="TableBodyText"/>
                    <w:ind w:right="57"/>
                  </w:pPr>
                </w:p>
              </w:tc>
            </w:tr>
            <w:tr w:rsidR="00745FEA" w:rsidTr="00745FEA">
              <w:tc>
                <w:tcPr>
                  <w:tcW w:w="2203" w:type="pct"/>
                </w:tcPr>
                <w:p w:rsidR="00745FEA" w:rsidRPr="006A6982" w:rsidRDefault="00745FEA" w:rsidP="00745FEA">
                  <w:pPr>
                    <w:pStyle w:val="TableBodyText"/>
                    <w:spacing w:after="0"/>
                    <w:ind w:left="227" w:right="0"/>
                    <w:jc w:val="left"/>
                  </w:pPr>
                  <w:r w:rsidRPr="006A6982">
                    <w:t>Export Market Development Grants Scheme</w:t>
                  </w:r>
                </w:p>
              </w:tc>
              <w:tc>
                <w:tcPr>
                  <w:tcW w:w="467" w:type="pct"/>
                  <w:vAlign w:val="bottom"/>
                </w:tcPr>
                <w:p w:rsidR="00745FEA" w:rsidRPr="00C07704" w:rsidRDefault="00745FEA" w:rsidP="00745FEA">
                  <w:pPr>
                    <w:pStyle w:val="TableBodyText"/>
                    <w:ind w:right="57"/>
                  </w:pPr>
                  <w:r w:rsidRPr="00C07704">
                    <w:t>9.7</w:t>
                  </w:r>
                </w:p>
              </w:tc>
              <w:tc>
                <w:tcPr>
                  <w:tcW w:w="467" w:type="pct"/>
                  <w:vAlign w:val="bottom"/>
                </w:tcPr>
                <w:p w:rsidR="00745FEA" w:rsidRPr="00C07704" w:rsidRDefault="00745FEA" w:rsidP="00745FEA">
                  <w:pPr>
                    <w:pStyle w:val="TableBodyText"/>
                    <w:ind w:right="57"/>
                  </w:pPr>
                  <w:r w:rsidRPr="00C07704">
                    <w:t>8.1</w:t>
                  </w:r>
                </w:p>
              </w:tc>
              <w:tc>
                <w:tcPr>
                  <w:tcW w:w="467" w:type="pct"/>
                  <w:vAlign w:val="bottom"/>
                </w:tcPr>
                <w:p w:rsidR="00745FEA" w:rsidRPr="00C07704" w:rsidRDefault="00745FEA" w:rsidP="00745FEA">
                  <w:pPr>
                    <w:pStyle w:val="TableBodyText"/>
                    <w:ind w:right="57"/>
                  </w:pPr>
                  <w:r w:rsidRPr="00C07704">
                    <w:t>8.9</w:t>
                  </w:r>
                </w:p>
              </w:tc>
              <w:tc>
                <w:tcPr>
                  <w:tcW w:w="467" w:type="pct"/>
                  <w:shd w:val="clear" w:color="auto" w:fill="auto"/>
                  <w:vAlign w:val="bottom"/>
                </w:tcPr>
                <w:p w:rsidR="00745FEA" w:rsidRPr="00C07704" w:rsidRDefault="00745FEA" w:rsidP="00745FEA">
                  <w:pPr>
                    <w:pStyle w:val="TableBodyText"/>
                    <w:ind w:right="57"/>
                  </w:pPr>
                  <w:r w:rsidRPr="00C07704">
                    <w:t>11.7</w:t>
                  </w:r>
                </w:p>
              </w:tc>
              <w:tc>
                <w:tcPr>
                  <w:tcW w:w="467" w:type="pct"/>
                  <w:shd w:val="clear" w:color="auto" w:fill="auto"/>
                  <w:vAlign w:val="bottom"/>
                </w:tcPr>
                <w:p w:rsidR="00745FEA" w:rsidRPr="00C07704" w:rsidRDefault="00745FEA" w:rsidP="00745FEA">
                  <w:pPr>
                    <w:pStyle w:val="TableBodyText"/>
                    <w:ind w:right="57"/>
                  </w:pPr>
                  <w:r w:rsidRPr="00C07704">
                    <w:t>10.0</w:t>
                  </w:r>
                </w:p>
              </w:tc>
              <w:tc>
                <w:tcPr>
                  <w:tcW w:w="462" w:type="pct"/>
                  <w:shd w:val="clear" w:color="auto" w:fill="auto"/>
                  <w:vAlign w:val="bottom"/>
                </w:tcPr>
                <w:p w:rsidR="00745FEA" w:rsidRPr="00C07704" w:rsidRDefault="00745FEA" w:rsidP="00745FEA">
                  <w:pPr>
                    <w:pStyle w:val="TableBodyText"/>
                    <w:ind w:right="57"/>
                  </w:pPr>
                  <w:r w:rsidRPr="00C07704">
                    <w:t>9.3</w:t>
                  </w:r>
                </w:p>
              </w:tc>
            </w:tr>
            <w:tr w:rsidR="00745FEA" w:rsidTr="00745FEA">
              <w:tc>
                <w:tcPr>
                  <w:tcW w:w="2203" w:type="pct"/>
                </w:tcPr>
                <w:p w:rsidR="00745FEA" w:rsidRPr="006A6982" w:rsidRDefault="00745FEA" w:rsidP="00745FEA">
                  <w:pPr>
                    <w:pStyle w:val="TableBodyText"/>
                    <w:spacing w:after="0"/>
                    <w:ind w:left="227" w:right="0"/>
                    <w:jc w:val="left"/>
                  </w:pPr>
                  <w:r w:rsidRPr="006A6982">
                    <w:t>TRADEX</w:t>
                  </w:r>
                </w:p>
              </w:tc>
              <w:tc>
                <w:tcPr>
                  <w:tcW w:w="467" w:type="pct"/>
                  <w:vAlign w:val="bottom"/>
                </w:tcPr>
                <w:p w:rsidR="00745FEA" w:rsidRPr="00C07704" w:rsidRDefault="00745FEA" w:rsidP="00745FEA">
                  <w:pPr>
                    <w:pStyle w:val="TableBodyText"/>
                    <w:ind w:right="57"/>
                  </w:pPr>
                  <w:r w:rsidRPr="00C07704">
                    <w:t>3.0</w:t>
                  </w:r>
                </w:p>
              </w:tc>
              <w:tc>
                <w:tcPr>
                  <w:tcW w:w="467" w:type="pct"/>
                  <w:vAlign w:val="bottom"/>
                </w:tcPr>
                <w:p w:rsidR="00745FEA" w:rsidRPr="00C07704" w:rsidRDefault="00745FEA" w:rsidP="00745FEA">
                  <w:pPr>
                    <w:pStyle w:val="TableBodyText"/>
                    <w:ind w:right="57"/>
                  </w:pPr>
                  <w:r w:rsidRPr="00C07704">
                    <w:t>3.1</w:t>
                  </w:r>
                </w:p>
              </w:tc>
              <w:tc>
                <w:tcPr>
                  <w:tcW w:w="467" w:type="pct"/>
                  <w:vAlign w:val="bottom"/>
                </w:tcPr>
                <w:p w:rsidR="00745FEA" w:rsidRPr="00C07704" w:rsidRDefault="00745FEA" w:rsidP="00745FEA">
                  <w:pPr>
                    <w:pStyle w:val="TableBodyText"/>
                    <w:ind w:right="57"/>
                  </w:pPr>
                  <w:r w:rsidRPr="00C07704">
                    <w:t>3.1</w:t>
                  </w:r>
                </w:p>
              </w:tc>
              <w:tc>
                <w:tcPr>
                  <w:tcW w:w="467" w:type="pct"/>
                  <w:shd w:val="clear" w:color="auto" w:fill="auto"/>
                  <w:vAlign w:val="bottom"/>
                </w:tcPr>
                <w:p w:rsidR="00745FEA" w:rsidRPr="00C07704" w:rsidRDefault="00745FEA" w:rsidP="00745FEA">
                  <w:pPr>
                    <w:pStyle w:val="TableBodyText"/>
                    <w:ind w:right="57"/>
                  </w:pPr>
                  <w:r w:rsidRPr="00C07704">
                    <w:t>3.3</w:t>
                  </w:r>
                </w:p>
              </w:tc>
              <w:tc>
                <w:tcPr>
                  <w:tcW w:w="467" w:type="pct"/>
                  <w:shd w:val="clear" w:color="auto" w:fill="auto"/>
                  <w:vAlign w:val="bottom"/>
                </w:tcPr>
                <w:p w:rsidR="00745FEA" w:rsidRPr="00C07704" w:rsidRDefault="00745FEA" w:rsidP="00745FEA">
                  <w:pPr>
                    <w:pStyle w:val="TableBodyText"/>
                    <w:ind w:right="57"/>
                  </w:pPr>
                  <w:r w:rsidRPr="00C07704">
                    <w:t>3.8</w:t>
                  </w:r>
                </w:p>
              </w:tc>
              <w:tc>
                <w:tcPr>
                  <w:tcW w:w="462" w:type="pct"/>
                  <w:shd w:val="clear" w:color="auto" w:fill="auto"/>
                  <w:vAlign w:val="bottom"/>
                </w:tcPr>
                <w:p w:rsidR="00745FEA" w:rsidRDefault="00745FEA" w:rsidP="00745FEA">
                  <w:pPr>
                    <w:pStyle w:val="TableBodyText"/>
                    <w:ind w:right="57"/>
                  </w:pPr>
                  <w:r w:rsidRPr="00C07704">
                    <w:t>3.5</w:t>
                  </w:r>
                </w:p>
              </w:tc>
            </w:tr>
            <w:tr w:rsidR="00745FEA" w:rsidTr="00745FEA">
              <w:tc>
                <w:tcPr>
                  <w:tcW w:w="2203" w:type="pct"/>
                </w:tcPr>
                <w:p w:rsidR="00745FEA" w:rsidRPr="004B42E7" w:rsidRDefault="00745FEA" w:rsidP="00745FEA">
                  <w:pPr>
                    <w:pStyle w:val="TableUnitsRow"/>
                    <w:spacing w:after="0"/>
                    <w:ind w:left="113"/>
                    <w:jc w:val="left"/>
                    <w:rPr>
                      <w:i/>
                    </w:rPr>
                  </w:pPr>
                  <w:r w:rsidRPr="004B42E7">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2" w:type="pct"/>
                  <w:vAlign w:val="bottom"/>
                </w:tcPr>
                <w:p w:rsidR="00745FEA" w:rsidRDefault="00745FEA" w:rsidP="00745FEA">
                  <w:pPr>
                    <w:pStyle w:val="TableBodyText"/>
                    <w:ind w:right="57"/>
                  </w:pPr>
                </w:p>
              </w:tc>
            </w:tr>
            <w:tr w:rsidR="00745FEA" w:rsidTr="00745FEA">
              <w:tc>
                <w:tcPr>
                  <w:tcW w:w="2203" w:type="pct"/>
                </w:tcPr>
                <w:p w:rsidR="00745FEA" w:rsidRPr="0005108B" w:rsidRDefault="00745FEA" w:rsidP="00745FEA">
                  <w:pPr>
                    <w:pStyle w:val="TableBodyText"/>
                    <w:spacing w:after="0"/>
                    <w:ind w:left="227" w:right="0"/>
                    <w:jc w:val="left"/>
                  </w:pPr>
                  <w:r w:rsidRPr="0005108B">
                    <w:t>Commercialisation Australia</w:t>
                  </w:r>
                </w:p>
              </w:tc>
              <w:tc>
                <w:tcPr>
                  <w:tcW w:w="467" w:type="pct"/>
                  <w:vAlign w:val="bottom"/>
                </w:tcPr>
                <w:p w:rsidR="00745FEA" w:rsidRPr="00834726" w:rsidRDefault="00745FEA" w:rsidP="00745FEA">
                  <w:pPr>
                    <w:pStyle w:val="TableBodyText"/>
                    <w:ind w:right="57"/>
                  </w:pPr>
                  <w:r w:rsidRPr="00834726">
                    <w:t>11.4</w:t>
                  </w:r>
                </w:p>
              </w:tc>
              <w:tc>
                <w:tcPr>
                  <w:tcW w:w="467" w:type="pct"/>
                  <w:vAlign w:val="bottom"/>
                </w:tcPr>
                <w:p w:rsidR="00745FEA" w:rsidRPr="00834726" w:rsidRDefault="00745FEA" w:rsidP="00745FEA">
                  <w:pPr>
                    <w:pStyle w:val="TableBodyText"/>
                    <w:ind w:right="57"/>
                  </w:pPr>
                  <w:r w:rsidRPr="00834726">
                    <w:t>12.6</w:t>
                  </w:r>
                </w:p>
              </w:tc>
              <w:tc>
                <w:tcPr>
                  <w:tcW w:w="467" w:type="pct"/>
                  <w:vAlign w:val="bottom"/>
                </w:tcPr>
                <w:p w:rsidR="00745FEA" w:rsidRPr="00834726" w:rsidRDefault="00745FEA" w:rsidP="00745FEA">
                  <w:pPr>
                    <w:pStyle w:val="TableBodyText"/>
                    <w:ind w:right="57"/>
                  </w:pPr>
                  <w:r w:rsidRPr="00834726">
                    <w:t>12.4</w:t>
                  </w:r>
                </w:p>
              </w:tc>
              <w:tc>
                <w:tcPr>
                  <w:tcW w:w="467" w:type="pct"/>
                  <w:vAlign w:val="bottom"/>
                </w:tcPr>
                <w:p w:rsidR="00745FEA" w:rsidRPr="00834726" w:rsidRDefault="00745FEA" w:rsidP="00745FEA">
                  <w:pPr>
                    <w:pStyle w:val="TableBodyText"/>
                    <w:ind w:right="57"/>
                  </w:pPr>
                  <w:r w:rsidRPr="00834726">
                    <w:t>6.2</w:t>
                  </w:r>
                </w:p>
              </w:tc>
              <w:tc>
                <w:tcPr>
                  <w:tcW w:w="467" w:type="pct"/>
                  <w:vAlign w:val="bottom"/>
                </w:tcPr>
                <w:p w:rsidR="00745FEA" w:rsidRPr="00834726" w:rsidRDefault="00745FEA" w:rsidP="00745FEA">
                  <w:pPr>
                    <w:pStyle w:val="TableBodyText"/>
                    <w:ind w:right="57"/>
                  </w:pPr>
                  <w:r w:rsidRPr="00834726">
                    <w:t>0.9</w:t>
                  </w:r>
                </w:p>
              </w:tc>
              <w:tc>
                <w:tcPr>
                  <w:tcW w:w="462" w:type="pct"/>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COMET Program</w:t>
                  </w:r>
                </w:p>
              </w:tc>
              <w:tc>
                <w:tcPr>
                  <w:tcW w:w="467" w:type="pct"/>
                  <w:vAlign w:val="bottom"/>
                </w:tcPr>
                <w:p w:rsidR="00745FEA" w:rsidRPr="00834726" w:rsidRDefault="00745FEA" w:rsidP="00745FEA">
                  <w:pPr>
                    <w:pStyle w:val="TableBodyText"/>
                    <w:ind w:right="57"/>
                  </w:pPr>
                  <w:r w:rsidRPr="00834726">
                    <w:t>0.1</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Commercial Ready Program</w:t>
                  </w:r>
                </w:p>
              </w:tc>
              <w:tc>
                <w:tcPr>
                  <w:tcW w:w="467" w:type="pct"/>
                  <w:vAlign w:val="bottom"/>
                </w:tcPr>
                <w:p w:rsidR="00745FEA" w:rsidRPr="00834726" w:rsidRDefault="00745FEA" w:rsidP="00745FEA">
                  <w:pPr>
                    <w:pStyle w:val="TableBodyText"/>
                    <w:ind w:right="57"/>
                  </w:pPr>
                  <w:r w:rsidRPr="00834726">
                    <w:t>&lt;0.1</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Cooperative Research Centres</w:t>
                  </w:r>
                </w:p>
              </w:tc>
              <w:tc>
                <w:tcPr>
                  <w:tcW w:w="467" w:type="pct"/>
                  <w:vAlign w:val="bottom"/>
                </w:tcPr>
                <w:p w:rsidR="00745FEA" w:rsidRPr="00834726" w:rsidRDefault="00745FEA" w:rsidP="00745FEA">
                  <w:pPr>
                    <w:pStyle w:val="TableBodyText"/>
                    <w:ind w:right="57"/>
                  </w:pPr>
                  <w:r w:rsidRPr="00834726">
                    <w:t>2.0</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3.3</w:t>
                  </w:r>
                </w:p>
              </w:tc>
              <w:tc>
                <w:tcPr>
                  <w:tcW w:w="467" w:type="pct"/>
                  <w:shd w:val="clear" w:color="auto" w:fill="auto"/>
                  <w:vAlign w:val="bottom"/>
                </w:tcPr>
                <w:p w:rsidR="00745FEA" w:rsidRPr="00834726" w:rsidRDefault="00745FEA" w:rsidP="00745FEA">
                  <w:pPr>
                    <w:pStyle w:val="TableBodyText"/>
                    <w:ind w:right="57"/>
                  </w:pPr>
                  <w:r w:rsidRPr="00834726">
                    <w:t>6.2</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Clean Business Australia - Climate Ready Program</w:t>
                  </w:r>
                </w:p>
              </w:tc>
              <w:tc>
                <w:tcPr>
                  <w:tcW w:w="467" w:type="pct"/>
                  <w:vAlign w:val="bottom"/>
                </w:tcPr>
                <w:p w:rsidR="00745FEA" w:rsidRPr="00834726" w:rsidRDefault="00745FEA" w:rsidP="00745FEA">
                  <w:pPr>
                    <w:pStyle w:val="TableBodyText"/>
                    <w:ind w:right="57"/>
                  </w:pPr>
                  <w:r w:rsidRPr="00834726">
                    <w:t>2.9</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CSIRO</w:t>
                  </w:r>
                </w:p>
              </w:tc>
              <w:tc>
                <w:tcPr>
                  <w:tcW w:w="467" w:type="pct"/>
                  <w:vAlign w:val="bottom"/>
                </w:tcPr>
                <w:p w:rsidR="00745FEA" w:rsidRPr="00834726" w:rsidRDefault="00745FEA" w:rsidP="00745FEA">
                  <w:pPr>
                    <w:pStyle w:val="TableBodyText"/>
                    <w:ind w:right="57"/>
                  </w:pPr>
                  <w:r w:rsidRPr="00834726">
                    <w:t>3.7</w:t>
                  </w:r>
                </w:p>
              </w:tc>
              <w:tc>
                <w:tcPr>
                  <w:tcW w:w="467" w:type="pct"/>
                  <w:vAlign w:val="bottom"/>
                </w:tcPr>
                <w:p w:rsidR="00745FEA" w:rsidRPr="00834726" w:rsidRDefault="00745FEA" w:rsidP="00745FEA">
                  <w:pPr>
                    <w:pStyle w:val="TableBodyText"/>
                    <w:ind w:right="57"/>
                  </w:pPr>
                  <w:r w:rsidRPr="00834726">
                    <w:t>5.0</w:t>
                  </w:r>
                </w:p>
              </w:tc>
              <w:tc>
                <w:tcPr>
                  <w:tcW w:w="467" w:type="pct"/>
                  <w:vAlign w:val="bottom"/>
                </w:tcPr>
                <w:p w:rsidR="00745FEA" w:rsidRPr="00834726" w:rsidRDefault="00745FEA" w:rsidP="00745FEA">
                  <w:pPr>
                    <w:pStyle w:val="TableBodyText"/>
                    <w:ind w:right="57"/>
                  </w:pPr>
                  <w:r w:rsidRPr="00834726">
                    <w:t>6.9</w:t>
                  </w:r>
                </w:p>
              </w:tc>
              <w:tc>
                <w:tcPr>
                  <w:tcW w:w="467" w:type="pct"/>
                  <w:shd w:val="clear" w:color="auto" w:fill="auto"/>
                  <w:vAlign w:val="bottom"/>
                </w:tcPr>
                <w:p w:rsidR="00745FEA" w:rsidRPr="00834726" w:rsidRDefault="00745FEA" w:rsidP="00745FEA">
                  <w:pPr>
                    <w:pStyle w:val="TableBodyText"/>
                    <w:ind w:right="57"/>
                  </w:pPr>
                  <w:r w:rsidRPr="00834726">
                    <w:t>25.5</w:t>
                  </w:r>
                </w:p>
              </w:tc>
              <w:tc>
                <w:tcPr>
                  <w:tcW w:w="467" w:type="pct"/>
                  <w:shd w:val="clear" w:color="auto" w:fill="auto"/>
                  <w:vAlign w:val="bottom"/>
                </w:tcPr>
                <w:p w:rsidR="00745FEA" w:rsidRPr="00834726" w:rsidRDefault="00745FEA" w:rsidP="00745FEA">
                  <w:pPr>
                    <w:pStyle w:val="TableBodyText"/>
                    <w:ind w:right="57"/>
                  </w:pPr>
                  <w:r w:rsidRPr="00834726">
                    <w:t>23.6</w:t>
                  </w:r>
                </w:p>
              </w:tc>
              <w:tc>
                <w:tcPr>
                  <w:tcW w:w="462" w:type="pct"/>
                  <w:shd w:val="clear" w:color="auto" w:fill="auto"/>
                  <w:vAlign w:val="bottom"/>
                </w:tcPr>
                <w:p w:rsidR="00745FEA" w:rsidRPr="00834726" w:rsidRDefault="00745FEA" w:rsidP="00745FEA">
                  <w:pPr>
                    <w:pStyle w:val="TableBodyText"/>
                    <w:ind w:right="57"/>
                  </w:pPr>
                  <w:r w:rsidRPr="00834726">
                    <w:t>18.0</w:t>
                  </w:r>
                </w:p>
              </w:tc>
            </w:tr>
            <w:tr w:rsidR="00745FEA" w:rsidTr="00745FEA">
              <w:tc>
                <w:tcPr>
                  <w:tcW w:w="2203" w:type="pct"/>
                </w:tcPr>
                <w:p w:rsidR="00745FEA" w:rsidRPr="0005108B" w:rsidRDefault="00745FEA" w:rsidP="00745FEA">
                  <w:pPr>
                    <w:pStyle w:val="TableBodyText"/>
                    <w:spacing w:after="0"/>
                    <w:ind w:left="227" w:right="0"/>
                    <w:jc w:val="left"/>
                  </w:pPr>
                  <w:r w:rsidRPr="0005108B">
                    <w:t>Clean Technology Innovation Program</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0.8</w:t>
                  </w:r>
                </w:p>
              </w:tc>
              <w:tc>
                <w:tcPr>
                  <w:tcW w:w="467" w:type="pct"/>
                  <w:vAlign w:val="bottom"/>
                </w:tcPr>
                <w:p w:rsidR="00745FEA" w:rsidRPr="00834726" w:rsidRDefault="00745FEA" w:rsidP="00745FEA">
                  <w:pPr>
                    <w:pStyle w:val="TableBodyText"/>
                    <w:ind w:right="57"/>
                  </w:pPr>
                  <w:r w:rsidRPr="00834726">
                    <w:t>10.3</w:t>
                  </w:r>
                </w:p>
              </w:tc>
              <w:tc>
                <w:tcPr>
                  <w:tcW w:w="467" w:type="pct"/>
                  <w:shd w:val="clear" w:color="auto" w:fill="auto"/>
                  <w:vAlign w:val="bottom"/>
                </w:tcPr>
                <w:p w:rsidR="00745FEA" w:rsidRPr="00834726" w:rsidRDefault="00745FEA" w:rsidP="00745FEA">
                  <w:pPr>
                    <w:pStyle w:val="TableBodyText"/>
                    <w:ind w:right="57"/>
                  </w:pPr>
                  <w:r w:rsidRPr="00834726">
                    <w:t>4.3</w:t>
                  </w:r>
                </w:p>
              </w:tc>
              <w:tc>
                <w:tcPr>
                  <w:tcW w:w="467" w:type="pct"/>
                  <w:shd w:val="clear" w:color="auto" w:fill="auto"/>
                  <w:vAlign w:val="bottom"/>
                </w:tcPr>
                <w:p w:rsidR="00745FEA" w:rsidRPr="00834726" w:rsidRDefault="00745FEA" w:rsidP="00745FEA">
                  <w:pPr>
                    <w:pStyle w:val="TableBodyText"/>
                    <w:ind w:right="57"/>
                  </w:pPr>
                  <w:r w:rsidRPr="00834726">
                    <w:t>1.1</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R&amp;D Tax Incentive - refundable tax offset</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106.5</w:t>
                  </w:r>
                </w:p>
              </w:tc>
              <w:tc>
                <w:tcPr>
                  <w:tcW w:w="467" w:type="pct"/>
                  <w:vAlign w:val="bottom"/>
                </w:tcPr>
                <w:p w:rsidR="00745FEA" w:rsidRPr="00834726" w:rsidRDefault="00745FEA" w:rsidP="00745FEA">
                  <w:pPr>
                    <w:pStyle w:val="TableBodyText"/>
                    <w:ind w:right="57"/>
                  </w:pPr>
                  <w:r w:rsidRPr="00834726">
                    <w:t>103.1</w:t>
                  </w:r>
                </w:p>
              </w:tc>
              <w:tc>
                <w:tcPr>
                  <w:tcW w:w="467" w:type="pct"/>
                  <w:shd w:val="clear" w:color="auto" w:fill="auto"/>
                  <w:vAlign w:val="bottom"/>
                </w:tcPr>
                <w:p w:rsidR="00745FEA" w:rsidRPr="00834726" w:rsidRDefault="00745FEA" w:rsidP="00745FEA">
                  <w:pPr>
                    <w:pStyle w:val="TableBodyText"/>
                    <w:ind w:right="57"/>
                  </w:pPr>
                  <w:r w:rsidRPr="00834726">
                    <w:t>137.8</w:t>
                  </w:r>
                </w:p>
              </w:tc>
              <w:tc>
                <w:tcPr>
                  <w:tcW w:w="467" w:type="pct"/>
                  <w:shd w:val="clear" w:color="auto" w:fill="auto"/>
                  <w:vAlign w:val="bottom"/>
                </w:tcPr>
                <w:p w:rsidR="00745FEA" w:rsidRPr="00834726" w:rsidRDefault="00745FEA" w:rsidP="00745FEA">
                  <w:pPr>
                    <w:pStyle w:val="TableBodyText"/>
                    <w:ind w:right="57"/>
                  </w:pPr>
                  <w:r w:rsidRPr="00834726">
                    <w:t>146.6</w:t>
                  </w:r>
                </w:p>
              </w:tc>
              <w:tc>
                <w:tcPr>
                  <w:tcW w:w="462" w:type="pct"/>
                  <w:shd w:val="clear" w:color="auto" w:fill="auto"/>
                  <w:vAlign w:val="bottom"/>
                </w:tcPr>
                <w:p w:rsidR="00745FEA" w:rsidRPr="00834726" w:rsidRDefault="00745FEA" w:rsidP="00745FEA">
                  <w:pPr>
                    <w:pStyle w:val="TableBodyText"/>
                    <w:ind w:right="57"/>
                  </w:pPr>
                  <w:r w:rsidRPr="00834726">
                    <w:t>177.4</w:t>
                  </w:r>
                </w:p>
              </w:tc>
            </w:tr>
            <w:tr w:rsidR="00745FEA" w:rsidTr="00745FEA">
              <w:tc>
                <w:tcPr>
                  <w:tcW w:w="2203" w:type="pct"/>
                </w:tcPr>
                <w:p w:rsidR="00745FEA" w:rsidRPr="0005108B" w:rsidRDefault="00745FEA" w:rsidP="00745FEA">
                  <w:pPr>
                    <w:pStyle w:val="TableBodyText"/>
                    <w:spacing w:after="0"/>
                    <w:ind w:left="227" w:right="0"/>
                    <w:jc w:val="left"/>
                  </w:pPr>
                  <w:r w:rsidRPr="0005108B">
                    <w:t>R&amp;D tax offsets - Refundable</w:t>
                  </w:r>
                </w:p>
              </w:tc>
              <w:tc>
                <w:tcPr>
                  <w:tcW w:w="467" w:type="pct"/>
                  <w:vAlign w:val="bottom"/>
                </w:tcPr>
                <w:p w:rsidR="00745FEA" w:rsidRPr="00834726" w:rsidRDefault="00745FEA" w:rsidP="00745FEA">
                  <w:pPr>
                    <w:pStyle w:val="TableBodyText"/>
                    <w:ind w:right="57"/>
                  </w:pPr>
                  <w:r w:rsidRPr="00834726">
                    <w:t>39.3</w:t>
                  </w:r>
                </w:p>
              </w:tc>
              <w:tc>
                <w:tcPr>
                  <w:tcW w:w="467" w:type="pct"/>
                  <w:vAlign w:val="bottom"/>
                </w:tcPr>
                <w:p w:rsidR="00745FEA" w:rsidRPr="00834726" w:rsidRDefault="00745FEA" w:rsidP="00745FEA">
                  <w:pPr>
                    <w:pStyle w:val="TableBodyText"/>
                    <w:ind w:right="57"/>
                  </w:pPr>
                  <w:r w:rsidRPr="00834726">
                    <w:t>–</w:t>
                  </w:r>
                </w:p>
              </w:tc>
              <w:tc>
                <w:tcPr>
                  <w:tcW w:w="467" w:type="pct"/>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Pr>
                <w:p w:rsidR="00745FEA" w:rsidRPr="0005108B" w:rsidRDefault="00745FEA" w:rsidP="00745FEA">
                  <w:pPr>
                    <w:pStyle w:val="TableBodyText"/>
                    <w:spacing w:after="0"/>
                    <w:ind w:left="227" w:right="0"/>
                    <w:jc w:val="left"/>
                  </w:pPr>
                  <w:r w:rsidRPr="0005108B">
                    <w:t>Premium R&amp;D tax concession</w:t>
                  </w:r>
                </w:p>
              </w:tc>
              <w:tc>
                <w:tcPr>
                  <w:tcW w:w="467" w:type="pct"/>
                  <w:vAlign w:val="bottom"/>
                </w:tcPr>
                <w:p w:rsidR="00745FEA" w:rsidRPr="00834726" w:rsidRDefault="00745FEA" w:rsidP="00745FEA">
                  <w:pPr>
                    <w:pStyle w:val="TableBodyText"/>
                    <w:ind w:right="57"/>
                  </w:pPr>
                  <w:r w:rsidRPr="00834726">
                    <w:t>19.1</w:t>
                  </w:r>
                </w:p>
              </w:tc>
              <w:tc>
                <w:tcPr>
                  <w:tcW w:w="467" w:type="pct"/>
                  <w:vAlign w:val="bottom"/>
                </w:tcPr>
                <w:p w:rsidR="00745FEA" w:rsidRPr="00834726" w:rsidRDefault="00745FEA" w:rsidP="00745FEA">
                  <w:pPr>
                    <w:pStyle w:val="TableBodyText"/>
                    <w:ind w:right="57"/>
                  </w:pPr>
                  <w:r w:rsidRPr="00834726">
                    <w:t>5.2</w:t>
                  </w:r>
                </w:p>
              </w:tc>
              <w:tc>
                <w:tcPr>
                  <w:tcW w:w="467" w:type="pct"/>
                  <w:vAlign w:val="bottom"/>
                </w:tcPr>
                <w:p w:rsidR="00745FEA" w:rsidRPr="00834726" w:rsidRDefault="00745FEA" w:rsidP="00745FEA">
                  <w:pPr>
                    <w:pStyle w:val="TableBodyText"/>
                    <w:ind w:right="57"/>
                  </w:pPr>
                  <w:r w:rsidRPr="00834726">
                    <w:t>2.2</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7" w:type="pct"/>
                  <w:shd w:val="clear" w:color="auto" w:fill="auto"/>
                  <w:vAlign w:val="bottom"/>
                </w:tcPr>
                <w:p w:rsidR="00745FEA" w:rsidRPr="00834726" w:rsidRDefault="00745FEA" w:rsidP="00745FEA">
                  <w:pPr>
                    <w:pStyle w:val="TableBodyText"/>
                    <w:ind w:right="57"/>
                  </w:pPr>
                  <w:r w:rsidRPr="00834726">
                    <w:t>–</w:t>
                  </w:r>
                </w:p>
              </w:tc>
              <w:tc>
                <w:tcPr>
                  <w:tcW w:w="462" w:type="pct"/>
                  <w:shd w:val="clear" w:color="auto" w:fill="auto"/>
                  <w:vAlign w:val="bottom"/>
                </w:tcPr>
                <w:p w:rsidR="00745FEA" w:rsidRPr="00834726" w:rsidRDefault="00745FEA" w:rsidP="00745FEA">
                  <w:pPr>
                    <w:pStyle w:val="TableBodyText"/>
                    <w:ind w:right="57"/>
                  </w:pPr>
                  <w:r w:rsidRPr="00834726">
                    <w:t>–</w:t>
                  </w:r>
                </w:p>
              </w:tc>
            </w:tr>
            <w:tr w:rsidR="00745FEA" w:rsidTr="00745FEA">
              <w:tc>
                <w:tcPr>
                  <w:tcW w:w="2203" w:type="pct"/>
                  <w:tcBorders>
                    <w:bottom w:val="single" w:sz="6" w:space="0" w:color="BFBFBF"/>
                  </w:tcBorders>
                </w:tcPr>
                <w:p w:rsidR="00745FEA" w:rsidRPr="0005108B" w:rsidRDefault="00745FEA" w:rsidP="00745FEA">
                  <w:pPr>
                    <w:pStyle w:val="TableBodyText"/>
                    <w:ind w:left="227" w:right="0"/>
                    <w:jc w:val="left"/>
                  </w:pPr>
                  <w:r>
                    <w:t>R&amp;D tax concessions</w:t>
                  </w:r>
                </w:p>
              </w:tc>
              <w:tc>
                <w:tcPr>
                  <w:tcW w:w="467" w:type="pct"/>
                  <w:tcBorders>
                    <w:bottom w:val="single" w:sz="6" w:space="0" w:color="BFBFBF"/>
                  </w:tcBorders>
                  <w:vAlign w:val="bottom"/>
                </w:tcPr>
                <w:p w:rsidR="00745FEA" w:rsidRPr="00834726" w:rsidRDefault="00745FEA" w:rsidP="00745FEA">
                  <w:pPr>
                    <w:pStyle w:val="TableBodyText"/>
                    <w:ind w:right="57"/>
                  </w:pPr>
                  <w:r w:rsidRPr="00834726">
                    <w:t>54.5</w:t>
                  </w:r>
                </w:p>
              </w:tc>
              <w:tc>
                <w:tcPr>
                  <w:tcW w:w="467" w:type="pct"/>
                  <w:tcBorders>
                    <w:bottom w:val="single" w:sz="6" w:space="0" w:color="BFBFBF"/>
                  </w:tcBorders>
                  <w:vAlign w:val="bottom"/>
                </w:tcPr>
                <w:p w:rsidR="00745FEA" w:rsidRPr="00834726" w:rsidRDefault="00745FEA" w:rsidP="00745FEA">
                  <w:pPr>
                    <w:pStyle w:val="TableBodyText"/>
                    <w:ind w:right="57"/>
                  </w:pPr>
                  <w:r w:rsidRPr="00834726">
                    <w:t>24.3</w:t>
                  </w:r>
                </w:p>
              </w:tc>
              <w:tc>
                <w:tcPr>
                  <w:tcW w:w="467" w:type="pct"/>
                  <w:tcBorders>
                    <w:bottom w:val="single" w:sz="6" w:space="0" w:color="BFBFBF"/>
                  </w:tcBorders>
                  <w:vAlign w:val="bottom"/>
                </w:tcPr>
                <w:p w:rsidR="00745FEA" w:rsidRPr="00834726" w:rsidRDefault="00745FEA" w:rsidP="00745FEA">
                  <w:pPr>
                    <w:pStyle w:val="TableBodyText"/>
                    <w:ind w:right="57"/>
                  </w:pPr>
                  <w:r w:rsidRPr="00834726">
                    <w:t>8.3</w:t>
                  </w:r>
                </w:p>
              </w:tc>
              <w:tc>
                <w:tcPr>
                  <w:tcW w:w="467" w:type="pct"/>
                  <w:tcBorders>
                    <w:bottom w:val="single" w:sz="6" w:space="0" w:color="BFBFBF"/>
                  </w:tcBorders>
                  <w:shd w:val="clear" w:color="auto" w:fill="auto"/>
                  <w:vAlign w:val="bottom"/>
                </w:tcPr>
                <w:p w:rsidR="00745FEA" w:rsidRPr="00834726" w:rsidRDefault="00745FEA" w:rsidP="00745FEA">
                  <w:pPr>
                    <w:pStyle w:val="TableBodyText"/>
                    <w:ind w:right="57"/>
                  </w:pPr>
                  <w:r w:rsidRPr="00834726">
                    <w:t>1.5</w:t>
                  </w:r>
                </w:p>
              </w:tc>
              <w:tc>
                <w:tcPr>
                  <w:tcW w:w="467" w:type="pct"/>
                  <w:tcBorders>
                    <w:bottom w:val="single" w:sz="6" w:space="0" w:color="BFBFBF"/>
                  </w:tcBorders>
                  <w:shd w:val="clear" w:color="auto" w:fill="auto"/>
                  <w:vAlign w:val="bottom"/>
                </w:tcPr>
                <w:p w:rsidR="00745FEA" w:rsidRPr="00834726" w:rsidRDefault="00745FEA" w:rsidP="00745FEA">
                  <w:pPr>
                    <w:pStyle w:val="TableBodyText"/>
                    <w:ind w:right="57"/>
                  </w:pPr>
                  <w:r w:rsidRPr="00834726">
                    <w:t>–</w:t>
                  </w:r>
                </w:p>
              </w:tc>
              <w:tc>
                <w:tcPr>
                  <w:tcW w:w="462" w:type="pct"/>
                  <w:tcBorders>
                    <w:bottom w:val="single" w:sz="6" w:space="0" w:color="BFBFBF"/>
                  </w:tcBorders>
                  <w:shd w:val="clear" w:color="auto" w:fill="auto"/>
                  <w:vAlign w:val="bottom"/>
                </w:tcPr>
                <w:p w:rsidR="00745FEA" w:rsidRDefault="00745FEA" w:rsidP="00745FEA">
                  <w:pPr>
                    <w:pStyle w:val="TableBodyText"/>
                    <w:ind w:right="57"/>
                  </w:pPr>
                  <w:r w:rsidRPr="00834726">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357"/>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39"/>
              <w:gridCol w:w="19"/>
              <w:gridCol w:w="781"/>
              <w:gridCol w:w="14"/>
              <w:gridCol w:w="781"/>
              <w:gridCol w:w="14"/>
              <w:gridCol w:w="781"/>
              <w:gridCol w:w="14"/>
              <w:gridCol w:w="781"/>
              <w:gridCol w:w="14"/>
              <w:gridCol w:w="781"/>
              <w:gridCol w:w="14"/>
              <w:gridCol w:w="772"/>
            </w:tblGrid>
            <w:tr w:rsidR="00745FEA" w:rsidTr="00C719FB">
              <w:trPr>
                <w:tblHeader/>
              </w:trPr>
              <w:tc>
                <w:tcPr>
                  <w:tcW w:w="2198" w:type="pct"/>
                  <w:tcBorders>
                    <w:top w:val="single" w:sz="6" w:space="0" w:color="BFBFBF"/>
                    <w:bottom w:val="single" w:sz="6" w:space="0" w:color="BFBFBF"/>
                  </w:tcBorders>
                </w:tcPr>
                <w:p w:rsidR="00745FEA" w:rsidRDefault="00745FEA" w:rsidP="00745FEA">
                  <w:pPr>
                    <w:pStyle w:val="TableColumnHeading"/>
                    <w:jc w:val="left"/>
                  </w:pPr>
                </w:p>
              </w:tc>
              <w:tc>
                <w:tcPr>
                  <w:tcW w:w="470"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2"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9" w:type="pct"/>
                  <w:gridSpan w:val="2"/>
                </w:tcPr>
                <w:p w:rsidR="00745FEA" w:rsidRPr="00DA5E6F" w:rsidRDefault="00745FEA" w:rsidP="00745FEA">
                  <w:pPr>
                    <w:pStyle w:val="TableBodyText"/>
                    <w:spacing w:before="40" w:after="0"/>
                    <w:ind w:left="113"/>
                    <w:jc w:val="left"/>
                    <w:rPr>
                      <w:i/>
                    </w:rPr>
                  </w:pPr>
                  <w:r w:rsidRPr="004B42E7">
                    <w:rPr>
                      <w:i/>
                    </w:rPr>
                    <w:t>General R&amp;D measures</w:t>
                  </w:r>
                  <w:r>
                    <w:rPr>
                      <w:i/>
                    </w:rPr>
                    <w:t xml:space="preserve"> (continued)</w:t>
                  </w:r>
                </w:p>
              </w:tc>
              <w:tc>
                <w:tcPr>
                  <w:tcW w:w="467" w:type="pct"/>
                  <w:gridSpan w:val="2"/>
                </w:tcPr>
                <w:p w:rsidR="00745FEA" w:rsidRDefault="00745FEA" w:rsidP="00745FEA">
                  <w:pPr>
                    <w:pStyle w:val="TableBodyText"/>
                    <w:ind w:right="57"/>
                  </w:pPr>
                </w:p>
              </w:tc>
              <w:tc>
                <w:tcPr>
                  <w:tcW w:w="467" w:type="pct"/>
                  <w:gridSpan w:val="2"/>
                </w:tcPr>
                <w:p w:rsidR="00745FEA" w:rsidRDefault="00745FEA" w:rsidP="00745FEA">
                  <w:pPr>
                    <w:pStyle w:val="TableBodyText"/>
                    <w:ind w:right="57"/>
                  </w:pPr>
                </w:p>
              </w:tc>
              <w:tc>
                <w:tcPr>
                  <w:tcW w:w="467" w:type="pct"/>
                  <w:gridSpan w:val="2"/>
                </w:tcPr>
                <w:p w:rsidR="00745FEA" w:rsidRDefault="00745FEA" w:rsidP="00745FEA">
                  <w:pPr>
                    <w:pStyle w:val="TableBodyText"/>
                    <w:ind w:right="57"/>
                  </w:pPr>
                </w:p>
              </w:tc>
              <w:tc>
                <w:tcPr>
                  <w:tcW w:w="467" w:type="pct"/>
                  <w:gridSpan w:val="2"/>
                  <w:shd w:val="clear" w:color="auto" w:fill="auto"/>
                </w:tcPr>
                <w:p w:rsidR="00745FEA" w:rsidRDefault="00745FEA" w:rsidP="00745FEA">
                  <w:pPr>
                    <w:pStyle w:val="TableBodyText"/>
                    <w:ind w:right="57"/>
                  </w:pPr>
                </w:p>
              </w:tc>
              <w:tc>
                <w:tcPr>
                  <w:tcW w:w="467" w:type="pct"/>
                  <w:gridSpan w:val="2"/>
                  <w:shd w:val="clear" w:color="auto" w:fill="auto"/>
                </w:tcPr>
                <w:p w:rsidR="00745FEA" w:rsidRDefault="00745FEA" w:rsidP="00745FEA">
                  <w:pPr>
                    <w:pStyle w:val="TableBodyText"/>
                    <w:ind w:right="57"/>
                  </w:pPr>
                </w:p>
              </w:tc>
              <w:tc>
                <w:tcPr>
                  <w:tcW w:w="454" w:type="pct"/>
                  <w:shd w:val="clear" w:color="auto" w:fill="auto"/>
                </w:tcPr>
                <w:p w:rsidR="00745FEA" w:rsidRDefault="00745FEA" w:rsidP="00745FEA">
                  <w:pPr>
                    <w:pStyle w:val="TableBodyText"/>
                    <w:ind w:right="57"/>
                  </w:pPr>
                </w:p>
              </w:tc>
            </w:tr>
            <w:tr w:rsidR="00745FEA" w:rsidTr="00745FEA">
              <w:tc>
                <w:tcPr>
                  <w:tcW w:w="2209" w:type="pct"/>
                  <w:gridSpan w:val="2"/>
                </w:tcPr>
                <w:p w:rsidR="00745FEA" w:rsidRPr="0005108B" w:rsidRDefault="00745FEA" w:rsidP="00745FEA">
                  <w:pPr>
                    <w:pStyle w:val="TableBodyText"/>
                    <w:spacing w:after="0"/>
                    <w:ind w:left="227" w:right="0"/>
                    <w:jc w:val="left"/>
                  </w:pPr>
                  <w:r w:rsidRPr="0005108B">
                    <w:t>R&amp;D Tax Incentive - non-refundable tax offset</w:t>
                  </w:r>
                </w:p>
              </w:tc>
              <w:tc>
                <w:tcPr>
                  <w:tcW w:w="467" w:type="pct"/>
                  <w:gridSpan w:val="2"/>
                  <w:vAlign w:val="bottom"/>
                </w:tcPr>
                <w:p w:rsidR="00745FEA" w:rsidRPr="004F051B" w:rsidRDefault="00745FEA" w:rsidP="00745FEA">
                  <w:pPr>
                    <w:pStyle w:val="TableBodyText"/>
                    <w:ind w:right="57"/>
                  </w:pPr>
                  <w:r w:rsidRPr="004F051B">
                    <w:t>–</w:t>
                  </w:r>
                </w:p>
              </w:tc>
              <w:tc>
                <w:tcPr>
                  <w:tcW w:w="467" w:type="pct"/>
                  <w:gridSpan w:val="2"/>
                  <w:vAlign w:val="bottom"/>
                </w:tcPr>
                <w:p w:rsidR="00745FEA" w:rsidRPr="004F051B" w:rsidRDefault="00745FEA" w:rsidP="00745FEA">
                  <w:pPr>
                    <w:pStyle w:val="TableBodyText"/>
                    <w:ind w:right="57"/>
                  </w:pPr>
                  <w:r w:rsidRPr="004F051B">
                    <w:t>63.5</w:t>
                  </w:r>
                </w:p>
              </w:tc>
              <w:tc>
                <w:tcPr>
                  <w:tcW w:w="467" w:type="pct"/>
                  <w:gridSpan w:val="2"/>
                  <w:vAlign w:val="bottom"/>
                </w:tcPr>
                <w:p w:rsidR="00745FEA" w:rsidRPr="004F051B" w:rsidRDefault="00745FEA" w:rsidP="00745FEA">
                  <w:pPr>
                    <w:pStyle w:val="TableBodyText"/>
                    <w:ind w:right="57"/>
                  </w:pPr>
                  <w:r w:rsidRPr="004F051B">
                    <w:t>46.6</w:t>
                  </w:r>
                </w:p>
              </w:tc>
              <w:tc>
                <w:tcPr>
                  <w:tcW w:w="467" w:type="pct"/>
                  <w:gridSpan w:val="2"/>
                  <w:shd w:val="clear" w:color="auto" w:fill="auto"/>
                  <w:vAlign w:val="bottom"/>
                </w:tcPr>
                <w:p w:rsidR="00745FEA" w:rsidRPr="004F051B" w:rsidRDefault="00745FEA" w:rsidP="00745FEA">
                  <w:pPr>
                    <w:pStyle w:val="TableBodyText"/>
                    <w:ind w:right="57"/>
                  </w:pPr>
                  <w:r w:rsidRPr="004F051B">
                    <w:t>37.2</w:t>
                  </w:r>
                </w:p>
              </w:tc>
              <w:tc>
                <w:tcPr>
                  <w:tcW w:w="467" w:type="pct"/>
                  <w:gridSpan w:val="2"/>
                  <w:shd w:val="clear" w:color="auto" w:fill="auto"/>
                  <w:vAlign w:val="bottom"/>
                </w:tcPr>
                <w:p w:rsidR="00745FEA" w:rsidRPr="004F051B" w:rsidRDefault="00745FEA" w:rsidP="00745FEA">
                  <w:pPr>
                    <w:pStyle w:val="TableBodyText"/>
                    <w:ind w:right="57"/>
                  </w:pPr>
                  <w:r w:rsidRPr="004F051B">
                    <w:t>36.2</w:t>
                  </w:r>
                </w:p>
              </w:tc>
              <w:tc>
                <w:tcPr>
                  <w:tcW w:w="454" w:type="pct"/>
                  <w:shd w:val="clear" w:color="auto" w:fill="auto"/>
                  <w:vAlign w:val="bottom"/>
                </w:tcPr>
                <w:p w:rsidR="00745FEA" w:rsidRDefault="00745FEA" w:rsidP="00745FEA">
                  <w:pPr>
                    <w:pStyle w:val="TableBodyText"/>
                    <w:ind w:right="57"/>
                  </w:pPr>
                  <w:r w:rsidRPr="004F051B">
                    <w:t>42.2</w:t>
                  </w:r>
                </w:p>
              </w:tc>
            </w:tr>
            <w:tr w:rsidR="00745FEA" w:rsidTr="00745FEA">
              <w:tc>
                <w:tcPr>
                  <w:tcW w:w="2209" w:type="pct"/>
                  <w:gridSpan w:val="2"/>
                </w:tcPr>
                <w:p w:rsidR="00745FEA" w:rsidRPr="00DA5E6F" w:rsidRDefault="00745FEA" w:rsidP="00745FEA">
                  <w:pPr>
                    <w:pStyle w:val="TableBodyText"/>
                    <w:spacing w:before="40" w:after="0"/>
                    <w:ind w:left="113"/>
                    <w:jc w:val="left"/>
                    <w:rPr>
                      <w:i/>
                    </w:rPr>
                  </w:pPr>
                  <w:r w:rsidRPr="00DA5E6F">
                    <w:rPr>
                      <w:i/>
                    </w:rPr>
                    <w:t>Other measures</w:t>
                  </w: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shd w:val="clear" w:color="auto" w:fill="auto"/>
                  <w:vAlign w:val="bottom"/>
                </w:tcPr>
                <w:p w:rsidR="00745FEA" w:rsidRDefault="00745FEA" w:rsidP="00745FEA">
                  <w:pPr>
                    <w:pStyle w:val="TableBodyText"/>
                    <w:ind w:right="57"/>
                  </w:pPr>
                </w:p>
              </w:tc>
              <w:tc>
                <w:tcPr>
                  <w:tcW w:w="467" w:type="pct"/>
                  <w:gridSpan w:val="2"/>
                  <w:shd w:val="clear" w:color="auto" w:fill="auto"/>
                  <w:vAlign w:val="bottom"/>
                </w:tcPr>
                <w:p w:rsidR="00745FEA" w:rsidRDefault="00745FEA" w:rsidP="00745FEA">
                  <w:pPr>
                    <w:pStyle w:val="TableBodyText"/>
                    <w:ind w:right="57"/>
                  </w:pPr>
                </w:p>
              </w:tc>
              <w:tc>
                <w:tcPr>
                  <w:tcW w:w="454" w:type="pct"/>
                  <w:shd w:val="clear" w:color="auto" w:fill="auto"/>
                  <w:vAlign w:val="bottom"/>
                </w:tcPr>
                <w:p w:rsidR="00745FEA" w:rsidRDefault="00745FEA" w:rsidP="00745FEA">
                  <w:pPr>
                    <w:pStyle w:val="TableBodyText"/>
                    <w:ind w:right="57"/>
                  </w:pP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Enterprise Connect Innovation Centres</w:t>
                  </w:r>
                </w:p>
              </w:tc>
              <w:tc>
                <w:tcPr>
                  <w:tcW w:w="467" w:type="pct"/>
                  <w:gridSpan w:val="2"/>
                  <w:vAlign w:val="bottom"/>
                </w:tcPr>
                <w:p w:rsidR="00745FEA" w:rsidRPr="00F040C3" w:rsidRDefault="00745FEA" w:rsidP="00745FEA">
                  <w:pPr>
                    <w:pStyle w:val="TableBodyText"/>
                    <w:ind w:right="57"/>
                  </w:pPr>
                  <w:r w:rsidRPr="00F040C3">
                    <w:t>1.1</w:t>
                  </w:r>
                </w:p>
              </w:tc>
              <w:tc>
                <w:tcPr>
                  <w:tcW w:w="467" w:type="pct"/>
                  <w:gridSpan w:val="2"/>
                  <w:vAlign w:val="bottom"/>
                </w:tcPr>
                <w:p w:rsidR="00745FEA" w:rsidRPr="00F040C3" w:rsidRDefault="00745FEA" w:rsidP="00745FEA">
                  <w:pPr>
                    <w:pStyle w:val="TableBodyText"/>
                    <w:ind w:right="57"/>
                  </w:pPr>
                  <w:r w:rsidRPr="00F040C3">
                    <w:t>0.9</w:t>
                  </w:r>
                </w:p>
              </w:tc>
              <w:tc>
                <w:tcPr>
                  <w:tcW w:w="467" w:type="pct"/>
                  <w:gridSpan w:val="2"/>
                  <w:vAlign w:val="bottom"/>
                </w:tcPr>
                <w:p w:rsidR="00745FEA" w:rsidRPr="00F040C3" w:rsidRDefault="00745FEA" w:rsidP="00745FEA">
                  <w:pPr>
                    <w:pStyle w:val="TableBodyText"/>
                    <w:ind w:right="57"/>
                  </w:pPr>
                  <w:r w:rsidRPr="00F040C3">
                    <w:t>0.9</w:t>
                  </w:r>
                </w:p>
              </w:tc>
              <w:tc>
                <w:tcPr>
                  <w:tcW w:w="467" w:type="pct"/>
                  <w:gridSpan w:val="2"/>
                  <w:shd w:val="clear" w:color="auto" w:fill="auto"/>
                  <w:vAlign w:val="bottom"/>
                </w:tcPr>
                <w:p w:rsidR="00745FEA" w:rsidRPr="00F040C3" w:rsidRDefault="00745FEA" w:rsidP="00745FEA">
                  <w:pPr>
                    <w:pStyle w:val="TableBodyText"/>
                    <w:ind w:right="57"/>
                  </w:pPr>
                  <w:r w:rsidRPr="00F040C3">
                    <w:t>0.7</w:t>
                  </w:r>
                </w:p>
              </w:tc>
              <w:tc>
                <w:tcPr>
                  <w:tcW w:w="467" w:type="pct"/>
                  <w:gridSpan w:val="2"/>
                  <w:shd w:val="clear" w:color="auto" w:fill="auto"/>
                  <w:vAlign w:val="bottom"/>
                </w:tcPr>
                <w:p w:rsidR="00745FEA" w:rsidRPr="00F040C3" w:rsidRDefault="00745FEA" w:rsidP="00745FEA">
                  <w:pPr>
                    <w:pStyle w:val="TableBodyText"/>
                    <w:ind w:right="57"/>
                  </w:pPr>
                  <w:r w:rsidRPr="00F040C3">
                    <w:t>0.1</w:t>
                  </w:r>
                </w:p>
              </w:tc>
              <w:tc>
                <w:tcPr>
                  <w:tcW w:w="454" w:type="pct"/>
                  <w:shd w:val="clear" w:color="auto" w:fill="auto"/>
                  <w:vAlign w:val="bottom"/>
                </w:tcPr>
                <w:p w:rsidR="00745FEA" w:rsidRPr="00F040C3" w:rsidRDefault="00745FEA" w:rsidP="00745FEA">
                  <w:pPr>
                    <w:pStyle w:val="TableBodyText"/>
                    <w:ind w:right="57"/>
                  </w:pPr>
                  <w:r w:rsidRPr="00F040C3">
                    <w:t>–</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Entrepreneurs’ Infrastructure Programme - Accelerating Commercialisation</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0.7</w:t>
                  </w:r>
                </w:p>
              </w:tc>
              <w:tc>
                <w:tcPr>
                  <w:tcW w:w="467" w:type="pct"/>
                  <w:gridSpan w:val="2"/>
                  <w:shd w:val="clear" w:color="auto" w:fill="auto"/>
                  <w:vAlign w:val="bottom"/>
                </w:tcPr>
                <w:p w:rsidR="00745FEA" w:rsidRPr="00F040C3" w:rsidRDefault="00745FEA" w:rsidP="00745FEA">
                  <w:pPr>
                    <w:pStyle w:val="TableBodyText"/>
                    <w:ind w:right="57"/>
                  </w:pPr>
                  <w:r w:rsidRPr="00F040C3">
                    <w:t>6.1</w:t>
                  </w:r>
                </w:p>
              </w:tc>
              <w:tc>
                <w:tcPr>
                  <w:tcW w:w="454" w:type="pct"/>
                  <w:shd w:val="clear" w:color="auto" w:fill="auto"/>
                  <w:vAlign w:val="bottom"/>
                </w:tcPr>
                <w:p w:rsidR="00745FEA" w:rsidRPr="00F040C3" w:rsidRDefault="00745FEA" w:rsidP="00745FEA">
                  <w:pPr>
                    <w:pStyle w:val="TableBodyText"/>
                    <w:ind w:right="57"/>
                  </w:pPr>
                  <w:r w:rsidRPr="00F040C3">
                    <w:t>9.4</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Entrepreneurs’ Infrastructure Programme - Business Management Skills</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0.3</w:t>
                  </w:r>
                </w:p>
              </w:tc>
              <w:tc>
                <w:tcPr>
                  <w:tcW w:w="467" w:type="pct"/>
                  <w:gridSpan w:val="2"/>
                  <w:shd w:val="clear" w:color="auto" w:fill="auto"/>
                  <w:vAlign w:val="bottom"/>
                </w:tcPr>
                <w:p w:rsidR="00745FEA" w:rsidRPr="00F040C3" w:rsidRDefault="00745FEA" w:rsidP="00745FEA">
                  <w:pPr>
                    <w:pStyle w:val="TableBodyText"/>
                    <w:ind w:right="57"/>
                  </w:pPr>
                  <w:r w:rsidRPr="00F040C3">
                    <w:t>0.9</w:t>
                  </w:r>
                </w:p>
              </w:tc>
              <w:tc>
                <w:tcPr>
                  <w:tcW w:w="454" w:type="pct"/>
                  <w:shd w:val="clear" w:color="auto" w:fill="auto"/>
                  <w:vAlign w:val="bottom"/>
                </w:tcPr>
                <w:p w:rsidR="00745FEA" w:rsidRPr="00F040C3" w:rsidRDefault="00745FEA" w:rsidP="00745FEA">
                  <w:pPr>
                    <w:pStyle w:val="TableBodyText"/>
                    <w:ind w:right="57"/>
                  </w:pPr>
                  <w:r w:rsidRPr="00F040C3">
                    <w:t>0.5</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Illawarra Region Innovation and Investment Fund</w:t>
                  </w:r>
                </w:p>
              </w:tc>
              <w:tc>
                <w:tcPr>
                  <w:tcW w:w="467" w:type="pct"/>
                  <w:gridSpan w:val="2"/>
                  <w:vAlign w:val="bottom"/>
                </w:tcPr>
                <w:p w:rsidR="00745FEA" w:rsidRPr="00F040C3" w:rsidRDefault="00745FEA" w:rsidP="00745FEA">
                  <w:pPr>
                    <w:pStyle w:val="TableBodyText"/>
                    <w:ind w:right="57"/>
                  </w:pPr>
                  <w:r w:rsidRPr="00F040C3">
                    <w:t>0.7</w:t>
                  </w:r>
                </w:p>
              </w:tc>
              <w:tc>
                <w:tcPr>
                  <w:tcW w:w="467" w:type="pct"/>
                  <w:gridSpan w:val="2"/>
                  <w:vAlign w:val="bottom"/>
                </w:tcPr>
                <w:p w:rsidR="00745FEA" w:rsidRPr="00F040C3" w:rsidRDefault="00745FEA" w:rsidP="00745FEA">
                  <w:pPr>
                    <w:pStyle w:val="TableBodyText"/>
                    <w:ind w:right="57"/>
                  </w:pPr>
                  <w:r w:rsidRPr="00F040C3">
                    <w:t>0.1</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54" w:type="pct"/>
                  <w:shd w:val="clear" w:color="auto" w:fill="auto"/>
                  <w:vAlign w:val="bottom"/>
                </w:tcPr>
                <w:p w:rsidR="00745FEA" w:rsidRPr="00F040C3" w:rsidRDefault="00745FEA" w:rsidP="00745FEA">
                  <w:pPr>
                    <w:pStyle w:val="TableBodyText"/>
                    <w:ind w:right="57"/>
                  </w:pPr>
                  <w:r w:rsidRPr="00F040C3">
                    <w:t>–</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Tasmanian Innovation and Investment Fund</w:t>
                  </w:r>
                </w:p>
              </w:tc>
              <w:tc>
                <w:tcPr>
                  <w:tcW w:w="467" w:type="pct"/>
                  <w:gridSpan w:val="2"/>
                  <w:vAlign w:val="bottom"/>
                </w:tcPr>
                <w:p w:rsidR="00745FEA" w:rsidRPr="00F040C3" w:rsidRDefault="00745FEA" w:rsidP="00745FEA">
                  <w:pPr>
                    <w:pStyle w:val="TableBodyText"/>
                    <w:ind w:right="57"/>
                  </w:pPr>
                  <w:r w:rsidRPr="00F040C3">
                    <w:t>0.1</w:t>
                  </w:r>
                </w:p>
              </w:tc>
              <w:tc>
                <w:tcPr>
                  <w:tcW w:w="467" w:type="pct"/>
                  <w:gridSpan w:val="2"/>
                  <w:vAlign w:val="bottom"/>
                </w:tcPr>
                <w:p w:rsidR="00745FEA" w:rsidRPr="00F040C3" w:rsidRDefault="00745FEA" w:rsidP="00745FEA">
                  <w:pPr>
                    <w:pStyle w:val="TableBodyText"/>
                    <w:ind w:right="57"/>
                  </w:pPr>
                  <w:r w:rsidRPr="00F040C3">
                    <w:t>&lt;0.1</w:t>
                  </w:r>
                </w:p>
              </w:tc>
              <w:tc>
                <w:tcPr>
                  <w:tcW w:w="467" w:type="pct"/>
                  <w:gridSpan w:val="2"/>
                  <w:vAlign w:val="bottom"/>
                </w:tcPr>
                <w:p w:rsidR="00745FEA" w:rsidRPr="00F040C3" w:rsidRDefault="00745FEA" w:rsidP="00745FEA">
                  <w:pPr>
                    <w:pStyle w:val="TableBodyText"/>
                    <w:ind w:right="57"/>
                  </w:pPr>
                  <w:r w:rsidRPr="00F040C3">
                    <w:t>&lt;0.1</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54" w:type="pct"/>
                  <w:shd w:val="clear" w:color="auto" w:fill="auto"/>
                  <w:vAlign w:val="bottom"/>
                </w:tcPr>
                <w:p w:rsidR="00745FEA" w:rsidRPr="00F040C3" w:rsidRDefault="00745FEA" w:rsidP="00745FEA">
                  <w:pPr>
                    <w:pStyle w:val="TableBodyText"/>
                    <w:ind w:right="57"/>
                  </w:pPr>
                  <w:r w:rsidRPr="00F040C3">
                    <w:t>–</w:t>
                  </w:r>
                </w:p>
              </w:tc>
            </w:tr>
            <w:tr w:rsidR="00745FEA" w:rsidTr="00745FEA">
              <w:tc>
                <w:tcPr>
                  <w:tcW w:w="2209" w:type="pct"/>
                  <w:gridSpan w:val="2"/>
                </w:tcPr>
                <w:p w:rsidR="00745FEA" w:rsidRPr="00B73A54" w:rsidRDefault="00745FEA" w:rsidP="00745FEA">
                  <w:pPr>
                    <w:pStyle w:val="TableBodyText"/>
                    <w:spacing w:after="0"/>
                    <w:ind w:left="227" w:right="0"/>
                    <w:jc w:val="left"/>
                  </w:pPr>
                  <w:r w:rsidRPr="007E328D">
                    <w:t>Tasmanian Jobs and Investment Fund</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54" w:type="pct"/>
                  <w:shd w:val="clear" w:color="auto" w:fill="auto"/>
                  <w:vAlign w:val="bottom"/>
                </w:tcPr>
                <w:p w:rsidR="00745FEA" w:rsidRPr="00F040C3" w:rsidRDefault="00745FEA" w:rsidP="00745FEA">
                  <w:pPr>
                    <w:pStyle w:val="TableBodyText"/>
                    <w:ind w:right="57"/>
                  </w:pPr>
                  <w:r w:rsidRPr="00F040C3">
                    <w:t>0.2</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The Small Business and General Business Tax Break</w:t>
                  </w:r>
                </w:p>
              </w:tc>
              <w:tc>
                <w:tcPr>
                  <w:tcW w:w="467" w:type="pct"/>
                  <w:gridSpan w:val="2"/>
                  <w:vAlign w:val="bottom"/>
                </w:tcPr>
                <w:p w:rsidR="00745FEA" w:rsidRPr="00F040C3" w:rsidRDefault="00745FEA" w:rsidP="00745FEA">
                  <w:pPr>
                    <w:pStyle w:val="TableBodyText"/>
                    <w:ind w:right="57"/>
                  </w:pPr>
                  <w:r w:rsidRPr="00F040C3">
                    <w:t>4.9</w:t>
                  </w:r>
                </w:p>
              </w:tc>
              <w:tc>
                <w:tcPr>
                  <w:tcW w:w="467" w:type="pct"/>
                  <w:gridSpan w:val="2"/>
                  <w:vAlign w:val="bottom"/>
                </w:tcPr>
                <w:p w:rsidR="00745FEA" w:rsidRPr="00F040C3" w:rsidRDefault="00745FEA" w:rsidP="00745FEA">
                  <w:pPr>
                    <w:pStyle w:val="TableBodyText"/>
                    <w:ind w:right="57"/>
                  </w:pPr>
                  <w:r w:rsidRPr="00F040C3">
                    <w:t>1.7</w:t>
                  </w:r>
                </w:p>
              </w:tc>
              <w:tc>
                <w:tcPr>
                  <w:tcW w:w="467" w:type="pct"/>
                  <w:gridSpan w:val="2"/>
                  <w:vAlign w:val="bottom"/>
                </w:tcPr>
                <w:p w:rsidR="00745FEA" w:rsidRPr="00F040C3" w:rsidRDefault="00745FEA" w:rsidP="00745FEA">
                  <w:pPr>
                    <w:pStyle w:val="TableBodyText"/>
                    <w:ind w:right="57"/>
                  </w:pPr>
                  <w:r w:rsidRPr="00F040C3">
                    <w:t>0.2</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54" w:type="pct"/>
                  <w:shd w:val="clear" w:color="auto" w:fill="auto"/>
                  <w:vAlign w:val="bottom"/>
                </w:tcPr>
                <w:p w:rsidR="00745FEA" w:rsidRPr="00F040C3" w:rsidRDefault="00745FEA" w:rsidP="00745FEA">
                  <w:pPr>
                    <w:pStyle w:val="TableBodyText"/>
                    <w:ind w:right="57"/>
                  </w:pPr>
                  <w:r w:rsidRPr="00F040C3">
                    <w:t>–</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Small Business - Simplified depreciation rules</w:t>
                  </w:r>
                </w:p>
              </w:tc>
              <w:tc>
                <w:tcPr>
                  <w:tcW w:w="467" w:type="pct"/>
                  <w:gridSpan w:val="2"/>
                  <w:vAlign w:val="bottom"/>
                </w:tcPr>
                <w:p w:rsidR="00745FEA" w:rsidRPr="00F040C3" w:rsidRDefault="00745FEA" w:rsidP="00745FEA">
                  <w:pPr>
                    <w:pStyle w:val="TableBodyText"/>
                    <w:ind w:right="57"/>
                  </w:pPr>
                  <w:r w:rsidRPr="00F040C3">
                    <w:t>&lt;0.1</w:t>
                  </w:r>
                </w:p>
              </w:tc>
              <w:tc>
                <w:tcPr>
                  <w:tcW w:w="467" w:type="pct"/>
                  <w:gridSpan w:val="2"/>
                  <w:vAlign w:val="bottom"/>
                </w:tcPr>
                <w:p w:rsidR="00745FEA" w:rsidRPr="00F040C3" w:rsidRDefault="00745FEA" w:rsidP="00745FEA">
                  <w:pPr>
                    <w:pStyle w:val="TableBodyText"/>
                    <w:ind w:right="57"/>
                  </w:pPr>
                  <w:r w:rsidRPr="00F040C3">
                    <w:t>-0.2</w:t>
                  </w:r>
                </w:p>
              </w:tc>
              <w:tc>
                <w:tcPr>
                  <w:tcW w:w="467" w:type="pct"/>
                  <w:gridSpan w:val="2"/>
                  <w:vAlign w:val="bottom"/>
                </w:tcPr>
                <w:p w:rsidR="00745FEA" w:rsidRPr="00F040C3" w:rsidRDefault="00745FEA" w:rsidP="00745FEA">
                  <w:pPr>
                    <w:pStyle w:val="TableBodyText"/>
                    <w:ind w:right="57"/>
                  </w:pPr>
                  <w:r w:rsidRPr="00F040C3">
                    <w:t>0.9</w:t>
                  </w:r>
                </w:p>
              </w:tc>
              <w:tc>
                <w:tcPr>
                  <w:tcW w:w="467" w:type="pct"/>
                  <w:gridSpan w:val="2"/>
                  <w:shd w:val="clear" w:color="auto" w:fill="auto"/>
                  <w:vAlign w:val="bottom"/>
                </w:tcPr>
                <w:p w:rsidR="00745FEA" w:rsidRPr="00F040C3" w:rsidRDefault="00745FEA" w:rsidP="00745FEA">
                  <w:pPr>
                    <w:pStyle w:val="TableBodyText"/>
                    <w:ind w:right="57"/>
                  </w:pPr>
                  <w:r w:rsidRPr="00F040C3">
                    <w:t>-0.4</w:t>
                  </w:r>
                </w:p>
              </w:tc>
              <w:tc>
                <w:tcPr>
                  <w:tcW w:w="467" w:type="pct"/>
                  <w:gridSpan w:val="2"/>
                  <w:shd w:val="clear" w:color="auto" w:fill="auto"/>
                  <w:vAlign w:val="bottom"/>
                </w:tcPr>
                <w:p w:rsidR="00745FEA" w:rsidRPr="00F040C3" w:rsidRDefault="00745FEA" w:rsidP="00745FEA">
                  <w:pPr>
                    <w:pStyle w:val="TableBodyText"/>
                    <w:ind w:right="57"/>
                  </w:pPr>
                  <w:r w:rsidRPr="00F040C3">
                    <w:t>-0.9</w:t>
                  </w:r>
                </w:p>
              </w:tc>
              <w:tc>
                <w:tcPr>
                  <w:tcW w:w="454" w:type="pct"/>
                  <w:shd w:val="clear" w:color="auto" w:fill="auto"/>
                  <w:vAlign w:val="bottom"/>
                </w:tcPr>
                <w:p w:rsidR="00745FEA" w:rsidRPr="00F040C3" w:rsidRDefault="00745FEA" w:rsidP="00745FEA">
                  <w:pPr>
                    <w:pStyle w:val="TableBodyText"/>
                    <w:ind w:right="57"/>
                  </w:pPr>
                  <w:r w:rsidRPr="00F040C3">
                    <w:t>5.2</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 xml:space="preserve">Small business </w:t>
                  </w:r>
                  <w:r>
                    <w:t>capital gains tax</w:t>
                  </w:r>
                  <w:r w:rsidRPr="00B73A54">
                    <w:t xml:space="preserve"> 50 per cent reduction</w:t>
                  </w:r>
                </w:p>
              </w:tc>
              <w:tc>
                <w:tcPr>
                  <w:tcW w:w="467" w:type="pct"/>
                  <w:gridSpan w:val="2"/>
                  <w:vAlign w:val="bottom"/>
                </w:tcPr>
                <w:p w:rsidR="00745FEA" w:rsidRPr="00F040C3" w:rsidRDefault="00745FEA" w:rsidP="00745FEA">
                  <w:pPr>
                    <w:pStyle w:val="TableBodyText"/>
                    <w:ind w:right="57"/>
                  </w:pPr>
                  <w:r w:rsidRPr="00F040C3">
                    <w:t>1.2</w:t>
                  </w:r>
                </w:p>
              </w:tc>
              <w:tc>
                <w:tcPr>
                  <w:tcW w:w="467" w:type="pct"/>
                  <w:gridSpan w:val="2"/>
                  <w:vAlign w:val="bottom"/>
                </w:tcPr>
                <w:p w:rsidR="00745FEA" w:rsidRPr="00F040C3" w:rsidRDefault="00745FEA" w:rsidP="00745FEA">
                  <w:pPr>
                    <w:pStyle w:val="TableBodyText"/>
                    <w:ind w:right="57"/>
                  </w:pPr>
                  <w:r w:rsidRPr="00F040C3">
                    <w:t>1.2</w:t>
                  </w:r>
                </w:p>
              </w:tc>
              <w:tc>
                <w:tcPr>
                  <w:tcW w:w="467" w:type="pct"/>
                  <w:gridSpan w:val="2"/>
                  <w:vAlign w:val="bottom"/>
                </w:tcPr>
                <w:p w:rsidR="00745FEA" w:rsidRPr="00F040C3" w:rsidRDefault="00745FEA" w:rsidP="00745FEA">
                  <w:pPr>
                    <w:pStyle w:val="TableBodyText"/>
                    <w:ind w:right="57"/>
                  </w:pPr>
                  <w:r w:rsidRPr="00F040C3">
                    <w:t>1.2</w:t>
                  </w:r>
                </w:p>
              </w:tc>
              <w:tc>
                <w:tcPr>
                  <w:tcW w:w="467" w:type="pct"/>
                  <w:gridSpan w:val="2"/>
                  <w:shd w:val="clear" w:color="auto" w:fill="auto"/>
                  <w:vAlign w:val="bottom"/>
                </w:tcPr>
                <w:p w:rsidR="00745FEA" w:rsidRPr="00F040C3" w:rsidRDefault="00745FEA" w:rsidP="00745FEA">
                  <w:pPr>
                    <w:pStyle w:val="TableBodyText"/>
                    <w:ind w:right="57"/>
                  </w:pPr>
                  <w:r w:rsidRPr="00F040C3">
                    <w:t>0.9</w:t>
                  </w:r>
                </w:p>
              </w:tc>
              <w:tc>
                <w:tcPr>
                  <w:tcW w:w="467" w:type="pct"/>
                  <w:gridSpan w:val="2"/>
                  <w:shd w:val="clear" w:color="auto" w:fill="auto"/>
                  <w:vAlign w:val="bottom"/>
                </w:tcPr>
                <w:p w:rsidR="00745FEA" w:rsidRPr="00F040C3" w:rsidRDefault="00745FEA" w:rsidP="00745FEA">
                  <w:pPr>
                    <w:pStyle w:val="TableBodyText"/>
                    <w:ind w:right="57"/>
                  </w:pPr>
                  <w:r w:rsidRPr="00F040C3">
                    <w:t>1.0</w:t>
                  </w:r>
                </w:p>
              </w:tc>
              <w:tc>
                <w:tcPr>
                  <w:tcW w:w="454" w:type="pct"/>
                  <w:shd w:val="clear" w:color="auto" w:fill="auto"/>
                  <w:vAlign w:val="bottom"/>
                </w:tcPr>
                <w:p w:rsidR="00745FEA" w:rsidRPr="00F040C3" w:rsidRDefault="00745FEA" w:rsidP="00745FEA">
                  <w:pPr>
                    <w:pStyle w:val="TableBodyText"/>
                    <w:ind w:right="57"/>
                  </w:pPr>
                  <w:r w:rsidRPr="00F040C3">
                    <w:t>0.8</w:t>
                  </w:r>
                </w:p>
              </w:tc>
            </w:tr>
            <w:tr w:rsidR="00745FEA" w:rsidTr="00745FEA">
              <w:tc>
                <w:tcPr>
                  <w:tcW w:w="2209" w:type="pct"/>
                  <w:gridSpan w:val="2"/>
                </w:tcPr>
                <w:p w:rsidR="00745FEA" w:rsidRPr="00B73A54" w:rsidRDefault="00745FEA" w:rsidP="00745FEA">
                  <w:pPr>
                    <w:pStyle w:val="TableBodyText"/>
                    <w:spacing w:after="0"/>
                    <w:ind w:left="227" w:right="0"/>
                    <w:jc w:val="left"/>
                  </w:pPr>
                  <w:r w:rsidRPr="00B73A54">
                    <w:t>25 per cent entrepreneurs' tax offset</w:t>
                  </w:r>
                </w:p>
              </w:tc>
              <w:tc>
                <w:tcPr>
                  <w:tcW w:w="467" w:type="pct"/>
                  <w:gridSpan w:val="2"/>
                  <w:vAlign w:val="bottom"/>
                </w:tcPr>
                <w:p w:rsidR="00745FEA" w:rsidRPr="00F040C3" w:rsidRDefault="00745FEA" w:rsidP="00745FEA">
                  <w:pPr>
                    <w:pStyle w:val="TableBodyText"/>
                    <w:ind w:right="57"/>
                  </w:pPr>
                  <w:r w:rsidRPr="00F040C3">
                    <w:t>0.3</w:t>
                  </w:r>
                </w:p>
              </w:tc>
              <w:tc>
                <w:tcPr>
                  <w:tcW w:w="467" w:type="pct"/>
                  <w:gridSpan w:val="2"/>
                  <w:vAlign w:val="bottom"/>
                </w:tcPr>
                <w:p w:rsidR="00745FEA" w:rsidRPr="00F040C3" w:rsidRDefault="00745FEA" w:rsidP="00745FEA">
                  <w:pPr>
                    <w:pStyle w:val="TableBodyText"/>
                    <w:ind w:right="57"/>
                  </w:pPr>
                  <w:r w:rsidRPr="00F040C3">
                    <w:t>0.4</w:t>
                  </w:r>
                </w:p>
              </w:tc>
              <w:tc>
                <w:tcPr>
                  <w:tcW w:w="467" w:type="pct"/>
                  <w:gridSpan w:val="2"/>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67" w:type="pct"/>
                  <w:gridSpan w:val="2"/>
                  <w:shd w:val="clear" w:color="auto" w:fill="auto"/>
                  <w:vAlign w:val="bottom"/>
                </w:tcPr>
                <w:p w:rsidR="00745FEA" w:rsidRPr="00F040C3" w:rsidRDefault="00745FEA" w:rsidP="00745FEA">
                  <w:pPr>
                    <w:pStyle w:val="TableBodyText"/>
                    <w:ind w:right="57"/>
                  </w:pPr>
                  <w:r w:rsidRPr="00F040C3">
                    <w:t>–</w:t>
                  </w:r>
                </w:p>
              </w:tc>
              <w:tc>
                <w:tcPr>
                  <w:tcW w:w="454" w:type="pct"/>
                  <w:shd w:val="clear" w:color="auto" w:fill="auto"/>
                  <w:vAlign w:val="bottom"/>
                </w:tcPr>
                <w:p w:rsidR="00745FEA" w:rsidRDefault="00745FEA" w:rsidP="00745FEA">
                  <w:pPr>
                    <w:pStyle w:val="TableBodyText"/>
                    <w:ind w:right="57"/>
                  </w:pPr>
                  <w:r w:rsidRPr="00F040C3">
                    <w:t>–</w:t>
                  </w:r>
                </w:p>
              </w:tc>
            </w:tr>
            <w:tr w:rsidR="00745FEA" w:rsidRPr="00DA5E6F" w:rsidTr="00745FEA">
              <w:tc>
                <w:tcPr>
                  <w:tcW w:w="2209" w:type="pct"/>
                  <w:gridSpan w:val="2"/>
                </w:tcPr>
                <w:p w:rsidR="00745FEA" w:rsidRPr="00DA5E6F" w:rsidRDefault="00745FEA" w:rsidP="00745FEA">
                  <w:pPr>
                    <w:pStyle w:val="TableBodyText"/>
                    <w:spacing w:before="20" w:after="20"/>
                    <w:jc w:val="left"/>
                    <w:rPr>
                      <w:i/>
                    </w:rPr>
                  </w:pPr>
                  <w:r w:rsidRPr="00DA5E6F">
                    <w:rPr>
                      <w:i/>
                    </w:rPr>
                    <w:t>Total</w:t>
                  </w:r>
                </w:p>
              </w:tc>
              <w:tc>
                <w:tcPr>
                  <w:tcW w:w="467" w:type="pct"/>
                  <w:gridSpan w:val="2"/>
                  <w:vAlign w:val="bottom"/>
                </w:tcPr>
                <w:p w:rsidR="00745FEA" w:rsidRPr="00C040B5" w:rsidRDefault="00745FEA" w:rsidP="00745FEA">
                  <w:pPr>
                    <w:pStyle w:val="TableBodyText"/>
                    <w:spacing w:before="20" w:after="20"/>
                    <w:ind w:left="0" w:right="57"/>
                    <w:rPr>
                      <w:i/>
                    </w:rPr>
                  </w:pPr>
                  <w:r>
                    <w:rPr>
                      <w:i/>
                    </w:rPr>
                    <w:t>154.0</w:t>
                  </w:r>
                </w:p>
              </w:tc>
              <w:tc>
                <w:tcPr>
                  <w:tcW w:w="467" w:type="pct"/>
                  <w:gridSpan w:val="2"/>
                  <w:vAlign w:val="bottom"/>
                </w:tcPr>
                <w:p w:rsidR="00745FEA" w:rsidRPr="00C040B5" w:rsidRDefault="00745FEA" w:rsidP="00745FEA">
                  <w:pPr>
                    <w:pStyle w:val="TableBodyText"/>
                    <w:spacing w:before="20" w:after="20"/>
                    <w:ind w:left="0" w:right="57"/>
                    <w:rPr>
                      <w:i/>
                    </w:rPr>
                  </w:pPr>
                  <w:r>
                    <w:rPr>
                      <w:i/>
                    </w:rPr>
                    <w:t>234.7</w:t>
                  </w:r>
                </w:p>
              </w:tc>
              <w:tc>
                <w:tcPr>
                  <w:tcW w:w="467" w:type="pct"/>
                  <w:gridSpan w:val="2"/>
                </w:tcPr>
                <w:p w:rsidR="00745FEA" w:rsidRPr="000C3843" w:rsidRDefault="00745FEA" w:rsidP="00745FEA">
                  <w:pPr>
                    <w:pStyle w:val="TableBodyText"/>
                    <w:spacing w:before="20" w:after="20"/>
                    <w:ind w:left="0" w:right="57"/>
                    <w:rPr>
                      <w:i/>
                    </w:rPr>
                  </w:pPr>
                  <w:r>
                    <w:rPr>
                      <w:i/>
                    </w:rPr>
                    <w:t>206.9</w:t>
                  </w:r>
                </w:p>
              </w:tc>
              <w:tc>
                <w:tcPr>
                  <w:tcW w:w="467" w:type="pct"/>
                  <w:gridSpan w:val="2"/>
                  <w:shd w:val="clear" w:color="auto" w:fill="auto"/>
                </w:tcPr>
                <w:p w:rsidR="00745FEA" w:rsidRPr="000C3843" w:rsidRDefault="00745FEA" w:rsidP="00745FEA">
                  <w:pPr>
                    <w:pStyle w:val="TableBodyText"/>
                    <w:spacing w:before="20" w:after="20"/>
                    <w:ind w:left="0" w:right="57"/>
                    <w:rPr>
                      <w:i/>
                    </w:rPr>
                  </w:pPr>
                  <w:r>
                    <w:rPr>
                      <w:i/>
                    </w:rPr>
                    <w:t>236.7</w:t>
                  </w:r>
                </w:p>
              </w:tc>
              <w:tc>
                <w:tcPr>
                  <w:tcW w:w="467" w:type="pct"/>
                  <w:gridSpan w:val="2"/>
                  <w:shd w:val="clear" w:color="auto" w:fill="auto"/>
                </w:tcPr>
                <w:p w:rsidR="00745FEA" w:rsidRPr="000C3843" w:rsidRDefault="00745FEA" w:rsidP="00745FEA">
                  <w:pPr>
                    <w:pStyle w:val="TableBodyText"/>
                    <w:spacing w:before="20" w:after="20"/>
                    <w:ind w:left="0" w:right="57"/>
                    <w:rPr>
                      <w:i/>
                    </w:rPr>
                  </w:pPr>
                  <w:r>
                    <w:rPr>
                      <w:i/>
                    </w:rPr>
                    <w:t>243.0</w:t>
                  </w:r>
                </w:p>
              </w:tc>
              <w:tc>
                <w:tcPr>
                  <w:tcW w:w="454" w:type="pct"/>
                  <w:shd w:val="clear" w:color="auto" w:fill="auto"/>
                </w:tcPr>
                <w:p w:rsidR="00745FEA" w:rsidRPr="000C3843" w:rsidRDefault="00745FEA" w:rsidP="00745FEA">
                  <w:pPr>
                    <w:pStyle w:val="TableBodyText"/>
                    <w:spacing w:before="20" w:after="20"/>
                    <w:ind w:left="0" w:right="57"/>
                    <w:rPr>
                      <w:i/>
                    </w:rPr>
                  </w:pPr>
                  <w:r>
                    <w:rPr>
                      <w:i/>
                    </w:rPr>
                    <w:t>275.3</w:t>
                  </w:r>
                </w:p>
              </w:tc>
            </w:tr>
            <w:tr w:rsidR="00745FEA" w:rsidTr="00745FEA">
              <w:tc>
                <w:tcPr>
                  <w:tcW w:w="2209" w:type="pct"/>
                  <w:gridSpan w:val="2"/>
                </w:tcPr>
                <w:p w:rsidR="00745FEA" w:rsidRPr="00DA5E6F" w:rsidRDefault="00745FEA" w:rsidP="00745FEA">
                  <w:pPr>
                    <w:pStyle w:val="TableBodyText"/>
                    <w:spacing w:before="40"/>
                    <w:jc w:val="left"/>
                    <w:rPr>
                      <w:b/>
                    </w:rPr>
                  </w:pPr>
                  <w:r w:rsidRPr="00DA5E6F">
                    <w:rPr>
                      <w:b/>
                    </w:rPr>
                    <w:t>Furniture and other manufacturing</w:t>
                  </w:r>
                </w:p>
              </w:tc>
              <w:tc>
                <w:tcPr>
                  <w:tcW w:w="467" w:type="pct"/>
                  <w:gridSpan w:val="2"/>
                  <w:vAlign w:val="bottom"/>
                </w:tcPr>
                <w:p w:rsidR="00745FEA" w:rsidRDefault="00745FEA" w:rsidP="00745FEA">
                  <w:pPr>
                    <w:pStyle w:val="TableBodyText"/>
                    <w:spacing w:before="40"/>
                    <w:ind w:right="57"/>
                  </w:pPr>
                </w:p>
              </w:tc>
              <w:tc>
                <w:tcPr>
                  <w:tcW w:w="467" w:type="pct"/>
                  <w:gridSpan w:val="2"/>
                  <w:vAlign w:val="bottom"/>
                </w:tcPr>
                <w:p w:rsidR="00745FEA" w:rsidRDefault="00745FEA" w:rsidP="00745FEA">
                  <w:pPr>
                    <w:pStyle w:val="TableBodyText"/>
                    <w:spacing w:before="40"/>
                    <w:ind w:right="57"/>
                  </w:pPr>
                </w:p>
              </w:tc>
              <w:tc>
                <w:tcPr>
                  <w:tcW w:w="467" w:type="pct"/>
                  <w:gridSpan w:val="2"/>
                  <w:vAlign w:val="bottom"/>
                </w:tcPr>
                <w:p w:rsidR="00745FEA" w:rsidRDefault="00745FEA" w:rsidP="00745FEA">
                  <w:pPr>
                    <w:pStyle w:val="TableBodyText"/>
                    <w:spacing w:before="40"/>
                    <w:ind w:right="57"/>
                  </w:pPr>
                </w:p>
              </w:tc>
              <w:tc>
                <w:tcPr>
                  <w:tcW w:w="467" w:type="pct"/>
                  <w:gridSpan w:val="2"/>
                  <w:shd w:val="clear" w:color="auto" w:fill="auto"/>
                  <w:vAlign w:val="bottom"/>
                </w:tcPr>
                <w:p w:rsidR="00745FEA" w:rsidRDefault="00745FEA" w:rsidP="00745FEA">
                  <w:pPr>
                    <w:pStyle w:val="TableBodyText"/>
                    <w:spacing w:before="40"/>
                    <w:ind w:right="57"/>
                  </w:pPr>
                </w:p>
              </w:tc>
              <w:tc>
                <w:tcPr>
                  <w:tcW w:w="467" w:type="pct"/>
                  <w:gridSpan w:val="2"/>
                  <w:shd w:val="clear" w:color="auto" w:fill="auto"/>
                  <w:vAlign w:val="bottom"/>
                </w:tcPr>
                <w:p w:rsidR="00745FEA" w:rsidRDefault="00745FEA" w:rsidP="00745FEA">
                  <w:pPr>
                    <w:pStyle w:val="TableBodyText"/>
                    <w:spacing w:before="40"/>
                    <w:ind w:right="57"/>
                  </w:pPr>
                </w:p>
              </w:tc>
              <w:tc>
                <w:tcPr>
                  <w:tcW w:w="454" w:type="pct"/>
                  <w:shd w:val="clear" w:color="auto" w:fill="auto"/>
                  <w:vAlign w:val="bottom"/>
                </w:tcPr>
                <w:p w:rsidR="00745FEA" w:rsidRDefault="00745FEA" w:rsidP="00745FEA">
                  <w:pPr>
                    <w:pStyle w:val="TableBodyText"/>
                    <w:spacing w:before="40"/>
                    <w:ind w:right="57"/>
                  </w:pPr>
                </w:p>
              </w:tc>
            </w:tr>
            <w:tr w:rsidR="00745FEA" w:rsidTr="00745FEA">
              <w:tc>
                <w:tcPr>
                  <w:tcW w:w="2209" w:type="pct"/>
                  <w:gridSpan w:val="2"/>
                </w:tcPr>
                <w:p w:rsidR="00745FEA" w:rsidRPr="00DA5E6F" w:rsidRDefault="00745FEA" w:rsidP="00745FEA">
                  <w:pPr>
                    <w:pStyle w:val="TableBodyText"/>
                    <w:spacing w:before="40" w:after="0"/>
                    <w:ind w:left="113"/>
                    <w:jc w:val="left"/>
                    <w:rPr>
                      <w:i/>
                    </w:rPr>
                  </w:pPr>
                  <w:r w:rsidRPr="00DA5E6F">
                    <w:rPr>
                      <w:i/>
                    </w:rPr>
                    <w:t>Sector-specific measures</w:t>
                  </w: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shd w:val="clear" w:color="auto" w:fill="auto"/>
                  <w:vAlign w:val="bottom"/>
                </w:tcPr>
                <w:p w:rsidR="00745FEA" w:rsidRDefault="00745FEA" w:rsidP="00745FEA">
                  <w:pPr>
                    <w:pStyle w:val="TableBodyText"/>
                    <w:ind w:right="57"/>
                  </w:pPr>
                </w:p>
              </w:tc>
              <w:tc>
                <w:tcPr>
                  <w:tcW w:w="467" w:type="pct"/>
                  <w:gridSpan w:val="2"/>
                  <w:shd w:val="clear" w:color="auto" w:fill="auto"/>
                  <w:vAlign w:val="bottom"/>
                </w:tcPr>
                <w:p w:rsidR="00745FEA" w:rsidRDefault="00745FEA" w:rsidP="00745FEA">
                  <w:pPr>
                    <w:pStyle w:val="TableBodyText"/>
                    <w:ind w:right="57"/>
                  </w:pPr>
                </w:p>
              </w:tc>
              <w:tc>
                <w:tcPr>
                  <w:tcW w:w="454" w:type="pct"/>
                  <w:shd w:val="clear" w:color="auto" w:fill="auto"/>
                  <w:vAlign w:val="bottom"/>
                </w:tcPr>
                <w:p w:rsidR="00745FEA" w:rsidRDefault="00745FEA" w:rsidP="00745FEA">
                  <w:pPr>
                    <w:pStyle w:val="TableBodyText"/>
                    <w:ind w:right="57"/>
                  </w:pPr>
                </w:p>
              </w:tc>
            </w:tr>
            <w:tr w:rsidR="00745FEA" w:rsidTr="00745FEA">
              <w:tc>
                <w:tcPr>
                  <w:tcW w:w="2209" w:type="pct"/>
                  <w:gridSpan w:val="2"/>
                </w:tcPr>
                <w:p w:rsidR="00745FEA" w:rsidRPr="00307220" w:rsidRDefault="00745FEA" w:rsidP="00745FEA">
                  <w:pPr>
                    <w:pStyle w:val="TableBodyText"/>
                    <w:spacing w:after="0"/>
                    <w:ind w:left="227" w:right="0"/>
                    <w:jc w:val="left"/>
                  </w:pPr>
                  <w:r w:rsidRPr="00307220">
                    <w:t>Clean Technology Investment - General Program</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0.1</w:t>
                  </w:r>
                </w:p>
              </w:tc>
              <w:tc>
                <w:tcPr>
                  <w:tcW w:w="467" w:type="pct"/>
                  <w:gridSpan w:val="2"/>
                  <w:vAlign w:val="bottom"/>
                </w:tcPr>
                <w:p w:rsidR="00745FEA" w:rsidRPr="00545DE7" w:rsidRDefault="00745FEA" w:rsidP="00745FEA">
                  <w:pPr>
                    <w:pStyle w:val="TableBodyText"/>
                    <w:ind w:right="57"/>
                  </w:pPr>
                  <w:r w:rsidRPr="00545DE7">
                    <w:t>1.1</w:t>
                  </w:r>
                </w:p>
              </w:tc>
              <w:tc>
                <w:tcPr>
                  <w:tcW w:w="467" w:type="pct"/>
                  <w:gridSpan w:val="2"/>
                  <w:shd w:val="clear" w:color="auto" w:fill="auto"/>
                  <w:vAlign w:val="bottom"/>
                </w:tcPr>
                <w:p w:rsidR="00745FEA" w:rsidRPr="00545DE7" w:rsidRDefault="00745FEA" w:rsidP="00745FEA">
                  <w:pPr>
                    <w:pStyle w:val="TableBodyText"/>
                    <w:ind w:right="57"/>
                  </w:pPr>
                  <w:r w:rsidRPr="00545DE7">
                    <w:t>0.3</w:t>
                  </w:r>
                </w:p>
              </w:tc>
              <w:tc>
                <w:tcPr>
                  <w:tcW w:w="467" w:type="pct"/>
                  <w:gridSpan w:val="2"/>
                  <w:shd w:val="clear" w:color="auto" w:fill="auto"/>
                  <w:vAlign w:val="bottom"/>
                </w:tcPr>
                <w:p w:rsidR="00745FEA" w:rsidRPr="00545DE7" w:rsidRDefault="00745FEA" w:rsidP="00745FEA">
                  <w:pPr>
                    <w:pStyle w:val="TableBodyText"/>
                    <w:ind w:right="57"/>
                  </w:pPr>
                  <w:r w:rsidRPr="00545DE7">
                    <w:t>–</w:t>
                  </w:r>
                </w:p>
              </w:tc>
              <w:tc>
                <w:tcPr>
                  <w:tcW w:w="454" w:type="pct"/>
                  <w:shd w:val="clear" w:color="auto" w:fill="auto"/>
                  <w:vAlign w:val="bottom"/>
                </w:tcPr>
                <w:p w:rsidR="00745FEA" w:rsidRPr="00545DE7" w:rsidRDefault="00745FEA" w:rsidP="00745FEA">
                  <w:pPr>
                    <w:pStyle w:val="TableBodyText"/>
                    <w:ind w:right="57"/>
                  </w:pPr>
                  <w:r w:rsidRPr="00545DE7">
                    <w:t>–</w:t>
                  </w:r>
                </w:p>
              </w:tc>
            </w:tr>
            <w:tr w:rsidR="00745FEA" w:rsidTr="00745FEA">
              <w:tc>
                <w:tcPr>
                  <w:tcW w:w="2209" w:type="pct"/>
                  <w:gridSpan w:val="2"/>
                </w:tcPr>
                <w:p w:rsidR="00745FEA" w:rsidRPr="00307220" w:rsidRDefault="00745FEA" w:rsidP="00745FEA">
                  <w:pPr>
                    <w:pStyle w:val="TableBodyText"/>
                    <w:spacing w:after="0"/>
                    <w:ind w:left="227" w:right="0"/>
                    <w:jc w:val="left"/>
                  </w:pPr>
                  <w:r w:rsidRPr="00307220">
                    <w:t>Manufacturing Transition Grants Programme</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shd w:val="clear" w:color="auto" w:fill="auto"/>
                  <w:vAlign w:val="bottom"/>
                </w:tcPr>
                <w:p w:rsidR="00745FEA" w:rsidRPr="00545DE7" w:rsidRDefault="00745FEA" w:rsidP="00745FEA">
                  <w:pPr>
                    <w:pStyle w:val="TableBodyText"/>
                    <w:ind w:right="57"/>
                  </w:pPr>
                  <w:r w:rsidRPr="00545DE7">
                    <w:t>0.1</w:t>
                  </w:r>
                </w:p>
              </w:tc>
              <w:tc>
                <w:tcPr>
                  <w:tcW w:w="467" w:type="pct"/>
                  <w:gridSpan w:val="2"/>
                  <w:shd w:val="clear" w:color="auto" w:fill="auto"/>
                  <w:vAlign w:val="bottom"/>
                </w:tcPr>
                <w:p w:rsidR="00745FEA" w:rsidRPr="00545DE7" w:rsidRDefault="00745FEA" w:rsidP="00745FEA">
                  <w:pPr>
                    <w:pStyle w:val="TableBodyText"/>
                    <w:ind w:right="57"/>
                  </w:pPr>
                  <w:r w:rsidRPr="00545DE7">
                    <w:t>1.0</w:t>
                  </w:r>
                </w:p>
              </w:tc>
              <w:tc>
                <w:tcPr>
                  <w:tcW w:w="454" w:type="pct"/>
                  <w:shd w:val="clear" w:color="auto" w:fill="auto"/>
                  <w:vAlign w:val="bottom"/>
                </w:tcPr>
                <w:p w:rsidR="00745FEA" w:rsidRPr="00545DE7" w:rsidRDefault="00745FEA" w:rsidP="00745FEA">
                  <w:pPr>
                    <w:pStyle w:val="TableBodyText"/>
                    <w:ind w:right="57"/>
                  </w:pPr>
                  <w:r w:rsidRPr="00545DE7">
                    <w:t>1.1</w:t>
                  </w:r>
                </w:p>
              </w:tc>
            </w:tr>
            <w:tr w:rsidR="00745FEA" w:rsidTr="00745FEA">
              <w:tc>
                <w:tcPr>
                  <w:tcW w:w="2209" w:type="pct"/>
                  <w:gridSpan w:val="2"/>
                </w:tcPr>
                <w:p w:rsidR="00745FEA" w:rsidRPr="00307220" w:rsidRDefault="00745FEA" w:rsidP="00745FEA">
                  <w:pPr>
                    <w:pStyle w:val="TableBodyText"/>
                    <w:spacing w:after="0"/>
                    <w:ind w:left="227" w:right="0"/>
                    <w:jc w:val="left"/>
                  </w:pPr>
                  <w:r w:rsidRPr="00307220">
                    <w:t>Next Generation Manufacturing Investment Programme</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shd w:val="clear" w:color="auto" w:fill="auto"/>
                  <w:vAlign w:val="bottom"/>
                </w:tcPr>
                <w:p w:rsidR="00745FEA" w:rsidRPr="00545DE7" w:rsidRDefault="00745FEA" w:rsidP="00745FEA">
                  <w:pPr>
                    <w:pStyle w:val="TableBodyText"/>
                    <w:ind w:right="57"/>
                  </w:pPr>
                  <w:r w:rsidRPr="00545DE7">
                    <w:t>–</w:t>
                  </w:r>
                </w:p>
              </w:tc>
              <w:tc>
                <w:tcPr>
                  <w:tcW w:w="467" w:type="pct"/>
                  <w:gridSpan w:val="2"/>
                  <w:shd w:val="clear" w:color="auto" w:fill="auto"/>
                  <w:vAlign w:val="bottom"/>
                </w:tcPr>
                <w:p w:rsidR="00745FEA" w:rsidRPr="00545DE7" w:rsidRDefault="00745FEA" w:rsidP="00745FEA">
                  <w:pPr>
                    <w:pStyle w:val="TableBodyText"/>
                    <w:ind w:right="57"/>
                  </w:pPr>
                  <w:r w:rsidRPr="00545DE7">
                    <w:t>0.3</w:t>
                  </w:r>
                </w:p>
              </w:tc>
              <w:tc>
                <w:tcPr>
                  <w:tcW w:w="454" w:type="pct"/>
                  <w:shd w:val="clear" w:color="auto" w:fill="auto"/>
                  <w:vAlign w:val="bottom"/>
                </w:tcPr>
                <w:p w:rsidR="00745FEA" w:rsidRPr="00545DE7" w:rsidRDefault="00745FEA" w:rsidP="00745FEA">
                  <w:pPr>
                    <w:pStyle w:val="TableBodyText"/>
                    <w:ind w:right="57"/>
                  </w:pPr>
                  <w:r w:rsidRPr="00545DE7">
                    <w:t>0.3</w:t>
                  </w:r>
                </w:p>
              </w:tc>
            </w:tr>
            <w:tr w:rsidR="00745FEA" w:rsidTr="00745FEA">
              <w:tc>
                <w:tcPr>
                  <w:tcW w:w="2209" w:type="pct"/>
                  <w:gridSpan w:val="2"/>
                </w:tcPr>
                <w:p w:rsidR="00745FEA" w:rsidRPr="00307220" w:rsidRDefault="00745FEA" w:rsidP="00745FEA">
                  <w:pPr>
                    <w:pStyle w:val="TableBodyText"/>
                    <w:spacing w:after="0"/>
                    <w:ind w:left="227" w:right="0"/>
                    <w:jc w:val="left"/>
                  </w:pPr>
                  <w:r w:rsidRPr="00307220">
                    <w:t>Victorian Innovation and Investment Fund - Ford Assistance</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vAlign w:val="bottom"/>
                </w:tcPr>
                <w:p w:rsidR="00745FEA" w:rsidRPr="00545DE7" w:rsidRDefault="00745FEA" w:rsidP="00745FEA">
                  <w:pPr>
                    <w:pStyle w:val="TableBodyText"/>
                    <w:ind w:right="57"/>
                  </w:pPr>
                  <w:r w:rsidRPr="00545DE7">
                    <w:t>–</w:t>
                  </w:r>
                </w:p>
              </w:tc>
              <w:tc>
                <w:tcPr>
                  <w:tcW w:w="467" w:type="pct"/>
                  <w:gridSpan w:val="2"/>
                  <w:shd w:val="clear" w:color="auto" w:fill="auto"/>
                  <w:vAlign w:val="bottom"/>
                </w:tcPr>
                <w:p w:rsidR="00745FEA" w:rsidRPr="00545DE7" w:rsidRDefault="00745FEA" w:rsidP="00745FEA">
                  <w:pPr>
                    <w:pStyle w:val="TableBodyText"/>
                    <w:ind w:right="57"/>
                  </w:pPr>
                  <w:r w:rsidRPr="00545DE7">
                    <w:t>0.5</w:t>
                  </w:r>
                </w:p>
              </w:tc>
              <w:tc>
                <w:tcPr>
                  <w:tcW w:w="467" w:type="pct"/>
                  <w:gridSpan w:val="2"/>
                  <w:shd w:val="clear" w:color="auto" w:fill="auto"/>
                  <w:vAlign w:val="bottom"/>
                </w:tcPr>
                <w:p w:rsidR="00745FEA" w:rsidRPr="00545DE7" w:rsidRDefault="00745FEA" w:rsidP="00745FEA">
                  <w:pPr>
                    <w:pStyle w:val="TableBodyText"/>
                    <w:ind w:right="57"/>
                  </w:pPr>
                  <w:r w:rsidRPr="00545DE7">
                    <w:t>0.5</w:t>
                  </w:r>
                </w:p>
              </w:tc>
              <w:tc>
                <w:tcPr>
                  <w:tcW w:w="454" w:type="pct"/>
                  <w:shd w:val="clear" w:color="auto" w:fill="auto"/>
                  <w:vAlign w:val="bottom"/>
                </w:tcPr>
                <w:p w:rsidR="00745FEA" w:rsidRDefault="00745FEA" w:rsidP="00745FEA">
                  <w:pPr>
                    <w:pStyle w:val="TableBodyText"/>
                    <w:ind w:right="57"/>
                  </w:pPr>
                  <w:r w:rsidRPr="00545DE7">
                    <w:t>–</w:t>
                  </w:r>
                </w:p>
              </w:tc>
            </w:tr>
            <w:tr w:rsidR="00745FEA" w:rsidTr="00745FEA">
              <w:tc>
                <w:tcPr>
                  <w:tcW w:w="2209" w:type="pct"/>
                  <w:gridSpan w:val="2"/>
                </w:tcPr>
                <w:p w:rsidR="00745FEA" w:rsidRPr="00DA5E6F" w:rsidRDefault="00745FEA" w:rsidP="00745FEA">
                  <w:pPr>
                    <w:pStyle w:val="TableBodyText"/>
                    <w:spacing w:before="40" w:after="0"/>
                    <w:ind w:left="227" w:right="0"/>
                    <w:jc w:val="left"/>
                    <w:rPr>
                      <w:i/>
                    </w:rPr>
                  </w:pPr>
                  <w:r w:rsidRPr="00DA5E6F">
                    <w:rPr>
                      <w:i/>
                    </w:rPr>
                    <w:t>General export measures</w:t>
                  </w: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shd w:val="clear" w:color="auto" w:fill="auto"/>
                  <w:vAlign w:val="bottom"/>
                </w:tcPr>
                <w:p w:rsidR="00745FEA" w:rsidRDefault="00745FEA" w:rsidP="00745FEA">
                  <w:pPr>
                    <w:pStyle w:val="TableBodyText"/>
                    <w:ind w:right="57"/>
                  </w:pPr>
                </w:p>
              </w:tc>
              <w:tc>
                <w:tcPr>
                  <w:tcW w:w="467" w:type="pct"/>
                  <w:gridSpan w:val="2"/>
                  <w:shd w:val="clear" w:color="auto" w:fill="auto"/>
                  <w:vAlign w:val="bottom"/>
                </w:tcPr>
                <w:p w:rsidR="00745FEA" w:rsidRDefault="00745FEA" w:rsidP="00745FEA">
                  <w:pPr>
                    <w:pStyle w:val="TableBodyText"/>
                    <w:ind w:right="57"/>
                  </w:pPr>
                </w:p>
              </w:tc>
              <w:tc>
                <w:tcPr>
                  <w:tcW w:w="454" w:type="pct"/>
                  <w:shd w:val="clear" w:color="auto" w:fill="auto"/>
                  <w:vAlign w:val="bottom"/>
                </w:tcPr>
                <w:p w:rsidR="00745FEA" w:rsidRDefault="00745FEA" w:rsidP="00745FEA">
                  <w:pPr>
                    <w:pStyle w:val="TableBodyText"/>
                    <w:ind w:right="57"/>
                  </w:pPr>
                </w:p>
              </w:tc>
            </w:tr>
            <w:tr w:rsidR="00745FEA" w:rsidTr="00745FEA">
              <w:tc>
                <w:tcPr>
                  <w:tcW w:w="2209" w:type="pct"/>
                  <w:gridSpan w:val="2"/>
                </w:tcPr>
                <w:p w:rsidR="00745FEA" w:rsidRPr="00FF562C" w:rsidRDefault="00745FEA" w:rsidP="00745FEA">
                  <w:pPr>
                    <w:pStyle w:val="TableBodyText"/>
                    <w:spacing w:after="0"/>
                    <w:ind w:left="227" w:right="0"/>
                    <w:jc w:val="left"/>
                  </w:pPr>
                  <w:r w:rsidRPr="00FF562C">
                    <w:t>Export Market Development Grants Scheme</w:t>
                  </w:r>
                </w:p>
              </w:tc>
              <w:tc>
                <w:tcPr>
                  <w:tcW w:w="467" w:type="pct"/>
                  <w:gridSpan w:val="2"/>
                  <w:vAlign w:val="bottom"/>
                </w:tcPr>
                <w:p w:rsidR="00745FEA" w:rsidRPr="00FE2A3C" w:rsidRDefault="00745FEA" w:rsidP="00745FEA">
                  <w:pPr>
                    <w:pStyle w:val="TableBodyText"/>
                    <w:ind w:right="57"/>
                  </w:pPr>
                  <w:r w:rsidRPr="00FE2A3C">
                    <w:t>6.0</w:t>
                  </w:r>
                </w:p>
              </w:tc>
              <w:tc>
                <w:tcPr>
                  <w:tcW w:w="467" w:type="pct"/>
                  <w:gridSpan w:val="2"/>
                  <w:vAlign w:val="bottom"/>
                </w:tcPr>
                <w:p w:rsidR="00745FEA" w:rsidRPr="00FE2A3C" w:rsidRDefault="00745FEA" w:rsidP="00745FEA">
                  <w:pPr>
                    <w:pStyle w:val="TableBodyText"/>
                    <w:ind w:right="57"/>
                  </w:pPr>
                  <w:r w:rsidRPr="00FE2A3C">
                    <w:t>6.1</w:t>
                  </w:r>
                </w:p>
              </w:tc>
              <w:tc>
                <w:tcPr>
                  <w:tcW w:w="467" w:type="pct"/>
                  <w:gridSpan w:val="2"/>
                  <w:vAlign w:val="bottom"/>
                </w:tcPr>
                <w:p w:rsidR="00745FEA" w:rsidRPr="00FE2A3C" w:rsidRDefault="00745FEA" w:rsidP="00745FEA">
                  <w:pPr>
                    <w:pStyle w:val="TableBodyText"/>
                    <w:ind w:right="57"/>
                  </w:pPr>
                  <w:r w:rsidRPr="00FE2A3C">
                    <w:t>4.5</w:t>
                  </w:r>
                </w:p>
              </w:tc>
              <w:tc>
                <w:tcPr>
                  <w:tcW w:w="467" w:type="pct"/>
                  <w:gridSpan w:val="2"/>
                  <w:shd w:val="clear" w:color="auto" w:fill="auto"/>
                  <w:vAlign w:val="bottom"/>
                </w:tcPr>
                <w:p w:rsidR="00745FEA" w:rsidRPr="00FE2A3C" w:rsidRDefault="00745FEA" w:rsidP="00745FEA">
                  <w:pPr>
                    <w:pStyle w:val="TableBodyText"/>
                    <w:ind w:right="57"/>
                  </w:pPr>
                  <w:r w:rsidRPr="00FE2A3C">
                    <w:t>6.0</w:t>
                  </w:r>
                </w:p>
              </w:tc>
              <w:tc>
                <w:tcPr>
                  <w:tcW w:w="467" w:type="pct"/>
                  <w:gridSpan w:val="2"/>
                  <w:shd w:val="clear" w:color="auto" w:fill="auto"/>
                  <w:vAlign w:val="bottom"/>
                </w:tcPr>
                <w:p w:rsidR="00745FEA" w:rsidRPr="00FE2A3C" w:rsidRDefault="00745FEA" w:rsidP="00745FEA">
                  <w:pPr>
                    <w:pStyle w:val="TableBodyText"/>
                    <w:ind w:right="57"/>
                  </w:pPr>
                  <w:r w:rsidRPr="00FE2A3C">
                    <w:t>4.6</w:t>
                  </w:r>
                </w:p>
              </w:tc>
              <w:tc>
                <w:tcPr>
                  <w:tcW w:w="454" w:type="pct"/>
                  <w:shd w:val="clear" w:color="auto" w:fill="auto"/>
                  <w:vAlign w:val="bottom"/>
                </w:tcPr>
                <w:p w:rsidR="00745FEA" w:rsidRPr="00FE2A3C" w:rsidRDefault="00745FEA" w:rsidP="00745FEA">
                  <w:pPr>
                    <w:pStyle w:val="TableBodyText"/>
                    <w:ind w:right="57"/>
                  </w:pPr>
                  <w:r w:rsidRPr="00FE2A3C">
                    <w:t>4.3</w:t>
                  </w:r>
                </w:p>
              </w:tc>
            </w:tr>
            <w:tr w:rsidR="00745FEA" w:rsidTr="00745FEA">
              <w:tc>
                <w:tcPr>
                  <w:tcW w:w="2209" w:type="pct"/>
                  <w:gridSpan w:val="2"/>
                </w:tcPr>
                <w:p w:rsidR="00745FEA" w:rsidRPr="00FF562C" w:rsidRDefault="00745FEA" w:rsidP="00745FEA">
                  <w:pPr>
                    <w:pStyle w:val="TableBodyText"/>
                    <w:spacing w:after="0"/>
                    <w:ind w:left="227" w:right="0"/>
                    <w:jc w:val="left"/>
                  </w:pPr>
                  <w:r w:rsidRPr="00FF562C">
                    <w:t>TRADEX</w:t>
                  </w:r>
                </w:p>
              </w:tc>
              <w:tc>
                <w:tcPr>
                  <w:tcW w:w="467" w:type="pct"/>
                  <w:gridSpan w:val="2"/>
                  <w:vAlign w:val="bottom"/>
                </w:tcPr>
                <w:p w:rsidR="00745FEA" w:rsidRPr="00FE2A3C" w:rsidRDefault="00745FEA" w:rsidP="00745FEA">
                  <w:pPr>
                    <w:pStyle w:val="TableBodyText"/>
                    <w:ind w:right="57"/>
                  </w:pPr>
                  <w:r w:rsidRPr="00FE2A3C">
                    <w:t>1.2</w:t>
                  </w:r>
                </w:p>
              </w:tc>
              <w:tc>
                <w:tcPr>
                  <w:tcW w:w="467" w:type="pct"/>
                  <w:gridSpan w:val="2"/>
                  <w:vAlign w:val="bottom"/>
                </w:tcPr>
                <w:p w:rsidR="00745FEA" w:rsidRPr="00FE2A3C" w:rsidRDefault="00745FEA" w:rsidP="00745FEA">
                  <w:pPr>
                    <w:pStyle w:val="TableBodyText"/>
                    <w:ind w:right="57"/>
                  </w:pPr>
                  <w:r w:rsidRPr="00FE2A3C">
                    <w:t>1.2</w:t>
                  </w:r>
                </w:p>
              </w:tc>
              <w:tc>
                <w:tcPr>
                  <w:tcW w:w="467" w:type="pct"/>
                  <w:gridSpan w:val="2"/>
                  <w:vAlign w:val="bottom"/>
                </w:tcPr>
                <w:p w:rsidR="00745FEA" w:rsidRPr="00FE2A3C" w:rsidRDefault="00745FEA" w:rsidP="00745FEA">
                  <w:pPr>
                    <w:pStyle w:val="TableBodyText"/>
                    <w:ind w:right="57"/>
                  </w:pPr>
                  <w:r w:rsidRPr="00FE2A3C">
                    <w:t>1.2</w:t>
                  </w:r>
                </w:p>
              </w:tc>
              <w:tc>
                <w:tcPr>
                  <w:tcW w:w="467" w:type="pct"/>
                  <w:gridSpan w:val="2"/>
                  <w:shd w:val="clear" w:color="auto" w:fill="auto"/>
                  <w:vAlign w:val="bottom"/>
                </w:tcPr>
                <w:p w:rsidR="00745FEA" w:rsidRPr="00FE2A3C" w:rsidRDefault="00745FEA" w:rsidP="00745FEA">
                  <w:pPr>
                    <w:pStyle w:val="TableBodyText"/>
                    <w:ind w:right="57"/>
                  </w:pPr>
                  <w:r w:rsidRPr="00FE2A3C">
                    <w:t>1.3</w:t>
                  </w:r>
                </w:p>
              </w:tc>
              <w:tc>
                <w:tcPr>
                  <w:tcW w:w="467" w:type="pct"/>
                  <w:gridSpan w:val="2"/>
                  <w:shd w:val="clear" w:color="auto" w:fill="auto"/>
                  <w:vAlign w:val="bottom"/>
                </w:tcPr>
                <w:p w:rsidR="00745FEA" w:rsidRPr="00FE2A3C" w:rsidRDefault="00745FEA" w:rsidP="00745FEA">
                  <w:pPr>
                    <w:pStyle w:val="TableBodyText"/>
                    <w:ind w:right="57"/>
                  </w:pPr>
                  <w:r w:rsidRPr="00FE2A3C">
                    <w:t>1.5</w:t>
                  </w:r>
                </w:p>
              </w:tc>
              <w:tc>
                <w:tcPr>
                  <w:tcW w:w="454" w:type="pct"/>
                  <w:shd w:val="clear" w:color="auto" w:fill="auto"/>
                  <w:vAlign w:val="bottom"/>
                </w:tcPr>
                <w:p w:rsidR="00745FEA" w:rsidRDefault="00745FEA" w:rsidP="00745FEA">
                  <w:pPr>
                    <w:pStyle w:val="TableBodyText"/>
                    <w:ind w:right="57"/>
                  </w:pPr>
                  <w:r w:rsidRPr="00FE2A3C">
                    <w:t>1.4</w:t>
                  </w:r>
                </w:p>
              </w:tc>
            </w:tr>
            <w:tr w:rsidR="00745FEA" w:rsidTr="00745FEA">
              <w:tc>
                <w:tcPr>
                  <w:tcW w:w="2198" w:type="pct"/>
                </w:tcPr>
                <w:p w:rsidR="00745FEA" w:rsidRPr="00BB69B6" w:rsidRDefault="00745FEA" w:rsidP="00745FEA">
                  <w:pPr>
                    <w:pStyle w:val="TableUnitsRow"/>
                    <w:spacing w:after="0"/>
                    <w:ind w:left="113"/>
                    <w:jc w:val="left"/>
                    <w:rPr>
                      <w:i/>
                    </w:rPr>
                  </w:pPr>
                  <w:r w:rsidRPr="00BB69B6">
                    <w:rPr>
                      <w:i/>
                    </w:rPr>
                    <w:t>General R&amp;D measures</w:t>
                  </w:r>
                </w:p>
              </w:tc>
              <w:tc>
                <w:tcPr>
                  <w:tcW w:w="470"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7" w:type="pct"/>
                  <w:gridSpan w:val="2"/>
                  <w:vAlign w:val="bottom"/>
                </w:tcPr>
                <w:p w:rsidR="00745FEA" w:rsidRDefault="00745FEA" w:rsidP="00745FEA">
                  <w:pPr>
                    <w:pStyle w:val="TableBodyText"/>
                    <w:ind w:right="57"/>
                  </w:pPr>
                </w:p>
              </w:tc>
              <w:tc>
                <w:tcPr>
                  <w:tcW w:w="462" w:type="pct"/>
                  <w:gridSpan w:val="2"/>
                  <w:vAlign w:val="bottom"/>
                </w:tcPr>
                <w:p w:rsidR="00745FEA" w:rsidRDefault="00745FEA" w:rsidP="00745FEA">
                  <w:pPr>
                    <w:pStyle w:val="TableBodyText"/>
                    <w:ind w:right="57"/>
                  </w:pPr>
                </w:p>
              </w:tc>
            </w:tr>
            <w:tr w:rsidR="00745FEA" w:rsidTr="00745FEA">
              <w:tc>
                <w:tcPr>
                  <w:tcW w:w="2198" w:type="pct"/>
                </w:tcPr>
                <w:p w:rsidR="00745FEA" w:rsidRPr="0097112C" w:rsidRDefault="00745FEA" w:rsidP="00745FEA">
                  <w:pPr>
                    <w:pStyle w:val="TableBodyText"/>
                    <w:spacing w:after="0"/>
                    <w:ind w:left="227" w:right="0"/>
                    <w:jc w:val="left"/>
                  </w:pPr>
                  <w:r w:rsidRPr="0097112C">
                    <w:t>Commercialisation Australia</w:t>
                  </w:r>
                </w:p>
              </w:tc>
              <w:tc>
                <w:tcPr>
                  <w:tcW w:w="470" w:type="pct"/>
                  <w:gridSpan w:val="2"/>
                  <w:vAlign w:val="bottom"/>
                </w:tcPr>
                <w:p w:rsidR="00745FEA" w:rsidRPr="008B38F9" w:rsidRDefault="00745FEA" w:rsidP="00745FEA">
                  <w:pPr>
                    <w:pStyle w:val="TableBodyText"/>
                    <w:ind w:right="57"/>
                  </w:pPr>
                  <w:r w:rsidRPr="008B38F9">
                    <w:t>2.1</w:t>
                  </w:r>
                </w:p>
              </w:tc>
              <w:tc>
                <w:tcPr>
                  <w:tcW w:w="467" w:type="pct"/>
                  <w:gridSpan w:val="2"/>
                  <w:vAlign w:val="bottom"/>
                </w:tcPr>
                <w:p w:rsidR="00745FEA" w:rsidRPr="008B38F9" w:rsidRDefault="00745FEA" w:rsidP="00745FEA">
                  <w:pPr>
                    <w:pStyle w:val="TableBodyText"/>
                    <w:ind w:right="57"/>
                  </w:pPr>
                  <w:r w:rsidRPr="008B38F9">
                    <w:t>3.0</w:t>
                  </w:r>
                </w:p>
              </w:tc>
              <w:tc>
                <w:tcPr>
                  <w:tcW w:w="467" w:type="pct"/>
                  <w:gridSpan w:val="2"/>
                  <w:vAlign w:val="bottom"/>
                </w:tcPr>
                <w:p w:rsidR="00745FEA" w:rsidRPr="008B38F9" w:rsidRDefault="00745FEA" w:rsidP="00745FEA">
                  <w:pPr>
                    <w:pStyle w:val="TableBodyText"/>
                    <w:ind w:right="57"/>
                  </w:pPr>
                  <w:r w:rsidRPr="008B38F9">
                    <w:t>2.2</w:t>
                  </w:r>
                </w:p>
              </w:tc>
              <w:tc>
                <w:tcPr>
                  <w:tcW w:w="467" w:type="pct"/>
                  <w:gridSpan w:val="2"/>
                  <w:vAlign w:val="bottom"/>
                </w:tcPr>
                <w:p w:rsidR="00745FEA" w:rsidRPr="008B38F9" w:rsidRDefault="00745FEA" w:rsidP="00745FEA">
                  <w:pPr>
                    <w:pStyle w:val="TableBodyText"/>
                    <w:ind w:right="57"/>
                  </w:pPr>
                  <w:r w:rsidRPr="008B38F9">
                    <w:t>0.9</w:t>
                  </w:r>
                </w:p>
              </w:tc>
              <w:tc>
                <w:tcPr>
                  <w:tcW w:w="467" w:type="pct"/>
                  <w:gridSpan w:val="2"/>
                  <w:vAlign w:val="bottom"/>
                </w:tcPr>
                <w:p w:rsidR="00745FEA" w:rsidRPr="008B38F9" w:rsidRDefault="00745FEA" w:rsidP="00745FEA">
                  <w:pPr>
                    <w:pStyle w:val="TableBodyText"/>
                    <w:ind w:right="57"/>
                  </w:pPr>
                  <w:r w:rsidRPr="008B38F9">
                    <w:t>–</w:t>
                  </w:r>
                </w:p>
              </w:tc>
              <w:tc>
                <w:tcPr>
                  <w:tcW w:w="462" w:type="pct"/>
                  <w:gridSpan w:val="2"/>
                  <w:vAlign w:val="bottom"/>
                </w:tcPr>
                <w:p w:rsidR="00745FEA" w:rsidRPr="008B38F9" w:rsidRDefault="00745FEA" w:rsidP="00745FEA">
                  <w:pPr>
                    <w:pStyle w:val="TableBodyText"/>
                    <w:ind w:right="57"/>
                  </w:pPr>
                  <w:r w:rsidRPr="008B38F9">
                    <w:t>–</w:t>
                  </w:r>
                </w:p>
              </w:tc>
            </w:tr>
            <w:tr w:rsidR="00745FEA" w:rsidTr="00745FEA">
              <w:tc>
                <w:tcPr>
                  <w:tcW w:w="2198" w:type="pct"/>
                </w:tcPr>
                <w:p w:rsidR="00745FEA" w:rsidRPr="0097112C" w:rsidRDefault="00745FEA" w:rsidP="00745FEA">
                  <w:pPr>
                    <w:pStyle w:val="TableBodyText"/>
                    <w:spacing w:after="0"/>
                    <w:ind w:left="227" w:right="0"/>
                    <w:jc w:val="left"/>
                  </w:pPr>
                  <w:r w:rsidRPr="0097112C">
                    <w:t>COMET Program</w:t>
                  </w:r>
                </w:p>
              </w:tc>
              <w:tc>
                <w:tcPr>
                  <w:tcW w:w="470" w:type="pct"/>
                  <w:gridSpan w:val="2"/>
                  <w:vAlign w:val="bottom"/>
                </w:tcPr>
                <w:p w:rsidR="00745FEA" w:rsidRPr="008B38F9" w:rsidRDefault="00745FEA" w:rsidP="00745FEA">
                  <w:pPr>
                    <w:pStyle w:val="TableBodyText"/>
                    <w:ind w:right="57"/>
                  </w:pPr>
                  <w:r w:rsidRPr="008B38F9">
                    <w:t>&lt;0.1</w:t>
                  </w:r>
                </w:p>
              </w:tc>
              <w:tc>
                <w:tcPr>
                  <w:tcW w:w="467" w:type="pct"/>
                  <w:gridSpan w:val="2"/>
                  <w:vAlign w:val="bottom"/>
                </w:tcPr>
                <w:p w:rsidR="00745FEA" w:rsidRPr="008B38F9" w:rsidRDefault="00745FEA" w:rsidP="00745FEA">
                  <w:pPr>
                    <w:pStyle w:val="TableBodyText"/>
                    <w:ind w:right="57"/>
                  </w:pPr>
                  <w:r w:rsidRPr="008B38F9">
                    <w:t>–</w:t>
                  </w:r>
                </w:p>
              </w:tc>
              <w:tc>
                <w:tcPr>
                  <w:tcW w:w="467" w:type="pct"/>
                  <w:gridSpan w:val="2"/>
                  <w:vAlign w:val="bottom"/>
                </w:tcPr>
                <w:p w:rsidR="00745FEA" w:rsidRPr="008B38F9" w:rsidRDefault="00745FEA" w:rsidP="00745FEA">
                  <w:pPr>
                    <w:pStyle w:val="TableBodyText"/>
                    <w:ind w:right="57"/>
                  </w:pPr>
                  <w:r w:rsidRPr="008B38F9">
                    <w:t>–</w:t>
                  </w:r>
                </w:p>
              </w:tc>
              <w:tc>
                <w:tcPr>
                  <w:tcW w:w="467" w:type="pct"/>
                  <w:gridSpan w:val="2"/>
                  <w:shd w:val="clear" w:color="auto" w:fill="auto"/>
                  <w:vAlign w:val="bottom"/>
                </w:tcPr>
                <w:p w:rsidR="00745FEA" w:rsidRPr="008B38F9" w:rsidRDefault="00745FEA" w:rsidP="00745FEA">
                  <w:pPr>
                    <w:pStyle w:val="TableBodyText"/>
                    <w:ind w:right="57"/>
                  </w:pPr>
                  <w:r w:rsidRPr="008B38F9">
                    <w:t>–</w:t>
                  </w:r>
                </w:p>
              </w:tc>
              <w:tc>
                <w:tcPr>
                  <w:tcW w:w="467" w:type="pct"/>
                  <w:gridSpan w:val="2"/>
                  <w:shd w:val="clear" w:color="auto" w:fill="auto"/>
                  <w:vAlign w:val="bottom"/>
                </w:tcPr>
                <w:p w:rsidR="00745FEA" w:rsidRPr="008B38F9" w:rsidRDefault="00745FEA" w:rsidP="00745FEA">
                  <w:pPr>
                    <w:pStyle w:val="TableBodyText"/>
                    <w:ind w:right="57"/>
                  </w:pPr>
                  <w:r w:rsidRPr="008B38F9">
                    <w:t>–</w:t>
                  </w:r>
                </w:p>
              </w:tc>
              <w:tc>
                <w:tcPr>
                  <w:tcW w:w="462" w:type="pct"/>
                  <w:gridSpan w:val="2"/>
                  <w:shd w:val="clear" w:color="auto" w:fill="auto"/>
                  <w:vAlign w:val="bottom"/>
                </w:tcPr>
                <w:p w:rsidR="00745FEA" w:rsidRPr="008B38F9" w:rsidRDefault="00745FEA" w:rsidP="00745FEA">
                  <w:pPr>
                    <w:pStyle w:val="TableBodyText"/>
                    <w:ind w:right="57"/>
                  </w:pPr>
                  <w:r w:rsidRPr="008B38F9">
                    <w:t>–</w:t>
                  </w:r>
                </w:p>
              </w:tc>
            </w:tr>
            <w:tr w:rsidR="00745FEA" w:rsidTr="00745FEA">
              <w:tc>
                <w:tcPr>
                  <w:tcW w:w="2198" w:type="pct"/>
                </w:tcPr>
                <w:p w:rsidR="00745FEA" w:rsidRPr="0097112C" w:rsidRDefault="00745FEA" w:rsidP="00745FEA">
                  <w:pPr>
                    <w:pStyle w:val="TableBodyText"/>
                    <w:spacing w:after="0"/>
                    <w:ind w:left="227" w:right="0"/>
                    <w:jc w:val="left"/>
                  </w:pPr>
                  <w:r w:rsidRPr="0097112C">
                    <w:t>Cooperative Research Centres</w:t>
                  </w:r>
                </w:p>
              </w:tc>
              <w:tc>
                <w:tcPr>
                  <w:tcW w:w="470" w:type="pct"/>
                  <w:gridSpan w:val="2"/>
                  <w:vAlign w:val="bottom"/>
                </w:tcPr>
                <w:p w:rsidR="00745FEA" w:rsidRPr="008B38F9" w:rsidRDefault="00745FEA" w:rsidP="00745FEA">
                  <w:pPr>
                    <w:pStyle w:val="TableBodyText"/>
                    <w:ind w:right="57"/>
                  </w:pPr>
                  <w:r w:rsidRPr="008B38F9">
                    <w:t>6.8</w:t>
                  </w:r>
                </w:p>
              </w:tc>
              <w:tc>
                <w:tcPr>
                  <w:tcW w:w="467" w:type="pct"/>
                  <w:gridSpan w:val="2"/>
                  <w:vAlign w:val="bottom"/>
                </w:tcPr>
                <w:p w:rsidR="00745FEA" w:rsidRPr="008B38F9" w:rsidRDefault="00745FEA" w:rsidP="00745FEA">
                  <w:pPr>
                    <w:pStyle w:val="TableBodyText"/>
                    <w:ind w:right="57"/>
                  </w:pPr>
                  <w:r w:rsidRPr="008B38F9">
                    <w:t>6.8</w:t>
                  </w:r>
                </w:p>
              </w:tc>
              <w:tc>
                <w:tcPr>
                  <w:tcW w:w="467" w:type="pct"/>
                  <w:gridSpan w:val="2"/>
                  <w:vAlign w:val="bottom"/>
                </w:tcPr>
                <w:p w:rsidR="00745FEA" w:rsidRPr="008B38F9" w:rsidRDefault="00745FEA" w:rsidP="00745FEA">
                  <w:pPr>
                    <w:pStyle w:val="TableBodyText"/>
                    <w:ind w:right="57"/>
                  </w:pPr>
                  <w:r w:rsidRPr="008B38F9">
                    <w:t>2.1</w:t>
                  </w:r>
                </w:p>
              </w:tc>
              <w:tc>
                <w:tcPr>
                  <w:tcW w:w="467" w:type="pct"/>
                  <w:gridSpan w:val="2"/>
                  <w:shd w:val="clear" w:color="auto" w:fill="auto"/>
                  <w:vAlign w:val="bottom"/>
                </w:tcPr>
                <w:p w:rsidR="00745FEA" w:rsidRPr="008B38F9" w:rsidRDefault="00745FEA" w:rsidP="00745FEA">
                  <w:pPr>
                    <w:pStyle w:val="TableBodyText"/>
                    <w:ind w:right="57"/>
                  </w:pPr>
                  <w:r w:rsidRPr="008B38F9">
                    <w:t>–</w:t>
                  </w:r>
                </w:p>
              </w:tc>
              <w:tc>
                <w:tcPr>
                  <w:tcW w:w="467" w:type="pct"/>
                  <w:gridSpan w:val="2"/>
                  <w:shd w:val="clear" w:color="auto" w:fill="auto"/>
                  <w:vAlign w:val="bottom"/>
                </w:tcPr>
                <w:p w:rsidR="00745FEA" w:rsidRPr="008B38F9" w:rsidRDefault="00745FEA" w:rsidP="00745FEA">
                  <w:pPr>
                    <w:pStyle w:val="TableBodyText"/>
                    <w:ind w:right="57"/>
                  </w:pPr>
                  <w:r w:rsidRPr="008B38F9">
                    <w:t>–</w:t>
                  </w:r>
                </w:p>
              </w:tc>
              <w:tc>
                <w:tcPr>
                  <w:tcW w:w="462" w:type="pct"/>
                  <w:gridSpan w:val="2"/>
                  <w:shd w:val="clear" w:color="auto" w:fill="auto"/>
                  <w:vAlign w:val="bottom"/>
                </w:tcPr>
                <w:p w:rsidR="00745FEA" w:rsidRPr="008B38F9" w:rsidRDefault="00745FEA" w:rsidP="00745FEA">
                  <w:pPr>
                    <w:pStyle w:val="TableBodyText"/>
                    <w:ind w:right="57"/>
                  </w:pPr>
                  <w:r w:rsidRPr="008B38F9">
                    <w:t>–</w:t>
                  </w:r>
                </w:p>
              </w:tc>
            </w:tr>
            <w:tr w:rsidR="00745FEA" w:rsidTr="00745FEA">
              <w:tc>
                <w:tcPr>
                  <w:tcW w:w="2198" w:type="pct"/>
                </w:tcPr>
                <w:p w:rsidR="00745FEA" w:rsidRPr="0097112C" w:rsidRDefault="00745FEA" w:rsidP="00745FEA">
                  <w:pPr>
                    <w:pStyle w:val="TableBodyText"/>
                    <w:spacing w:after="0"/>
                    <w:ind w:left="227" w:right="0"/>
                    <w:jc w:val="left"/>
                  </w:pPr>
                  <w:r w:rsidRPr="0097112C">
                    <w:t>CSIRO</w:t>
                  </w:r>
                </w:p>
              </w:tc>
              <w:tc>
                <w:tcPr>
                  <w:tcW w:w="470" w:type="pct"/>
                  <w:gridSpan w:val="2"/>
                  <w:vAlign w:val="bottom"/>
                </w:tcPr>
                <w:p w:rsidR="00745FEA" w:rsidRPr="008B38F9" w:rsidRDefault="00745FEA" w:rsidP="00745FEA">
                  <w:pPr>
                    <w:pStyle w:val="TableBodyText"/>
                    <w:ind w:right="57"/>
                  </w:pPr>
                  <w:r w:rsidRPr="008B38F9">
                    <w:t>6.7</w:t>
                  </w:r>
                </w:p>
              </w:tc>
              <w:tc>
                <w:tcPr>
                  <w:tcW w:w="467" w:type="pct"/>
                  <w:gridSpan w:val="2"/>
                  <w:vAlign w:val="bottom"/>
                </w:tcPr>
                <w:p w:rsidR="00745FEA" w:rsidRPr="008B38F9" w:rsidRDefault="00745FEA" w:rsidP="00745FEA">
                  <w:pPr>
                    <w:pStyle w:val="TableBodyText"/>
                    <w:ind w:right="57"/>
                  </w:pPr>
                  <w:r w:rsidRPr="008B38F9">
                    <w:t>4.5</w:t>
                  </w:r>
                </w:p>
              </w:tc>
              <w:tc>
                <w:tcPr>
                  <w:tcW w:w="467" w:type="pct"/>
                  <w:gridSpan w:val="2"/>
                  <w:vAlign w:val="bottom"/>
                </w:tcPr>
                <w:p w:rsidR="00745FEA" w:rsidRPr="008B38F9" w:rsidRDefault="00745FEA" w:rsidP="00745FEA">
                  <w:pPr>
                    <w:pStyle w:val="TableBodyText"/>
                    <w:ind w:right="57"/>
                  </w:pPr>
                  <w:r w:rsidRPr="008B38F9">
                    <w:t>4.4</w:t>
                  </w:r>
                </w:p>
              </w:tc>
              <w:tc>
                <w:tcPr>
                  <w:tcW w:w="467" w:type="pct"/>
                  <w:gridSpan w:val="2"/>
                  <w:shd w:val="clear" w:color="auto" w:fill="auto"/>
                  <w:vAlign w:val="bottom"/>
                </w:tcPr>
                <w:p w:rsidR="00745FEA" w:rsidRPr="008B38F9" w:rsidRDefault="00745FEA" w:rsidP="00745FEA">
                  <w:pPr>
                    <w:pStyle w:val="TableBodyText"/>
                    <w:ind w:right="57"/>
                  </w:pPr>
                  <w:r w:rsidRPr="008B38F9">
                    <w:t>1.9</w:t>
                  </w:r>
                </w:p>
              </w:tc>
              <w:tc>
                <w:tcPr>
                  <w:tcW w:w="467" w:type="pct"/>
                  <w:gridSpan w:val="2"/>
                  <w:shd w:val="clear" w:color="auto" w:fill="auto"/>
                  <w:vAlign w:val="bottom"/>
                </w:tcPr>
                <w:p w:rsidR="00745FEA" w:rsidRPr="008B38F9" w:rsidRDefault="00745FEA" w:rsidP="00745FEA">
                  <w:pPr>
                    <w:pStyle w:val="TableBodyText"/>
                    <w:ind w:right="57"/>
                  </w:pPr>
                  <w:r w:rsidRPr="008B38F9">
                    <w:t>1.5</w:t>
                  </w:r>
                </w:p>
              </w:tc>
              <w:tc>
                <w:tcPr>
                  <w:tcW w:w="462" w:type="pct"/>
                  <w:gridSpan w:val="2"/>
                  <w:shd w:val="clear" w:color="auto" w:fill="auto"/>
                  <w:vAlign w:val="bottom"/>
                </w:tcPr>
                <w:p w:rsidR="00745FEA" w:rsidRPr="008B38F9" w:rsidRDefault="00745FEA" w:rsidP="00745FEA">
                  <w:pPr>
                    <w:pStyle w:val="TableBodyText"/>
                    <w:ind w:right="57"/>
                  </w:pPr>
                  <w:r w:rsidRPr="008B38F9">
                    <w:t>5.8</w:t>
                  </w:r>
                </w:p>
              </w:tc>
            </w:tr>
            <w:tr w:rsidR="00745FEA" w:rsidTr="00745FEA">
              <w:tc>
                <w:tcPr>
                  <w:tcW w:w="2198" w:type="pct"/>
                </w:tcPr>
                <w:p w:rsidR="00745FEA" w:rsidRPr="0097112C" w:rsidRDefault="00745FEA" w:rsidP="00745FEA">
                  <w:pPr>
                    <w:pStyle w:val="TableBodyText"/>
                    <w:spacing w:after="0"/>
                    <w:ind w:left="227" w:right="0"/>
                    <w:jc w:val="left"/>
                  </w:pPr>
                  <w:r w:rsidRPr="0097112C">
                    <w:t>Manufacturing Technology Innovation Centre</w:t>
                  </w:r>
                </w:p>
              </w:tc>
              <w:tc>
                <w:tcPr>
                  <w:tcW w:w="470" w:type="pct"/>
                  <w:gridSpan w:val="2"/>
                  <w:vAlign w:val="bottom"/>
                </w:tcPr>
                <w:p w:rsidR="00745FEA" w:rsidRPr="008B38F9" w:rsidRDefault="00745FEA" w:rsidP="00745FEA">
                  <w:pPr>
                    <w:pStyle w:val="TableBodyText"/>
                    <w:ind w:right="57"/>
                  </w:pPr>
                  <w:r w:rsidRPr="008B38F9">
                    <w:t>–</w:t>
                  </w:r>
                </w:p>
              </w:tc>
              <w:tc>
                <w:tcPr>
                  <w:tcW w:w="467" w:type="pct"/>
                  <w:gridSpan w:val="2"/>
                  <w:vAlign w:val="bottom"/>
                </w:tcPr>
                <w:p w:rsidR="00745FEA" w:rsidRPr="008B38F9" w:rsidRDefault="00745FEA" w:rsidP="00745FEA">
                  <w:pPr>
                    <w:pStyle w:val="TableBodyText"/>
                    <w:ind w:right="57"/>
                  </w:pPr>
                  <w:r w:rsidRPr="008B38F9">
                    <w:t>–</w:t>
                  </w:r>
                </w:p>
              </w:tc>
              <w:tc>
                <w:tcPr>
                  <w:tcW w:w="467" w:type="pct"/>
                  <w:gridSpan w:val="2"/>
                  <w:vAlign w:val="bottom"/>
                </w:tcPr>
                <w:p w:rsidR="00745FEA" w:rsidRPr="008B38F9" w:rsidRDefault="00745FEA" w:rsidP="00745FEA">
                  <w:pPr>
                    <w:pStyle w:val="TableBodyText"/>
                    <w:ind w:right="57"/>
                  </w:pPr>
                  <w:r w:rsidRPr="008B38F9">
                    <w:t>1.2</w:t>
                  </w:r>
                </w:p>
              </w:tc>
              <w:tc>
                <w:tcPr>
                  <w:tcW w:w="467" w:type="pct"/>
                  <w:gridSpan w:val="2"/>
                  <w:shd w:val="clear" w:color="auto" w:fill="auto"/>
                  <w:vAlign w:val="bottom"/>
                </w:tcPr>
                <w:p w:rsidR="00745FEA" w:rsidRPr="008B38F9" w:rsidRDefault="00745FEA" w:rsidP="00745FEA">
                  <w:pPr>
                    <w:pStyle w:val="TableBodyText"/>
                    <w:ind w:right="57"/>
                  </w:pPr>
                  <w:r w:rsidRPr="008B38F9">
                    <w:t>–</w:t>
                  </w:r>
                </w:p>
              </w:tc>
              <w:tc>
                <w:tcPr>
                  <w:tcW w:w="467" w:type="pct"/>
                  <w:gridSpan w:val="2"/>
                  <w:shd w:val="clear" w:color="auto" w:fill="auto"/>
                  <w:vAlign w:val="bottom"/>
                </w:tcPr>
                <w:p w:rsidR="00745FEA" w:rsidRPr="008B38F9" w:rsidRDefault="00745FEA" w:rsidP="00745FEA">
                  <w:pPr>
                    <w:pStyle w:val="TableBodyText"/>
                    <w:ind w:right="57"/>
                  </w:pPr>
                  <w:r w:rsidRPr="008B38F9">
                    <w:t>–</w:t>
                  </w:r>
                </w:p>
              </w:tc>
              <w:tc>
                <w:tcPr>
                  <w:tcW w:w="462" w:type="pct"/>
                  <w:gridSpan w:val="2"/>
                  <w:shd w:val="clear" w:color="auto" w:fill="auto"/>
                  <w:vAlign w:val="bottom"/>
                </w:tcPr>
                <w:p w:rsidR="00745FEA" w:rsidRPr="008B38F9" w:rsidRDefault="00745FEA" w:rsidP="00745FEA">
                  <w:pPr>
                    <w:pStyle w:val="TableBodyText"/>
                    <w:ind w:right="57"/>
                  </w:pPr>
                  <w:r w:rsidRPr="008B38F9">
                    <w:t>–</w:t>
                  </w:r>
                </w:p>
              </w:tc>
            </w:tr>
            <w:tr w:rsidR="00745FEA" w:rsidTr="00745FEA">
              <w:tc>
                <w:tcPr>
                  <w:tcW w:w="2198" w:type="pct"/>
                  <w:tcBorders>
                    <w:bottom w:val="single" w:sz="6" w:space="0" w:color="BFBFBF"/>
                  </w:tcBorders>
                </w:tcPr>
                <w:p w:rsidR="00745FEA" w:rsidRPr="0097112C" w:rsidRDefault="00745FEA" w:rsidP="00745FEA">
                  <w:pPr>
                    <w:pStyle w:val="TableBodyText"/>
                    <w:ind w:left="227" w:right="0"/>
                    <w:jc w:val="left"/>
                  </w:pPr>
                  <w:r>
                    <w:t>R&amp;D Tax Incentive – refundable tax offset</w:t>
                  </w:r>
                </w:p>
              </w:tc>
              <w:tc>
                <w:tcPr>
                  <w:tcW w:w="470" w:type="pct"/>
                  <w:gridSpan w:val="2"/>
                  <w:tcBorders>
                    <w:bottom w:val="single" w:sz="6" w:space="0" w:color="BFBFBF"/>
                  </w:tcBorders>
                  <w:vAlign w:val="bottom"/>
                </w:tcPr>
                <w:p w:rsidR="00745FEA" w:rsidRPr="008B38F9" w:rsidRDefault="00745FEA" w:rsidP="00745FEA">
                  <w:pPr>
                    <w:pStyle w:val="TableBodyText"/>
                    <w:ind w:right="57"/>
                  </w:pPr>
                  <w:r w:rsidRPr="008B38F9">
                    <w:t>–</w:t>
                  </w:r>
                </w:p>
              </w:tc>
              <w:tc>
                <w:tcPr>
                  <w:tcW w:w="467" w:type="pct"/>
                  <w:gridSpan w:val="2"/>
                  <w:tcBorders>
                    <w:bottom w:val="single" w:sz="6" w:space="0" w:color="BFBFBF"/>
                  </w:tcBorders>
                  <w:vAlign w:val="bottom"/>
                </w:tcPr>
                <w:p w:rsidR="00745FEA" w:rsidRPr="008B38F9" w:rsidRDefault="00745FEA" w:rsidP="00745FEA">
                  <w:pPr>
                    <w:pStyle w:val="TableBodyText"/>
                    <w:ind w:right="57"/>
                  </w:pPr>
                  <w:r w:rsidRPr="008B38F9">
                    <w:t>8.1</w:t>
                  </w:r>
                </w:p>
              </w:tc>
              <w:tc>
                <w:tcPr>
                  <w:tcW w:w="467" w:type="pct"/>
                  <w:gridSpan w:val="2"/>
                  <w:tcBorders>
                    <w:bottom w:val="single" w:sz="6" w:space="0" w:color="BFBFBF"/>
                  </w:tcBorders>
                  <w:vAlign w:val="bottom"/>
                </w:tcPr>
                <w:p w:rsidR="00745FEA" w:rsidRPr="008B38F9" w:rsidRDefault="00745FEA" w:rsidP="00745FEA">
                  <w:pPr>
                    <w:pStyle w:val="TableBodyText"/>
                    <w:ind w:right="57"/>
                  </w:pPr>
                  <w:r w:rsidRPr="008B38F9">
                    <w:t>7.8</w:t>
                  </w:r>
                </w:p>
              </w:tc>
              <w:tc>
                <w:tcPr>
                  <w:tcW w:w="467" w:type="pct"/>
                  <w:gridSpan w:val="2"/>
                  <w:tcBorders>
                    <w:bottom w:val="single" w:sz="6" w:space="0" w:color="BFBFBF"/>
                  </w:tcBorders>
                  <w:shd w:val="clear" w:color="auto" w:fill="auto"/>
                  <w:vAlign w:val="bottom"/>
                </w:tcPr>
                <w:p w:rsidR="00745FEA" w:rsidRPr="008B38F9" w:rsidRDefault="00745FEA" w:rsidP="00745FEA">
                  <w:pPr>
                    <w:pStyle w:val="TableBodyText"/>
                    <w:ind w:right="57"/>
                  </w:pPr>
                  <w:r w:rsidRPr="008B38F9">
                    <w:t>10.5</w:t>
                  </w:r>
                </w:p>
              </w:tc>
              <w:tc>
                <w:tcPr>
                  <w:tcW w:w="467" w:type="pct"/>
                  <w:gridSpan w:val="2"/>
                  <w:tcBorders>
                    <w:bottom w:val="single" w:sz="6" w:space="0" w:color="BFBFBF"/>
                  </w:tcBorders>
                  <w:shd w:val="clear" w:color="auto" w:fill="auto"/>
                  <w:vAlign w:val="bottom"/>
                </w:tcPr>
                <w:p w:rsidR="00745FEA" w:rsidRPr="008B38F9" w:rsidRDefault="00745FEA" w:rsidP="00745FEA">
                  <w:pPr>
                    <w:pStyle w:val="TableBodyText"/>
                    <w:ind w:right="57"/>
                  </w:pPr>
                  <w:r w:rsidRPr="008B38F9">
                    <w:t>11.1</w:t>
                  </w:r>
                </w:p>
              </w:tc>
              <w:tc>
                <w:tcPr>
                  <w:tcW w:w="462" w:type="pct"/>
                  <w:gridSpan w:val="2"/>
                  <w:tcBorders>
                    <w:bottom w:val="single" w:sz="6" w:space="0" w:color="BFBFBF"/>
                  </w:tcBorders>
                  <w:shd w:val="clear" w:color="auto" w:fill="auto"/>
                  <w:vAlign w:val="bottom"/>
                </w:tcPr>
                <w:p w:rsidR="00745FEA" w:rsidRDefault="00745FEA" w:rsidP="00745FEA">
                  <w:pPr>
                    <w:pStyle w:val="TableBodyText"/>
                    <w:ind w:right="57"/>
                  </w:pPr>
                  <w:r w:rsidRPr="008B38F9">
                    <w:t>13.5</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802"/>
              <w:gridCol w:w="794"/>
              <w:gridCol w:w="794"/>
              <w:gridCol w:w="794"/>
              <w:gridCol w:w="794"/>
              <w:gridCol w:w="784"/>
            </w:tblGrid>
            <w:tr w:rsidR="00745FEA" w:rsidTr="00C719FB">
              <w:trPr>
                <w:tblHeader/>
              </w:trPr>
              <w:tc>
                <w:tcPr>
                  <w:tcW w:w="2218" w:type="pct"/>
                  <w:tcBorders>
                    <w:top w:val="single" w:sz="6" w:space="0" w:color="BFBFBF"/>
                    <w:bottom w:val="single" w:sz="6" w:space="0" w:color="BFBFBF"/>
                  </w:tcBorders>
                </w:tcPr>
                <w:p w:rsidR="00745FEA" w:rsidRDefault="00745FEA" w:rsidP="00745FEA">
                  <w:pPr>
                    <w:pStyle w:val="TableColumnHeading"/>
                    <w:jc w:val="left"/>
                  </w:pP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8"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tcPr>
                <w:p w:rsidR="00745FEA" w:rsidRPr="00BB69B6" w:rsidRDefault="00745FEA" w:rsidP="00745FEA">
                  <w:pPr>
                    <w:pStyle w:val="TableBodyText"/>
                    <w:spacing w:before="40" w:after="0"/>
                    <w:ind w:left="113"/>
                    <w:jc w:val="left"/>
                    <w:rPr>
                      <w:i/>
                    </w:rPr>
                  </w:pPr>
                  <w:r w:rsidRPr="00BB69B6">
                    <w:rPr>
                      <w:i/>
                    </w:rPr>
                    <w:t>General R&amp;D measures</w:t>
                  </w:r>
                  <w:r>
                    <w:rPr>
                      <w:i/>
                    </w:rPr>
                    <w:t xml:space="preserve"> (continued)</w:t>
                  </w:r>
                </w:p>
              </w:tc>
              <w:tc>
                <w:tcPr>
                  <w:tcW w:w="468"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58"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97112C" w:rsidRDefault="00745FEA" w:rsidP="00745FEA">
                  <w:pPr>
                    <w:pStyle w:val="TableBodyText"/>
                    <w:spacing w:after="0"/>
                    <w:ind w:left="227" w:right="0"/>
                    <w:jc w:val="left"/>
                  </w:pPr>
                  <w:r w:rsidRPr="0097112C">
                    <w:t>R&amp;D tax offsets - Refundable</w:t>
                  </w:r>
                </w:p>
              </w:tc>
              <w:tc>
                <w:tcPr>
                  <w:tcW w:w="468" w:type="pct"/>
                  <w:vAlign w:val="bottom"/>
                </w:tcPr>
                <w:p w:rsidR="00745FEA" w:rsidRPr="003C6373" w:rsidRDefault="00745FEA" w:rsidP="00745FEA">
                  <w:pPr>
                    <w:pStyle w:val="TableBodyText"/>
                    <w:ind w:right="57"/>
                  </w:pPr>
                  <w:r w:rsidRPr="003C6373">
                    <w:t>3.4</w:t>
                  </w:r>
                </w:p>
              </w:tc>
              <w:tc>
                <w:tcPr>
                  <w:tcW w:w="464" w:type="pct"/>
                  <w:vAlign w:val="bottom"/>
                </w:tcPr>
                <w:p w:rsidR="00745FEA" w:rsidRPr="003C6373" w:rsidRDefault="00745FEA" w:rsidP="00745FEA">
                  <w:pPr>
                    <w:pStyle w:val="TableBodyText"/>
                    <w:ind w:right="57"/>
                  </w:pPr>
                  <w:r w:rsidRPr="003C6373">
                    <w:t>–</w:t>
                  </w:r>
                </w:p>
              </w:tc>
              <w:tc>
                <w:tcPr>
                  <w:tcW w:w="464" w:type="pct"/>
                  <w:vAlign w:val="bottom"/>
                </w:tcPr>
                <w:p w:rsidR="00745FEA" w:rsidRPr="003C6373" w:rsidRDefault="00745FEA" w:rsidP="00745FEA">
                  <w:pPr>
                    <w:pStyle w:val="TableBodyText"/>
                    <w:ind w:right="57"/>
                  </w:pPr>
                  <w:r w:rsidRPr="003C6373">
                    <w:t>–</w:t>
                  </w:r>
                </w:p>
              </w:tc>
              <w:tc>
                <w:tcPr>
                  <w:tcW w:w="464" w:type="pct"/>
                  <w:shd w:val="clear" w:color="auto" w:fill="auto"/>
                  <w:vAlign w:val="bottom"/>
                </w:tcPr>
                <w:p w:rsidR="00745FEA" w:rsidRPr="003C6373" w:rsidRDefault="00745FEA" w:rsidP="00745FEA">
                  <w:pPr>
                    <w:pStyle w:val="TableBodyText"/>
                    <w:ind w:right="57"/>
                  </w:pPr>
                  <w:r w:rsidRPr="003C6373">
                    <w:t>–</w:t>
                  </w:r>
                </w:p>
              </w:tc>
              <w:tc>
                <w:tcPr>
                  <w:tcW w:w="464" w:type="pct"/>
                  <w:shd w:val="clear" w:color="auto" w:fill="auto"/>
                  <w:vAlign w:val="bottom"/>
                </w:tcPr>
                <w:p w:rsidR="00745FEA" w:rsidRPr="003C6373" w:rsidRDefault="00745FEA" w:rsidP="00745FEA">
                  <w:pPr>
                    <w:pStyle w:val="TableBodyText"/>
                    <w:ind w:right="57"/>
                  </w:pPr>
                  <w:r w:rsidRPr="003C6373">
                    <w:t>–</w:t>
                  </w:r>
                </w:p>
              </w:tc>
              <w:tc>
                <w:tcPr>
                  <w:tcW w:w="458" w:type="pct"/>
                  <w:shd w:val="clear" w:color="auto" w:fill="auto"/>
                  <w:vAlign w:val="bottom"/>
                </w:tcPr>
                <w:p w:rsidR="00745FEA" w:rsidRPr="003C6373" w:rsidRDefault="00745FEA" w:rsidP="00745FEA">
                  <w:pPr>
                    <w:pStyle w:val="TableBodyText"/>
                    <w:ind w:right="57"/>
                  </w:pPr>
                  <w:r w:rsidRPr="003C6373">
                    <w:t>–</w:t>
                  </w:r>
                </w:p>
              </w:tc>
            </w:tr>
            <w:tr w:rsidR="00745FEA" w:rsidTr="00745FEA">
              <w:tc>
                <w:tcPr>
                  <w:tcW w:w="2218" w:type="pct"/>
                </w:tcPr>
                <w:p w:rsidR="00745FEA" w:rsidRPr="0097112C" w:rsidRDefault="00745FEA" w:rsidP="00745FEA">
                  <w:pPr>
                    <w:pStyle w:val="TableBodyText"/>
                    <w:spacing w:after="0"/>
                    <w:ind w:left="227" w:right="0"/>
                    <w:jc w:val="left"/>
                  </w:pPr>
                  <w:r w:rsidRPr="0097112C">
                    <w:t>Premium R&amp;D tax concession</w:t>
                  </w:r>
                </w:p>
              </w:tc>
              <w:tc>
                <w:tcPr>
                  <w:tcW w:w="468" w:type="pct"/>
                  <w:vAlign w:val="bottom"/>
                </w:tcPr>
                <w:p w:rsidR="00745FEA" w:rsidRPr="003C6373" w:rsidRDefault="00745FEA" w:rsidP="00745FEA">
                  <w:pPr>
                    <w:pStyle w:val="TableBodyText"/>
                    <w:ind w:right="57"/>
                  </w:pPr>
                  <w:r w:rsidRPr="003C6373">
                    <w:t>0.4</w:t>
                  </w:r>
                </w:p>
              </w:tc>
              <w:tc>
                <w:tcPr>
                  <w:tcW w:w="464" w:type="pct"/>
                  <w:vAlign w:val="bottom"/>
                </w:tcPr>
                <w:p w:rsidR="00745FEA" w:rsidRPr="003C6373" w:rsidRDefault="00745FEA" w:rsidP="00745FEA">
                  <w:pPr>
                    <w:pStyle w:val="TableBodyText"/>
                    <w:ind w:right="57"/>
                  </w:pPr>
                  <w:r w:rsidRPr="003C6373">
                    <w:t>0.1</w:t>
                  </w:r>
                </w:p>
              </w:tc>
              <w:tc>
                <w:tcPr>
                  <w:tcW w:w="464" w:type="pct"/>
                  <w:vAlign w:val="bottom"/>
                </w:tcPr>
                <w:p w:rsidR="00745FEA" w:rsidRPr="003C6373" w:rsidRDefault="00745FEA" w:rsidP="00745FEA">
                  <w:pPr>
                    <w:pStyle w:val="TableBodyText"/>
                    <w:ind w:right="57"/>
                  </w:pPr>
                  <w:r w:rsidRPr="003C6373">
                    <w:t>0.1</w:t>
                  </w:r>
                </w:p>
              </w:tc>
              <w:tc>
                <w:tcPr>
                  <w:tcW w:w="464" w:type="pct"/>
                  <w:shd w:val="clear" w:color="auto" w:fill="auto"/>
                  <w:vAlign w:val="bottom"/>
                </w:tcPr>
                <w:p w:rsidR="00745FEA" w:rsidRPr="003C6373" w:rsidRDefault="00745FEA" w:rsidP="00745FEA">
                  <w:pPr>
                    <w:pStyle w:val="TableBodyText"/>
                    <w:ind w:right="57"/>
                  </w:pPr>
                  <w:r w:rsidRPr="003C6373">
                    <w:t>–</w:t>
                  </w:r>
                </w:p>
              </w:tc>
              <w:tc>
                <w:tcPr>
                  <w:tcW w:w="464" w:type="pct"/>
                  <w:shd w:val="clear" w:color="auto" w:fill="auto"/>
                  <w:vAlign w:val="bottom"/>
                </w:tcPr>
                <w:p w:rsidR="00745FEA" w:rsidRPr="003C6373" w:rsidRDefault="00745FEA" w:rsidP="00745FEA">
                  <w:pPr>
                    <w:pStyle w:val="TableBodyText"/>
                    <w:ind w:right="57"/>
                  </w:pPr>
                  <w:r w:rsidRPr="003C6373">
                    <w:t>–</w:t>
                  </w:r>
                </w:p>
              </w:tc>
              <w:tc>
                <w:tcPr>
                  <w:tcW w:w="458" w:type="pct"/>
                  <w:shd w:val="clear" w:color="auto" w:fill="auto"/>
                  <w:vAlign w:val="bottom"/>
                </w:tcPr>
                <w:p w:rsidR="00745FEA" w:rsidRPr="003C6373" w:rsidRDefault="00745FEA" w:rsidP="00745FEA">
                  <w:pPr>
                    <w:pStyle w:val="TableBodyText"/>
                    <w:ind w:right="57"/>
                  </w:pPr>
                  <w:r w:rsidRPr="003C6373">
                    <w:t>–</w:t>
                  </w:r>
                </w:p>
              </w:tc>
            </w:tr>
            <w:tr w:rsidR="00745FEA" w:rsidTr="00745FEA">
              <w:tc>
                <w:tcPr>
                  <w:tcW w:w="2218" w:type="pct"/>
                </w:tcPr>
                <w:p w:rsidR="00745FEA" w:rsidRPr="00984554" w:rsidRDefault="00745FEA" w:rsidP="00745FEA">
                  <w:pPr>
                    <w:pStyle w:val="TableBodyText"/>
                    <w:spacing w:after="0"/>
                    <w:ind w:left="227" w:right="0"/>
                    <w:jc w:val="left"/>
                  </w:pPr>
                  <w:r w:rsidRPr="00984554">
                    <w:t>R&amp;D tax concession</w:t>
                  </w:r>
                </w:p>
              </w:tc>
              <w:tc>
                <w:tcPr>
                  <w:tcW w:w="468" w:type="pct"/>
                  <w:vAlign w:val="bottom"/>
                </w:tcPr>
                <w:p w:rsidR="00745FEA" w:rsidRPr="003C6373" w:rsidRDefault="00745FEA" w:rsidP="00745FEA">
                  <w:pPr>
                    <w:pStyle w:val="TableBodyText"/>
                    <w:ind w:right="57"/>
                  </w:pPr>
                  <w:r w:rsidRPr="003C6373">
                    <w:t>2.3</w:t>
                  </w:r>
                </w:p>
              </w:tc>
              <w:tc>
                <w:tcPr>
                  <w:tcW w:w="464" w:type="pct"/>
                  <w:vAlign w:val="bottom"/>
                </w:tcPr>
                <w:p w:rsidR="00745FEA" w:rsidRPr="003C6373" w:rsidRDefault="00745FEA" w:rsidP="00745FEA">
                  <w:pPr>
                    <w:pStyle w:val="TableBodyText"/>
                    <w:ind w:right="57"/>
                  </w:pPr>
                  <w:r w:rsidRPr="003C6373">
                    <w:t>1.0</w:t>
                  </w:r>
                </w:p>
              </w:tc>
              <w:tc>
                <w:tcPr>
                  <w:tcW w:w="464" w:type="pct"/>
                  <w:vAlign w:val="bottom"/>
                </w:tcPr>
                <w:p w:rsidR="00745FEA" w:rsidRPr="003C6373" w:rsidRDefault="00745FEA" w:rsidP="00745FEA">
                  <w:pPr>
                    <w:pStyle w:val="TableBodyText"/>
                    <w:ind w:right="57"/>
                  </w:pPr>
                  <w:r w:rsidRPr="003C6373">
                    <w:t>0.3</w:t>
                  </w:r>
                </w:p>
              </w:tc>
              <w:tc>
                <w:tcPr>
                  <w:tcW w:w="464" w:type="pct"/>
                  <w:shd w:val="clear" w:color="auto" w:fill="auto"/>
                  <w:vAlign w:val="bottom"/>
                </w:tcPr>
                <w:p w:rsidR="00745FEA" w:rsidRPr="003C6373" w:rsidRDefault="00745FEA" w:rsidP="00745FEA">
                  <w:pPr>
                    <w:pStyle w:val="TableBodyText"/>
                    <w:ind w:right="57"/>
                  </w:pPr>
                  <w:r w:rsidRPr="003C6373">
                    <w:t>0.1</w:t>
                  </w:r>
                </w:p>
              </w:tc>
              <w:tc>
                <w:tcPr>
                  <w:tcW w:w="464" w:type="pct"/>
                  <w:shd w:val="clear" w:color="auto" w:fill="auto"/>
                  <w:vAlign w:val="bottom"/>
                </w:tcPr>
                <w:p w:rsidR="00745FEA" w:rsidRPr="003C6373" w:rsidRDefault="00745FEA" w:rsidP="00745FEA">
                  <w:pPr>
                    <w:pStyle w:val="TableBodyText"/>
                    <w:ind w:right="57"/>
                  </w:pPr>
                  <w:r w:rsidRPr="003C6373">
                    <w:t>–</w:t>
                  </w:r>
                </w:p>
              </w:tc>
              <w:tc>
                <w:tcPr>
                  <w:tcW w:w="458" w:type="pct"/>
                  <w:shd w:val="clear" w:color="auto" w:fill="auto"/>
                  <w:vAlign w:val="bottom"/>
                </w:tcPr>
                <w:p w:rsidR="00745FEA" w:rsidRPr="003C6373" w:rsidRDefault="00745FEA" w:rsidP="00745FEA">
                  <w:pPr>
                    <w:pStyle w:val="TableBodyText"/>
                    <w:ind w:right="57"/>
                  </w:pPr>
                  <w:r w:rsidRPr="003C6373">
                    <w:t>–</w:t>
                  </w:r>
                </w:p>
              </w:tc>
            </w:tr>
            <w:tr w:rsidR="00745FEA" w:rsidTr="00745FEA">
              <w:tc>
                <w:tcPr>
                  <w:tcW w:w="2218" w:type="pct"/>
                </w:tcPr>
                <w:p w:rsidR="00745FEA" w:rsidRPr="00984554" w:rsidRDefault="00745FEA" w:rsidP="00745FEA">
                  <w:pPr>
                    <w:pStyle w:val="TableBodyText"/>
                    <w:spacing w:after="0"/>
                    <w:ind w:left="227" w:right="0"/>
                    <w:jc w:val="left"/>
                  </w:pPr>
                  <w:r w:rsidRPr="00984554">
                    <w:t>R&amp;D Tax Incentive - non-refundable tax offset</w:t>
                  </w:r>
                </w:p>
              </w:tc>
              <w:tc>
                <w:tcPr>
                  <w:tcW w:w="468" w:type="pct"/>
                  <w:vAlign w:val="bottom"/>
                </w:tcPr>
                <w:p w:rsidR="00745FEA" w:rsidRPr="003C6373" w:rsidRDefault="00745FEA" w:rsidP="00745FEA">
                  <w:pPr>
                    <w:pStyle w:val="TableBodyText"/>
                    <w:ind w:right="57"/>
                  </w:pPr>
                  <w:r w:rsidRPr="003C6373">
                    <w:t>–</w:t>
                  </w:r>
                </w:p>
              </w:tc>
              <w:tc>
                <w:tcPr>
                  <w:tcW w:w="464" w:type="pct"/>
                  <w:vAlign w:val="bottom"/>
                </w:tcPr>
                <w:p w:rsidR="00745FEA" w:rsidRPr="003C6373" w:rsidRDefault="00745FEA" w:rsidP="00745FEA">
                  <w:pPr>
                    <w:pStyle w:val="TableBodyText"/>
                    <w:ind w:right="57"/>
                  </w:pPr>
                  <w:r w:rsidRPr="003C6373">
                    <w:t>1.1</w:t>
                  </w:r>
                </w:p>
              </w:tc>
              <w:tc>
                <w:tcPr>
                  <w:tcW w:w="464" w:type="pct"/>
                  <w:vAlign w:val="bottom"/>
                </w:tcPr>
                <w:p w:rsidR="00745FEA" w:rsidRPr="003C6373" w:rsidRDefault="00745FEA" w:rsidP="00745FEA">
                  <w:pPr>
                    <w:pStyle w:val="TableBodyText"/>
                    <w:ind w:right="57"/>
                  </w:pPr>
                  <w:r w:rsidRPr="003C6373">
                    <w:t>2.8</w:t>
                  </w:r>
                </w:p>
              </w:tc>
              <w:tc>
                <w:tcPr>
                  <w:tcW w:w="464" w:type="pct"/>
                  <w:shd w:val="clear" w:color="auto" w:fill="auto"/>
                  <w:vAlign w:val="bottom"/>
                </w:tcPr>
                <w:p w:rsidR="00745FEA" w:rsidRPr="003C6373" w:rsidRDefault="00745FEA" w:rsidP="00745FEA">
                  <w:pPr>
                    <w:pStyle w:val="TableBodyText"/>
                    <w:ind w:right="57"/>
                  </w:pPr>
                  <w:r w:rsidRPr="003C6373">
                    <w:t>0.7</w:t>
                  </w:r>
                </w:p>
              </w:tc>
              <w:tc>
                <w:tcPr>
                  <w:tcW w:w="464" w:type="pct"/>
                  <w:shd w:val="clear" w:color="auto" w:fill="auto"/>
                  <w:vAlign w:val="bottom"/>
                </w:tcPr>
                <w:p w:rsidR="00745FEA" w:rsidRPr="003C6373" w:rsidRDefault="00745FEA" w:rsidP="00745FEA">
                  <w:pPr>
                    <w:pStyle w:val="TableBodyText"/>
                    <w:ind w:right="57"/>
                  </w:pPr>
                  <w:r w:rsidRPr="003C6373">
                    <w:t>0.2</w:t>
                  </w:r>
                </w:p>
              </w:tc>
              <w:tc>
                <w:tcPr>
                  <w:tcW w:w="458" w:type="pct"/>
                  <w:shd w:val="clear" w:color="auto" w:fill="auto"/>
                  <w:vAlign w:val="bottom"/>
                </w:tcPr>
                <w:p w:rsidR="00745FEA" w:rsidRDefault="00745FEA" w:rsidP="00745FEA">
                  <w:pPr>
                    <w:pStyle w:val="TableBodyText"/>
                    <w:ind w:right="57"/>
                  </w:pPr>
                  <w:r w:rsidRPr="003C6373">
                    <w:t>0.4</w:t>
                  </w:r>
                </w:p>
              </w:tc>
            </w:tr>
            <w:tr w:rsidR="00745FEA" w:rsidTr="00745FEA">
              <w:tc>
                <w:tcPr>
                  <w:tcW w:w="2218" w:type="pct"/>
                </w:tcPr>
                <w:p w:rsidR="00745FEA" w:rsidRPr="00BB69B6" w:rsidRDefault="00745FEA" w:rsidP="00745FEA">
                  <w:pPr>
                    <w:pStyle w:val="TableBodyText"/>
                    <w:spacing w:before="40" w:after="0"/>
                    <w:ind w:left="113"/>
                    <w:jc w:val="left"/>
                    <w:rPr>
                      <w:i/>
                    </w:rPr>
                  </w:pPr>
                  <w:r w:rsidRPr="00BB69B6">
                    <w:rPr>
                      <w:i/>
                    </w:rPr>
                    <w:t>Other measures</w:t>
                  </w:r>
                </w:p>
              </w:tc>
              <w:tc>
                <w:tcPr>
                  <w:tcW w:w="468"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58"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575A87" w:rsidRDefault="00745FEA" w:rsidP="00745FEA">
                  <w:pPr>
                    <w:pStyle w:val="TableBodyText"/>
                    <w:spacing w:after="0"/>
                    <w:ind w:left="227" w:right="0"/>
                    <w:jc w:val="left"/>
                  </w:pPr>
                  <w:r w:rsidRPr="00575A87">
                    <w:t>Enterprise Connect Innovation Centres</w:t>
                  </w:r>
                </w:p>
              </w:tc>
              <w:tc>
                <w:tcPr>
                  <w:tcW w:w="468" w:type="pct"/>
                  <w:vAlign w:val="bottom"/>
                </w:tcPr>
                <w:p w:rsidR="00745FEA" w:rsidRPr="00AC42C8" w:rsidRDefault="00745FEA" w:rsidP="00745FEA">
                  <w:pPr>
                    <w:pStyle w:val="TableBodyText"/>
                    <w:ind w:right="57"/>
                  </w:pPr>
                  <w:r w:rsidRPr="00AC42C8">
                    <w:t>0.3</w:t>
                  </w:r>
                </w:p>
              </w:tc>
              <w:tc>
                <w:tcPr>
                  <w:tcW w:w="464" w:type="pct"/>
                  <w:vAlign w:val="bottom"/>
                </w:tcPr>
                <w:p w:rsidR="00745FEA" w:rsidRPr="00AC42C8" w:rsidRDefault="00745FEA" w:rsidP="00745FEA">
                  <w:pPr>
                    <w:pStyle w:val="TableBodyText"/>
                    <w:ind w:right="57"/>
                  </w:pPr>
                  <w:r w:rsidRPr="00AC42C8">
                    <w:t>0.2</w:t>
                  </w:r>
                </w:p>
              </w:tc>
              <w:tc>
                <w:tcPr>
                  <w:tcW w:w="464" w:type="pct"/>
                  <w:vAlign w:val="bottom"/>
                </w:tcPr>
                <w:p w:rsidR="00745FEA" w:rsidRPr="00AC42C8" w:rsidRDefault="00745FEA" w:rsidP="00745FEA">
                  <w:pPr>
                    <w:pStyle w:val="TableBodyText"/>
                    <w:ind w:right="57"/>
                  </w:pPr>
                  <w:r w:rsidRPr="00AC42C8">
                    <w:t>0.2</w:t>
                  </w:r>
                </w:p>
              </w:tc>
              <w:tc>
                <w:tcPr>
                  <w:tcW w:w="464" w:type="pct"/>
                  <w:shd w:val="clear" w:color="auto" w:fill="auto"/>
                  <w:vAlign w:val="bottom"/>
                </w:tcPr>
                <w:p w:rsidR="00745FEA" w:rsidRPr="00AC42C8" w:rsidRDefault="00745FEA" w:rsidP="00745FEA">
                  <w:pPr>
                    <w:pStyle w:val="TableBodyText"/>
                    <w:ind w:right="57"/>
                  </w:pPr>
                  <w:r w:rsidRPr="00AC42C8">
                    <w:t>0.3</w:t>
                  </w:r>
                </w:p>
              </w:tc>
              <w:tc>
                <w:tcPr>
                  <w:tcW w:w="464" w:type="pct"/>
                  <w:shd w:val="clear" w:color="auto" w:fill="auto"/>
                  <w:vAlign w:val="bottom"/>
                </w:tcPr>
                <w:p w:rsidR="00745FEA" w:rsidRPr="00AC42C8" w:rsidRDefault="00745FEA" w:rsidP="00745FEA">
                  <w:pPr>
                    <w:pStyle w:val="TableBodyText"/>
                    <w:ind w:right="57"/>
                  </w:pPr>
                  <w:r w:rsidRPr="00AC42C8">
                    <w:t>&lt;0.1</w:t>
                  </w:r>
                </w:p>
              </w:tc>
              <w:tc>
                <w:tcPr>
                  <w:tcW w:w="458" w:type="pct"/>
                  <w:shd w:val="clear" w:color="auto" w:fill="auto"/>
                  <w:vAlign w:val="bottom"/>
                </w:tcPr>
                <w:p w:rsidR="00745FEA" w:rsidRPr="00AC42C8" w:rsidRDefault="00745FEA" w:rsidP="00745FEA">
                  <w:pPr>
                    <w:pStyle w:val="TableBodyText"/>
                    <w:ind w:right="57"/>
                  </w:pPr>
                  <w:r w:rsidRPr="00AC42C8">
                    <w:t>–</w:t>
                  </w:r>
                </w:p>
              </w:tc>
            </w:tr>
            <w:tr w:rsidR="00745FEA" w:rsidTr="00745FEA">
              <w:tc>
                <w:tcPr>
                  <w:tcW w:w="2218" w:type="pct"/>
                </w:tcPr>
                <w:p w:rsidR="00745FEA" w:rsidRPr="00575A87" w:rsidRDefault="00745FEA" w:rsidP="00745FEA">
                  <w:pPr>
                    <w:pStyle w:val="TableBodyText"/>
                    <w:spacing w:after="0"/>
                    <w:ind w:left="227" w:right="0"/>
                    <w:jc w:val="left"/>
                  </w:pPr>
                  <w:r w:rsidRPr="00575A87">
                    <w:t>Entrepreneurs’ Infrastructure Programme - Accelerating Commercialisation</w:t>
                  </w:r>
                </w:p>
              </w:tc>
              <w:tc>
                <w:tcPr>
                  <w:tcW w:w="468" w:type="pct"/>
                  <w:vAlign w:val="bottom"/>
                </w:tcPr>
                <w:p w:rsidR="00745FEA" w:rsidRPr="00AC42C8" w:rsidRDefault="00745FEA" w:rsidP="00745FEA">
                  <w:pPr>
                    <w:pStyle w:val="TableBodyText"/>
                    <w:ind w:right="57"/>
                  </w:pPr>
                  <w:r w:rsidRPr="00AC42C8">
                    <w:t>–</w:t>
                  </w:r>
                </w:p>
              </w:tc>
              <w:tc>
                <w:tcPr>
                  <w:tcW w:w="464" w:type="pct"/>
                  <w:vAlign w:val="bottom"/>
                </w:tcPr>
                <w:p w:rsidR="00745FEA" w:rsidRPr="00AC42C8" w:rsidRDefault="00745FEA" w:rsidP="00745FEA">
                  <w:pPr>
                    <w:pStyle w:val="TableBodyText"/>
                    <w:ind w:right="57"/>
                  </w:pPr>
                  <w:r w:rsidRPr="00AC42C8">
                    <w:t>–</w:t>
                  </w:r>
                </w:p>
              </w:tc>
              <w:tc>
                <w:tcPr>
                  <w:tcW w:w="464" w:type="pct"/>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0.1</w:t>
                  </w:r>
                </w:p>
              </w:tc>
              <w:tc>
                <w:tcPr>
                  <w:tcW w:w="464" w:type="pct"/>
                  <w:shd w:val="clear" w:color="auto" w:fill="auto"/>
                  <w:vAlign w:val="bottom"/>
                </w:tcPr>
                <w:p w:rsidR="00745FEA" w:rsidRPr="00AC42C8" w:rsidRDefault="00745FEA" w:rsidP="00745FEA">
                  <w:pPr>
                    <w:pStyle w:val="TableBodyText"/>
                    <w:ind w:right="57"/>
                  </w:pPr>
                  <w:r w:rsidRPr="00AC42C8">
                    <w:t>1.2</w:t>
                  </w:r>
                </w:p>
              </w:tc>
              <w:tc>
                <w:tcPr>
                  <w:tcW w:w="458" w:type="pct"/>
                  <w:shd w:val="clear" w:color="auto" w:fill="auto"/>
                  <w:vAlign w:val="bottom"/>
                </w:tcPr>
                <w:p w:rsidR="00745FEA" w:rsidRPr="00AC42C8" w:rsidRDefault="00745FEA" w:rsidP="00745FEA">
                  <w:pPr>
                    <w:pStyle w:val="TableBodyText"/>
                    <w:ind w:right="57"/>
                  </w:pPr>
                  <w:r w:rsidRPr="00AC42C8">
                    <w:t>0.2</w:t>
                  </w:r>
                </w:p>
              </w:tc>
            </w:tr>
            <w:tr w:rsidR="00745FEA" w:rsidTr="00745FEA">
              <w:tc>
                <w:tcPr>
                  <w:tcW w:w="2218" w:type="pct"/>
                </w:tcPr>
                <w:p w:rsidR="00745FEA" w:rsidRPr="00575A87" w:rsidRDefault="00745FEA" w:rsidP="00745FEA">
                  <w:pPr>
                    <w:pStyle w:val="TableBodyText"/>
                    <w:spacing w:after="0"/>
                    <w:ind w:left="227" w:right="0"/>
                    <w:jc w:val="left"/>
                  </w:pPr>
                  <w:r w:rsidRPr="00575A87">
                    <w:t>Entrepreneurs’ Infrastructure Programme - Business Management Skills</w:t>
                  </w:r>
                </w:p>
              </w:tc>
              <w:tc>
                <w:tcPr>
                  <w:tcW w:w="468" w:type="pct"/>
                  <w:vAlign w:val="bottom"/>
                </w:tcPr>
                <w:p w:rsidR="00745FEA" w:rsidRPr="00AC42C8" w:rsidRDefault="00745FEA" w:rsidP="00745FEA">
                  <w:pPr>
                    <w:pStyle w:val="TableBodyText"/>
                    <w:ind w:right="57"/>
                  </w:pPr>
                  <w:r w:rsidRPr="00AC42C8">
                    <w:t>–</w:t>
                  </w:r>
                </w:p>
              </w:tc>
              <w:tc>
                <w:tcPr>
                  <w:tcW w:w="464" w:type="pct"/>
                  <w:vAlign w:val="bottom"/>
                </w:tcPr>
                <w:p w:rsidR="00745FEA" w:rsidRPr="00AC42C8" w:rsidRDefault="00745FEA" w:rsidP="00745FEA">
                  <w:pPr>
                    <w:pStyle w:val="TableBodyText"/>
                    <w:ind w:right="57"/>
                  </w:pPr>
                  <w:r w:rsidRPr="00AC42C8">
                    <w:t>–</w:t>
                  </w:r>
                </w:p>
              </w:tc>
              <w:tc>
                <w:tcPr>
                  <w:tcW w:w="464" w:type="pct"/>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0.1</w:t>
                  </w:r>
                </w:p>
              </w:tc>
              <w:tc>
                <w:tcPr>
                  <w:tcW w:w="464" w:type="pct"/>
                  <w:shd w:val="clear" w:color="auto" w:fill="auto"/>
                  <w:vAlign w:val="bottom"/>
                </w:tcPr>
                <w:p w:rsidR="00745FEA" w:rsidRPr="00AC42C8" w:rsidRDefault="00745FEA" w:rsidP="00745FEA">
                  <w:pPr>
                    <w:pStyle w:val="TableBodyText"/>
                    <w:ind w:right="57"/>
                  </w:pPr>
                  <w:r w:rsidRPr="00AC42C8">
                    <w:t>0.3</w:t>
                  </w:r>
                </w:p>
              </w:tc>
              <w:tc>
                <w:tcPr>
                  <w:tcW w:w="458" w:type="pct"/>
                  <w:shd w:val="clear" w:color="auto" w:fill="auto"/>
                  <w:vAlign w:val="bottom"/>
                </w:tcPr>
                <w:p w:rsidR="00745FEA" w:rsidRPr="00AC42C8" w:rsidRDefault="00745FEA" w:rsidP="00745FEA">
                  <w:pPr>
                    <w:pStyle w:val="TableBodyText"/>
                    <w:ind w:right="57"/>
                  </w:pPr>
                  <w:r w:rsidRPr="00AC42C8">
                    <w:t>0.2</w:t>
                  </w:r>
                </w:p>
              </w:tc>
            </w:tr>
            <w:tr w:rsidR="00745FEA" w:rsidTr="00745FEA">
              <w:tc>
                <w:tcPr>
                  <w:tcW w:w="2218" w:type="pct"/>
                </w:tcPr>
                <w:p w:rsidR="00745FEA" w:rsidRPr="00575A87" w:rsidRDefault="00745FEA" w:rsidP="00745FEA">
                  <w:pPr>
                    <w:pStyle w:val="TableBodyText"/>
                    <w:spacing w:after="0"/>
                    <w:ind w:left="227" w:right="0"/>
                    <w:jc w:val="left"/>
                  </w:pPr>
                  <w:r w:rsidRPr="00575A87">
                    <w:t>Illawarra Region Innovation and Investment Fund</w:t>
                  </w:r>
                </w:p>
              </w:tc>
              <w:tc>
                <w:tcPr>
                  <w:tcW w:w="468" w:type="pct"/>
                  <w:vAlign w:val="bottom"/>
                </w:tcPr>
                <w:p w:rsidR="00745FEA" w:rsidRPr="00AC42C8" w:rsidRDefault="00745FEA" w:rsidP="00745FEA">
                  <w:pPr>
                    <w:pStyle w:val="TableBodyText"/>
                    <w:ind w:right="57"/>
                  </w:pPr>
                  <w:r w:rsidRPr="00AC42C8">
                    <w:t>0.3</w:t>
                  </w:r>
                </w:p>
              </w:tc>
              <w:tc>
                <w:tcPr>
                  <w:tcW w:w="464" w:type="pct"/>
                  <w:vAlign w:val="bottom"/>
                </w:tcPr>
                <w:p w:rsidR="00745FEA" w:rsidRPr="00AC42C8" w:rsidRDefault="00745FEA" w:rsidP="00745FEA">
                  <w:pPr>
                    <w:pStyle w:val="TableBodyText"/>
                    <w:ind w:right="57"/>
                  </w:pPr>
                  <w:r w:rsidRPr="00AC42C8">
                    <w:t>0.2</w:t>
                  </w:r>
                </w:p>
              </w:tc>
              <w:tc>
                <w:tcPr>
                  <w:tcW w:w="464" w:type="pct"/>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58" w:type="pct"/>
                  <w:shd w:val="clear" w:color="auto" w:fill="auto"/>
                  <w:vAlign w:val="bottom"/>
                </w:tcPr>
                <w:p w:rsidR="00745FEA" w:rsidRPr="00AC42C8" w:rsidRDefault="00745FEA" w:rsidP="00745FEA">
                  <w:pPr>
                    <w:pStyle w:val="TableBodyText"/>
                    <w:ind w:right="57"/>
                  </w:pPr>
                  <w:r w:rsidRPr="00AC42C8">
                    <w:t>–</w:t>
                  </w:r>
                </w:p>
              </w:tc>
            </w:tr>
            <w:tr w:rsidR="00745FEA" w:rsidTr="00745FEA">
              <w:tc>
                <w:tcPr>
                  <w:tcW w:w="2218" w:type="pct"/>
                </w:tcPr>
                <w:p w:rsidR="00745FEA" w:rsidRPr="00575A87" w:rsidRDefault="00745FEA" w:rsidP="00745FEA">
                  <w:pPr>
                    <w:pStyle w:val="TableBodyText"/>
                    <w:spacing w:after="0"/>
                    <w:ind w:left="227" w:right="0"/>
                    <w:jc w:val="left"/>
                  </w:pPr>
                  <w:r w:rsidRPr="00575A87">
                    <w:t>Tasmanian Innovation and Investment Fund</w:t>
                  </w:r>
                </w:p>
              </w:tc>
              <w:tc>
                <w:tcPr>
                  <w:tcW w:w="468" w:type="pct"/>
                  <w:vAlign w:val="bottom"/>
                </w:tcPr>
                <w:p w:rsidR="00745FEA" w:rsidRPr="00AC42C8" w:rsidRDefault="00745FEA" w:rsidP="00745FEA">
                  <w:pPr>
                    <w:pStyle w:val="TableBodyText"/>
                    <w:ind w:right="57"/>
                  </w:pPr>
                  <w:r w:rsidRPr="00AC42C8">
                    <w:t>0.2</w:t>
                  </w:r>
                </w:p>
              </w:tc>
              <w:tc>
                <w:tcPr>
                  <w:tcW w:w="464" w:type="pct"/>
                  <w:vAlign w:val="bottom"/>
                </w:tcPr>
                <w:p w:rsidR="00745FEA" w:rsidRPr="00AC42C8" w:rsidRDefault="00745FEA" w:rsidP="00745FEA">
                  <w:pPr>
                    <w:pStyle w:val="TableBodyText"/>
                    <w:ind w:right="57"/>
                  </w:pPr>
                  <w:r w:rsidRPr="00AC42C8">
                    <w:t>0.1</w:t>
                  </w:r>
                </w:p>
              </w:tc>
              <w:tc>
                <w:tcPr>
                  <w:tcW w:w="464" w:type="pct"/>
                  <w:vAlign w:val="bottom"/>
                </w:tcPr>
                <w:p w:rsidR="00745FEA" w:rsidRPr="00AC42C8" w:rsidRDefault="00745FEA" w:rsidP="00745FEA">
                  <w:pPr>
                    <w:pStyle w:val="TableBodyText"/>
                    <w:ind w:right="57"/>
                  </w:pPr>
                  <w:r w:rsidRPr="00AC42C8">
                    <w:t>&lt;0.1</w:t>
                  </w:r>
                </w:p>
              </w:tc>
              <w:tc>
                <w:tcPr>
                  <w:tcW w:w="464" w:type="pct"/>
                  <w:shd w:val="clear" w:color="auto" w:fill="auto"/>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58" w:type="pct"/>
                  <w:shd w:val="clear" w:color="auto" w:fill="auto"/>
                  <w:vAlign w:val="bottom"/>
                </w:tcPr>
                <w:p w:rsidR="00745FEA" w:rsidRPr="00AC42C8" w:rsidRDefault="00745FEA" w:rsidP="00745FEA">
                  <w:pPr>
                    <w:pStyle w:val="TableBodyText"/>
                    <w:ind w:right="57"/>
                  </w:pPr>
                  <w:r w:rsidRPr="00AC42C8">
                    <w:t>–</w:t>
                  </w:r>
                </w:p>
              </w:tc>
            </w:tr>
            <w:tr w:rsidR="00745FEA" w:rsidTr="00745FEA">
              <w:tc>
                <w:tcPr>
                  <w:tcW w:w="2218" w:type="pct"/>
                </w:tcPr>
                <w:p w:rsidR="00745FEA" w:rsidRPr="00575A87" w:rsidRDefault="00745FEA" w:rsidP="00745FEA">
                  <w:pPr>
                    <w:pStyle w:val="TableBodyText"/>
                    <w:spacing w:after="0"/>
                    <w:ind w:left="227" w:right="0"/>
                    <w:jc w:val="left"/>
                  </w:pPr>
                  <w:r w:rsidRPr="007E328D">
                    <w:t>Tasmanian Jobs and Investment Fund</w:t>
                  </w:r>
                </w:p>
              </w:tc>
              <w:tc>
                <w:tcPr>
                  <w:tcW w:w="468" w:type="pct"/>
                  <w:vAlign w:val="bottom"/>
                </w:tcPr>
                <w:p w:rsidR="00745FEA" w:rsidRPr="00AC42C8" w:rsidRDefault="00745FEA" w:rsidP="00745FEA">
                  <w:pPr>
                    <w:pStyle w:val="TableBodyText"/>
                    <w:ind w:right="57"/>
                  </w:pPr>
                  <w:r w:rsidRPr="00AC42C8">
                    <w:t>–</w:t>
                  </w:r>
                </w:p>
              </w:tc>
              <w:tc>
                <w:tcPr>
                  <w:tcW w:w="464" w:type="pct"/>
                  <w:vAlign w:val="bottom"/>
                </w:tcPr>
                <w:p w:rsidR="00745FEA" w:rsidRPr="00AC42C8" w:rsidRDefault="00745FEA" w:rsidP="00745FEA">
                  <w:pPr>
                    <w:pStyle w:val="TableBodyText"/>
                    <w:ind w:right="57"/>
                  </w:pPr>
                  <w:r w:rsidRPr="00AC42C8">
                    <w:t>–</w:t>
                  </w:r>
                </w:p>
              </w:tc>
              <w:tc>
                <w:tcPr>
                  <w:tcW w:w="464" w:type="pct"/>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58" w:type="pct"/>
                  <w:shd w:val="clear" w:color="auto" w:fill="auto"/>
                  <w:vAlign w:val="bottom"/>
                </w:tcPr>
                <w:p w:rsidR="00745FEA" w:rsidRPr="00AC42C8" w:rsidRDefault="00745FEA" w:rsidP="00745FEA">
                  <w:pPr>
                    <w:pStyle w:val="TableBodyText"/>
                    <w:ind w:right="57"/>
                  </w:pPr>
                  <w:r w:rsidRPr="00AC42C8">
                    <w:t>&lt;0.1</w:t>
                  </w:r>
                </w:p>
              </w:tc>
            </w:tr>
            <w:tr w:rsidR="00745FEA" w:rsidTr="00745FEA">
              <w:tc>
                <w:tcPr>
                  <w:tcW w:w="2218" w:type="pct"/>
                </w:tcPr>
                <w:p w:rsidR="00745FEA" w:rsidRPr="00575A87" w:rsidRDefault="00745FEA" w:rsidP="00745FEA">
                  <w:pPr>
                    <w:pStyle w:val="TableBodyText"/>
                    <w:spacing w:after="0"/>
                    <w:ind w:left="227" w:right="0"/>
                    <w:jc w:val="left"/>
                  </w:pPr>
                  <w:r w:rsidRPr="00575A87">
                    <w:t>The Small Business and General Business Tax Break</w:t>
                  </w:r>
                </w:p>
              </w:tc>
              <w:tc>
                <w:tcPr>
                  <w:tcW w:w="468" w:type="pct"/>
                  <w:vAlign w:val="bottom"/>
                </w:tcPr>
                <w:p w:rsidR="00745FEA" w:rsidRPr="00AC42C8" w:rsidRDefault="00745FEA" w:rsidP="00745FEA">
                  <w:pPr>
                    <w:pStyle w:val="TableBodyText"/>
                    <w:ind w:right="57"/>
                  </w:pPr>
                  <w:r w:rsidRPr="00AC42C8">
                    <w:t>1.0</w:t>
                  </w:r>
                </w:p>
              </w:tc>
              <w:tc>
                <w:tcPr>
                  <w:tcW w:w="464" w:type="pct"/>
                  <w:vAlign w:val="bottom"/>
                </w:tcPr>
                <w:p w:rsidR="00745FEA" w:rsidRPr="00AC42C8" w:rsidRDefault="00745FEA" w:rsidP="00745FEA">
                  <w:pPr>
                    <w:pStyle w:val="TableBodyText"/>
                    <w:ind w:right="57"/>
                  </w:pPr>
                  <w:r w:rsidRPr="00AC42C8">
                    <w:t>0.3</w:t>
                  </w:r>
                </w:p>
              </w:tc>
              <w:tc>
                <w:tcPr>
                  <w:tcW w:w="464" w:type="pct"/>
                  <w:vAlign w:val="bottom"/>
                </w:tcPr>
                <w:p w:rsidR="00745FEA" w:rsidRPr="00AC42C8" w:rsidRDefault="00745FEA" w:rsidP="00745FEA">
                  <w:pPr>
                    <w:pStyle w:val="TableBodyText"/>
                    <w:ind w:right="57"/>
                  </w:pPr>
                  <w:r w:rsidRPr="00AC42C8">
                    <w:t>&lt;0.1</w:t>
                  </w:r>
                </w:p>
              </w:tc>
              <w:tc>
                <w:tcPr>
                  <w:tcW w:w="464" w:type="pct"/>
                  <w:shd w:val="clear" w:color="auto" w:fill="auto"/>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58" w:type="pct"/>
                  <w:shd w:val="clear" w:color="auto" w:fill="auto"/>
                  <w:vAlign w:val="bottom"/>
                </w:tcPr>
                <w:p w:rsidR="00745FEA" w:rsidRPr="00AC42C8" w:rsidRDefault="00745FEA" w:rsidP="00745FEA">
                  <w:pPr>
                    <w:pStyle w:val="TableBodyText"/>
                    <w:ind w:right="57"/>
                  </w:pPr>
                  <w:r w:rsidRPr="00AC42C8">
                    <w:t>–</w:t>
                  </w:r>
                </w:p>
              </w:tc>
            </w:tr>
            <w:tr w:rsidR="00745FEA" w:rsidTr="00745FEA">
              <w:tc>
                <w:tcPr>
                  <w:tcW w:w="2218" w:type="pct"/>
                </w:tcPr>
                <w:p w:rsidR="00745FEA" w:rsidRPr="00575A87" w:rsidRDefault="00745FEA" w:rsidP="00745FEA">
                  <w:pPr>
                    <w:pStyle w:val="TableBodyText"/>
                    <w:spacing w:after="0"/>
                    <w:ind w:left="227" w:right="0"/>
                    <w:jc w:val="left"/>
                  </w:pPr>
                  <w:r w:rsidRPr="007E328D">
                    <w:t>Small Business - Simplified depreciation rules</w:t>
                  </w:r>
                </w:p>
              </w:tc>
              <w:tc>
                <w:tcPr>
                  <w:tcW w:w="468" w:type="pct"/>
                  <w:vAlign w:val="bottom"/>
                </w:tcPr>
                <w:p w:rsidR="00745FEA" w:rsidRPr="00AC42C8" w:rsidRDefault="00745FEA" w:rsidP="00745FEA">
                  <w:pPr>
                    <w:pStyle w:val="TableBodyText"/>
                    <w:ind w:right="57"/>
                  </w:pPr>
                  <w:r w:rsidRPr="00AC42C8">
                    <w:t>&lt;0.1</w:t>
                  </w:r>
                </w:p>
              </w:tc>
              <w:tc>
                <w:tcPr>
                  <w:tcW w:w="464" w:type="pct"/>
                  <w:vAlign w:val="bottom"/>
                </w:tcPr>
                <w:p w:rsidR="00745FEA" w:rsidRPr="00AC42C8" w:rsidRDefault="00745FEA" w:rsidP="00745FEA">
                  <w:pPr>
                    <w:pStyle w:val="TableBodyText"/>
                    <w:ind w:right="57"/>
                  </w:pPr>
                  <w:r w:rsidRPr="00AC42C8">
                    <w:t>-0.2</w:t>
                  </w:r>
                </w:p>
              </w:tc>
              <w:tc>
                <w:tcPr>
                  <w:tcW w:w="464" w:type="pct"/>
                  <w:vAlign w:val="bottom"/>
                </w:tcPr>
                <w:p w:rsidR="00745FEA" w:rsidRPr="00AC42C8" w:rsidRDefault="00745FEA" w:rsidP="00745FEA">
                  <w:pPr>
                    <w:pStyle w:val="TableBodyText"/>
                    <w:ind w:right="57"/>
                  </w:pPr>
                  <w:r w:rsidRPr="00AC42C8">
                    <w:t>0.8</w:t>
                  </w:r>
                </w:p>
              </w:tc>
              <w:tc>
                <w:tcPr>
                  <w:tcW w:w="464" w:type="pct"/>
                  <w:shd w:val="clear" w:color="auto" w:fill="auto"/>
                  <w:vAlign w:val="bottom"/>
                </w:tcPr>
                <w:p w:rsidR="00745FEA" w:rsidRPr="00AC42C8" w:rsidRDefault="00745FEA" w:rsidP="00745FEA">
                  <w:pPr>
                    <w:pStyle w:val="TableBodyText"/>
                    <w:ind w:right="57"/>
                  </w:pPr>
                  <w:r w:rsidRPr="00AC42C8">
                    <w:t>-0.4</w:t>
                  </w:r>
                </w:p>
              </w:tc>
              <w:tc>
                <w:tcPr>
                  <w:tcW w:w="464" w:type="pct"/>
                  <w:shd w:val="clear" w:color="auto" w:fill="auto"/>
                  <w:vAlign w:val="bottom"/>
                </w:tcPr>
                <w:p w:rsidR="00745FEA" w:rsidRPr="00AC42C8" w:rsidRDefault="00745FEA" w:rsidP="00745FEA">
                  <w:pPr>
                    <w:pStyle w:val="TableBodyText"/>
                    <w:ind w:right="57"/>
                  </w:pPr>
                  <w:r w:rsidRPr="00AC42C8">
                    <w:t>-0.7</w:t>
                  </w:r>
                </w:p>
              </w:tc>
              <w:tc>
                <w:tcPr>
                  <w:tcW w:w="458" w:type="pct"/>
                  <w:shd w:val="clear" w:color="auto" w:fill="auto"/>
                  <w:vAlign w:val="bottom"/>
                </w:tcPr>
                <w:p w:rsidR="00745FEA" w:rsidRPr="00AC42C8" w:rsidRDefault="00745FEA" w:rsidP="00745FEA">
                  <w:pPr>
                    <w:pStyle w:val="TableBodyText"/>
                    <w:ind w:right="57"/>
                  </w:pPr>
                  <w:r w:rsidRPr="00AC42C8">
                    <w:t>4.0</w:t>
                  </w:r>
                </w:p>
              </w:tc>
            </w:tr>
            <w:tr w:rsidR="00745FEA" w:rsidTr="00745FEA">
              <w:tc>
                <w:tcPr>
                  <w:tcW w:w="2218" w:type="pct"/>
                </w:tcPr>
                <w:p w:rsidR="00745FEA" w:rsidRPr="00B73A54" w:rsidRDefault="00745FEA" w:rsidP="00745FEA">
                  <w:pPr>
                    <w:pStyle w:val="TableBodyText"/>
                    <w:spacing w:after="0"/>
                    <w:ind w:left="227" w:right="0"/>
                    <w:jc w:val="left"/>
                  </w:pPr>
                  <w:r w:rsidRPr="00B73A54">
                    <w:t xml:space="preserve">Small business </w:t>
                  </w:r>
                  <w:r>
                    <w:t>capital gains tax</w:t>
                  </w:r>
                  <w:r w:rsidRPr="00B73A54">
                    <w:t xml:space="preserve"> 50 per cent reduction</w:t>
                  </w:r>
                </w:p>
              </w:tc>
              <w:tc>
                <w:tcPr>
                  <w:tcW w:w="468" w:type="pct"/>
                  <w:vAlign w:val="bottom"/>
                </w:tcPr>
                <w:p w:rsidR="00745FEA" w:rsidRPr="00AC42C8" w:rsidRDefault="00745FEA" w:rsidP="00745FEA">
                  <w:pPr>
                    <w:pStyle w:val="TableBodyText"/>
                    <w:ind w:right="57"/>
                  </w:pPr>
                  <w:r w:rsidRPr="00AC42C8">
                    <w:t>0.9</w:t>
                  </w:r>
                </w:p>
              </w:tc>
              <w:tc>
                <w:tcPr>
                  <w:tcW w:w="464" w:type="pct"/>
                  <w:vAlign w:val="bottom"/>
                </w:tcPr>
                <w:p w:rsidR="00745FEA" w:rsidRPr="00AC42C8" w:rsidRDefault="00745FEA" w:rsidP="00745FEA">
                  <w:pPr>
                    <w:pStyle w:val="TableBodyText"/>
                    <w:ind w:right="57"/>
                  </w:pPr>
                  <w:r w:rsidRPr="00AC42C8">
                    <w:t>1.0</w:t>
                  </w:r>
                </w:p>
              </w:tc>
              <w:tc>
                <w:tcPr>
                  <w:tcW w:w="464" w:type="pct"/>
                  <w:vAlign w:val="bottom"/>
                </w:tcPr>
                <w:p w:rsidR="00745FEA" w:rsidRPr="00AC42C8" w:rsidRDefault="00745FEA" w:rsidP="00745FEA">
                  <w:pPr>
                    <w:pStyle w:val="TableBodyText"/>
                    <w:ind w:right="57"/>
                  </w:pPr>
                  <w:r w:rsidRPr="00AC42C8">
                    <w:t>1.0</w:t>
                  </w:r>
                </w:p>
              </w:tc>
              <w:tc>
                <w:tcPr>
                  <w:tcW w:w="464" w:type="pct"/>
                  <w:shd w:val="clear" w:color="auto" w:fill="auto"/>
                  <w:vAlign w:val="bottom"/>
                </w:tcPr>
                <w:p w:rsidR="00745FEA" w:rsidRPr="00AC42C8" w:rsidRDefault="00745FEA" w:rsidP="00745FEA">
                  <w:pPr>
                    <w:pStyle w:val="TableBodyText"/>
                    <w:ind w:right="57"/>
                  </w:pPr>
                  <w:r w:rsidRPr="00AC42C8">
                    <w:t>0.7</w:t>
                  </w:r>
                </w:p>
              </w:tc>
              <w:tc>
                <w:tcPr>
                  <w:tcW w:w="464" w:type="pct"/>
                  <w:shd w:val="clear" w:color="auto" w:fill="auto"/>
                  <w:vAlign w:val="bottom"/>
                </w:tcPr>
                <w:p w:rsidR="00745FEA" w:rsidRPr="00AC42C8" w:rsidRDefault="00745FEA" w:rsidP="00745FEA">
                  <w:pPr>
                    <w:pStyle w:val="TableBodyText"/>
                    <w:ind w:right="57"/>
                  </w:pPr>
                  <w:r w:rsidRPr="00AC42C8">
                    <w:t>0.8</w:t>
                  </w:r>
                </w:p>
              </w:tc>
              <w:tc>
                <w:tcPr>
                  <w:tcW w:w="458" w:type="pct"/>
                  <w:shd w:val="clear" w:color="auto" w:fill="auto"/>
                  <w:vAlign w:val="bottom"/>
                </w:tcPr>
                <w:p w:rsidR="00745FEA" w:rsidRPr="00AC42C8" w:rsidRDefault="00745FEA" w:rsidP="00745FEA">
                  <w:pPr>
                    <w:pStyle w:val="TableBodyText"/>
                    <w:ind w:right="57"/>
                  </w:pPr>
                  <w:r w:rsidRPr="00AC42C8">
                    <w:t>0.6</w:t>
                  </w:r>
                </w:p>
              </w:tc>
            </w:tr>
            <w:tr w:rsidR="00745FEA" w:rsidTr="00745FEA">
              <w:tc>
                <w:tcPr>
                  <w:tcW w:w="2218" w:type="pct"/>
                </w:tcPr>
                <w:p w:rsidR="00745FEA" w:rsidRPr="00B73A54" w:rsidRDefault="00745FEA" w:rsidP="00745FEA">
                  <w:pPr>
                    <w:pStyle w:val="TableBodyText"/>
                    <w:spacing w:after="0"/>
                    <w:ind w:left="227" w:right="0"/>
                    <w:jc w:val="left"/>
                  </w:pPr>
                  <w:r w:rsidRPr="00B73A54">
                    <w:t>25 per cent entrepreneurs' tax offset</w:t>
                  </w:r>
                </w:p>
              </w:tc>
              <w:tc>
                <w:tcPr>
                  <w:tcW w:w="468" w:type="pct"/>
                  <w:vAlign w:val="bottom"/>
                </w:tcPr>
                <w:p w:rsidR="00745FEA" w:rsidRPr="00AC42C8" w:rsidRDefault="00745FEA" w:rsidP="00745FEA">
                  <w:pPr>
                    <w:pStyle w:val="TableBodyText"/>
                    <w:ind w:right="57"/>
                  </w:pPr>
                  <w:r w:rsidRPr="00AC42C8">
                    <w:t>0.7</w:t>
                  </w:r>
                </w:p>
              </w:tc>
              <w:tc>
                <w:tcPr>
                  <w:tcW w:w="464" w:type="pct"/>
                  <w:vAlign w:val="bottom"/>
                </w:tcPr>
                <w:p w:rsidR="00745FEA" w:rsidRPr="00AC42C8" w:rsidRDefault="00745FEA" w:rsidP="00745FEA">
                  <w:pPr>
                    <w:pStyle w:val="TableBodyText"/>
                    <w:ind w:right="57"/>
                  </w:pPr>
                  <w:r w:rsidRPr="00AC42C8">
                    <w:t>0.9</w:t>
                  </w:r>
                </w:p>
              </w:tc>
              <w:tc>
                <w:tcPr>
                  <w:tcW w:w="464" w:type="pct"/>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64" w:type="pct"/>
                  <w:shd w:val="clear" w:color="auto" w:fill="auto"/>
                  <w:vAlign w:val="bottom"/>
                </w:tcPr>
                <w:p w:rsidR="00745FEA" w:rsidRPr="00AC42C8" w:rsidRDefault="00745FEA" w:rsidP="00745FEA">
                  <w:pPr>
                    <w:pStyle w:val="TableBodyText"/>
                    <w:ind w:right="57"/>
                  </w:pPr>
                  <w:r w:rsidRPr="00AC42C8">
                    <w:t>–</w:t>
                  </w:r>
                </w:p>
              </w:tc>
              <w:tc>
                <w:tcPr>
                  <w:tcW w:w="458" w:type="pct"/>
                  <w:shd w:val="clear" w:color="auto" w:fill="auto"/>
                  <w:vAlign w:val="bottom"/>
                </w:tcPr>
                <w:p w:rsidR="00745FEA" w:rsidRDefault="00745FEA" w:rsidP="00745FEA">
                  <w:pPr>
                    <w:pStyle w:val="TableBodyText"/>
                    <w:ind w:right="57"/>
                  </w:pPr>
                  <w:r w:rsidRPr="00AC42C8">
                    <w:t>–</w:t>
                  </w:r>
                </w:p>
              </w:tc>
            </w:tr>
            <w:tr w:rsidR="00745FEA" w:rsidTr="00745FEA">
              <w:tc>
                <w:tcPr>
                  <w:tcW w:w="2218" w:type="pct"/>
                </w:tcPr>
                <w:p w:rsidR="00745FEA" w:rsidRPr="007971EC" w:rsidRDefault="00745FEA" w:rsidP="00745FEA">
                  <w:pPr>
                    <w:pStyle w:val="TableBodyText"/>
                    <w:spacing w:before="20" w:after="20"/>
                    <w:jc w:val="left"/>
                    <w:rPr>
                      <w:i/>
                    </w:rPr>
                  </w:pPr>
                  <w:r w:rsidRPr="007971EC">
                    <w:rPr>
                      <w:i/>
                    </w:rPr>
                    <w:t>Total</w:t>
                  </w:r>
                </w:p>
              </w:tc>
              <w:tc>
                <w:tcPr>
                  <w:tcW w:w="468" w:type="pct"/>
                  <w:vAlign w:val="bottom"/>
                </w:tcPr>
                <w:p w:rsidR="00745FEA" w:rsidRPr="00224BC6" w:rsidRDefault="00745FEA" w:rsidP="00745FEA">
                  <w:pPr>
                    <w:pStyle w:val="TableBodyText"/>
                    <w:spacing w:before="20" w:after="20"/>
                    <w:ind w:right="57"/>
                    <w:rPr>
                      <w:i/>
                    </w:rPr>
                  </w:pPr>
                  <w:r>
                    <w:rPr>
                      <w:i/>
                    </w:rPr>
                    <w:t>32.3</w:t>
                  </w:r>
                </w:p>
              </w:tc>
              <w:tc>
                <w:tcPr>
                  <w:tcW w:w="464" w:type="pct"/>
                  <w:vAlign w:val="bottom"/>
                </w:tcPr>
                <w:p w:rsidR="00745FEA" w:rsidRPr="00224BC6" w:rsidRDefault="00745FEA" w:rsidP="00745FEA">
                  <w:pPr>
                    <w:pStyle w:val="TableBodyText"/>
                    <w:spacing w:before="20" w:after="20"/>
                    <w:ind w:right="57"/>
                    <w:rPr>
                      <w:i/>
                    </w:rPr>
                  </w:pPr>
                  <w:r>
                    <w:rPr>
                      <w:i/>
                    </w:rPr>
                    <w:t>34.7</w:t>
                  </w:r>
                </w:p>
              </w:tc>
              <w:tc>
                <w:tcPr>
                  <w:tcW w:w="464" w:type="pct"/>
                </w:tcPr>
                <w:p w:rsidR="00745FEA" w:rsidRPr="000C3843" w:rsidRDefault="00745FEA" w:rsidP="00745FEA">
                  <w:pPr>
                    <w:pStyle w:val="TableBodyText"/>
                    <w:spacing w:before="20" w:after="20"/>
                    <w:ind w:right="57"/>
                    <w:rPr>
                      <w:i/>
                    </w:rPr>
                  </w:pPr>
                  <w:r>
                    <w:rPr>
                      <w:i/>
                    </w:rPr>
                    <w:t>29.8</w:t>
                  </w:r>
                </w:p>
              </w:tc>
              <w:tc>
                <w:tcPr>
                  <w:tcW w:w="464" w:type="pct"/>
                  <w:shd w:val="clear" w:color="auto" w:fill="auto"/>
                </w:tcPr>
                <w:p w:rsidR="00745FEA" w:rsidRPr="000C3843" w:rsidRDefault="00745FEA" w:rsidP="00745FEA">
                  <w:pPr>
                    <w:pStyle w:val="TableBodyText"/>
                    <w:spacing w:before="20" w:after="20"/>
                    <w:ind w:right="57"/>
                    <w:rPr>
                      <w:i/>
                    </w:rPr>
                  </w:pPr>
                  <w:r>
                    <w:rPr>
                      <w:i/>
                    </w:rPr>
                    <w:t>23.0</w:t>
                  </w:r>
                </w:p>
              </w:tc>
              <w:tc>
                <w:tcPr>
                  <w:tcW w:w="464" w:type="pct"/>
                  <w:shd w:val="clear" w:color="auto" w:fill="auto"/>
                </w:tcPr>
                <w:p w:rsidR="00745FEA" w:rsidRPr="000C3843" w:rsidRDefault="00745FEA" w:rsidP="00745FEA">
                  <w:pPr>
                    <w:pStyle w:val="TableBodyText"/>
                    <w:spacing w:before="20" w:after="20"/>
                    <w:ind w:right="57"/>
                    <w:rPr>
                      <w:i/>
                    </w:rPr>
                  </w:pPr>
                  <w:r>
                    <w:rPr>
                      <w:i/>
                    </w:rPr>
                    <w:t>22.4</w:t>
                  </w:r>
                </w:p>
              </w:tc>
              <w:tc>
                <w:tcPr>
                  <w:tcW w:w="458" w:type="pct"/>
                  <w:shd w:val="clear" w:color="auto" w:fill="auto"/>
                </w:tcPr>
                <w:p w:rsidR="00745FEA" w:rsidRPr="000C3843" w:rsidRDefault="00745FEA" w:rsidP="00745FEA">
                  <w:pPr>
                    <w:pStyle w:val="TableBodyText"/>
                    <w:spacing w:before="20" w:after="20"/>
                    <w:ind w:right="57"/>
                    <w:rPr>
                      <w:i/>
                    </w:rPr>
                  </w:pPr>
                  <w:r>
                    <w:rPr>
                      <w:i/>
                    </w:rPr>
                    <w:t>31.9</w:t>
                  </w:r>
                </w:p>
              </w:tc>
            </w:tr>
            <w:tr w:rsidR="00745FEA" w:rsidTr="00745FEA">
              <w:tc>
                <w:tcPr>
                  <w:tcW w:w="2218" w:type="pct"/>
                </w:tcPr>
                <w:p w:rsidR="00745FEA" w:rsidRPr="007971EC" w:rsidRDefault="00745FEA" w:rsidP="00745FEA">
                  <w:pPr>
                    <w:pStyle w:val="TableBodyText"/>
                    <w:spacing w:before="40"/>
                    <w:jc w:val="left"/>
                    <w:rPr>
                      <w:b/>
                    </w:rPr>
                  </w:pPr>
                  <w:r w:rsidRPr="007971EC">
                    <w:rPr>
                      <w:b/>
                    </w:rPr>
                    <w:t>Unallocated manufacturing</w:t>
                  </w:r>
                </w:p>
              </w:tc>
              <w:tc>
                <w:tcPr>
                  <w:tcW w:w="468"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c>
                <w:tcPr>
                  <w:tcW w:w="458" w:type="pct"/>
                  <w:shd w:val="clear" w:color="auto" w:fill="auto"/>
                  <w:vAlign w:val="bottom"/>
                </w:tcPr>
                <w:p w:rsidR="00745FEA" w:rsidRDefault="00745FEA" w:rsidP="00745FEA">
                  <w:pPr>
                    <w:pStyle w:val="TableBodyText"/>
                    <w:spacing w:before="40"/>
                    <w:ind w:right="57"/>
                  </w:pPr>
                </w:p>
              </w:tc>
            </w:tr>
            <w:tr w:rsidR="00745FEA" w:rsidTr="00745FEA">
              <w:tc>
                <w:tcPr>
                  <w:tcW w:w="2218" w:type="pct"/>
                </w:tcPr>
                <w:p w:rsidR="00745FEA" w:rsidRPr="007971EC" w:rsidRDefault="00745FEA" w:rsidP="00745FEA">
                  <w:pPr>
                    <w:pStyle w:val="TableBodyText"/>
                    <w:spacing w:before="40" w:after="0"/>
                    <w:ind w:left="113"/>
                    <w:jc w:val="left"/>
                    <w:rPr>
                      <w:i/>
                    </w:rPr>
                  </w:pPr>
                  <w:r w:rsidRPr="007971EC">
                    <w:rPr>
                      <w:i/>
                    </w:rPr>
                    <w:t>Industry-specific measures</w:t>
                  </w:r>
                </w:p>
              </w:tc>
              <w:tc>
                <w:tcPr>
                  <w:tcW w:w="468"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58"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E55599" w:rsidRDefault="00745FEA" w:rsidP="00745FEA">
                  <w:pPr>
                    <w:pStyle w:val="TableBodyText"/>
                    <w:spacing w:after="0"/>
                    <w:ind w:left="227" w:right="0"/>
                    <w:jc w:val="left"/>
                  </w:pPr>
                  <w:r w:rsidRPr="00E55599">
                    <w:t>Industry Skilling Program Enhancement</w:t>
                  </w:r>
                </w:p>
              </w:tc>
              <w:tc>
                <w:tcPr>
                  <w:tcW w:w="468" w:type="pct"/>
                  <w:vAlign w:val="bottom"/>
                </w:tcPr>
                <w:p w:rsidR="00745FEA" w:rsidRPr="00DC2212" w:rsidRDefault="00745FEA" w:rsidP="00745FEA">
                  <w:pPr>
                    <w:pStyle w:val="TableBodyText"/>
                    <w:ind w:right="57"/>
                  </w:pPr>
                  <w:r w:rsidRPr="00DC2212">
                    <w:t>1.2</w:t>
                  </w:r>
                </w:p>
              </w:tc>
              <w:tc>
                <w:tcPr>
                  <w:tcW w:w="464" w:type="pct"/>
                  <w:vAlign w:val="bottom"/>
                </w:tcPr>
                <w:p w:rsidR="00745FEA" w:rsidRPr="00DC2212" w:rsidRDefault="00745FEA" w:rsidP="00745FEA">
                  <w:pPr>
                    <w:pStyle w:val="TableBodyText"/>
                    <w:ind w:right="57"/>
                  </w:pPr>
                  <w:r w:rsidRPr="00DC2212">
                    <w:t>0.2</w:t>
                  </w:r>
                </w:p>
              </w:tc>
              <w:tc>
                <w:tcPr>
                  <w:tcW w:w="464" w:type="pct"/>
                  <w:vAlign w:val="bottom"/>
                </w:tcPr>
                <w:p w:rsidR="00745FEA" w:rsidRPr="00DC2212" w:rsidRDefault="00745FEA" w:rsidP="00745FEA">
                  <w:pPr>
                    <w:pStyle w:val="TableBodyText"/>
                    <w:ind w:right="57"/>
                  </w:pPr>
                  <w:r w:rsidRPr="00DC2212">
                    <w:t>0.2</w:t>
                  </w:r>
                </w:p>
              </w:tc>
              <w:tc>
                <w:tcPr>
                  <w:tcW w:w="464" w:type="pct"/>
                  <w:shd w:val="clear" w:color="auto" w:fill="auto"/>
                  <w:vAlign w:val="bottom"/>
                </w:tcPr>
                <w:p w:rsidR="00745FEA" w:rsidRPr="00DC2212" w:rsidRDefault="00745FEA" w:rsidP="00745FEA">
                  <w:pPr>
                    <w:pStyle w:val="TableBodyText"/>
                    <w:ind w:right="57"/>
                  </w:pPr>
                  <w:r w:rsidRPr="00DC2212">
                    <w:t>0.2</w:t>
                  </w:r>
                </w:p>
              </w:tc>
              <w:tc>
                <w:tcPr>
                  <w:tcW w:w="464" w:type="pct"/>
                  <w:shd w:val="clear" w:color="auto" w:fill="auto"/>
                  <w:vAlign w:val="bottom"/>
                </w:tcPr>
                <w:p w:rsidR="00745FEA" w:rsidRPr="00DC2212" w:rsidRDefault="00745FEA" w:rsidP="00745FEA">
                  <w:pPr>
                    <w:pStyle w:val="TableBodyText"/>
                    <w:ind w:right="57"/>
                  </w:pPr>
                  <w:r w:rsidRPr="00DC2212">
                    <w:t>–</w:t>
                  </w:r>
                </w:p>
              </w:tc>
              <w:tc>
                <w:tcPr>
                  <w:tcW w:w="458" w:type="pct"/>
                  <w:shd w:val="clear" w:color="auto" w:fill="auto"/>
                  <w:vAlign w:val="bottom"/>
                </w:tcPr>
                <w:p w:rsidR="00745FEA" w:rsidRPr="00DC2212" w:rsidRDefault="00745FEA" w:rsidP="00745FEA">
                  <w:pPr>
                    <w:pStyle w:val="TableBodyText"/>
                    <w:ind w:right="57"/>
                  </w:pPr>
                  <w:r w:rsidRPr="00DC2212">
                    <w:t>0.7</w:t>
                  </w:r>
                </w:p>
              </w:tc>
            </w:tr>
            <w:tr w:rsidR="00745FEA" w:rsidTr="00745FEA">
              <w:tc>
                <w:tcPr>
                  <w:tcW w:w="2218" w:type="pct"/>
                </w:tcPr>
                <w:p w:rsidR="00745FEA" w:rsidRPr="00E55599" w:rsidRDefault="00745FEA" w:rsidP="00745FEA">
                  <w:pPr>
                    <w:pStyle w:val="TableBodyText"/>
                    <w:spacing w:after="0"/>
                    <w:ind w:left="227" w:right="0"/>
                    <w:jc w:val="left"/>
                  </w:pPr>
                  <w:r w:rsidRPr="00E55599">
                    <w:t>New Aircraft Combat Capability</w:t>
                  </w:r>
                </w:p>
              </w:tc>
              <w:tc>
                <w:tcPr>
                  <w:tcW w:w="468" w:type="pct"/>
                  <w:vAlign w:val="bottom"/>
                </w:tcPr>
                <w:p w:rsidR="00745FEA" w:rsidRPr="00DC2212" w:rsidRDefault="00745FEA" w:rsidP="00745FEA">
                  <w:pPr>
                    <w:pStyle w:val="TableBodyText"/>
                    <w:ind w:right="57"/>
                  </w:pPr>
                  <w:r w:rsidRPr="00DC2212">
                    <w:t>3.3</w:t>
                  </w:r>
                </w:p>
              </w:tc>
              <w:tc>
                <w:tcPr>
                  <w:tcW w:w="464" w:type="pct"/>
                  <w:vAlign w:val="bottom"/>
                </w:tcPr>
                <w:p w:rsidR="00745FEA" w:rsidRPr="00DC2212" w:rsidRDefault="00745FEA" w:rsidP="00745FEA">
                  <w:pPr>
                    <w:pStyle w:val="TableBodyText"/>
                    <w:ind w:right="57"/>
                  </w:pPr>
                  <w:r w:rsidRPr="00DC2212">
                    <w:t>2.0</w:t>
                  </w:r>
                </w:p>
              </w:tc>
              <w:tc>
                <w:tcPr>
                  <w:tcW w:w="464" w:type="pct"/>
                  <w:vAlign w:val="bottom"/>
                </w:tcPr>
                <w:p w:rsidR="00745FEA" w:rsidRPr="00DC2212" w:rsidRDefault="00745FEA" w:rsidP="00745FEA">
                  <w:pPr>
                    <w:pStyle w:val="TableBodyText"/>
                    <w:ind w:right="57"/>
                  </w:pPr>
                  <w:r w:rsidRPr="00DC2212">
                    <w:t>2.0</w:t>
                  </w:r>
                </w:p>
              </w:tc>
              <w:tc>
                <w:tcPr>
                  <w:tcW w:w="464" w:type="pct"/>
                  <w:shd w:val="clear" w:color="auto" w:fill="auto"/>
                  <w:vAlign w:val="bottom"/>
                </w:tcPr>
                <w:p w:rsidR="00745FEA" w:rsidRPr="00DC2212" w:rsidRDefault="00745FEA" w:rsidP="00745FEA">
                  <w:pPr>
                    <w:pStyle w:val="TableBodyText"/>
                    <w:ind w:right="57"/>
                  </w:pPr>
                  <w:r w:rsidRPr="00DC2212">
                    <w:t>0.9</w:t>
                  </w:r>
                </w:p>
              </w:tc>
              <w:tc>
                <w:tcPr>
                  <w:tcW w:w="464" w:type="pct"/>
                  <w:shd w:val="clear" w:color="auto" w:fill="auto"/>
                  <w:vAlign w:val="bottom"/>
                </w:tcPr>
                <w:p w:rsidR="00745FEA" w:rsidRPr="00DC2212" w:rsidRDefault="00745FEA" w:rsidP="00745FEA">
                  <w:pPr>
                    <w:pStyle w:val="TableBodyText"/>
                    <w:ind w:right="57"/>
                  </w:pPr>
                  <w:r w:rsidRPr="00DC2212">
                    <w:t>2.8</w:t>
                  </w:r>
                </w:p>
              </w:tc>
              <w:tc>
                <w:tcPr>
                  <w:tcW w:w="458" w:type="pct"/>
                  <w:shd w:val="clear" w:color="auto" w:fill="auto"/>
                  <w:vAlign w:val="bottom"/>
                </w:tcPr>
                <w:p w:rsidR="00745FEA" w:rsidRPr="00DC2212" w:rsidRDefault="00745FEA" w:rsidP="00745FEA">
                  <w:pPr>
                    <w:pStyle w:val="TableBodyText"/>
                    <w:ind w:right="57"/>
                  </w:pPr>
                  <w:r w:rsidRPr="00DC2212">
                    <w:t>2.7</w:t>
                  </w:r>
                </w:p>
              </w:tc>
            </w:tr>
            <w:tr w:rsidR="00745FEA" w:rsidTr="00745FEA">
              <w:tc>
                <w:tcPr>
                  <w:tcW w:w="2218" w:type="pct"/>
                </w:tcPr>
                <w:p w:rsidR="00745FEA" w:rsidRPr="00E55599" w:rsidRDefault="00745FEA" w:rsidP="00745FEA">
                  <w:pPr>
                    <w:pStyle w:val="TableBodyText"/>
                    <w:spacing w:after="0"/>
                    <w:ind w:left="227" w:right="0"/>
                    <w:jc w:val="left"/>
                  </w:pPr>
                  <w:r w:rsidRPr="00E55599">
                    <w:t>P</w:t>
                  </w:r>
                  <w:r w:rsidRPr="0018442B">
                    <w:rPr>
                      <w:spacing w:val="-4"/>
                    </w:rPr>
                    <w:t>riority Industry Capability Innovation Program</w:t>
                  </w:r>
                </w:p>
              </w:tc>
              <w:tc>
                <w:tcPr>
                  <w:tcW w:w="468" w:type="pct"/>
                  <w:vAlign w:val="bottom"/>
                </w:tcPr>
                <w:p w:rsidR="00745FEA" w:rsidRPr="00DC2212" w:rsidRDefault="00745FEA" w:rsidP="00745FEA">
                  <w:pPr>
                    <w:pStyle w:val="TableBodyText"/>
                    <w:ind w:right="57"/>
                  </w:pPr>
                  <w:r w:rsidRPr="00DC2212">
                    <w:t>13.3</w:t>
                  </w:r>
                </w:p>
              </w:tc>
              <w:tc>
                <w:tcPr>
                  <w:tcW w:w="464" w:type="pct"/>
                  <w:vAlign w:val="bottom"/>
                </w:tcPr>
                <w:p w:rsidR="00745FEA" w:rsidRPr="00DC2212" w:rsidRDefault="00745FEA" w:rsidP="00745FEA">
                  <w:pPr>
                    <w:pStyle w:val="TableBodyText"/>
                    <w:ind w:right="57"/>
                  </w:pPr>
                  <w:r w:rsidRPr="00DC2212">
                    <w:t>10.4</w:t>
                  </w:r>
                </w:p>
              </w:tc>
              <w:tc>
                <w:tcPr>
                  <w:tcW w:w="464" w:type="pct"/>
                  <w:vAlign w:val="bottom"/>
                </w:tcPr>
                <w:p w:rsidR="00745FEA" w:rsidRPr="00DC2212" w:rsidRDefault="00745FEA" w:rsidP="00745FEA">
                  <w:pPr>
                    <w:pStyle w:val="TableBodyText"/>
                    <w:ind w:right="57"/>
                  </w:pPr>
                  <w:r w:rsidRPr="00DC2212">
                    <w:t>–</w:t>
                  </w:r>
                </w:p>
              </w:tc>
              <w:tc>
                <w:tcPr>
                  <w:tcW w:w="464" w:type="pct"/>
                  <w:shd w:val="clear" w:color="auto" w:fill="auto"/>
                  <w:vAlign w:val="bottom"/>
                </w:tcPr>
                <w:p w:rsidR="00745FEA" w:rsidRPr="00DC2212" w:rsidRDefault="00745FEA" w:rsidP="00745FEA">
                  <w:pPr>
                    <w:pStyle w:val="TableBodyText"/>
                    <w:ind w:right="57"/>
                  </w:pPr>
                  <w:r w:rsidRPr="00DC2212">
                    <w:t>–</w:t>
                  </w:r>
                </w:p>
              </w:tc>
              <w:tc>
                <w:tcPr>
                  <w:tcW w:w="464" w:type="pct"/>
                  <w:shd w:val="clear" w:color="auto" w:fill="auto"/>
                  <w:vAlign w:val="bottom"/>
                </w:tcPr>
                <w:p w:rsidR="00745FEA" w:rsidRPr="00DC2212" w:rsidRDefault="00745FEA" w:rsidP="00745FEA">
                  <w:pPr>
                    <w:pStyle w:val="TableBodyText"/>
                    <w:ind w:right="57"/>
                  </w:pPr>
                  <w:r w:rsidRPr="00DC2212">
                    <w:t>–</w:t>
                  </w:r>
                </w:p>
              </w:tc>
              <w:tc>
                <w:tcPr>
                  <w:tcW w:w="458" w:type="pct"/>
                  <w:shd w:val="clear" w:color="auto" w:fill="auto"/>
                  <w:vAlign w:val="bottom"/>
                </w:tcPr>
                <w:p w:rsidR="00745FEA" w:rsidRPr="00DC2212" w:rsidRDefault="00745FEA" w:rsidP="00745FEA">
                  <w:pPr>
                    <w:pStyle w:val="TableBodyText"/>
                    <w:ind w:right="57"/>
                  </w:pPr>
                  <w:r w:rsidRPr="00DC2212">
                    <w:t>–</w:t>
                  </w:r>
                </w:p>
              </w:tc>
            </w:tr>
            <w:tr w:rsidR="00745FEA" w:rsidTr="00745FEA">
              <w:tc>
                <w:tcPr>
                  <w:tcW w:w="2218" w:type="pct"/>
                </w:tcPr>
                <w:p w:rsidR="00745FEA" w:rsidRPr="00E55599" w:rsidRDefault="00745FEA" w:rsidP="00745FEA">
                  <w:pPr>
                    <w:pStyle w:val="TableBodyText"/>
                    <w:spacing w:after="0"/>
                    <w:ind w:left="227" w:right="0"/>
                    <w:jc w:val="left"/>
                  </w:pPr>
                  <w:r w:rsidRPr="00E55599">
                    <w:t>Skilling Australian Defence Industry</w:t>
                  </w:r>
                </w:p>
              </w:tc>
              <w:tc>
                <w:tcPr>
                  <w:tcW w:w="468" w:type="pct"/>
                  <w:vAlign w:val="bottom"/>
                </w:tcPr>
                <w:p w:rsidR="00745FEA" w:rsidRPr="00DC2212" w:rsidRDefault="00745FEA" w:rsidP="00745FEA">
                  <w:pPr>
                    <w:pStyle w:val="TableBodyText"/>
                    <w:ind w:right="57"/>
                  </w:pPr>
                  <w:r w:rsidRPr="00DC2212">
                    <w:t>14.6</w:t>
                  </w:r>
                </w:p>
              </w:tc>
              <w:tc>
                <w:tcPr>
                  <w:tcW w:w="464" w:type="pct"/>
                  <w:vAlign w:val="bottom"/>
                </w:tcPr>
                <w:p w:rsidR="00745FEA" w:rsidRPr="00DC2212" w:rsidRDefault="00745FEA" w:rsidP="00745FEA">
                  <w:pPr>
                    <w:pStyle w:val="TableBodyText"/>
                    <w:ind w:right="57"/>
                  </w:pPr>
                  <w:r w:rsidRPr="00DC2212">
                    <w:t>16.9</w:t>
                  </w:r>
                </w:p>
              </w:tc>
              <w:tc>
                <w:tcPr>
                  <w:tcW w:w="464" w:type="pct"/>
                  <w:vAlign w:val="bottom"/>
                </w:tcPr>
                <w:p w:rsidR="00745FEA" w:rsidRPr="00DC2212" w:rsidRDefault="00745FEA" w:rsidP="00745FEA">
                  <w:pPr>
                    <w:pStyle w:val="TableBodyText"/>
                    <w:ind w:right="57"/>
                  </w:pPr>
                  <w:r w:rsidRPr="00DC2212">
                    <w:t>12.2</w:t>
                  </w:r>
                </w:p>
              </w:tc>
              <w:tc>
                <w:tcPr>
                  <w:tcW w:w="464" w:type="pct"/>
                  <w:shd w:val="clear" w:color="auto" w:fill="auto"/>
                  <w:vAlign w:val="bottom"/>
                </w:tcPr>
                <w:p w:rsidR="00745FEA" w:rsidRPr="00DC2212" w:rsidRDefault="00745FEA" w:rsidP="00745FEA">
                  <w:pPr>
                    <w:pStyle w:val="TableBodyText"/>
                    <w:ind w:right="57"/>
                  </w:pPr>
                  <w:r w:rsidRPr="00DC2212">
                    <w:t>6.6</w:t>
                  </w:r>
                </w:p>
              </w:tc>
              <w:tc>
                <w:tcPr>
                  <w:tcW w:w="464" w:type="pct"/>
                  <w:shd w:val="clear" w:color="auto" w:fill="auto"/>
                  <w:vAlign w:val="bottom"/>
                </w:tcPr>
                <w:p w:rsidR="00745FEA" w:rsidRPr="00DC2212" w:rsidRDefault="00745FEA" w:rsidP="00745FEA">
                  <w:pPr>
                    <w:pStyle w:val="TableBodyText"/>
                    <w:ind w:right="57"/>
                  </w:pPr>
                  <w:r w:rsidRPr="00DC2212">
                    <w:t>5.5</w:t>
                  </w:r>
                </w:p>
              </w:tc>
              <w:tc>
                <w:tcPr>
                  <w:tcW w:w="458" w:type="pct"/>
                  <w:shd w:val="clear" w:color="auto" w:fill="auto"/>
                  <w:vAlign w:val="bottom"/>
                </w:tcPr>
                <w:p w:rsidR="00745FEA" w:rsidRDefault="00745FEA" w:rsidP="00745FEA">
                  <w:pPr>
                    <w:pStyle w:val="TableBodyText"/>
                    <w:ind w:right="57"/>
                  </w:pPr>
                  <w:r w:rsidRPr="00DC2212">
                    <w:t>–</w:t>
                  </w:r>
                </w:p>
              </w:tc>
            </w:tr>
            <w:tr w:rsidR="00745FEA" w:rsidTr="00745FEA">
              <w:tc>
                <w:tcPr>
                  <w:tcW w:w="2218" w:type="pct"/>
                </w:tcPr>
                <w:p w:rsidR="00745FEA" w:rsidRPr="007971EC" w:rsidRDefault="00745FEA" w:rsidP="00745FEA">
                  <w:pPr>
                    <w:pStyle w:val="TableBodyText"/>
                    <w:spacing w:before="40" w:after="0"/>
                    <w:ind w:left="113"/>
                    <w:jc w:val="left"/>
                    <w:rPr>
                      <w:i/>
                    </w:rPr>
                  </w:pPr>
                  <w:r w:rsidRPr="007971EC">
                    <w:rPr>
                      <w:i/>
                    </w:rPr>
                    <w:t>Sector-specific measures</w:t>
                  </w:r>
                </w:p>
              </w:tc>
              <w:tc>
                <w:tcPr>
                  <w:tcW w:w="468"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58"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F4446B" w:rsidRDefault="00745FEA" w:rsidP="00745FEA">
                  <w:pPr>
                    <w:pStyle w:val="TableBodyText"/>
                    <w:spacing w:after="0"/>
                    <w:ind w:left="227" w:right="0"/>
                    <w:jc w:val="left"/>
                  </w:pPr>
                  <w:r w:rsidRPr="00F4446B">
                    <w:t>Clean Technology Investment - General Program</w:t>
                  </w:r>
                </w:p>
              </w:tc>
              <w:tc>
                <w:tcPr>
                  <w:tcW w:w="468" w:type="pct"/>
                  <w:vAlign w:val="bottom"/>
                </w:tcPr>
                <w:p w:rsidR="00745FEA" w:rsidRPr="007A4480" w:rsidRDefault="00745FEA" w:rsidP="00745FEA">
                  <w:pPr>
                    <w:pStyle w:val="TableBodyText"/>
                    <w:ind w:right="57"/>
                  </w:pPr>
                  <w:r w:rsidRPr="007A4480">
                    <w:t>&lt;0.1</w:t>
                  </w:r>
                </w:p>
              </w:tc>
              <w:tc>
                <w:tcPr>
                  <w:tcW w:w="464" w:type="pct"/>
                  <w:vAlign w:val="bottom"/>
                </w:tcPr>
                <w:p w:rsidR="00745FEA" w:rsidRPr="007A4480" w:rsidRDefault="00745FEA" w:rsidP="00745FEA">
                  <w:pPr>
                    <w:pStyle w:val="TableBodyText"/>
                    <w:ind w:right="57"/>
                  </w:pPr>
                  <w:r w:rsidRPr="007A4480">
                    <w:t>–</w:t>
                  </w:r>
                </w:p>
              </w:tc>
              <w:tc>
                <w:tcPr>
                  <w:tcW w:w="464" w:type="pct"/>
                  <w:vAlign w:val="bottom"/>
                </w:tcPr>
                <w:p w:rsidR="00745FEA" w:rsidRPr="007A4480" w:rsidRDefault="00745FEA" w:rsidP="00745FEA">
                  <w:pPr>
                    <w:pStyle w:val="TableBodyText"/>
                    <w:ind w:right="57"/>
                  </w:pPr>
                  <w:r w:rsidRPr="007A4480">
                    <w:t>–</w:t>
                  </w:r>
                </w:p>
              </w:tc>
              <w:tc>
                <w:tcPr>
                  <w:tcW w:w="464" w:type="pct"/>
                  <w:shd w:val="clear" w:color="auto" w:fill="auto"/>
                  <w:vAlign w:val="bottom"/>
                </w:tcPr>
                <w:p w:rsidR="00745FEA" w:rsidRPr="007A4480" w:rsidRDefault="00745FEA" w:rsidP="00745FEA">
                  <w:pPr>
                    <w:pStyle w:val="TableBodyText"/>
                    <w:ind w:right="57"/>
                  </w:pPr>
                  <w:r w:rsidRPr="007A4480">
                    <w:t>–</w:t>
                  </w:r>
                </w:p>
              </w:tc>
              <w:tc>
                <w:tcPr>
                  <w:tcW w:w="464" w:type="pct"/>
                  <w:shd w:val="clear" w:color="auto" w:fill="auto"/>
                  <w:vAlign w:val="bottom"/>
                </w:tcPr>
                <w:p w:rsidR="00745FEA" w:rsidRPr="007A4480" w:rsidRDefault="00745FEA" w:rsidP="00745FEA">
                  <w:pPr>
                    <w:pStyle w:val="TableBodyText"/>
                    <w:ind w:right="57"/>
                  </w:pPr>
                  <w:r w:rsidRPr="007A4480">
                    <w:t>–</w:t>
                  </w:r>
                </w:p>
              </w:tc>
              <w:tc>
                <w:tcPr>
                  <w:tcW w:w="458" w:type="pct"/>
                  <w:shd w:val="clear" w:color="auto" w:fill="auto"/>
                  <w:vAlign w:val="bottom"/>
                </w:tcPr>
                <w:p w:rsidR="00745FEA" w:rsidRPr="007A4480" w:rsidRDefault="00745FEA" w:rsidP="00745FEA">
                  <w:pPr>
                    <w:pStyle w:val="TableBodyText"/>
                    <w:ind w:right="57"/>
                  </w:pPr>
                  <w:r w:rsidRPr="007A4480">
                    <w:t>–</w:t>
                  </w:r>
                </w:p>
              </w:tc>
            </w:tr>
            <w:tr w:rsidR="00745FEA" w:rsidTr="00745FEA">
              <w:tc>
                <w:tcPr>
                  <w:tcW w:w="2218" w:type="pct"/>
                </w:tcPr>
                <w:p w:rsidR="00745FEA" w:rsidRPr="00F4446B" w:rsidRDefault="00745FEA" w:rsidP="00745FEA">
                  <w:pPr>
                    <w:pStyle w:val="TableBodyText"/>
                    <w:spacing w:after="0"/>
                    <w:ind w:left="227" w:right="0"/>
                    <w:jc w:val="left"/>
                  </w:pPr>
                  <w:r w:rsidRPr="00F4446B">
                    <w:t>Industry Growth Centres</w:t>
                  </w:r>
                </w:p>
              </w:tc>
              <w:tc>
                <w:tcPr>
                  <w:tcW w:w="468" w:type="pct"/>
                  <w:vAlign w:val="bottom"/>
                </w:tcPr>
                <w:p w:rsidR="00745FEA" w:rsidRPr="007A4480" w:rsidRDefault="00745FEA" w:rsidP="00745FEA">
                  <w:pPr>
                    <w:pStyle w:val="TableBodyText"/>
                    <w:ind w:right="57"/>
                  </w:pPr>
                  <w:r w:rsidRPr="007A4480">
                    <w:t>–</w:t>
                  </w:r>
                </w:p>
              </w:tc>
              <w:tc>
                <w:tcPr>
                  <w:tcW w:w="464" w:type="pct"/>
                  <w:vAlign w:val="bottom"/>
                </w:tcPr>
                <w:p w:rsidR="00745FEA" w:rsidRPr="007A4480" w:rsidRDefault="00745FEA" w:rsidP="00745FEA">
                  <w:pPr>
                    <w:pStyle w:val="TableBodyText"/>
                    <w:ind w:right="57"/>
                  </w:pPr>
                  <w:r w:rsidRPr="007A4480">
                    <w:t>–</w:t>
                  </w:r>
                </w:p>
              </w:tc>
              <w:tc>
                <w:tcPr>
                  <w:tcW w:w="464" w:type="pct"/>
                  <w:vAlign w:val="bottom"/>
                </w:tcPr>
                <w:p w:rsidR="00745FEA" w:rsidRPr="007A4480" w:rsidRDefault="00745FEA" w:rsidP="00745FEA">
                  <w:pPr>
                    <w:pStyle w:val="TableBodyText"/>
                    <w:ind w:right="57"/>
                  </w:pPr>
                  <w:r w:rsidRPr="007A4480">
                    <w:t>–</w:t>
                  </w:r>
                </w:p>
              </w:tc>
              <w:tc>
                <w:tcPr>
                  <w:tcW w:w="464" w:type="pct"/>
                  <w:shd w:val="clear" w:color="auto" w:fill="auto"/>
                  <w:vAlign w:val="bottom"/>
                </w:tcPr>
                <w:p w:rsidR="00745FEA" w:rsidRPr="007A4480" w:rsidRDefault="00745FEA" w:rsidP="00745FEA">
                  <w:pPr>
                    <w:pStyle w:val="TableBodyText"/>
                    <w:ind w:right="57"/>
                  </w:pPr>
                  <w:r w:rsidRPr="007A4480">
                    <w:t>2.1</w:t>
                  </w:r>
                </w:p>
              </w:tc>
              <w:tc>
                <w:tcPr>
                  <w:tcW w:w="464" w:type="pct"/>
                  <w:shd w:val="clear" w:color="auto" w:fill="auto"/>
                  <w:vAlign w:val="bottom"/>
                </w:tcPr>
                <w:p w:rsidR="00745FEA" w:rsidRPr="007A4480" w:rsidRDefault="00745FEA" w:rsidP="00745FEA">
                  <w:pPr>
                    <w:pStyle w:val="TableBodyText"/>
                    <w:ind w:right="57"/>
                  </w:pPr>
                  <w:r w:rsidRPr="007A4480">
                    <w:t>15.0</w:t>
                  </w:r>
                </w:p>
              </w:tc>
              <w:tc>
                <w:tcPr>
                  <w:tcW w:w="458" w:type="pct"/>
                  <w:shd w:val="clear" w:color="auto" w:fill="auto"/>
                  <w:vAlign w:val="bottom"/>
                </w:tcPr>
                <w:p w:rsidR="00745FEA" w:rsidRPr="007A4480" w:rsidRDefault="00745FEA" w:rsidP="00745FEA">
                  <w:pPr>
                    <w:pStyle w:val="TableBodyText"/>
                    <w:ind w:right="57"/>
                  </w:pPr>
                  <w:r w:rsidRPr="007A4480">
                    <w:t>21.6</w:t>
                  </w:r>
                </w:p>
              </w:tc>
            </w:tr>
            <w:tr w:rsidR="00745FEA" w:rsidTr="00745FEA">
              <w:tc>
                <w:tcPr>
                  <w:tcW w:w="2218" w:type="pct"/>
                </w:tcPr>
                <w:p w:rsidR="00745FEA" w:rsidRPr="00F4446B" w:rsidRDefault="00745FEA" w:rsidP="00745FEA">
                  <w:pPr>
                    <w:pStyle w:val="TableBodyText"/>
                    <w:spacing w:after="0"/>
                    <w:ind w:left="227" w:right="0"/>
                    <w:jc w:val="left"/>
                  </w:pPr>
                  <w:r w:rsidRPr="00F4446B">
                    <w:t>Clean Business Australia - Re-tooling for Climate Change</w:t>
                  </w:r>
                </w:p>
              </w:tc>
              <w:tc>
                <w:tcPr>
                  <w:tcW w:w="468" w:type="pct"/>
                  <w:vAlign w:val="bottom"/>
                </w:tcPr>
                <w:p w:rsidR="00745FEA" w:rsidRPr="007A4480" w:rsidRDefault="00745FEA" w:rsidP="00745FEA">
                  <w:pPr>
                    <w:pStyle w:val="TableBodyText"/>
                    <w:ind w:right="57"/>
                  </w:pPr>
                  <w:r w:rsidRPr="007A4480">
                    <w:t>4.2</w:t>
                  </w:r>
                </w:p>
              </w:tc>
              <w:tc>
                <w:tcPr>
                  <w:tcW w:w="464" w:type="pct"/>
                  <w:vAlign w:val="bottom"/>
                </w:tcPr>
                <w:p w:rsidR="00745FEA" w:rsidRPr="007A4480" w:rsidRDefault="00745FEA" w:rsidP="00745FEA">
                  <w:pPr>
                    <w:pStyle w:val="TableBodyText"/>
                    <w:ind w:right="57"/>
                  </w:pPr>
                  <w:r w:rsidRPr="007A4480">
                    <w:t>–</w:t>
                  </w:r>
                </w:p>
              </w:tc>
              <w:tc>
                <w:tcPr>
                  <w:tcW w:w="464" w:type="pct"/>
                  <w:vAlign w:val="bottom"/>
                </w:tcPr>
                <w:p w:rsidR="00745FEA" w:rsidRPr="007A4480" w:rsidRDefault="00745FEA" w:rsidP="00745FEA">
                  <w:pPr>
                    <w:pStyle w:val="TableBodyText"/>
                    <w:ind w:right="57"/>
                  </w:pPr>
                  <w:r w:rsidRPr="007A4480">
                    <w:t>–</w:t>
                  </w:r>
                </w:p>
              </w:tc>
              <w:tc>
                <w:tcPr>
                  <w:tcW w:w="464" w:type="pct"/>
                  <w:shd w:val="clear" w:color="auto" w:fill="auto"/>
                  <w:vAlign w:val="bottom"/>
                </w:tcPr>
                <w:p w:rsidR="00745FEA" w:rsidRPr="007A4480" w:rsidRDefault="00745FEA" w:rsidP="00745FEA">
                  <w:pPr>
                    <w:pStyle w:val="TableBodyText"/>
                    <w:ind w:right="57"/>
                  </w:pPr>
                  <w:r w:rsidRPr="007A4480">
                    <w:t>–</w:t>
                  </w:r>
                </w:p>
              </w:tc>
              <w:tc>
                <w:tcPr>
                  <w:tcW w:w="464" w:type="pct"/>
                  <w:shd w:val="clear" w:color="auto" w:fill="auto"/>
                  <w:vAlign w:val="bottom"/>
                </w:tcPr>
                <w:p w:rsidR="00745FEA" w:rsidRPr="007A4480" w:rsidRDefault="00745FEA" w:rsidP="00745FEA">
                  <w:pPr>
                    <w:pStyle w:val="TableBodyText"/>
                    <w:ind w:right="57"/>
                  </w:pPr>
                  <w:r w:rsidRPr="007A4480">
                    <w:t>–</w:t>
                  </w:r>
                </w:p>
              </w:tc>
              <w:tc>
                <w:tcPr>
                  <w:tcW w:w="458" w:type="pct"/>
                  <w:shd w:val="clear" w:color="auto" w:fill="auto"/>
                  <w:vAlign w:val="bottom"/>
                </w:tcPr>
                <w:p w:rsidR="00745FEA" w:rsidRDefault="00745FEA" w:rsidP="00745FEA">
                  <w:pPr>
                    <w:pStyle w:val="TableBodyText"/>
                    <w:ind w:right="57"/>
                  </w:pPr>
                  <w:r w:rsidRPr="007A4480">
                    <w:t>–</w:t>
                  </w:r>
                </w:p>
              </w:tc>
            </w:tr>
            <w:tr w:rsidR="00745FEA" w:rsidTr="00745FEA">
              <w:tc>
                <w:tcPr>
                  <w:tcW w:w="2218" w:type="pct"/>
                </w:tcPr>
                <w:p w:rsidR="00745FEA" w:rsidRPr="007971EC" w:rsidRDefault="00745FEA" w:rsidP="00745FEA">
                  <w:pPr>
                    <w:pStyle w:val="TableBodyText"/>
                    <w:spacing w:before="40" w:after="0"/>
                    <w:ind w:left="113"/>
                    <w:jc w:val="left"/>
                    <w:rPr>
                      <w:i/>
                    </w:rPr>
                  </w:pPr>
                  <w:r w:rsidRPr="007971EC">
                    <w:rPr>
                      <w:i/>
                    </w:rPr>
                    <w:t>General export measures</w:t>
                  </w:r>
                </w:p>
              </w:tc>
              <w:tc>
                <w:tcPr>
                  <w:tcW w:w="468"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c>
                <w:tcPr>
                  <w:tcW w:w="458" w:type="pct"/>
                  <w:shd w:val="clear" w:color="auto" w:fill="auto"/>
                  <w:vAlign w:val="bottom"/>
                </w:tcPr>
                <w:p w:rsidR="00745FEA" w:rsidRDefault="00745FEA" w:rsidP="00745FEA">
                  <w:pPr>
                    <w:pStyle w:val="TableBodyText"/>
                    <w:ind w:right="57"/>
                  </w:pPr>
                </w:p>
              </w:tc>
            </w:tr>
            <w:tr w:rsidR="00745FEA" w:rsidTr="00745FEA">
              <w:tc>
                <w:tcPr>
                  <w:tcW w:w="2218" w:type="pct"/>
                </w:tcPr>
                <w:p w:rsidR="00745FEA" w:rsidRPr="00B30846" w:rsidRDefault="00745FEA" w:rsidP="00745FEA">
                  <w:pPr>
                    <w:pStyle w:val="TableBodyText"/>
                    <w:spacing w:after="0"/>
                    <w:ind w:left="227" w:right="0"/>
                    <w:jc w:val="left"/>
                  </w:pPr>
                  <w:r w:rsidRPr="00B30846">
                    <w:t>Duty Drawback</w:t>
                  </w:r>
                </w:p>
              </w:tc>
              <w:tc>
                <w:tcPr>
                  <w:tcW w:w="468" w:type="pct"/>
                  <w:vAlign w:val="bottom"/>
                </w:tcPr>
                <w:p w:rsidR="00745FEA" w:rsidRPr="00626C9E" w:rsidRDefault="00745FEA" w:rsidP="00745FEA">
                  <w:pPr>
                    <w:pStyle w:val="TableBodyText"/>
                    <w:ind w:right="57"/>
                  </w:pPr>
                  <w:r w:rsidRPr="00626C9E">
                    <w:t>62.5</w:t>
                  </w:r>
                </w:p>
              </w:tc>
              <w:tc>
                <w:tcPr>
                  <w:tcW w:w="464" w:type="pct"/>
                  <w:vAlign w:val="bottom"/>
                </w:tcPr>
                <w:p w:rsidR="00745FEA" w:rsidRPr="00626C9E" w:rsidRDefault="00745FEA" w:rsidP="00745FEA">
                  <w:pPr>
                    <w:pStyle w:val="TableBodyText"/>
                    <w:ind w:right="57"/>
                  </w:pPr>
                  <w:r w:rsidRPr="00626C9E">
                    <w:t>69.1</w:t>
                  </w:r>
                </w:p>
              </w:tc>
              <w:tc>
                <w:tcPr>
                  <w:tcW w:w="464" w:type="pct"/>
                  <w:vAlign w:val="bottom"/>
                </w:tcPr>
                <w:p w:rsidR="00745FEA" w:rsidRPr="00626C9E" w:rsidRDefault="00745FEA" w:rsidP="00745FEA">
                  <w:pPr>
                    <w:pStyle w:val="TableBodyText"/>
                    <w:ind w:right="57"/>
                  </w:pPr>
                  <w:r w:rsidRPr="00626C9E">
                    <w:t>62.7</w:t>
                  </w:r>
                </w:p>
              </w:tc>
              <w:tc>
                <w:tcPr>
                  <w:tcW w:w="464" w:type="pct"/>
                  <w:shd w:val="clear" w:color="auto" w:fill="auto"/>
                  <w:vAlign w:val="bottom"/>
                </w:tcPr>
                <w:p w:rsidR="00745FEA" w:rsidRPr="00626C9E" w:rsidRDefault="00745FEA" w:rsidP="00745FEA">
                  <w:pPr>
                    <w:pStyle w:val="TableBodyText"/>
                    <w:ind w:right="57"/>
                  </w:pPr>
                  <w:r w:rsidRPr="00626C9E">
                    <w:t>86.4</w:t>
                  </w:r>
                </w:p>
              </w:tc>
              <w:tc>
                <w:tcPr>
                  <w:tcW w:w="464" w:type="pct"/>
                  <w:shd w:val="clear" w:color="auto" w:fill="auto"/>
                  <w:vAlign w:val="bottom"/>
                </w:tcPr>
                <w:p w:rsidR="00745FEA" w:rsidRPr="00626C9E" w:rsidRDefault="00745FEA" w:rsidP="00745FEA">
                  <w:pPr>
                    <w:pStyle w:val="TableBodyText"/>
                    <w:ind w:right="57"/>
                  </w:pPr>
                  <w:r w:rsidRPr="00626C9E">
                    <w:t>161.3</w:t>
                  </w:r>
                </w:p>
              </w:tc>
              <w:tc>
                <w:tcPr>
                  <w:tcW w:w="458" w:type="pct"/>
                  <w:shd w:val="clear" w:color="auto" w:fill="auto"/>
                  <w:vAlign w:val="bottom"/>
                </w:tcPr>
                <w:p w:rsidR="00745FEA" w:rsidRDefault="00745FEA" w:rsidP="00745FEA">
                  <w:pPr>
                    <w:pStyle w:val="TableBodyText"/>
                    <w:ind w:right="57"/>
                  </w:pPr>
                  <w:r w:rsidRPr="00626C9E">
                    <w:t>161.3</w:t>
                  </w:r>
                </w:p>
              </w:tc>
            </w:tr>
            <w:tr w:rsidR="00745FEA" w:rsidTr="00745FEA">
              <w:tc>
                <w:tcPr>
                  <w:tcW w:w="2218" w:type="pct"/>
                </w:tcPr>
                <w:p w:rsidR="00745FEA" w:rsidRPr="0013112C" w:rsidRDefault="00745FEA" w:rsidP="00745FEA">
                  <w:pPr>
                    <w:pStyle w:val="TableUnitsRow"/>
                    <w:spacing w:after="0"/>
                    <w:ind w:left="113"/>
                    <w:jc w:val="left"/>
                    <w:rPr>
                      <w:i/>
                    </w:rPr>
                  </w:pPr>
                  <w:r w:rsidRPr="0013112C">
                    <w:rPr>
                      <w:i/>
                    </w:rPr>
                    <w:t>General R&amp;D measures</w:t>
                  </w:r>
                </w:p>
              </w:tc>
              <w:tc>
                <w:tcPr>
                  <w:tcW w:w="468"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58" w:type="pct"/>
                  <w:vAlign w:val="bottom"/>
                </w:tcPr>
                <w:p w:rsidR="00745FEA" w:rsidRDefault="00745FEA" w:rsidP="00745FEA">
                  <w:pPr>
                    <w:pStyle w:val="TableBodyText"/>
                    <w:ind w:right="57"/>
                  </w:pPr>
                </w:p>
              </w:tc>
            </w:tr>
            <w:tr w:rsidR="00745FEA" w:rsidTr="00745FEA">
              <w:tc>
                <w:tcPr>
                  <w:tcW w:w="2218" w:type="pct"/>
                </w:tcPr>
                <w:p w:rsidR="00745FEA" w:rsidRPr="00240E53" w:rsidRDefault="00745FEA" w:rsidP="00745FEA">
                  <w:pPr>
                    <w:pStyle w:val="TableBodyText"/>
                    <w:spacing w:after="0"/>
                    <w:ind w:left="227" w:right="0"/>
                    <w:jc w:val="left"/>
                  </w:pPr>
                  <w:r w:rsidRPr="00FA7851">
                    <w:t>Centre for Defence Industry Capability Program</w:t>
                  </w:r>
                </w:p>
              </w:tc>
              <w:tc>
                <w:tcPr>
                  <w:tcW w:w="468"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58" w:type="pct"/>
                  <w:vAlign w:val="bottom"/>
                </w:tcPr>
                <w:p w:rsidR="00745FEA" w:rsidRPr="00D534A4" w:rsidRDefault="00745FEA" w:rsidP="00745FEA">
                  <w:pPr>
                    <w:pStyle w:val="TableBodyText"/>
                    <w:ind w:right="57"/>
                  </w:pPr>
                  <w:r w:rsidRPr="00D534A4">
                    <w:t>0.4</w:t>
                  </w:r>
                </w:p>
              </w:tc>
            </w:tr>
            <w:tr w:rsidR="00745FEA" w:rsidTr="00745FEA">
              <w:tc>
                <w:tcPr>
                  <w:tcW w:w="2218" w:type="pct"/>
                </w:tcPr>
                <w:p w:rsidR="00745FEA" w:rsidRPr="00240E53" w:rsidRDefault="00745FEA" w:rsidP="00745FEA">
                  <w:pPr>
                    <w:pStyle w:val="TableBodyText"/>
                    <w:spacing w:after="0"/>
                    <w:ind w:left="227" w:right="0"/>
                    <w:jc w:val="left"/>
                  </w:pPr>
                  <w:r w:rsidRPr="00240E53">
                    <w:t>Cooperative Research Centres</w:t>
                  </w:r>
                </w:p>
              </w:tc>
              <w:tc>
                <w:tcPr>
                  <w:tcW w:w="468"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3.2</w:t>
                  </w:r>
                </w:p>
              </w:tc>
              <w:tc>
                <w:tcPr>
                  <w:tcW w:w="464" w:type="pct"/>
                  <w:vAlign w:val="bottom"/>
                </w:tcPr>
                <w:p w:rsidR="00745FEA" w:rsidRPr="00D534A4" w:rsidRDefault="00745FEA" w:rsidP="00745FEA">
                  <w:pPr>
                    <w:pStyle w:val="TableBodyText"/>
                    <w:ind w:right="57"/>
                  </w:pPr>
                  <w:r w:rsidRPr="00D534A4">
                    <w:t>5.6</w:t>
                  </w:r>
                </w:p>
              </w:tc>
              <w:tc>
                <w:tcPr>
                  <w:tcW w:w="458" w:type="pct"/>
                  <w:vAlign w:val="bottom"/>
                </w:tcPr>
                <w:p w:rsidR="00745FEA" w:rsidRPr="00D534A4" w:rsidRDefault="00745FEA" w:rsidP="00745FEA">
                  <w:pPr>
                    <w:pStyle w:val="TableBodyText"/>
                    <w:ind w:right="57"/>
                  </w:pPr>
                  <w:r w:rsidRPr="00D534A4">
                    <w:t>12.6</w:t>
                  </w:r>
                </w:p>
              </w:tc>
            </w:tr>
            <w:tr w:rsidR="00745FEA" w:rsidTr="00745FEA">
              <w:tc>
                <w:tcPr>
                  <w:tcW w:w="2218" w:type="pct"/>
                </w:tcPr>
                <w:p w:rsidR="00745FEA" w:rsidRPr="00240E53" w:rsidRDefault="00745FEA" w:rsidP="00745FEA">
                  <w:pPr>
                    <w:pStyle w:val="TableBodyText"/>
                    <w:spacing w:after="0"/>
                    <w:ind w:left="227" w:right="0"/>
                    <w:jc w:val="left"/>
                  </w:pPr>
                  <w:r w:rsidRPr="00240E53">
                    <w:t>CSIRO</w:t>
                  </w:r>
                </w:p>
              </w:tc>
              <w:tc>
                <w:tcPr>
                  <w:tcW w:w="468" w:type="pct"/>
                  <w:vAlign w:val="bottom"/>
                </w:tcPr>
                <w:p w:rsidR="00745FEA" w:rsidRPr="00D534A4" w:rsidRDefault="00745FEA" w:rsidP="00745FEA">
                  <w:pPr>
                    <w:pStyle w:val="TableBodyText"/>
                    <w:ind w:right="57"/>
                  </w:pPr>
                  <w:r w:rsidRPr="00D534A4">
                    <w:t>12.8</w:t>
                  </w:r>
                </w:p>
              </w:tc>
              <w:tc>
                <w:tcPr>
                  <w:tcW w:w="464" w:type="pct"/>
                  <w:vAlign w:val="bottom"/>
                </w:tcPr>
                <w:p w:rsidR="00745FEA" w:rsidRPr="00D534A4" w:rsidRDefault="00745FEA" w:rsidP="00745FEA">
                  <w:pPr>
                    <w:pStyle w:val="TableBodyText"/>
                    <w:ind w:right="57"/>
                  </w:pPr>
                  <w:r w:rsidRPr="00D534A4">
                    <w:t>12.3</w:t>
                  </w:r>
                </w:p>
              </w:tc>
              <w:tc>
                <w:tcPr>
                  <w:tcW w:w="464" w:type="pct"/>
                  <w:shd w:val="clear" w:color="auto" w:fill="auto"/>
                  <w:vAlign w:val="bottom"/>
                </w:tcPr>
                <w:p w:rsidR="00745FEA" w:rsidRPr="00D534A4" w:rsidRDefault="00745FEA" w:rsidP="00745FEA">
                  <w:pPr>
                    <w:pStyle w:val="TableBodyText"/>
                    <w:ind w:right="57"/>
                  </w:pPr>
                  <w:r w:rsidRPr="00D534A4">
                    <w:t>12.0</w:t>
                  </w:r>
                </w:p>
              </w:tc>
              <w:tc>
                <w:tcPr>
                  <w:tcW w:w="464" w:type="pct"/>
                  <w:vAlign w:val="bottom"/>
                </w:tcPr>
                <w:p w:rsidR="00745FEA" w:rsidRPr="00D534A4" w:rsidRDefault="00745FEA" w:rsidP="00745FEA">
                  <w:pPr>
                    <w:pStyle w:val="TableBodyText"/>
                    <w:ind w:right="57"/>
                  </w:pPr>
                  <w:r w:rsidRPr="00D534A4">
                    <w:t>10.8</w:t>
                  </w:r>
                </w:p>
              </w:tc>
              <w:tc>
                <w:tcPr>
                  <w:tcW w:w="464" w:type="pct"/>
                  <w:shd w:val="clear" w:color="auto" w:fill="auto"/>
                  <w:vAlign w:val="bottom"/>
                </w:tcPr>
                <w:p w:rsidR="00745FEA" w:rsidRPr="00D534A4" w:rsidRDefault="00745FEA" w:rsidP="00745FEA">
                  <w:pPr>
                    <w:pStyle w:val="TableBodyText"/>
                    <w:ind w:right="57"/>
                  </w:pPr>
                  <w:r w:rsidRPr="00D534A4">
                    <w:t>11.7</w:t>
                  </w:r>
                </w:p>
              </w:tc>
              <w:tc>
                <w:tcPr>
                  <w:tcW w:w="458" w:type="pct"/>
                  <w:shd w:val="clear" w:color="auto" w:fill="auto"/>
                  <w:vAlign w:val="bottom"/>
                </w:tcPr>
                <w:p w:rsidR="00745FEA" w:rsidRPr="00D534A4" w:rsidRDefault="00745FEA" w:rsidP="00745FEA">
                  <w:pPr>
                    <w:pStyle w:val="TableBodyText"/>
                    <w:ind w:right="57"/>
                  </w:pPr>
                  <w:r w:rsidRPr="00D534A4">
                    <w:t>15.1</w:t>
                  </w:r>
                </w:p>
              </w:tc>
            </w:tr>
            <w:tr w:rsidR="00745FEA" w:rsidTr="00745FEA">
              <w:tc>
                <w:tcPr>
                  <w:tcW w:w="2218" w:type="pct"/>
                </w:tcPr>
                <w:p w:rsidR="00745FEA" w:rsidRPr="00240E53" w:rsidRDefault="00745FEA" w:rsidP="00745FEA">
                  <w:pPr>
                    <w:pStyle w:val="TableBodyText"/>
                    <w:spacing w:after="0"/>
                    <w:ind w:left="227" w:right="0"/>
                    <w:jc w:val="left"/>
                  </w:pPr>
                  <w:r w:rsidRPr="00240E53">
                    <w:t>Defence Materials Technology Centre</w:t>
                  </w:r>
                </w:p>
              </w:tc>
              <w:tc>
                <w:tcPr>
                  <w:tcW w:w="468" w:type="pct"/>
                  <w:vAlign w:val="bottom"/>
                </w:tcPr>
                <w:p w:rsidR="00745FEA" w:rsidRPr="00D534A4" w:rsidRDefault="00745FEA" w:rsidP="00745FEA">
                  <w:pPr>
                    <w:pStyle w:val="TableBodyText"/>
                    <w:ind w:right="57"/>
                  </w:pPr>
                  <w:r w:rsidRPr="00D534A4">
                    <w:t>5.4</w:t>
                  </w:r>
                </w:p>
              </w:tc>
              <w:tc>
                <w:tcPr>
                  <w:tcW w:w="464" w:type="pct"/>
                  <w:vAlign w:val="bottom"/>
                </w:tcPr>
                <w:p w:rsidR="00745FEA" w:rsidRPr="00D534A4" w:rsidRDefault="00745FEA" w:rsidP="00745FEA">
                  <w:pPr>
                    <w:pStyle w:val="TableBodyText"/>
                    <w:ind w:right="57"/>
                  </w:pPr>
                  <w:r w:rsidRPr="00D534A4">
                    <w:t>6.8</w:t>
                  </w:r>
                </w:p>
              </w:tc>
              <w:tc>
                <w:tcPr>
                  <w:tcW w:w="464" w:type="pct"/>
                  <w:shd w:val="clear" w:color="auto" w:fill="auto"/>
                  <w:vAlign w:val="bottom"/>
                </w:tcPr>
                <w:p w:rsidR="00745FEA" w:rsidRPr="00D534A4" w:rsidRDefault="00745FEA" w:rsidP="00745FEA">
                  <w:pPr>
                    <w:pStyle w:val="TableBodyText"/>
                    <w:ind w:right="57"/>
                  </w:pPr>
                  <w:r w:rsidRPr="00D534A4">
                    <w:t>6.8</w:t>
                  </w:r>
                </w:p>
              </w:tc>
              <w:tc>
                <w:tcPr>
                  <w:tcW w:w="464" w:type="pct"/>
                  <w:vAlign w:val="bottom"/>
                </w:tcPr>
                <w:p w:rsidR="00745FEA" w:rsidRPr="00D534A4" w:rsidRDefault="00745FEA" w:rsidP="00745FEA">
                  <w:pPr>
                    <w:pStyle w:val="TableBodyText"/>
                    <w:ind w:right="57"/>
                  </w:pPr>
                  <w:r w:rsidRPr="00D534A4">
                    <w:t>4.5</w:t>
                  </w:r>
                </w:p>
              </w:tc>
              <w:tc>
                <w:tcPr>
                  <w:tcW w:w="464" w:type="pct"/>
                  <w:shd w:val="clear" w:color="auto" w:fill="auto"/>
                  <w:vAlign w:val="bottom"/>
                </w:tcPr>
                <w:p w:rsidR="00745FEA" w:rsidRPr="00D534A4" w:rsidRDefault="00745FEA" w:rsidP="00745FEA">
                  <w:pPr>
                    <w:pStyle w:val="TableBodyText"/>
                    <w:ind w:right="57"/>
                  </w:pPr>
                  <w:r w:rsidRPr="00D534A4">
                    <w:t>6.1</w:t>
                  </w:r>
                </w:p>
              </w:tc>
              <w:tc>
                <w:tcPr>
                  <w:tcW w:w="458" w:type="pct"/>
                  <w:shd w:val="clear" w:color="auto" w:fill="auto"/>
                  <w:vAlign w:val="bottom"/>
                </w:tcPr>
                <w:p w:rsidR="00745FEA" w:rsidRPr="00D534A4" w:rsidRDefault="00745FEA" w:rsidP="00745FEA">
                  <w:pPr>
                    <w:pStyle w:val="TableBodyText"/>
                    <w:ind w:right="57"/>
                  </w:pPr>
                  <w:r w:rsidRPr="00D534A4">
                    <w:t>7.0</w:t>
                  </w:r>
                </w:p>
              </w:tc>
            </w:tr>
            <w:tr w:rsidR="00745FEA" w:rsidTr="00745FEA">
              <w:tc>
                <w:tcPr>
                  <w:tcW w:w="2218" w:type="pct"/>
                </w:tcPr>
                <w:p w:rsidR="00745FEA" w:rsidRPr="00240E53" w:rsidRDefault="00745FEA" w:rsidP="00745FEA">
                  <w:pPr>
                    <w:pStyle w:val="TableBodyText"/>
                    <w:spacing w:after="0"/>
                    <w:ind w:left="227" w:right="0"/>
                    <w:jc w:val="left"/>
                  </w:pPr>
                  <w:r w:rsidRPr="00240E53">
                    <w:t>Energy Innovation Fund</w:t>
                  </w:r>
                </w:p>
              </w:tc>
              <w:tc>
                <w:tcPr>
                  <w:tcW w:w="468" w:type="pct"/>
                  <w:vAlign w:val="bottom"/>
                </w:tcPr>
                <w:p w:rsidR="00745FEA" w:rsidRPr="00D534A4" w:rsidRDefault="00745FEA" w:rsidP="00745FEA">
                  <w:pPr>
                    <w:pStyle w:val="TableBodyText"/>
                    <w:ind w:right="57"/>
                  </w:pPr>
                  <w:r w:rsidRPr="00D534A4">
                    <w:t>32.7</w:t>
                  </w:r>
                </w:p>
              </w:tc>
              <w:tc>
                <w:tcPr>
                  <w:tcW w:w="464" w:type="pct"/>
                  <w:vAlign w:val="bottom"/>
                </w:tcPr>
                <w:p w:rsidR="00745FEA" w:rsidRPr="00D534A4" w:rsidRDefault="00745FEA" w:rsidP="00745FEA">
                  <w:pPr>
                    <w:pStyle w:val="TableBodyText"/>
                    <w:ind w:right="57"/>
                  </w:pPr>
                  <w:r w:rsidRPr="00D534A4">
                    <w:t>–</w:t>
                  </w:r>
                </w:p>
              </w:tc>
              <w:tc>
                <w:tcPr>
                  <w:tcW w:w="464" w:type="pct"/>
                  <w:shd w:val="clear" w:color="auto" w:fill="auto"/>
                  <w:vAlign w:val="bottom"/>
                </w:tcPr>
                <w:p w:rsidR="00745FEA" w:rsidRPr="00D534A4" w:rsidRDefault="00745FEA" w:rsidP="00745FEA">
                  <w:pPr>
                    <w:pStyle w:val="TableBodyText"/>
                    <w:ind w:right="57"/>
                  </w:pPr>
                  <w:r w:rsidRPr="00D534A4">
                    <w:t>–</w:t>
                  </w:r>
                </w:p>
              </w:tc>
              <w:tc>
                <w:tcPr>
                  <w:tcW w:w="464" w:type="pct"/>
                  <w:vAlign w:val="bottom"/>
                </w:tcPr>
                <w:p w:rsidR="00745FEA" w:rsidRPr="00D534A4" w:rsidRDefault="00745FEA" w:rsidP="00745FEA">
                  <w:pPr>
                    <w:pStyle w:val="TableBodyText"/>
                    <w:ind w:right="57"/>
                  </w:pPr>
                  <w:r w:rsidRPr="00D534A4">
                    <w:t>–</w:t>
                  </w:r>
                </w:p>
              </w:tc>
              <w:tc>
                <w:tcPr>
                  <w:tcW w:w="464" w:type="pct"/>
                  <w:shd w:val="clear" w:color="auto" w:fill="auto"/>
                  <w:vAlign w:val="bottom"/>
                </w:tcPr>
                <w:p w:rsidR="00745FEA" w:rsidRPr="00D534A4" w:rsidRDefault="00745FEA" w:rsidP="00745FEA">
                  <w:pPr>
                    <w:pStyle w:val="TableBodyText"/>
                    <w:ind w:right="57"/>
                  </w:pPr>
                  <w:r w:rsidRPr="00D534A4">
                    <w:t>–</w:t>
                  </w:r>
                </w:p>
              </w:tc>
              <w:tc>
                <w:tcPr>
                  <w:tcW w:w="458" w:type="pct"/>
                  <w:shd w:val="clear" w:color="auto" w:fill="auto"/>
                  <w:vAlign w:val="bottom"/>
                </w:tcPr>
                <w:p w:rsidR="00745FEA" w:rsidRPr="00D534A4" w:rsidRDefault="00745FEA" w:rsidP="00745FEA">
                  <w:pPr>
                    <w:pStyle w:val="TableBodyText"/>
                    <w:ind w:right="57"/>
                  </w:pPr>
                  <w:r w:rsidRPr="00D534A4">
                    <w:t>–</w:t>
                  </w:r>
                </w:p>
              </w:tc>
            </w:tr>
            <w:tr w:rsidR="00745FEA" w:rsidTr="00745FEA">
              <w:tc>
                <w:tcPr>
                  <w:tcW w:w="2218" w:type="pct"/>
                  <w:tcBorders>
                    <w:bottom w:val="single" w:sz="6" w:space="0" w:color="BFBFBF"/>
                  </w:tcBorders>
                </w:tcPr>
                <w:p w:rsidR="00745FEA" w:rsidRPr="0018442B" w:rsidRDefault="00745FEA" w:rsidP="00745FEA">
                  <w:pPr>
                    <w:pStyle w:val="TableBodyText"/>
                    <w:ind w:left="227" w:right="0"/>
                    <w:jc w:val="left"/>
                    <w:rPr>
                      <w:spacing w:val="-4"/>
                    </w:rPr>
                  </w:pPr>
                  <w:r w:rsidRPr="0018442B">
                    <w:rPr>
                      <w:spacing w:val="-4"/>
                    </w:rPr>
                    <w:t>Manufacturing Technology Innovation Centre</w:t>
                  </w:r>
                </w:p>
              </w:tc>
              <w:tc>
                <w:tcPr>
                  <w:tcW w:w="468" w:type="pct"/>
                  <w:tcBorders>
                    <w:bottom w:val="single" w:sz="6" w:space="0" w:color="BFBFBF"/>
                  </w:tcBorders>
                  <w:vAlign w:val="bottom"/>
                </w:tcPr>
                <w:p w:rsidR="00745FEA" w:rsidRPr="00D534A4" w:rsidRDefault="00745FEA" w:rsidP="00745FEA">
                  <w:pPr>
                    <w:pStyle w:val="TableBodyText"/>
                    <w:ind w:right="57"/>
                  </w:pPr>
                  <w:r w:rsidRPr="00D534A4">
                    <w:t>–</w:t>
                  </w:r>
                </w:p>
              </w:tc>
              <w:tc>
                <w:tcPr>
                  <w:tcW w:w="464" w:type="pct"/>
                  <w:tcBorders>
                    <w:bottom w:val="single" w:sz="6" w:space="0" w:color="BFBFBF"/>
                  </w:tcBorders>
                  <w:vAlign w:val="bottom"/>
                </w:tcPr>
                <w:p w:rsidR="00745FEA" w:rsidRPr="00D534A4" w:rsidRDefault="00745FEA" w:rsidP="00745FEA">
                  <w:pPr>
                    <w:pStyle w:val="TableBodyText"/>
                    <w:ind w:right="57"/>
                  </w:pPr>
                  <w:r w:rsidRPr="00D534A4">
                    <w:t>2.8</w:t>
                  </w:r>
                </w:p>
              </w:tc>
              <w:tc>
                <w:tcPr>
                  <w:tcW w:w="464" w:type="pct"/>
                  <w:tcBorders>
                    <w:bottom w:val="single" w:sz="6" w:space="0" w:color="BFBFBF"/>
                  </w:tcBorders>
                  <w:shd w:val="clear" w:color="auto" w:fill="auto"/>
                  <w:vAlign w:val="bottom"/>
                </w:tcPr>
                <w:p w:rsidR="00745FEA" w:rsidRPr="00D534A4" w:rsidRDefault="00745FEA" w:rsidP="00745FEA">
                  <w:pPr>
                    <w:pStyle w:val="TableBodyText"/>
                    <w:ind w:right="57"/>
                  </w:pPr>
                  <w:r w:rsidRPr="00D534A4">
                    <w:t>1.2</w:t>
                  </w:r>
                </w:p>
              </w:tc>
              <w:tc>
                <w:tcPr>
                  <w:tcW w:w="464" w:type="pct"/>
                  <w:tcBorders>
                    <w:bottom w:val="single" w:sz="6" w:space="0" w:color="BFBFBF"/>
                  </w:tcBorders>
                  <w:vAlign w:val="bottom"/>
                </w:tcPr>
                <w:p w:rsidR="00745FEA" w:rsidRPr="00D534A4" w:rsidRDefault="00745FEA" w:rsidP="00745FEA">
                  <w:pPr>
                    <w:pStyle w:val="TableBodyText"/>
                    <w:ind w:right="57"/>
                  </w:pPr>
                  <w:r w:rsidRPr="00D534A4">
                    <w:t>2.6</w:t>
                  </w:r>
                </w:p>
              </w:tc>
              <w:tc>
                <w:tcPr>
                  <w:tcW w:w="464" w:type="pct"/>
                  <w:tcBorders>
                    <w:bottom w:val="single" w:sz="6" w:space="0" w:color="BFBFBF"/>
                  </w:tcBorders>
                  <w:shd w:val="clear" w:color="auto" w:fill="auto"/>
                  <w:vAlign w:val="bottom"/>
                </w:tcPr>
                <w:p w:rsidR="00745FEA" w:rsidRPr="00D534A4" w:rsidRDefault="00745FEA" w:rsidP="00745FEA">
                  <w:pPr>
                    <w:pStyle w:val="TableBodyText"/>
                    <w:ind w:right="57"/>
                  </w:pPr>
                  <w:r w:rsidRPr="00D534A4">
                    <w:t>–</w:t>
                  </w:r>
                </w:p>
              </w:tc>
              <w:tc>
                <w:tcPr>
                  <w:tcW w:w="458" w:type="pct"/>
                  <w:tcBorders>
                    <w:bottom w:val="single" w:sz="6" w:space="0" w:color="BFBFBF"/>
                  </w:tcBorders>
                  <w:shd w:val="clear" w:color="auto" w:fill="auto"/>
                  <w:vAlign w:val="bottom"/>
                </w:tcPr>
                <w:p w:rsidR="00745FEA" w:rsidRDefault="00745FEA" w:rsidP="00745FEA">
                  <w:pPr>
                    <w:pStyle w:val="TableBodyText"/>
                    <w:ind w:right="57"/>
                  </w:pPr>
                  <w:r w:rsidRPr="00D534A4">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left="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keepNext w:val="0"/>
              <w:spacing w:before="0" w:line="120" w:lineRule="exact"/>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67"/>
        <w:gridCol w:w="22"/>
      </w:tblGrid>
      <w:tr w:rsidR="00745FEA" w:rsidTr="00C719FB">
        <w:trPr>
          <w:tblHeader/>
        </w:trPr>
        <w:tc>
          <w:tcPr>
            <w:tcW w:w="5000" w:type="pct"/>
            <w:gridSpan w:val="2"/>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A.12</w:t>
            </w:r>
            <w:r>
              <w:tab/>
            </w:r>
            <w:r w:rsidR="00116EA6" w:rsidRPr="00116EA6">
              <w:rPr>
                <w:b w:val="0"/>
                <w:sz w:val="18"/>
                <w:szCs w:val="20"/>
              </w:rPr>
              <w:t>(continued)</w:t>
            </w:r>
          </w:p>
        </w:tc>
      </w:tr>
      <w:tr w:rsidR="00745FEA" w:rsidTr="00745FEA">
        <w:trPr>
          <w:cantSplit/>
        </w:trPr>
        <w:tc>
          <w:tcPr>
            <w:tcW w:w="5000" w:type="pct"/>
            <w:gridSpan w:val="2"/>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1"/>
              <w:gridCol w:w="800"/>
              <w:gridCol w:w="7"/>
              <w:gridCol w:w="794"/>
              <w:gridCol w:w="794"/>
              <w:gridCol w:w="794"/>
              <w:gridCol w:w="794"/>
              <w:gridCol w:w="781"/>
            </w:tblGrid>
            <w:tr w:rsidR="00745FEA" w:rsidTr="00C719FB">
              <w:trPr>
                <w:tblHeader/>
              </w:trPr>
              <w:tc>
                <w:tcPr>
                  <w:tcW w:w="2199" w:type="pct"/>
                  <w:tcBorders>
                    <w:top w:val="single" w:sz="6" w:space="0" w:color="BFBFBF"/>
                    <w:bottom w:val="single" w:sz="6" w:space="0" w:color="BFBFBF"/>
                  </w:tcBorders>
                </w:tcPr>
                <w:p w:rsidR="00745FEA" w:rsidRDefault="00745FEA" w:rsidP="00745FEA">
                  <w:pPr>
                    <w:pStyle w:val="TableColumnHeading"/>
                    <w:jc w:val="left"/>
                  </w:pPr>
                </w:p>
              </w:tc>
              <w:tc>
                <w:tcPr>
                  <w:tcW w:w="47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71"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9"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199" w:type="pct"/>
                </w:tcPr>
                <w:p w:rsidR="00745FEA" w:rsidRPr="00E54451" w:rsidRDefault="00745FEA" w:rsidP="00745FEA">
                  <w:pPr>
                    <w:pStyle w:val="TableBodyText"/>
                    <w:spacing w:before="40" w:after="0"/>
                    <w:ind w:left="113"/>
                    <w:jc w:val="left"/>
                    <w:rPr>
                      <w:i/>
                    </w:rPr>
                  </w:pPr>
                  <w:r w:rsidRPr="00E54451">
                    <w:rPr>
                      <w:i/>
                    </w:rPr>
                    <w:t>Other measures</w:t>
                  </w:r>
                </w:p>
              </w:tc>
              <w:tc>
                <w:tcPr>
                  <w:tcW w:w="474" w:type="pct"/>
                  <w:gridSpan w:val="2"/>
                </w:tcPr>
                <w:p w:rsidR="00745FEA" w:rsidRDefault="00745FEA" w:rsidP="00745FEA">
                  <w:pPr>
                    <w:pStyle w:val="TableBodyText"/>
                    <w:ind w:right="57"/>
                  </w:pPr>
                </w:p>
              </w:tc>
              <w:tc>
                <w:tcPr>
                  <w:tcW w:w="467" w:type="pct"/>
                </w:tcPr>
                <w:p w:rsidR="00745FEA" w:rsidRDefault="00745FEA" w:rsidP="00745FEA">
                  <w:pPr>
                    <w:pStyle w:val="TableBodyText"/>
                    <w:ind w:right="57"/>
                  </w:pPr>
                </w:p>
              </w:tc>
              <w:tc>
                <w:tcPr>
                  <w:tcW w:w="467" w:type="pct"/>
                  <w:shd w:val="clear" w:color="auto" w:fill="auto"/>
                </w:tcPr>
                <w:p w:rsidR="00745FEA" w:rsidRDefault="00745FEA" w:rsidP="00745FEA">
                  <w:pPr>
                    <w:pStyle w:val="TableBodyText"/>
                    <w:ind w:right="57"/>
                  </w:pPr>
                </w:p>
              </w:tc>
              <w:tc>
                <w:tcPr>
                  <w:tcW w:w="467" w:type="pct"/>
                </w:tcPr>
                <w:p w:rsidR="00745FEA" w:rsidRDefault="00745FEA" w:rsidP="00745FEA">
                  <w:pPr>
                    <w:pStyle w:val="TableBodyText"/>
                    <w:ind w:right="57"/>
                  </w:pPr>
                </w:p>
              </w:tc>
              <w:tc>
                <w:tcPr>
                  <w:tcW w:w="467" w:type="pct"/>
                  <w:shd w:val="clear" w:color="auto" w:fill="auto"/>
                </w:tcPr>
                <w:p w:rsidR="00745FEA" w:rsidRDefault="00745FEA" w:rsidP="00745FEA">
                  <w:pPr>
                    <w:pStyle w:val="TableBodyText"/>
                    <w:ind w:right="57"/>
                  </w:pPr>
                </w:p>
              </w:tc>
              <w:tc>
                <w:tcPr>
                  <w:tcW w:w="459" w:type="pct"/>
                  <w:shd w:val="clear" w:color="auto" w:fill="auto"/>
                </w:tcPr>
                <w:p w:rsidR="00745FEA" w:rsidRDefault="00745FEA" w:rsidP="00745FEA">
                  <w:pPr>
                    <w:pStyle w:val="TableBodyText"/>
                    <w:ind w:right="57"/>
                  </w:pPr>
                </w:p>
              </w:tc>
            </w:tr>
            <w:tr w:rsidR="00745FEA" w:rsidTr="00745FEA">
              <w:tc>
                <w:tcPr>
                  <w:tcW w:w="2199" w:type="pct"/>
                </w:tcPr>
                <w:p w:rsidR="00745FEA" w:rsidRPr="00DA12D9" w:rsidRDefault="00745FEA" w:rsidP="00745FEA">
                  <w:pPr>
                    <w:pStyle w:val="TableBodyText"/>
                    <w:spacing w:after="0"/>
                    <w:ind w:left="227" w:right="0"/>
                    <w:jc w:val="left"/>
                  </w:pPr>
                  <w:r w:rsidRPr="00DA12D9">
                    <w:t>Enterprise Connect Innovation Centres</w:t>
                  </w:r>
                </w:p>
              </w:tc>
              <w:tc>
                <w:tcPr>
                  <w:tcW w:w="474" w:type="pct"/>
                  <w:gridSpan w:val="2"/>
                  <w:vAlign w:val="bottom"/>
                </w:tcPr>
                <w:p w:rsidR="00745FEA" w:rsidRPr="00655827" w:rsidRDefault="00745FEA" w:rsidP="00745FEA">
                  <w:pPr>
                    <w:pStyle w:val="TableBodyText"/>
                    <w:ind w:right="57"/>
                  </w:pPr>
                  <w:r w:rsidRPr="00655827">
                    <w:t>0.1</w:t>
                  </w:r>
                </w:p>
              </w:tc>
              <w:tc>
                <w:tcPr>
                  <w:tcW w:w="467" w:type="pct"/>
                  <w:vAlign w:val="bottom"/>
                </w:tcPr>
                <w:p w:rsidR="00745FEA" w:rsidRPr="00655827" w:rsidRDefault="00745FEA" w:rsidP="00745FEA">
                  <w:pPr>
                    <w:pStyle w:val="TableBodyText"/>
                    <w:ind w:right="57"/>
                  </w:pPr>
                  <w:r w:rsidRPr="00655827">
                    <w:t>&lt;0.1</w:t>
                  </w:r>
                </w:p>
              </w:tc>
              <w:tc>
                <w:tcPr>
                  <w:tcW w:w="467" w:type="pct"/>
                  <w:shd w:val="clear" w:color="auto" w:fill="auto"/>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w:t>
                  </w:r>
                </w:p>
              </w:tc>
              <w:tc>
                <w:tcPr>
                  <w:tcW w:w="459" w:type="pct"/>
                  <w:shd w:val="clear" w:color="auto" w:fill="auto"/>
                  <w:vAlign w:val="bottom"/>
                </w:tcPr>
                <w:p w:rsidR="00745FEA" w:rsidRPr="00655827" w:rsidRDefault="00745FEA" w:rsidP="00745FEA">
                  <w:pPr>
                    <w:pStyle w:val="TableBodyText"/>
                    <w:ind w:right="57"/>
                  </w:pPr>
                  <w:r w:rsidRPr="00655827">
                    <w:t>–</w:t>
                  </w:r>
                </w:p>
              </w:tc>
            </w:tr>
            <w:tr w:rsidR="00745FEA" w:rsidTr="00745FEA">
              <w:tc>
                <w:tcPr>
                  <w:tcW w:w="2199" w:type="pct"/>
                </w:tcPr>
                <w:p w:rsidR="00745FEA" w:rsidRPr="00DA12D9" w:rsidRDefault="00745FEA" w:rsidP="00745FEA">
                  <w:pPr>
                    <w:pStyle w:val="TableBodyText"/>
                    <w:spacing w:after="0"/>
                    <w:ind w:left="227" w:right="0"/>
                    <w:jc w:val="left"/>
                  </w:pPr>
                  <w:r w:rsidRPr="00DA12D9">
                    <w:t>Illawarra Region Innovation and Investment Fund</w:t>
                  </w:r>
                </w:p>
              </w:tc>
              <w:tc>
                <w:tcPr>
                  <w:tcW w:w="474" w:type="pct"/>
                  <w:gridSpan w:val="2"/>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0.8</w:t>
                  </w:r>
                </w:p>
              </w:tc>
              <w:tc>
                <w:tcPr>
                  <w:tcW w:w="459" w:type="pct"/>
                  <w:shd w:val="clear" w:color="auto" w:fill="auto"/>
                  <w:vAlign w:val="bottom"/>
                </w:tcPr>
                <w:p w:rsidR="00745FEA" w:rsidRPr="00655827" w:rsidRDefault="00745FEA" w:rsidP="00745FEA">
                  <w:pPr>
                    <w:pStyle w:val="TableBodyText"/>
                    <w:ind w:right="57"/>
                  </w:pPr>
                  <w:r w:rsidRPr="00655827">
                    <w:t>–</w:t>
                  </w:r>
                </w:p>
              </w:tc>
            </w:tr>
            <w:tr w:rsidR="00745FEA" w:rsidTr="00745FEA">
              <w:tc>
                <w:tcPr>
                  <w:tcW w:w="2199" w:type="pct"/>
                </w:tcPr>
                <w:p w:rsidR="00745FEA" w:rsidRPr="00DA12D9" w:rsidRDefault="00745FEA" w:rsidP="00745FEA">
                  <w:pPr>
                    <w:pStyle w:val="TableBodyText"/>
                    <w:spacing w:after="0"/>
                    <w:ind w:left="227" w:right="0"/>
                    <w:jc w:val="left"/>
                  </w:pPr>
                  <w:r w:rsidRPr="00DA12D9">
                    <w:t>Melbourne's North Innovation and Investment Fund</w:t>
                  </w:r>
                </w:p>
              </w:tc>
              <w:tc>
                <w:tcPr>
                  <w:tcW w:w="474" w:type="pct"/>
                  <w:gridSpan w:val="2"/>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18.8</w:t>
                  </w:r>
                </w:p>
              </w:tc>
              <w:tc>
                <w:tcPr>
                  <w:tcW w:w="467" w:type="pct"/>
                  <w:vAlign w:val="bottom"/>
                </w:tcPr>
                <w:p w:rsidR="00745FEA" w:rsidRPr="00655827" w:rsidRDefault="00745FEA" w:rsidP="00745FEA">
                  <w:pPr>
                    <w:pStyle w:val="TableBodyText"/>
                    <w:ind w:right="57"/>
                  </w:pPr>
                  <w:r w:rsidRPr="00655827">
                    <w:t>6.2</w:t>
                  </w:r>
                </w:p>
              </w:tc>
              <w:tc>
                <w:tcPr>
                  <w:tcW w:w="467" w:type="pct"/>
                  <w:shd w:val="clear" w:color="auto" w:fill="auto"/>
                  <w:vAlign w:val="bottom"/>
                </w:tcPr>
                <w:p w:rsidR="00745FEA" w:rsidRPr="00655827" w:rsidRDefault="00745FEA" w:rsidP="00745FEA">
                  <w:pPr>
                    <w:pStyle w:val="TableBodyText"/>
                    <w:ind w:right="57"/>
                  </w:pPr>
                  <w:r w:rsidRPr="00655827">
                    <w:t>–</w:t>
                  </w:r>
                </w:p>
              </w:tc>
              <w:tc>
                <w:tcPr>
                  <w:tcW w:w="459" w:type="pct"/>
                  <w:shd w:val="clear" w:color="auto" w:fill="auto"/>
                  <w:vAlign w:val="bottom"/>
                </w:tcPr>
                <w:p w:rsidR="00745FEA" w:rsidRPr="00655827" w:rsidRDefault="00745FEA" w:rsidP="00745FEA">
                  <w:pPr>
                    <w:pStyle w:val="TableBodyText"/>
                    <w:ind w:right="57"/>
                  </w:pPr>
                  <w:r w:rsidRPr="00655827">
                    <w:t>–</w:t>
                  </w:r>
                </w:p>
              </w:tc>
            </w:tr>
            <w:tr w:rsidR="00745FEA" w:rsidTr="00745FEA">
              <w:tc>
                <w:tcPr>
                  <w:tcW w:w="2199" w:type="pct"/>
                </w:tcPr>
                <w:p w:rsidR="00745FEA" w:rsidRPr="00DA12D9" w:rsidRDefault="00745FEA" w:rsidP="00745FEA">
                  <w:pPr>
                    <w:pStyle w:val="TableBodyText"/>
                    <w:spacing w:after="0"/>
                    <w:ind w:left="227" w:right="0"/>
                    <w:jc w:val="left"/>
                  </w:pPr>
                  <w:r w:rsidRPr="00DA12D9">
                    <w:t>Temporary Assistance for Tasmanian Exporters</w:t>
                  </w:r>
                </w:p>
              </w:tc>
              <w:tc>
                <w:tcPr>
                  <w:tcW w:w="474" w:type="pct"/>
                  <w:gridSpan w:val="2"/>
                  <w:vAlign w:val="bottom"/>
                </w:tcPr>
                <w:p w:rsidR="00745FEA" w:rsidRPr="00655827" w:rsidRDefault="00745FEA" w:rsidP="00745FEA">
                  <w:pPr>
                    <w:pStyle w:val="TableBodyText"/>
                    <w:ind w:right="57"/>
                  </w:pPr>
                  <w:r w:rsidRPr="00655827">
                    <w:t>9.9</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w:t>
                  </w:r>
                </w:p>
              </w:tc>
              <w:tc>
                <w:tcPr>
                  <w:tcW w:w="459" w:type="pct"/>
                  <w:shd w:val="clear" w:color="auto" w:fill="auto"/>
                  <w:vAlign w:val="bottom"/>
                </w:tcPr>
                <w:p w:rsidR="00745FEA" w:rsidRPr="00655827" w:rsidRDefault="00745FEA" w:rsidP="00745FEA">
                  <w:pPr>
                    <w:pStyle w:val="TableBodyText"/>
                    <w:ind w:right="57"/>
                  </w:pPr>
                  <w:r w:rsidRPr="00655827">
                    <w:t>–</w:t>
                  </w:r>
                </w:p>
              </w:tc>
            </w:tr>
            <w:tr w:rsidR="00745FEA" w:rsidTr="00745FEA">
              <w:tc>
                <w:tcPr>
                  <w:tcW w:w="2199" w:type="pct"/>
                </w:tcPr>
                <w:p w:rsidR="00745FEA" w:rsidRPr="00DA12D9" w:rsidRDefault="00745FEA" w:rsidP="00745FEA">
                  <w:pPr>
                    <w:pStyle w:val="TableBodyText"/>
                    <w:spacing w:after="0"/>
                    <w:ind w:left="227" w:right="0"/>
                    <w:jc w:val="left"/>
                  </w:pPr>
                  <w:r w:rsidRPr="00DA12D9">
                    <w:t>Tasmanian Freight Equalisation Scheme</w:t>
                  </w:r>
                </w:p>
              </w:tc>
              <w:tc>
                <w:tcPr>
                  <w:tcW w:w="474" w:type="pct"/>
                  <w:gridSpan w:val="2"/>
                  <w:vAlign w:val="bottom"/>
                </w:tcPr>
                <w:p w:rsidR="00745FEA" w:rsidRPr="00655827" w:rsidRDefault="00745FEA" w:rsidP="00745FEA">
                  <w:pPr>
                    <w:pStyle w:val="TableBodyText"/>
                    <w:ind w:right="57"/>
                  </w:pPr>
                  <w:r w:rsidRPr="00655827">
                    <w:t>65.5</w:t>
                  </w:r>
                </w:p>
              </w:tc>
              <w:tc>
                <w:tcPr>
                  <w:tcW w:w="467" w:type="pct"/>
                  <w:vAlign w:val="bottom"/>
                </w:tcPr>
                <w:p w:rsidR="00745FEA" w:rsidRPr="00655827" w:rsidRDefault="00745FEA" w:rsidP="00745FEA">
                  <w:pPr>
                    <w:pStyle w:val="TableBodyText"/>
                    <w:ind w:right="57"/>
                  </w:pPr>
                  <w:r w:rsidRPr="00655827">
                    <w:t>78.0</w:t>
                  </w:r>
                </w:p>
              </w:tc>
              <w:tc>
                <w:tcPr>
                  <w:tcW w:w="467" w:type="pct"/>
                  <w:shd w:val="clear" w:color="auto" w:fill="auto"/>
                  <w:vAlign w:val="bottom"/>
                </w:tcPr>
                <w:p w:rsidR="00745FEA" w:rsidRPr="00655827" w:rsidRDefault="00745FEA" w:rsidP="00745FEA">
                  <w:pPr>
                    <w:pStyle w:val="TableBodyText"/>
                    <w:ind w:right="57"/>
                  </w:pPr>
                  <w:r w:rsidRPr="00655827">
                    <w:t>71.4</w:t>
                  </w:r>
                </w:p>
              </w:tc>
              <w:tc>
                <w:tcPr>
                  <w:tcW w:w="467" w:type="pct"/>
                  <w:vAlign w:val="bottom"/>
                </w:tcPr>
                <w:p w:rsidR="00745FEA" w:rsidRPr="00655827" w:rsidRDefault="00745FEA" w:rsidP="00745FEA">
                  <w:pPr>
                    <w:pStyle w:val="TableBodyText"/>
                    <w:ind w:right="57"/>
                  </w:pPr>
                  <w:r w:rsidRPr="00655827">
                    <w:t>78.5</w:t>
                  </w:r>
                </w:p>
              </w:tc>
              <w:tc>
                <w:tcPr>
                  <w:tcW w:w="467" w:type="pct"/>
                  <w:shd w:val="clear" w:color="auto" w:fill="auto"/>
                  <w:vAlign w:val="bottom"/>
                </w:tcPr>
                <w:p w:rsidR="00745FEA" w:rsidRPr="00655827" w:rsidRDefault="00745FEA" w:rsidP="00745FEA">
                  <w:pPr>
                    <w:pStyle w:val="TableBodyText"/>
                    <w:ind w:right="57"/>
                  </w:pPr>
                  <w:r w:rsidRPr="00655827">
                    <w:t>91.1</w:t>
                  </w:r>
                </w:p>
              </w:tc>
              <w:tc>
                <w:tcPr>
                  <w:tcW w:w="459" w:type="pct"/>
                  <w:shd w:val="clear" w:color="auto" w:fill="auto"/>
                  <w:vAlign w:val="bottom"/>
                </w:tcPr>
                <w:p w:rsidR="00745FEA" w:rsidRPr="00655827" w:rsidRDefault="00745FEA" w:rsidP="00745FEA">
                  <w:pPr>
                    <w:pStyle w:val="TableBodyText"/>
                    <w:ind w:right="57"/>
                  </w:pPr>
                  <w:r w:rsidRPr="00655827">
                    <w:t>96.6</w:t>
                  </w:r>
                </w:p>
              </w:tc>
            </w:tr>
            <w:tr w:rsidR="00745FEA" w:rsidTr="00745FEA">
              <w:tc>
                <w:tcPr>
                  <w:tcW w:w="2199" w:type="pct"/>
                </w:tcPr>
                <w:p w:rsidR="00745FEA" w:rsidRPr="00DA12D9" w:rsidRDefault="00745FEA" w:rsidP="00745FEA">
                  <w:pPr>
                    <w:pStyle w:val="TableBodyText"/>
                    <w:spacing w:after="0"/>
                    <w:ind w:left="227" w:right="0"/>
                    <w:jc w:val="left"/>
                  </w:pPr>
                  <w:r w:rsidRPr="00DA12D9">
                    <w:t>Tasmanian Jobs and Growth Package</w:t>
                  </w:r>
                </w:p>
              </w:tc>
              <w:tc>
                <w:tcPr>
                  <w:tcW w:w="474" w:type="pct"/>
                  <w:gridSpan w:val="2"/>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5.1</w:t>
                  </w:r>
                </w:p>
              </w:tc>
              <w:tc>
                <w:tcPr>
                  <w:tcW w:w="467" w:type="pct"/>
                  <w:vAlign w:val="bottom"/>
                </w:tcPr>
                <w:p w:rsidR="00745FEA" w:rsidRPr="00655827" w:rsidRDefault="00745FEA" w:rsidP="00745FEA">
                  <w:pPr>
                    <w:pStyle w:val="TableBodyText"/>
                    <w:ind w:right="57"/>
                  </w:pPr>
                  <w:r w:rsidRPr="00655827">
                    <w:t>30.9</w:t>
                  </w:r>
                </w:p>
              </w:tc>
              <w:tc>
                <w:tcPr>
                  <w:tcW w:w="467" w:type="pct"/>
                  <w:shd w:val="clear" w:color="auto" w:fill="auto"/>
                  <w:vAlign w:val="bottom"/>
                </w:tcPr>
                <w:p w:rsidR="00745FEA" w:rsidRPr="00655827" w:rsidRDefault="00745FEA" w:rsidP="00745FEA">
                  <w:pPr>
                    <w:pStyle w:val="TableBodyText"/>
                    <w:ind w:right="57"/>
                  </w:pPr>
                  <w:r w:rsidRPr="00655827">
                    <w:t>19.4</w:t>
                  </w:r>
                </w:p>
              </w:tc>
              <w:tc>
                <w:tcPr>
                  <w:tcW w:w="459" w:type="pct"/>
                  <w:shd w:val="clear" w:color="auto" w:fill="auto"/>
                  <w:vAlign w:val="bottom"/>
                </w:tcPr>
                <w:p w:rsidR="00745FEA" w:rsidRPr="00655827" w:rsidRDefault="00745FEA" w:rsidP="00745FEA">
                  <w:pPr>
                    <w:pStyle w:val="TableBodyText"/>
                    <w:ind w:right="57"/>
                  </w:pPr>
                  <w:r w:rsidRPr="00655827">
                    <w:t>13.8</w:t>
                  </w:r>
                </w:p>
              </w:tc>
            </w:tr>
            <w:tr w:rsidR="00745FEA" w:rsidTr="00745FEA">
              <w:tc>
                <w:tcPr>
                  <w:tcW w:w="2199" w:type="pct"/>
                </w:tcPr>
                <w:p w:rsidR="00745FEA" w:rsidRPr="00DA12D9" w:rsidRDefault="00745FEA" w:rsidP="00745FEA">
                  <w:pPr>
                    <w:pStyle w:val="TableBodyText"/>
                    <w:spacing w:after="0"/>
                    <w:ind w:left="227" w:right="0"/>
                    <w:jc w:val="left"/>
                  </w:pPr>
                  <w:r w:rsidRPr="00DA12D9">
                    <w:t>Tasmanian Jobs and Investment Fund</w:t>
                  </w:r>
                </w:p>
              </w:tc>
              <w:tc>
                <w:tcPr>
                  <w:tcW w:w="474" w:type="pct"/>
                  <w:gridSpan w:val="2"/>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w:t>
                  </w:r>
                </w:p>
              </w:tc>
              <w:tc>
                <w:tcPr>
                  <w:tcW w:w="467" w:type="pct"/>
                  <w:vAlign w:val="bottom"/>
                </w:tcPr>
                <w:p w:rsidR="00745FEA" w:rsidRPr="00655827" w:rsidRDefault="00745FEA" w:rsidP="00745FEA">
                  <w:pPr>
                    <w:pStyle w:val="TableBodyText"/>
                    <w:ind w:right="57"/>
                  </w:pPr>
                  <w:r w:rsidRPr="00655827">
                    <w:t>–</w:t>
                  </w:r>
                </w:p>
              </w:tc>
              <w:tc>
                <w:tcPr>
                  <w:tcW w:w="467" w:type="pct"/>
                  <w:shd w:val="clear" w:color="auto" w:fill="auto"/>
                  <w:vAlign w:val="bottom"/>
                </w:tcPr>
                <w:p w:rsidR="00745FEA" w:rsidRPr="00655827" w:rsidRDefault="00745FEA" w:rsidP="00745FEA">
                  <w:pPr>
                    <w:pStyle w:val="TableBodyText"/>
                    <w:ind w:right="57"/>
                  </w:pPr>
                  <w:r w:rsidRPr="00655827">
                    <w:t>0.5</w:t>
                  </w:r>
                </w:p>
              </w:tc>
              <w:tc>
                <w:tcPr>
                  <w:tcW w:w="459" w:type="pct"/>
                  <w:shd w:val="clear" w:color="auto" w:fill="auto"/>
                  <w:vAlign w:val="bottom"/>
                </w:tcPr>
                <w:p w:rsidR="00745FEA" w:rsidRPr="00655827" w:rsidRDefault="00745FEA" w:rsidP="00745FEA">
                  <w:pPr>
                    <w:pStyle w:val="TableBodyText"/>
                    <w:ind w:right="57"/>
                  </w:pPr>
                  <w:r w:rsidRPr="00655827">
                    <w:t>–</w:t>
                  </w:r>
                </w:p>
              </w:tc>
            </w:tr>
            <w:tr w:rsidR="00745FEA" w:rsidTr="00745FEA">
              <w:tc>
                <w:tcPr>
                  <w:tcW w:w="2199" w:type="pct"/>
                </w:tcPr>
                <w:p w:rsidR="00745FEA" w:rsidRPr="00DA12D9" w:rsidRDefault="00745FEA" w:rsidP="00745FEA">
                  <w:pPr>
                    <w:pStyle w:val="TableBodyText"/>
                    <w:spacing w:after="0"/>
                    <w:ind w:left="227" w:right="0"/>
                    <w:jc w:val="left"/>
                  </w:pPr>
                  <w:r w:rsidRPr="00DA12D9">
                    <w:t xml:space="preserve">Small business </w:t>
                  </w:r>
                  <w:r>
                    <w:t>capital gains tax</w:t>
                  </w:r>
                  <w:r w:rsidRPr="00DA12D9">
                    <w:t xml:space="preserve"> 15-year asset exemption</w:t>
                  </w:r>
                </w:p>
              </w:tc>
              <w:tc>
                <w:tcPr>
                  <w:tcW w:w="474" w:type="pct"/>
                  <w:gridSpan w:val="2"/>
                  <w:vAlign w:val="bottom"/>
                </w:tcPr>
                <w:p w:rsidR="00745FEA" w:rsidRPr="00655827" w:rsidRDefault="00745FEA" w:rsidP="00745FEA">
                  <w:pPr>
                    <w:pStyle w:val="TableBodyText"/>
                    <w:ind w:right="57"/>
                  </w:pPr>
                  <w:r w:rsidRPr="00655827">
                    <w:t>4.5</w:t>
                  </w:r>
                </w:p>
              </w:tc>
              <w:tc>
                <w:tcPr>
                  <w:tcW w:w="467" w:type="pct"/>
                  <w:vAlign w:val="bottom"/>
                </w:tcPr>
                <w:p w:rsidR="00745FEA" w:rsidRPr="00655827" w:rsidRDefault="00745FEA" w:rsidP="00745FEA">
                  <w:pPr>
                    <w:pStyle w:val="TableBodyText"/>
                    <w:ind w:right="57"/>
                  </w:pPr>
                  <w:r w:rsidRPr="00655827">
                    <w:t>4.6</w:t>
                  </w:r>
                </w:p>
              </w:tc>
              <w:tc>
                <w:tcPr>
                  <w:tcW w:w="467" w:type="pct"/>
                  <w:shd w:val="clear" w:color="auto" w:fill="auto"/>
                  <w:vAlign w:val="bottom"/>
                </w:tcPr>
                <w:p w:rsidR="00745FEA" w:rsidRPr="00655827" w:rsidRDefault="00745FEA" w:rsidP="00745FEA">
                  <w:pPr>
                    <w:pStyle w:val="TableBodyText"/>
                    <w:ind w:right="57"/>
                  </w:pPr>
                  <w:r w:rsidRPr="00655827">
                    <w:t>5.3</w:t>
                  </w:r>
                </w:p>
              </w:tc>
              <w:tc>
                <w:tcPr>
                  <w:tcW w:w="467" w:type="pct"/>
                  <w:vAlign w:val="bottom"/>
                </w:tcPr>
                <w:p w:rsidR="00745FEA" w:rsidRPr="00655827" w:rsidRDefault="00745FEA" w:rsidP="00745FEA">
                  <w:pPr>
                    <w:pStyle w:val="TableBodyText"/>
                    <w:ind w:right="57"/>
                  </w:pPr>
                  <w:r w:rsidRPr="00655827">
                    <w:t>4.9</w:t>
                  </w:r>
                </w:p>
              </w:tc>
              <w:tc>
                <w:tcPr>
                  <w:tcW w:w="467" w:type="pct"/>
                  <w:shd w:val="clear" w:color="auto" w:fill="auto"/>
                  <w:vAlign w:val="bottom"/>
                </w:tcPr>
                <w:p w:rsidR="00745FEA" w:rsidRPr="00655827" w:rsidRDefault="00745FEA" w:rsidP="00745FEA">
                  <w:pPr>
                    <w:pStyle w:val="TableBodyText"/>
                    <w:ind w:right="57"/>
                  </w:pPr>
                  <w:r w:rsidRPr="00655827">
                    <w:t>6.3</w:t>
                  </w:r>
                </w:p>
              </w:tc>
              <w:tc>
                <w:tcPr>
                  <w:tcW w:w="459" w:type="pct"/>
                  <w:shd w:val="clear" w:color="auto" w:fill="auto"/>
                  <w:vAlign w:val="bottom"/>
                </w:tcPr>
                <w:p w:rsidR="00745FEA" w:rsidRDefault="00745FEA" w:rsidP="00745FEA">
                  <w:pPr>
                    <w:pStyle w:val="TableBodyText"/>
                    <w:ind w:right="57"/>
                  </w:pPr>
                  <w:r w:rsidRPr="00655827">
                    <w:t>6.1</w:t>
                  </w:r>
                </w:p>
              </w:tc>
            </w:tr>
            <w:tr w:rsidR="00745FEA" w:rsidRPr="00E54451" w:rsidTr="00745FEA">
              <w:tc>
                <w:tcPr>
                  <w:tcW w:w="2199" w:type="pct"/>
                </w:tcPr>
                <w:p w:rsidR="00745FEA" w:rsidRPr="00E54451" w:rsidRDefault="00745FEA" w:rsidP="00745FEA">
                  <w:pPr>
                    <w:pStyle w:val="TableBodyText"/>
                    <w:spacing w:before="20" w:after="20"/>
                    <w:jc w:val="left"/>
                    <w:rPr>
                      <w:i/>
                    </w:rPr>
                  </w:pPr>
                  <w:r w:rsidRPr="00E54451">
                    <w:rPr>
                      <w:i/>
                    </w:rPr>
                    <w:t>Total</w:t>
                  </w:r>
                </w:p>
              </w:tc>
              <w:tc>
                <w:tcPr>
                  <w:tcW w:w="474" w:type="pct"/>
                  <w:gridSpan w:val="2"/>
                  <w:vAlign w:val="bottom"/>
                </w:tcPr>
                <w:p w:rsidR="00745FEA" w:rsidRPr="006A6ED5" w:rsidRDefault="00745FEA" w:rsidP="00745FEA">
                  <w:pPr>
                    <w:pStyle w:val="TableBodyText"/>
                    <w:spacing w:before="20" w:after="20"/>
                    <w:ind w:right="57"/>
                    <w:rPr>
                      <w:i/>
                    </w:rPr>
                  </w:pPr>
                  <w:r>
                    <w:rPr>
                      <w:i/>
                    </w:rPr>
                    <w:t>230.0</w:t>
                  </w:r>
                </w:p>
              </w:tc>
              <w:tc>
                <w:tcPr>
                  <w:tcW w:w="467" w:type="pct"/>
                  <w:vAlign w:val="bottom"/>
                </w:tcPr>
                <w:p w:rsidR="00745FEA" w:rsidRPr="006A6ED5" w:rsidRDefault="00745FEA" w:rsidP="00745FEA">
                  <w:pPr>
                    <w:pStyle w:val="TableBodyText"/>
                    <w:spacing w:before="20" w:after="20"/>
                    <w:ind w:right="57"/>
                    <w:rPr>
                      <w:i/>
                    </w:rPr>
                  </w:pPr>
                  <w:r>
                    <w:rPr>
                      <w:i/>
                    </w:rPr>
                    <w:t>203.2</w:t>
                  </w:r>
                </w:p>
              </w:tc>
              <w:tc>
                <w:tcPr>
                  <w:tcW w:w="467" w:type="pct"/>
                  <w:shd w:val="clear" w:color="auto" w:fill="auto"/>
                  <w:vAlign w:val="bottom"/>
                </w:tcPr>
                <w:p w:rsidR="00745FEA" w:rsidRPr="006A6ED5" w:rsidRDefault="00745FEA" w:rsidP="00745FEA">
                  <w:pPr>
                    <w:pStyle w:val="TableBodyText"/>
                    <w:spacing w:before="20" w:after="20"/>
                    <w:ind w:right="57"/>
                    <w:rPr>
                      <w:i/>
                    </w:rPr>
                  </w:pPr>
                  <w:r>
                    <w:rPr>
                      <w:i/>
                    </w:rPr>
                    <w:t>197.9</w:t>
                  </w:r>
                </w:p>
              </w:tc>
              <w:tc>
                <w:tcPr>
                  <w:tcW w:w="467" w:type="pct"/>
                  <w:vAlign w:val="bottom"/>
                </w:tcPr>
                <w:p w:rsidR="00745FEA" w:rsidRPr="006A6ED5" w:rsidRDefault="00745FEA" w:rsidP="00745FEA">
                  <w:pPr>
                    <w:pStyle w:val="TableBodyText"/>
                    <w:spacing w:before="20" w:after="20"/>
                    <w:ind w:right="57"/>
                    <w:rPr>
                      <w:i/>
                    </w:rPr>
                  </w:pPr>
                  <w:r>
                    <w:rPr>
                      <w:i/>
                    </w:rPr>
                    <w:t>237.7</w:t>
                  </w:r>
                </w:p>
              </w:tc>
              <w:tc>
                <w:tcPr>
                  <w:tcW w:w="467" w:type="pct"/>
                  <w:shd w:val="clear" w:color="auto" w:fill="auto"/>
                  <w:vAlign w:val="bottom"/>
                </w:tcPr>
                <w:p w:rsidR="00745FEA" w:rsidRPr="006A6ED5" w:rsidRDefault="00745FEA" w:rsidP="00745FEA">
                  <w:pPr>
                    <w:pStyle w:val="TableBodyText"/>
                    <w:spacing w:before="20" w:after="20"/>
                    <w:ind w:right="57"/>
                    <w:rPr>
                      <w:i/>
                    </w:rPr>
                  </w:pPr>
                  <w:r>
                    <w:rPr>
                      <w:i/>
                    </w:rPr>
                    <w:t>326.2</w:t>
                  </w:r>
                </w:p>
              </w:tc>
              <w:tc>
                <w:tcPr>
                  <w:tcW w:w="459" w:type="pct"/>
                  <w:shd w:val="clear" w:color="auto" w:fill="auto"/>
                  <w:vAlign w:val="bottom"/>
                </w:tcPr>
                <w:p w:rsidR="00745FEA" w:rsidRPr="006A6ED5" w:rsidRDefault="00745FEA" w:rsidP="00745FEA">
                  <w:pPr>
                    <w:pStyle w:val="TableBodyText"/>
                    <w:spacing w:before="20" w:after="20"/>
                    <w:ind w:right="57"/>
                    <w:rPr>
                      <w:i/>
                    </w:rPr>
                  </w:pPr>
                  <w:r>
                    <w:rPr>
                      <w:i/>
                    </w:rPr>
                    <w:t>337.8</w:t>
                  </w:r>
                </w:p>
              </w:tc>
            </w:tr>
            <w:tr w:rsidR="00745FEA" w:rsidTr="00745FEA">
              <w:tc>
                <w:tcPr>
                  <w:tcW w:w="2199" w:type="pct"/>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outlays</w:t>
                  </w:r>
                </w:p>
              </w:tc>
              <w:tc>
                <w:tcPr>
                  <w:tcW w:w="474" w:type="pct"/>
                  <w:gridSpan w:val="2"/>
                  <w:vAlign w:val="center"/>
                </w:tcPr>
                <w:p w:rsidR="00745FEA" w:rsidRPr="002C2A0F" w:rsidRDefault="00745FEA" w:rsidP="00745FEA">
                  <w:pPr>
                    <w:pStyle w:val="TableBodyText"/>
                    <w:spacing w:after="0"/>
                    <w:ind w:left="0" w:right="57"/>
                    <w:rPr>
                      <w:b/>
                    </w:rPr>
                  </w:pPr>
                  <w:r>
                    <w:rPr>
                      <w:b/>
                    </w:rPr>
                    <w:t>1376.1</w:t>
                  </w:r>
                </w:p>
              </w:tc>
              <w:tc>
                <w:tcPr>
                  <w:tcW w:w="467" w:type="pct"/>
                  <w:vAlign w:val="center"/>
                </w:tcPr>
                <w:p w:rsidR="00745FEA" w:rsidRPr="002C2A0F" w:rsidRDefault="00745FEA" w:rsidP="00745FEA">
                  <w:pPr>
                    <w:pStyle w:val="TableBodyText"/>
                    <w:spacing w:after="0"/>
                    <w:ind w:left="0" w:right="57"/>
                    <w:rPr>
                      <w:b/>
                    </w:rPr>
                  </w:pPr>
                  <w:r>
                    <w:rPr>
                      <w:b/>
                    </w:rPr>
                    <w:t>1250.3</w:t>
                  </w:r>
                </w:p>
              </w:tc>
              <w:tc>
                <w:tcPr>
                  <w:tcW w:w="467" w:type="pct"/>
                  <w:shd w:val="clear" w:color="auto" w:fill="auto"/>
                  <w:vAlign w:val="center"/>
                </w:tcPr>
                <w:p w:rsidR="00745FEA" w:rsidRPr="000C3843" w:rsidRDefault="00745FEA" w:rsidP="00745FEA">
                  <w:pPr>
                    <w:pStyle w:val="TableBodyText"/>
                    <w:spacing w:after="0"/>
                    <w:ind w:left="0" w:right="57"/>
                    <w:rPr>
                      <w:b/>
                    </w:rPr>
                  </w:pPr>
                  <w:r>
                    <w:rPr>
                      <w:b/>
                    </w:rPr>
                    <w:t>1266.0</w:t>
                  </w:r>
                </w:p>
              </w:tc>
              <w:tc>
                <w:tcPr>
                  <w:tcW w:w="467" w:type="pct"/>
                  <w:vAlign w:val="center"/>
                </w:tcPr>
                <w:p w:rsidR="00745FEA" w:rsidRPr="000C3843" w:rsidRDefault="00745FEA" w:rsidP="00745FEA">
                  <w:pPr>
                    <w:pStyle w:val="TableBodyText"/>
                    <w:spacing w:after="0"/>
                    <w:ind w:left="0" w:right="57"/>
                    <w:rPr>
                      <w:b/>
                    </w:rPr>
                  </w:pPr>
                  <w:r>
                    <w:rPr>
                      <w:b/>
                    </w:rPr>
                    <w:t>1291.8</w:t>
                  </w:r>
                </w:p>
              </w:tc>
              <w:tc>
                <w:tcPr>
                  <w:tcW w:w="467" w:type="pct"/>
                  <w:shd w:val="clear" w:color="auto" w:fill="auto"/>
                  <w:vAlign w:val="center"/>
                </w:tcPr>
                <w:p w:rsidR="00745FEA" w:rsidRPr="000C3843" w:rsidRDefault="00745FEA" w:rsidP="00745FEA">
                  <w:pPr>
                    <w:pStyle w:val="TableBodyText"/>
                    <w:spacing w:after="0"/>
                    <w:ind w:left="0" w:right="57"/>
                    <w:rPr>
                      <w:b/>
                    </w:rPr>
                  </w:pPr>
                  <w:r>
                    <w:rPr>
                      <w:b/>
                    </w:rPr>
                    <w:t>1176.8</w:t>
                  </w:r>
                </w:p>
              </w:tc>
              <w:tc>
                <w:tcPr>
                  <w:tcW w:w="459" w:type="pct"/>
                  <w:shd w:val="clear" w:color="auto" w:fill="auto"/>
                  <w:vAlign w:val="center"/>
                </w:tcPr>
                <w:p w:rsidR="00745FEA" w:rsidRPr="000C3843" w:rsidRDefault="00745FEA" w:rsidP="00745FEA">
                  <w:pPr>
                    <w:pStyle w:val="TableBodyText"/>
                    <w:spacing w:after="0"/>
                    <w:ind w:left="0" w:right="57"/>
                    <w:rPr>
                      <w:b/>
                    </w:rPr>
                  </w:pPr>
                  <w:r>
                    <w:rPr>
                      <w:b/>
                    </w:rPr>
                    <w:t>1179.2</w:t>
                  </w:r>
                </w:p>
              </w:tc>
            </w:tr>
            <w:tr w:rsidR="00745FEA" w:rsidTr="00745FEA">
              <w:tc>
                <w:tcPr>
                  <w:tcW w:w="2199" w:type="pct"/>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tax concessions</w:t>
                  </w:r>
                </w:p>
              </w:tc>
              <w:tc>
                <w:tcPr>
                  <w:tcW w:w="474" w:type="pct"/>
                  <w:gridSpan w:val="2"/>
                  <w:vAlign w:val="center"/>
                </w:tcPr>
                <w:p w:rsidR="00745FEA" w:rsidRPr="002C2A0F" w:rsidRDefault="00745FEA" w:rsidP="00745FEA">
                  <w:pPr>
                    <w:pStyle w:val="TableBodyText"/>
                    <w:spacing w:after="0"/>
                    <w:ind w:left="0" w:right="57"/>
                    <w:rPr>
                      <w:b/>
                    </w:rPr>
                  </w:pPr>
                  <w:r>
                    <w:rPr>
                      <w:b/>
                    </w:rPr>
                    <w:t>475.4</w:t>
                  </w:r>
                </w:p>
              </w:tc>
              <w:tc>
                <w:tcPr>
                  <w:tcW w:w="467" w:type="pct"/>
                  <w:vAlign w:val="center"/>
                </w:tcPr>
                <w:p w:rsidR="00745FEA" w:rsidRPr="002C2A0F" w:rsidRDefault="00745FEA" w:rsidP="00745FEA">
                  <w:pPr>
                    <w:pStyle w:val="TableBodyText"/>
                    <w:spacing w:after="0"/>
                    <w:ind w:left="0" w:right="57"/>
                    <w:rPr>
                      <w:b/>
                    </w:rPr>
                  </w:pPr>
                  <w:r>
                    <w:rPr>
                      <w:b/>
                    </w:rPr>
                    <w:t>684.1</w:t>
                  </w:r>
                </w:p>
              </w:tc>
              <w:tc>
                <w:tcPr>
                  <w:tcW w:w="467" w:type="pct"/>
                  <w:shd w:val="clear" w:color="auto" w:fill="auto"/>
                  <w:vAlign w:val="center"/>
                </w:tcPr>
                <w:p w:rsidR="00745FEA" w:rsidRPr="000C3843" w:rsidRDefault="00745FEA" w:rsidP="00745FEA">
                  <w:pPr>
                    <w:pStyle w:val="TableBodyText"/>
                    <w:spacing w:after="0"/>
                    <w:ind w:left="0" w:right="57"/>
                    <w:rPr>
                      <w:b/>
                    </w:rPr>
                  </w:pPr>
                  <w:r>
                    <w:rPr>
                      <w:b/>
                    </w:rPr>
                    <w:t>570.9</w:t>
                  </w:r>
                </w:p>
              </w:tc>
              <w:tc>
                <w:tcPr>
                  <w:tcW w:w="467" w:type="pct"/>
                  <w:vAlign w:val="center"/>
                </w:tcPr>
                <w:p w:rsidR="00745FEA" w:rsidRPr="000C3843" w:rsidRDefault="00745FEA" w:rsidP="00745FEA">
                  <w:pPr>
                    <w:pStyle w:val="TableBodyText"/>
                    <w:spacing w:after="0"/>
                    <w:ind w:left="0" w:right="57"/>
                    <w:rPr>
                      <w:b/>
                    </w:rPr>
                  </w:pPr>
                  <w:r>
                    <w:rPr>
                      <w:b/>
                    </w:rPr>
                    <w:t>486.9</w:t>
                  </w:r>
                </w:p>
              </w:tc>
              <w:tc>
                <w:tcPr>
                  <w:tcW w:w="467" w:type="pct"/>
                  <w:shd w:val="clear" w:color="auto" w:fill="auto"/>
                  <w:vAlign w:val="center"/>
                </w:tcPr>
                <w:p w:rsidR="00745FEA" w:rsidRPr="000C3843" w:rsidRDefault="00745FEA" w:rsidP="00745FEA">
                  <w:pPr>
                    <w:pStyle w:val="TableBodyText"/>
                    <w:spacing w:after="0"/>
                    <w:ind w:left="0" w:right="57"/>
                    <w:rPr>
                      <w:b/>
                    </w:rPr>
                  </w:pPr>
                  <w:r>
                    <w:rPr>
                      <w:b/>
                    </w:rPr>
                    <w:t>504.1</w:t>
                  </w:r>
                </w:p>
              </w:tc>
              <w:tc>
                <w:tcPr>
                  <w:tcW w:w="459" w:type="pct"/>
                  <w:shd w:val="clear" w:color="auto" w:fill="auto"/>
                  <w:vAlign w:val="center"/>
                </w:tcPr>
                <w:p w:rsidR="00745FEA" w:rsidRPr="000C3843" w:rsidRDefault="00745FEA" w:rsidP="00745FEA">
                  <w:pPr>
                    <w:pStyle w:val="TableBodyText"/>
                    <w:spacing w:after="0"/>
                    <w:ind w:left="0" w:right="57"/>
                    <w:rPr>
                      <w:b/>
                    </w:rPr>
                  </w:pPr>
                  <w:r>
                    <w:rPr>
                      <w:b/>
                    </w:rPr>
                    <w:t>550.5</w:t>
                  </w:r>
                </w:p>
              </w:tc>
            </w:tr>
            <w:tr w:rsidR="00745FEA" w:rsidTr="00745FEA">
              <w:tc>
                <w:tcPr>
                  <w:tcW w:w="2199" w:type="pct"/>
                  <w:tcBorders>
                    <w:bottom w:val="single" w:sz="6" w:space="0" w:color="BFBFBF"/>
                  </w:tcBorders>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budgetary assistance</w:t>
                  </w:r>
                </w:p>
              </w:tc>
              <w:tc>
                <w:tcPr>
                  <w:tcW w:w="474" w:type="pct"/>
                  <w:gridSpan w:val="2"/>
                  <w:tcBorders>
                    <w:bottom w:val="single" w:sz="6" w:space="0" w:color="BFBFBF"/>
                  </w:tcBorders>
                  <w:vAlign w:val="center"/>
                </w:tcPr>
                <w:p w:rsidR="00745FEA" w:rsidRPr="002C2A0F" w:rsidRDefault="00745FEA" w:rsidP="00745FEA">
                  <w:pPr>
                    <w:pStyle w:val="TableBodyText"/>
                    <w:spacing w:after="0"/>
                    <w:ind w:left="0" w:right="57"/>
                    <w:rPr>
                      <w:b/>
                    </w:rPr>
                  </w:pPr>
                  <w:r>
                    <w:rPr>
                      <w:b/>
                    </w:rPr>
                    <w:t>1851.5</w:t>
                  </w:r>
                </w:p>
              </w:tc>
              <w:tc>
                <w:tcPr>
                  <w:tcW w:w="467" w:type="pct"/>
                  <w:tcBorders>
                    <w:bottom w:val="single" w:sz="6" w:space="0" w:color="BFBFBF"/>
                  </w:tcBorders>
                  <w:vAlign w:val="center"/>
                </w:tcPr>
                <w:p w:rsidR="00745FEA" w:rsidRPr="002C2A0F" w:rsidRDefault="00745FEA" w:rsidP="00745FEA">
                  <w:pPr>
                    <w:pStyle w:val="TableBodyText"/>
                    <w:spacing w:after="0"/>
                    <w:ind w:left="0" w:right="57"/>
                    <w:rPr>
                      <w:b/>
                    </w:rPr>
                  </w:pPr>
                  <w:r>
                    <w:rPr>
                      <w:b/>
                    </w:rPr>
                    <w:t>1934.4</w:t>
                  </w:r>
                </w:p>
              </w:tc>
              <w:tc>
                <w:tcPr>
                  <w:tcW w:w="467" w:type="pct"/>
                  <w:tcBorders>
                    <w:bottom w:val="single" w:sz="6" w:space="0" w:color="BFBFBF"/>
                  </w:tcBorders>
                  <w:shd w:val="clear" w:color="auto" w:fill="auto"/>
                  <w:vAlign w:val="center"/>
                </w:tcPr>
                <w:p w:rsidR="00745FEA" w:rsidRPr="000C3843" w:rsidRDefault="00745FEA" w:rsidP="00745FEA">
                  <w:pPr>
                    <w:pStyle w:val="TableBodyText"/>
                    <w:spacing w:after="0"/>
                    <w:ind w:left="0" w:right="57"/>
                    <w:rPr>
                      <w:b/>
                    </w:rPr>
                  </w:pPr>
                  <w:r>
                    <w:rPr>
                      <w:b/>
                    </w:rPr>
                    <w:t>1836.9</w:t>
                  </w:r>
                </w:p>
              </w:tc>
              <w:tc>
                <w:tcPr>
                  <w:tcW w:w="467" w:type="pct"/>
                  <w:tcBorders>
                    <w:bottom w:val="single" w:sz="6" w:space="0" w:color="BFBFBF"/>
                  </w:tcBorders>
                  <w:vAlign w:val="center"/>
                </w:tcPr>
                <w:p w:rsidR="00745FEA" w:rsidRPr="000C3843" w:rsidRDefault="00745FEA" w:rsidP="00745FEA">
                  <w:pPr>
                    <w:pStyle w:val="TableBodyText"/>
                    <w:spacing w:after="0"/>
                    <w:ind w:left="0" w:right="57"/>
                    <w:rPr>
                      <w:b/>
                    </w:rPr>
                  </w:pPr>
                  <w:r>
                    <w:rPr>
                      <w:b/>
                    </w:rPr>
                    <w:t>1778.7</w:t>
                  </w:r>
                </w:p>
              </w:tc>
              <w:tc>
                <w:tcPr>
                  <w:tcW w:w="467" w:type="pct"/>
                  <w:tcBorders>
                    <w:bottom w:val="single" w:sz="6" w:space="0" w:color="BFBFBF"/>
                  </w:tcBorders>
                  <w:shd w:val="clear" w:color="auto" w:fill="auto"/>
                  <w:vAlign w:val="center"/>
                </w:tcPr>
                <w:p w:rsidR="00745FEA" w:rsidRPr="000C3843" w:rsidRDefault="00745FEA" w:rsidP="00745FEA">
                  <w:pPr>
                    <w:pStyle w:val="TableBodyText"/>
                    <w:spacing w:after="0"/>
                    <w:ind w:left="0" w:right="57"/>
                    <w:rPr>
                      <w:b/>
                    </w:rPr>
                  </w:pPr>
                  <w:r>
                    <w:rPr>
                      <w:b/>
                    </w:rPr>
                    <w:t>1680.9</w:t>
                  </w:r>
                </w:p>
              </w:tc>
              <w:tc>
                <w:tcPr>
                  <w:tcW w:w="459" w:type="pct"/>
                  <w:tcBorders>
                    <w:bottom w:val="single" w:sz="6" w:space="0" w:color="BFBFBF"/>
                  </w:tcBorders>
                  <w:shd w:val="clear" w:color="auto" w:fill="auto"/>
                  <w:vAlign w:val="center"/>
                </w:tcPr>
                <w:p w:rsidR="00745FEA" w:rsidRPr="000C3843" w:rsidRDefault="00745FEA" w:rsidP="00745FEA">
                  <w:pPr>
                    <w:pStyle w:val="TableBodyText"/>
                    <w:spacing w:after="0"/>
                    <w:ind w:left="0" w:right="57"/>
                    <w:rPr>
                      <w:b/>
                    </w:rPr>
                  </w:pPr>
                  <w:r>
                    <w:rPr>
                      <w:b/>
                    </w:rPr>
                    <w:t>1729.8</w:t>
                  </w:r>
                </w:p>
              </w:tc>
            </w:tr>
          </w:tbl>
          <w:p w:rsidR="00745FEA" w:rsidRDefault="00745FEA" w:rsidP="00745FEA">
            <w:pPr>
              <w:pStyle w:val="Box"/>
            </w:pPr>
          </w:p>
        </w:tc>
      </w:tr>
      <w:tr w:rsidR="00745FEA" w:rsidTr="00745FEA">
        <w:trPr>
          <w:gridAfter w:val="1"/>
          <w:wAfter w:w="13" w:type="pct"/>
          <w:cantSplit/>
        </w:trPr>
        <w:tc>
          <w:tcPr>
            <w:tcW w:w="4987" w:type="pct"/>
            <w:tcBorders>
              <w:top w:val="nil"/>
              <w:left w:val="nil"/>
              <w:bottom w:val="nil"/>
              <w:right w:val="nil"/>
            </w:tcBorders>
            <w:shd w:val="clear" w:color="auto" w:fill="auto"/>
          </w:tcPr>
          <w:p w:rsidR="00745FEA" w:rsidRDefault="00745FEA" w:rsidP="00745FEA">
            <w:pPr>
              <w:pStyle w:val="Note"/>
              <w:tabs>
                <w:tab w:val="left" w:pos="3205"/>
              </w:tabs>
              <w:rPr>
                <w:i/>
              </w:rPr>
            </w:pPr>
            <w:r w:rsidRPr="0047042A">
              <w:t xml:space="preserve">– Nil. Figures may not add to totals due to rounding. </w:t>
            </w:r>
            <w:r w:rsidRPr="008E77FE">
              <w:rPr>
                <w:rStyle w:val="NoteLabel"/>
              </w:rPr>
              <w:t>a</w:t>
            </w:r>
            <w:r>
              <w:t> </w:t>
            </w:r>
            <w:r w:rsidRPr="0047042A">
              <w:t>The estimates are derived primarily from Australian Government departmental annual reports and Treasury’s Tax Expenditure Statements and unpublished information provided by relevant agencies.</w:t>
            </w:r>
          </w:p>
        </w:tc>
      </w:tr>
      <w:tr w:rsidR="00745FEA" w:rsidTr="00745FEA">
        <w:trPr>
          <w:gridAfter w:val="1"/>
          <w:wAfter w:w="13" w:type="pct"/>
          <w:cantSplit/>
        </w:trPr>
        <w:tc>
          <w:tcPr>
            <w:tcW w:w="4987"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cantSplit/>
        </w:trPr>
        <w:tc>
          <w:tcPr>
            <w:tcW w:w="5000" w:type="pct"/>
            <w:gridSpan w:val="2"/>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gridSpan w:val="2"/>
            <w:tcBorders>
              <w:top w:val="single" w:sz="6" w:space="0" w:color="78A22F"/>
              <w:left w:val="nil"/>
              <w:bottom w:val="nil"/>
              <w:right w:val="nil"/>
            </w:tcBorders>
          </w:tcPr>
          <w:p w:rsidR="00745FEA" w:rsidRPr="00626D32" w:rsidRDefault="00745FEA" w:rsidP="00745FEA">
            <w:pPr>
              <w:pStyle w:val="BoxSpaceBelow"/>
            </w:pPr>
          </w:p>
        </w:tc>
      </w:tr>
    </w:tbl>
    <w:p w:rsidR="00745FEA" w:rsidRPr="00527B68" w:rsidRDefault="00745FEA" w:rsidP="00745FEA">
      <w:pPr>
        <w:rPr>
          <w:szCs w:val="20"/>
        </w:rPr>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13</w:t>
            </w:r>
            <w:r>
              <w:tab/>
              <w:t>Australian Government budgetary assistance to services, 2011</w:t>
            </w:r>
            <w:r>
              <w:noBreakHyphen/>
              <w:t>12 to 2016</w:t>
            </w:r>
            <w:r>
              <w:noBreakHyphen/>
              <w:t>17</w:t>
            </w:r>
            <w:r w:rsidRPr="0018442B">
              <w:rPr>
                <w:rStyle w:val="NoteLabel"/>
                <w:b/>
                <w:position w:val="10"/>
              </w:rPr>
              <w:t>a</w:t>
            </w:r>
          </w:p>
          <w:p w:rsidR="00745FEA" w:rsidRPr="00784A05" w:rsidRDefault="00745FEA" w:rsidP="00745FEA">
            <w:pPr>
              <w:pStyle w:val="Subtitle"/>
            </w:pPr>
            <w:r w:rsidRPr="00C35BB7">
              <w:t>$ million (nominal)</w:t>
            </w:r>
          </w:p>
        </w:tc>
      </w:tr>
      <w:tr w:rsidR="00745FEA" w:rsidTr="00745FEA">
        <w:trPr>
          <w:cantSplit/>
        </w:trPr>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3742"/>
              <w:gridCol w:w="795"/>
              <w:gridCol w:w="794"/>
              <w:gridCol w:w="794"/>
              <w:gridCol w:w="794"/>
              <w:gridCol w:w="792"/>
              <w:gridCol w:w="792"/>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tcBorders>
                    <w:top w:val="single" w:sz="6" w:space="0" w:color="BFBFBF"/>
                  </w:tcBorders>
                </w:tcPr>
                <w:p w:rsidR="00745FEA" w:rsidRPr="008F08C9" w:rsidRDefault="00745FEA" w:rsidP="00745FEA">
                  <w:pPr>
                    <w:pStyle w:val="TableUnitsRow"/>
                    <w:jc w:val="left"/>
                    <w:rPr>
                      <w:b/>
                    </w:rPr>
                  </w:pPr>
                  <w:r w:rsidRPr="008F08C9">
                    <w:rPr>
                      <w:b/>
                    </w:rPr>
                    <w:t>Electricity, gas, water and waste services</w:t>
                  </w:r>
                </w:p>
              </w:tc>
              <w:tc>
                <w:tcPr>
                  <w:tcW w:w="467" w:type="pct"/>
                  <w:tcBorders>
                    <w:top w:val="single" w:sz="6" w:space="0" w:color="BFBFBF"/>
                  </w:tcBorders>
                  <w:vAlign w:val="bottom"/>
                </w:tcPr>
                <w:p w:rsidR="00745FEA" w:rsidRDefault="00745FEA" w:rsidP="00745FEA">
                  <w:pPr>
                    <w:pStyle w:val="TableUnitsRow"/>
                    <w:ind w:right="57"/>
                  </w:pPr>
                </w:p>
              </w:tc>
              <w:tc>
                <w:tcPr>
                  <w:tcW w:w="467" w:type="pct"/>
                  <w:tcBorders>
                    <w:top w:val="single" w:sz="6" w:space="0" w:color="BFBFBF"/>
                  </w:tcBorders>
                  <w:vAlign w:val="bottom"/>
                </w:tcPr>
                <w:p w:rsidR="00745FEA" w:rsidRDefault="00745FEA" w:rsidP="00745FEA">
                  <w:pPr>
                    <w:pStyle w:val="TableUnitsRow"/>
                    <w:ind w:right="57"/>
                  </w:pPr>
                </w:p>
              </w:tc>
              <w:tc>
                <w:tcPr>
                  <w:tcW w:w="467" w:type="pct"/>
                  <w:tcBorders>
                    <w:top w:val="single" w:sz="6" w:space="0" w:color="BFBFBF"/>
                  </w:tcBorders>
                  <w:vAlign w:val="bottom"/>
                </w:tcPr>
                <w:p w:rsidR="00745FEA" w:rsidRDefault="00745FEA" w:rsidP="00745FEA">
                  <w:pPr>
                    <w:pStyle w:val="TableUnitsRow"/>
                    <w:ind w:right="57"/>
                  </w:pPr>
                </w:p>
              </w:tc>
              <w:tc>
                <w:tcPr>
                  <w:tcW w:w="467" w:type="pct"/>
                  <w:tcBorders>
                    <w:top w:val="single" w:sz="6" w:space="0" w:color="BFBFBF"/>
                  </w:tcBorders>
                  <w:vAlign w:val="bottom"/>
                </w:tcPr>
                <w:p w:rsidR="00745FEA" w:rsidRDefault="00745FEA" w:rsidP="00745FEA">
                  <w:pPr>
                    <w:pStyle w:val="TableUnitsRow"/>
                    <w:ind w:right="57"/>
                  </w:pPr>
                </w:p>
              </w:tc>
              <w:tc>
                <w:tcPr>
                  <w:tcW w:w="466" w:type="pct"/>
                  <w:tcBorders>
                    <w:top w:val="single" w:sz="6" w:space="0" w:color="BFBFBF"/>
                  </w:tcBorders>
                  <w:vAlign w:val="bottom"/>
                </w:tcPr>
                <w:p w:rsidR="00745FEA" w:rsidRDefault="00745FEA" w:rsidP="00745FEA">
                  <w:pPr>
                    <w:pStyle w:val="TableUnitsRow"/>
                    <w:ind w:right="57"/>
                  </w:pPr>
                </w:p>
              </w:tc>
              <w:tc>
                <w:tcPr>
                  <w:tcW w:w="466" w:type="pct"/>
                  <w:tcBorders>
                    <w:top w:val="single" w:sz="6" w:space="0" w:color="BFBFBF"/>
                  </w:tcBorders>
                  <w:vAlign w:val="bottom"/>
                </w:tcPr>
                <w:p w:rsidR="00745FEA" w:rsidRDefault="00745FEA" w:rsidP="00745FEA">
                  <w:pPr>
                    <w:pStyle w:val="TableUnitsRow"/>
                    <w:ind w:right="57"/>
                  </w:pPr>
                </w:p>
              </w:tc>
            </w:tr>
            <w:tr w:rsidR="00745FEA" w:rsidTr="00745FEA">
              <w:tc>
                <w:tcPr>
                  <w:tcW w:w="2200" w:type="pct"/>
                </w:tcPr>
                <w:p w:rsidR="00745FEA" w:rsidRPr="008F08C9" w:rsidRDefault="00745FEA" w:rsidP="00745FEA">
                  <w:pPr>
                    <w:pStyle w:val="TableBodyText"/>
                    <w:spacing w:before="40" w:after="0"/>
                    <w:ind w:left="113"/>
                    <w:jc w:val="left"/>
                    <w:rPr>
                      <w:i/>
                    </w:rPr>
                  </w:pPr>
                  <w:r w:rsidRPr="008F08C9">
                    <w:rPr>
                      <w:i/>
                    </w:rPr>
                    <w:t>Industry-specific measures</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6" w:type="pct"/>
                  <w:vAlign w:val="bottom"/>
                </w:tcPr>
                <w:p w:rsidR="00745FEA" w:rsidRDefault="00745FEA" w:rsidP="00745FEA">
                  <w:pPr>
                    <w:pStyle w:val="TableBodyText"/>
                    <w:spacing w:before="40" w:after="0"/>
                    <w:ind w:left="113" w:right="57"/>
                  </w:pPr>
                </w:p>
              </w:tc>
              <w:tc>
                <w:tcPr>
                  <w:tcW w:w="466" w:type="pct"/>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4D70FB" w:rsidRDefault="00745FEA" w:rsidP="00745FEA">
                  <w:pPr>
                    <w:pStyle w:val="TableBodyText"/>
                    <w:spacing w:after="0"/>
                    <w:ind w:left="227" w:right="0"/>
                    <w:jc w:val="left"/>
                  </w:pPr>
                  <w:r w:rsidRPr="004D70FB">
                    <w:t>Carbon Capture and Storage Flagships Program</w:t>
                  </w:r>
                </w:p>
              </w:tc>
              <w:tc>
                <w:tcPr>
                  <w:tcW w:w="467" w:type="pct"/>
                  <w:vAlign w:val="bottom"/>
                </w:tcPr>
                <w:p w:rsidR="00745FEA" w:rsidRPr="00FF0EC1" w:rsidRDefault="00745FEA" w:rsidP="00745FEA">
                  <w:pPr>
                    <w:pStyle w:val="TableBodyText"/>
                    <w:ind w:right="57"/>
                  </w:pPr>
                  <w:r w:rsidRPr="00FF0EC1">
                    <w:t>6.8</w:t>
                  </w:r>
                </w:p>
              </w:tc>
              <w:tc>
                <w:tcPr>
                  <w:tcW w:w="467" w:type="pct"/>
                  <w:vAlign w:val="bottom"/>
                </w:tcPr>
                <w:p w:rsidR="00745FEA" w:rsidRPr="00FF0EC1" w:rsidRDefault="00745FEA" w:rsidP="00745FEA">
                  <w:pPr>
                    <w:pStyle w:val="TableBodyText"/>
                    <w:ind w:right="57"/>
                  </w:pPr>
                  <w:r w:rsidRPr="00FF0EC1">
                    <w:t>13.8</w:t>
                  </w:r>
                </w:p>
              </w:tc>
              <w:tc>
                <w:tcPr>
                  <w:tcW w:w="467" w:type="pct"/>
                  <w:vAlign w:val="bottom"/>
                </w:tcPr>
                <w:p w:rsidR="00745FEA" w:rsidRPr="00FF0EC1" w:rsidRDefault="00745FEA" w:rsidP="00745FEA">
                  <w:pPr>
                    <w:pStyle w:val="TableBodyText"/>
                    <w:ind w:right="57"/>
                  </w:pPr>
                  <w:r w:rsidRPr="00FF0EC1">
                    <w:t>27.1</w:t>
                  </w:r>
                </w:p>
              </w:tc>
              <w:tc>
                <w:tcPr>
                  <w:tcW w:w="467" w:type="pct"/>
                  <w:vAlign w:val="bottom"/>
                </w:tcPr>
                <w:p w:rsidR="00745FEA" w:rsidRPr="00FF0EC1" w:rsidRDefault="00745FEA" w:rsidP="00745FEA">
                  <w:pPr>
                    <w:pStyle w:val="TableBodyText"/>
                    <w:ind w:right="57"/>
                  </w:pPr>
                  <w:r w:rsidRPr="00FF0EC1">
                    <w:t>61.1</w:t>
                  </w:r>
                </w:p>
              </w:tc>
              <w:tc>
                <w:tcPr>
                  <w:tcW w:w="466" w:type="pct"/>
                  <w:shd w:val="clear" w:color="auto" w:fill="auto"/>
                  <w:vAlign w:val="bottom"/>
                </w:tcPr>
                <w:p w:rsidR="00745FEA" w:rsidRPr="00FF0EC1" w:rsidRDefault="00745FEA" w:rsidP="00745FEA">
                  <w:pPr>
                    <w:pStyle w:val="TableBodyText"/>
                    <w:ind w:right="57"/>
                  </w:pPr>
                  <w:r w:rsidRPr="00FF0EC1">
                    <w:t>44.1</w:t>
                  </w:r>
                </w:p>
              </w:tc>
              <w:tc>
                <w:tcPr>
                  <w:tcW w:w="466" w:type="pct"/>
                  <w:shd w:val="clear" w:color="auto" w:fill="auto"/>
                  <w:vAlign w:val="bottom"/>
                </w:tcPr>
                <w:p w:rsidR="00745FEA" w:rsidRPr="00FF0EC1" w:rsidRDefault="00745FEA" w:rsidP="00745FEA">
                  <w:pPr>
                    <w:pStyle w:val="TableBodyText"/>
                    <w:ind w:right="57"/>
                  </w:pPr>
                  <w:r w:rsidRPr="00FF0EC1">
                    <w:t>24.5</w:t>
                  </w:r>
                </w:p>
              </w:tc>
            </w:tr>
            <w:tr w:rsidR="00745FEA" w:rsidTr="00745FEA">
              <w:tc>
                <w:tcPr>
                  <w:tcW w:w="2200" w:type="pct"/>
                  <w:shd w:val="clear" w:color="auto" w:fill="auto"/>
                </w:tcPr>
                <w:p w:rsidR="00745FEA" w:rsidRPr="004D70FB" w:rsidRDefault="00745FEA" w:rsidP="00745FEA">
                  <w:pPr>
                    <w:pStyle w:val="TableBodyText"/>
                    <w:spacing w:after="0"/>
                    <w:ind w:left="227" w:right="0"/>
                    <w:jc w:val="left"/>
                  </w:pPr>
                  <w:r w:rsidRPr="004D70FB">
                    <w:t>Diamond Energy Assistance</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0.3</w:t>
                  </w:r>
                </w:p>
              </w:tc>
              <w:tc>
                <w:tcPr>
                  <w:tcW w:w="467" w:type="pct"/>
                  <w:vAlign w:val="bottom"/>
                </w:tcPr>
                <w:p w:rsidR="00745FEA" w:rsidRPr="00FF0EC1" w:rsidRDefault="00745FEA" w:rsidP="00745FEA">
                  <w:pPr>
                    <w:pStyle w:val="TableBodyText"/>
                    <w:ind w:right="57"/>
                  </w:pPr>
                  <w:r w:rsidRPr="00FF0EC1">
                    <w:t>0.3</w:t>
                  </w:r>
                </w:p>
              </w:tc>
              <w:tc>
                <w:tcPr>
                  <w:tcW w:w="466" w:type="pct"/>
                  <w:shd w:val="clear" w:color="auto" w:fill="auto"/>
                  <w:vAlign w:val="bottom"/>
                </w:tcPr>
                <w:p w:rsidR="00745FEA" w:rsidRPr="00FF0EC1" w:rsidRDefault="00745FEA" w:rsidP="00745FEA">
                  <w:pPr>
                    <w:pStyle w:val="TableBodyText"/>
                    <w:ind w:right="57"/>
                  </w:pPr>
                  <w:r w:rsidRPr="00FF0EC1">
                    <w:t>–</w:t>
                  </w:r>
                </w:p>
              </w:tc>
              <w:tc>
                <w:tcPr>
                  <w:tcW w:w="466" w:type="pct"/>
                  <w:shd w:val="clear" w:color="auto" w:fill="auto"/>
                  <w:vAlign w:val="bottom"/>
                </w:tcPr>
                <w:p w:rsidR="00745FEA" w:rsidRPr="00FF0EC1" w:rsidRDefault="00745FEA" w:rsidP="00745FEA">
                  <w:pPr>
                    <w:pStyle w:val="TableBodyText"/>
                    <w:ind w:right="57"/>
                  </w:pPr>
                  <w:r w:rsidRPr="00FF0EC1">
                    <w:t>–</w:t>
                  </w:r>
                </w:p>
              </w:tc>
            </w:tr>
            <w:tr w:rsidR="00745FEA" w:rsidTr="00745FEA">
              <w:tc>
                <w:tcPr>
                  <w:tcW w:w="2200" w:type="pct"/>
                  <w:shd w:val="clear" w:color="auto" w:fill="auto"/>
                </w:tcPr>
                <w:p w:rsidR="00745FEA" w:rsidRPr="004D70FB" w:rsidRDefault="00745FEA" w:rsidP="00745FEA">
                  <w:pPr>
                    <w:pStyle w:val="TableBodyText"/>
                    <w:spacing w:after="0"/>
                    <w:ind w:left="227" w:right="0"/>
                    <w:jc w:val="left"/>
                  </w:pPr>
                  <w:r w:rsidRPr="004D70FB">
                    <w:t>Energy Brix Australia Corporation</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9.1</w:t>
                  </w:r>
                </w:p>
              </w:tc>
              <w:tc>
                <w:tcPr>
                  <w:tcW w:w="467" w:type="pct"/>
                  <w:vAlign w:val="bottom"/>
                </w:tcPr>
                <w:p w:rsidR="00745FEA" w:rsidRPr="00FF0EC1" w:rsidRDefault="00745FEA" w:rsidP="00745FEA">
                  <w:pPr>
                    <w:pStyle w:val="TableBodyText"/>
                    <w:ind w:right="57"/>
                  </w:pPr>
                  <w:r w:rsidRPr="00FF0EC1">
                    <w:t>36.0</w:t>
                  </w:r>
                </w:p>
              </w:tc>
              <w:tc>
                <w:tcPr>
                  <w:tcW w:w="467" w:type="pct"/>
                  <w:vAlign w:val="bottom"/>
                </w:tcPr>
                <w:p w:rsidR="00745FEA" w:rsidRPr="00FF0EC1" w:rsidRDefault="00745FEA" w:rsidP="00745FEA">
                  <w:pPr>
                    <w:pStyle w:val="TableBodyText"/>
                    <w:ind w:right="57"/>
                  </w:pPr>
                  <w:r w:rsidRPr="00FF0EC1">
                    <w:t>61.4</w:t>
                  </w:r>
                </w:p>
              </w:tc>
              <w:tc>
                <w:tcPr>
                  <w:tcW w:w="466" w:type="pct"/>
                  <w:shd w:val="clear" w:color="auto" w:fill="auto"/>
                  <w:vAlign w:val="bottom"/>
                </w:tcPr>
                <w:p w:rsidR="00745FEA" w:rsidRPr="00FF0EC1" w:rsidRDefault="00745FEA" w:rsidP="00745FEA">
                  <w:pPr>
                    <w:pStyle w:val="TableBodyText"/>
                    <w:ind w:right="57"/>
                  </w:pPr>
                  <w:r w:rsidRPr="00FF0EC1">
                    <w:t>–</w:t>
                  </w:r>
                </w:p>
              </w:tc>
              <w:tc>
                <w:tcPr>
                  <w:tcW w:w="466" w:type="pct"/>
                  <w:shd w:val="clear" w:color="auto" w:fill="auto"/>
                  <w:vAlign w:val="bottom"/>
                </w:tcPr>
                <w:p w:rsidR="00745FEA" w:rsidRPr="00FF0EC1" w:rsidRDefault="00745FEA" w:rsidP="00745FEA">
                  <w:pPr>
                    <w:pStyle w:val="TableBodyText"/>
                    <w:ind w:right="57"/>
                  </w:pPr>
                  <w:r w:rsidRPr="00FF0EC1">
                    <w:t>–</w:t>
                  </w:r>
                </w:p>
              </w:tc>
            </w:tr>
            <w:tr w:rsidR="00745FEA" w:rsidTr="00745FEA">
              <w:tc>
                <w:tcPr>
                  <w:tcW w:w="2200" w:type="pct"/>
                  <w:shd w:val="clear" w:color="auto" w:fill="auto"/>
                </w:tcPr>
                <w:p w:rsidR="00745FEA" w:rsidRPr="004D70FB" w:rsidRDefault="00745FEA" w:rsidP="00745FEA">
                  <w:pPr>
                    <w:pStyle w:val="TableBodyText"/>
                    <w:spacing w:after="0"/>
                    <w:ind w:left="227" w:right="0"/>
                    <w:jc w:val="left"/>
                  </w:pPr>
                  <w:r w:rsidRPr="004D70FB">
                    <w:t>Energy Security Fund - transitional assistance</w:t>
                  </w:r>
                </w:p>
              </w:tc>
              <w:tc>
                <w:tcPr>
                  <w:tcW w:w="467" w:type="pct"/>
                  <w:vAlign w:val="bottom"/>
                </w:tcPr>
                <w:p w:rsidR="00745FEA" w:rsidRPr="00FF0EC1" w:rsidRDefault="00745FEA" w:rsidP="00745FEA">
                  <w:pPr>
                    <w:pStyle w:val="TableBodyText"/>
                    <w:ind w:right="57"/>
                  </w:pPr>
                  <w:r w:rsidRPr="00FF0EC1">
                    <w:t>1000.0</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w:t>
                  </w:r>
                </w:p>
              </w:tc>
              <w:tc>
                <w:tcPr>
                  <w:tcW w:w="466" w:type="pct"/>
                  <w:shd w:val="clear" w:color="auto" w:fill="auto"/>
                  <w:vAlign w:val="bottom"/>
                </w:tcPr>
                <w:p w:rsidR="00745FEA" w:rsidRPr="00FF0EC1" w:rsidRDefault="00745FEA" w:rsidP="00745FEA">
                  <w:pPr>
                    <w:pStyle w:val="TableBodyText"/>
                    <w:ind w:right="57"/>
                  </w:pPr>
                  <w:r w:rsidRPr="00FF0EC1">
                    <w:t>–</w:t>
                  </w:r>
                </w:p>
              </w:tc>
              <w:tc>
                <w:tcPr>
                  <w:tcW w:w="466" w:type="pct"/>
                  <w:shd w:val="clear" w:color="auto" w:fill="auto"/>
                  <w:vAlign w:val="bottom"/>
                </w:tcPr>
                <w:p w:rsidR="00745FEA" w:rsidRPr="00FF0EC1" w:rsidRDefault="00745FEA" w:rsidP="00745FEA">
                  <w:pPr>
                    <w:pStyle w:val="TableBodyText"/>
                    <w:ind w:right="57"/>
                  </w:pPr>
                  <w:r w:rsidRPr="00FF0EC1">
                    <w:t>–</w:t>
                  </w:r>
                </w:p>
              </w:tc>
            </w:tr>
            <w:tr w:rsidR="00745FEA" w:rsidTr="00745FEA">
              <w:tc>
                <w:tcPr>
                  <w:tcW w:w="2200" w:type="pct"/>
                  <w:shd w:val="clear" w:color="auto" w:fill="auto"/>
                </w:tcPr>
                <w:p w:rsidR="00745FEA" w:rsidRPr="004D70FB" w:rsidRDefault="00745FEA" w:rsidP="00745FEA">
                  <w:pPr>
                    <w:pStyle w:val="TableBodyText"/>
                    <w:spacing w:after="0"/>
                    <w:ind w:left="227" w:right="0"/>
                    <w:jc w:val="left"/>
                  </w:pPr>
                  <w:r w:rsidRPr="004D70FB">
                    <w:t>Solar Flagships Programs</w:t>
                  </w:r>
                </w:p>
              </w:tc>
              <w:tc>
                <w:tcPr>
                  <w:tcW w:w="467" w:type="pct"/>
                  <w:vAlign w:val="bottom"/>
                </w:tcPr>
                <w:p w:rsidR="00745FEA" w:rsidRPr="00FF0EC1" w:rsidRDefault="00745FEA" w:rsidP="00745FEA">
                  <w:pPr>
                    <w:pStyle w:val="TableBodyText"/>
                    <w:ind w:right="57"/>
                  </w:pPr>
                  <w:r w:rsidRPr="00FF0EC1">
                    <w:t>3.8</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w:t>
                  </w:r>
                </w:p>
              </w:tc>
              <w:tc>
                <w:tcPr>
                  <w:tcW w:w="467" w:type="pct"/>
                  <w:vAlign w:val="bottom"/>
                </w:tcPr>
                <w:p w:rsidR="00745FEA" w:rsidRPr="00FF0EC1" w:rsidRDefault="00745FEA" w:rsidP="00745FEA">
                  <w:pPr>
                    <w:pStyle w:val="TableBodyText"/>
                    <w:ind w:right="57"/>
                  </w:pPr>
                  <w:r w:rsidRPr="00FF0EC1">
                    <w:t>–</w:t>
                  </w:r>
                </w:p>
              </w:tc>
              <w:tc>
                <w:tcPr>
                  <w:tcW w:w="466" w:type="pct"/>
                  <w:shd w:val="clear" w:color="auto" w:fill="auto"/>
                  <w:vAlign w:val="bottom"/>
                </w:tcPr>
                <w:p w:rsidR="00745FEA" w:rsidRPr="00FF0EC1" w:rsidRDefault="00745FEA" w:rsidP="00745FEA">
                  <w:pPr>
                    <w:pStyle w:val="TableBodyText"/>
                    <w:ind w:right="57"/>
                  </w:pPr>
                  <w:r w:rsidRPr="00FF0EC1">
                    <w:t>–</w:t>
                  </w:r>
                </w:p>
              </w:tc>
              <w:tc>
                <w:tcPr>
                  <w:tcW w:w="466" w:type="pct"/>
                  <w:shd w:val="clear" w:color="auto" w:fill="auto"/>
                  <w:vAlign w:val="bottom"/>
                </w:tcPr>
                <w:p w:rsidR="00745FEA" w:rsidRDefault="00745FEA" w:rsidP="00745FEA">
                  <w:pPr>
                    <w:pStyle w:val="TableBodyText"/>
                    <w:ind w:right="57"/>
                  </w:pPr>
                  <w:r w:rsidRPr="00FF0EC1">
                    <w:t>–</w:t>
                  </w:r>
                </w:p>
              </w:tc>
            </w:tr>
            <w:tr w:rsidR="00745FEA" w:rsidTr="00745FEA">
              <w:tc>
                <w:tcPr>
                  <w:tcW w:w="2200" w:type="pct"/>
                  <w:shd w:val="clear" w:color="auto" w:fill="auto"/>
                </w:tcPr>
                <w:p w:rsidR="00745FEA" w:rsidRPr="008F08C9" w:rsidRDefault="00745FEA" w:rsidP="00745FEA">
                  <w:pPr>
                    <w:pStyle w:val="TableBodyText"/>
                    <w:spacing w:before="40" w:after="0"/>
                    <w:ind w:left="113"/>
                    <w:jc w:val="left"/>
                    <w:rPr>
                      <w:i/>
                    </w:rPr>
                  </w:pPr>
                  <w:r w:rsidRPr="008F08C9">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ED5698" w:rsidRDefault="00745FEA" w:rsidP="00745FEA">
                  <w:pPr>
                    <w:pStyle w:val="TableBodyText"/>
                    <w:spacing w:after="0"/>
                    <w:ind w:left="227" w:right="0"/>
                    <w:jc w:val="left"/>
                  </w:pPr>
                  <w:r w:rsidRPr="00ED5698">
                    <w:t>Export Market Development Grants Scheme</w:t>
                  </w:r>
                </w:p>
              </w:tc>
              <w:tc>
                <w:tcPr>
                  <w:tcW w:w="467" w:type="pct"/>
                  <w:vAlign w:val="bottom"/>
                </w:tcPr>
                <w:p w:rsidR="00745FEA" w:rsidRPr="00E60355" w:rsidRDefault="00745FEA" w:rsidP="00745FEA">
                  <w:pPr>
                    <w:pStyle w:val="TableBodyText"/>
                    <w:ind w:right="57"/>
                  </w:pPr>
                  <w:r w:rsidRPr="00E60355">
                    <w:t>0.3</w:t>
                  </w:r>
                </w:p>
              </w:tc>
              <w:tc>
                <w:tcPr>
                  <w:tcW w:w="467" w:type="pct"/>
                  <w:vAlign w:val="bottom"/>
                </w:tcPr>
                <w:p w:rsidR="00745FEA" w:rsidRPr="00E60355" w:rsidRDefault="00745FEA" w:rsidP="00745FEA">
                  <w:pPr>
                    <w:pStyle w:val="TableBodyText"/>
                    <w:ind w:right="57"/>
                  </w:pPr>
                  <w:r w:rsidRPr="00E60355">
                    <w:t>0.3</w:t>
                  </w:r>
                </w:p>
              </w:tc>
              <w:tc>
                <w:tcPr>
                  <w:tcW w:w="467" w:type="pct"/>
                  <w:vAlign w:val="bottom"/>
                </w:tcPr>
                <w:p w:rsidR="00745FEA" w:rsidRPr="00E60355" w:rsidRDefault="00745FEA" w:rsidP="00745FEA">
                  <w:pPr>
                    <w:pStyle w:val="TableBodyText"/>
                    <w:ind w:right="57"/>
                  </w:pPr>
                  <w:r w:rsidRPr="00E60355">
                    <w:t>0.4</w:t>
                  </w:r>
                </w:p>
              </w:tc>
              <w:tc>
                <w:tcPr>
                  <w:tcW w:w="467" w:type="pct"/>
                  <w:vAlign w:val="bottom"/>
                </w:tcPr>
                <w:p w:rsidR="00745FEA" w:rsidRPr="00E60355" w:rsidRDefault="00745FEA" w:rsidP="00745FEA">
                  <w:pPr>
                    <w:pStyle w:val="TableBodyText"/>
                    <w:ind w:right="57"/>
                  </w:pPr>
                  <w:r w:rsidRPr="00E60355">
                    <w:t>0.4</w:t>
                  </w:r>
                </w:p>
              </w:tc>
              <w:tc>
                <w:tcPr>
                  <w:tcW w:w="466" w:type="pct"/>
                  <w:shd w:val="clear" w:color="auto" w:fill="auto"/>
                  <w:vAlign w:val="bottom"/>
                </w:tcPr>
                <w:p w:rsidR="00745FEA" w:rsidRPr="00E60355" w:rsidRDefault="00745FEA" w:rsidP="00745FEA">
                  <w:pPr>
                    <w:pStyle w:val="TableBodyText"/>
                    <w:ind w:right="57"/>
                  </w:pPr>
                  <w:r w:rsidRPr="00E60355">
                    <w:t>0.7</w:t>
                  </w:r>
                </w:p>
              </w:tc>
              <w:tc>
                <w:tcPr>
                  <w:tcW w:w="466" w:type="pct"/>
                  <w:shd w:val="clear" w:color="auto" w:fill="auto"/>
                  <w:vAlign w:val="bottom"/>
                </w:tcPr>
                <w:p w:rsidR="00745FEA" w:rsidRPr="00E60355" w:rsidRDefault="00745FEA" w:rsidP="00745FEA">
                  <w:pPr>
                    <w:pStyle w:val="TableBodyText"/>
                    <w:ind w:right="57"/>
                  </w:pPr>
                  <w:r w:rsidRPr="00E60355">
                    <w:t>0.7</w:t>
                  </w:r>
                </w:p>
              </w:tc>
            </w:tr>
            <w:tr w:rsidR="00745FEA" w:rsidTr="00745FEA">
              <w:tc>
                <w:tcPr>
                  <w:tcW w:w="2200" w:type="pct"/>
                  <w:shd w:val="clear" w:color="auto" w:fill="auto"/>
                </w:tcPr>
                <w:p w:rsidR="00745FEA" w:rsidRPr="00ED5698" w:rsidRDefault="00745FEA" w:rsidP="00745FEA">
                  <w:pPr>
                    <w:pStyle w:val="TableBodyText"/>
                    <w:spacing w:after="0"/>
                    <w:ind w:left="227" w:right="0"/>
                    <w:jc w:val="left"/>
                  </w:pPr>
                  <w:r w:rsidRPr="00ED5698">
                    <w:t>TRADEX</w:t>
                  </w:r>
                </w:p>
              </w:tc>
              <w:tc>
                <w:tcPr>
                  <w:tcW w:w="467" w:type="pct"/>
                  <w:vAlign w:val="bottom"/>
                </w:tcPr>
                <w:p w:rsidR="00745FEA" w:rsidRPr="00E60355" w:rsidRDefault="00745FEA" w:rsidP="00745FEA">
                  <w:pPr>
                    <w:pStyle w:val="TableBodyText"/>
                    <w:ind w:right="57"/>
                  </w:pPr>
                  <w:r w:rsidRPr="00E60355">
                    <w:t>0.1</w:t>
                  </w:r>
                </w:p>
              </w:tc>
              <w:tc>
                <w:tcPr>
                  <w:tcW w:w="467" w:type="pct"/>
                  <w:vAlign w:val="bottom"/>
                </w:tcPr>
                <w:p w:rsidR="00745FEA" w:rsidRPr="00E60355" w:rsidRDefault="00745FEA" w:rsidP="00745FEA">
                  <w:pPr>
                    <w:pStyle w:val="TableBodyText"/>
                    <w:ind w:right="57"/>
                  </w:pPr>
                  <w:r w:rsidRPr="00E60355">
                    <w:t>0.1</w:t>
                  </w:r>
                </w:p>
              </w:tc>
              <w:tc>
                <w:tcPr>
                  <w:tcW w:w="467" w:type="pct"/>
                  <w:vAlign w:val="bottom"/>
                </w:tcPr>
                <w:p w:rsidR="00745FEA" w:rsidRPr="00E60355" w:rsidRDefault="00745FEA" w:rsidP="00745FEA">
                  <w:pPr>
                    <w:pStyle w:val="TableBodyText"/>
                    <w:ind w:right="57"/>
                  </w:pPr>
                  <w:r w:rsidRPr="00E60355">
                    <w:t>0.1</w:t>
                  </w:r>
                </w:p>
              </w:tc>
              <w:tc>
                <w:tcPr>
                  <w:tcW w:w="467" w:type="pct"/>
                  <w:vAlign w:val="bottom"/>
                </w:tcPr>
                <w:p w:rsidR="00745FEA" w:rsidRPr="00E60355" w:rsidRDefault="00745FEA" w:rsidP="00745FEA">
                  <w:pPr>
                    <w:pStyle w:val="TableBodyText"/>
                    <w:ind w:right="57"/>
                  </w:pPr>
                  <w:r w:rsidRPr="00E60355">
                    <w:t>0.1</w:t>
                  </w:r>
                </w:p>
              </w:tc>
              <w:tc>
                <w:tcPr>
                  <w:tcW w:w="466" w:type="pct"/>
                  <w:shd w:val="clear" w:color="auto" w:fill="auto"/>
                  <w:vAlign w:val="bottom"/>
                </w:tcPr>
                <w:p w:rsidR="00745FEA" w:rsidRPr="00E60355" w:rsidRDefault="00745FEA" w:rsidP="00745FEA">
                  <w:pPr>
                    <w:pStyle w:val="TableBodyText"/>
                    <w:ind w:right="57"/>
                  </w:pPr>
                  <w:r w:rsidRPr="00E60355">
                    <w:t>0.1</w:t>
                  </w:r>
                </w:p>
              </w:tc>
              <w:tc>
                <w:tcPr>
                  <w:tcW w:w="466" w:type="pct"/>
                  <w:shd w:val="clear" w:color="auto" w:fill="auto"/>
                  <w:vAlign w:val="bottom"/>
                </w:tcPr>
                <w:p w:rsidR="00745FEA" w:rsidRDefault="00745FEA" w:rsidP="00745FEA">
                  <w:pPr>
                    <w:pStyle w:val="TableBodyText"/>
                    <w:ind w:right="57"/>
                  </w:pPr>
                  <w:r w:rsidRPr="00E60355">
                    <w:t>0.1</w:t>
                  </w:r>
                </w:p>
              </w:tc>
            </w:tr>
            <w:tr w:rsidR="00745FEA" w:rsidTr="00745FEA">
              <w:tc>
                <w:tcPr>
                  <w:tcW w:w="2200" w:type="pct"/>
                  <w:shd w:val="clear" w:color="auto" w:fill="auto"/>
                </w:tcPr>
                <w:p w:rsidR="00745FEA" w:rsidRPr="008F08C9" w:rsidRDefault="00745FEA" w:rsidP="00745FEA">
                  <w:pPr>
                    <w:pStyle w:val="TableBodyText"/>
                    <w:spacing w:before="40" w:after="0"/>
                    <w:ind w:left="113"/>
                    <w:jc w:val="left"/>
                    <w:rPr>
                      <w:i/>
                    </w:rPr>
                  </w:pPr>
                  <w:r w:rsidRPr="008F08C9">
                    <w:rPr>
                      <w:i/>
                    </w:rPr>
                    <w:t>General investment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112105" w:rsidRDefault="00745FEA" w:rsidP="00745FEA">
                  <w:pPr>
                    <w:pStyle w:val="TableBodyText"/>
                    <w:spacing w:after="0"/>
                    <w:ind w:left="227" w:right="0"/>
                    <w:jc w:val="left"/>
                  </w:pPr>
                  <w:r w:rsidRPr="00112105">
                    <w:t>Infrastructure bonds scheme</w:t>
                  </w:r>
                </w:p>
              </w:tc>
              <w:tc>
                <w:tcPr>
                  <w:tcW w:w="467" w:type="pct"/>
                  <w:vAlign w:val="bottom"/>
                </w:tcPr>
                <w:p w:rsidR="00745FEA" w:rsidRPr="00E56BF1" w:rsidRDefault="00745FEA" w:rsidP="00745FEA">
                  <w:pPr>
                    <w:pStyle w:val="TableBodyText"/>
                    <w:ind w:right="57"/>
                  </w:pPr>
                  <w:r w:rsidRPr="00E56BF1">
                    <w:t>0.3</w:t>
                  </w:r>
                </w:p>
              </w:tc>
              <w:tc>
                <w:tcPr>
                  <w:tcW w:w="467" w:type="pct"/>
                  <w:vAlign w:val="bottom"/>
                </w:tcPr>
                <w:p w:rsidR="00745FEA" w:rsidRPr="00E56BF1" w:rsidRDefault="00745FEA" w:rsidP="00745FEA">
                  <w:pPr>
                    <w:pStyle w:val="TableBodyText"/>
                    <w:ind w:right="57"/>
                  </w:pPr>
                  <w:r w:rsidRPr="00E56BF1">
                    <w:t>–</w:t>
                  </w:r>
                </w:p>
              </w:tc>
              <w:tc>
                <w:tcPr>
                  <w:tcW w:w="467" w:type="pct"/>
                  <w:vAlign w:val="bottom"/>
                </w:tcPr>
                <w:p w:rsidR="00745FEA" w:rsidRPr="00E56BF1" w:rsidRDefault="00745FEA" w:rsidP="00745FEA">
                  <w:pPr>
                    <w:pStyle w:val="TableBodyText"/>
                    <w:ind w:right="57"/>
                  </w:pPr>
                  <w:r w:rsidRPr="00E56BF1">
                    <w:t>–</w:t>
                  </w:r>
                </w:p>
              </w:tc>
              <w:tc>
                <w:tcPr>
                  <w:tcW w:w="467" w:type="pct"/>
                  <w:vAlign w:val="bottom"/>
                </w:tcPr>
                <w:p w:rsidR="00745FEA" w:rsidRPr="00E56BF1" w:rsidRDefault="00745FEA" w:rsidP="00745FEA">
                  <w:pPr>
                    <w:pStyle w:val="TableBodyText"/>
                    <w:ind w:right="57"/>
                  </w:pPr>
                  <w:r w:rsidRPr="00E56BF1">
                    <w:t>–</w:t>
                  </w:r>
                </w:p>
              </w:tc>
              <w:tc>
                <w:tcPr>
                  <w:tcW w:w="466" w:type="pct"/>
                  <w:shd w:val="clear" w:color="auto" w:fill="auto"/>
                  <w:vAlign w:val="bottom"/>
                </w:tcPr>
                <w:p w:rsidR="00745FEA" w:rsidRPr="00E56BF1" w:rsidRDefault="00745FEA" w:rsidP="00745FEA">
                  <w:pPr>
                    <w:pStyle w:val="TableBodyText"/>
                    <w:ind w:right="57"/>
                  </w:pPr>
                  <w:r w:rsidRPr="00E56BF1">
                    <w:t>–</w:t>
                  </w:r>
                </w:p>
              </w:tc>
              <w:tc>
                <w:tcPr>
                  <w:tcW w:w="466" w:type="pct"/>
                  <w:shd w:val="clear" w:color="auto" w:fill="auto"/>
                  <w:vAlign w:val="bottom"/>
                </w:tcPr>
                <w:p w:rsidR="00745FEA" w:rsidRDefault="00745FEA" w:rsidP="00745FEA">
                  <w:pPr>
                    <w:pStyle w:val="TableBodyText"/>
                    <w:ind w:right="57"/>
                  </w:pPr>
                  <w:r w:rsidRPr="00E56BF1">
                    <w:t>–</w:t>
                  </w:r>
                </w:p>
              </w:tc>
            </w:tr>
            <w:tr w:rsidR="00745FEA" w:rsidTr="00745FEA">
              <w:tc>
                <w:tcPr>
                  <w:tcW w:w="2200" w:type="pct"/>
                  <w:shd w:val="clear" w:color="auto" w:fill="auto"/>
                </w:tcPr>
                <w:p w:rsidR="00745FEA" w:rsidRPr="00C62010" w:rsidRDefault="00745FEA" w:rsidP="00745FEA">
                  <w:pPr>
                    <w:pStyle w:val="TableBodyText"/>
                    <w:spacing w:before="40" w:after="0"/>
                    <w:ind w:left="113"/>
                    <w:jc w:val="left"/>
                    <w:rPr>
                      <w:i/>
                    </w:rPr>
                  </w:pPr>
                  <w:r w:rsidRPr="00C62010">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Commercialisation Australia</w:t>
                  </w:r>
                </w:p>
              </w:tc>
              <w:tc>
                <w:tcPr>
                  <w:tcW w:w="467" w:type="pct"/>
                  <w:vAlign w:val="bottom"/>
                </w:tcPr>
                <w:p w:rsidR="00745FEA" w:rsidRPr="00411EDB" w:rsidRDefault="00745FEA" w:rsidP="00745FEA">
                  <w:pPr>
                    <w:pStyle w:val="TableBodyText"/>
                    <w:ind w:right="57"/>
                  </w:pPr>
                  <w:r w:rsidRPr="00411EDB">
                    <w:t>0.9</w:t>
                  </w:r>
                </w:p>
              </w:tc>
              <w:tc>
                <w:tcPr>
                  <w:tcW w:w="467" w:type="pct"/>
                  <w:vAlign w:val="bottom"/>
                </w:tcPr>
                <w:p w:rsidR="00745FEA" w:rsidRPr="00411EDB" w:rsidRDefault="00745FEA" w:rsidP="00745FEA">
                  <w:pPr>
                    <w:pStyle w:val="TableBodyText"/>
                    <w:ind w:right="57"/>
                  </w:pPr>
                  <w:r w:rsidRPr="00411EDB">
                    <w:t>0.4</w:t>
                  </w:r>
                </w:p>
              </w:tc>
              <w:tc>
                <w:tcPr>
                  <w:tcW w:w="467" w:type="pct"/>
                  <w:vAlign w:val="bottom"/>
                </w:tcPr>
                <w:p w:rsidR="00745FEA" w:rsidRPr="00411EDB" w:rsidRDefault="00745FEA" w:rsidP="00745FEA">
                  <w:pPr>
                    <w:pStyle w:val="TableBodyText"/>
                    <w:ind w:right="57"/>
                  </w:pPr>
                  <w:r w:rsidRPr="00411EDB">
                    <w:t>2.3</w:t>
                  </w:r>
                </w:p>
              </w:tc>
              <w:tc>
                <w:tcPr>
                  <w:tcW w:w="467" w:type="pct"/>
                  <w:vAlign w:val="bottom"/>
                </w:tcPr>
                <w:p w:rsidR="00745FEA" w:rsidRPr="00411EDB" w:rsidRDefault="00745FEA" w:rsidP="00745FEA">
                  <w:pPr>
                    <w:pStyle w:val="TableBodyText"/>
                    <w:ind w:right="57"/>
                  </w:pPr>
                  <w:r w:rsidRPr="00411EDB">
                    <w:t>0.9</w:t>
                  </w:r>
                </w:p>
              </w:tc>
              <w:tc>
                <w:tcPr>
                  <w:tcW w:w="466" w:type="pct"/>
                  <w:shd w:val="clear" w:color="auto" w:fill="auto"/>
                  <w:vAlign w:val="bottom"/>
                </w:tcPr>
                <w:p w:rsidR="00745FEA" w:rsidRPr="00411EDB" w:rsidRDefault="00745FEA" w:rsidP="00745FEA">
                  <w:pPr>
                    <w:pStyle w:val="TableBodyText"/>
                    <w:ind w:right="57"/>
                  </w:pPr>
                  <w:r w:rsidRPr="00411EDB">
                    <w:t>0.3</w:t>
                  </w:r>
                </w:p>
              </w:tc>
              <w:tc>
                <w:tcPr>
                  <w:tcW w:w="466" w:type="pct"/>
                  <w:shd w:val="clear" w:color="auto" w:fill="auto"/>
                  <w:vAlign w:val="bottom"/>
                </w:tcPr>
                <w:p w:rsidR="00745FEA" w:rsidRPr="00411EDB" w:rsidRDefault="00745FEA" w:rsidP="00745FEA">
                  <w:pPr>
                    <w:pStyle w:val="TableBodyText"/>
                    <w:ind w:right="57"/>
                  </w:pPr>
                  <w:r w:rsidRPr="00411EDB">
                    <w:t>–</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Clean Business Australia - Climate Ready Program</w:t>
                  </w:r>
                </w:p>
              </w:tc>
              <w:tc>
                <w:tcPr>
                  <w:tcW w:w="467" w:type="pct"/>
                  <w:vAlign w:val="bottom"/>
                </w:tcPr>
                <w:p w:rsidR="00745FEA" w:rsidRPr="00411EDB" w:rsidRDefault="00745FEA" w:rsidP="00745FEA">
                  <w:pPr>
                    <w:pStyle w:val="TableBodyText"/>
                    <w:ind w:right="57"/>
                  </w:pPr>
                  <w:r w:rsidRPr="00411EDB">
                    <w:t>&lt;0.1</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CSIRO</w:t>
                  </w:r>
                </w:p>
              </w:tc>
              <w:tc>
                <w:tcPr>
                  <w:tcW w:w="467" w:type="pct"/>
                  <w:vAlign w:val="bottom"/>
                </w:tcPr>
                <w:p w:rsidR="00745FEA" w:rsidRPr="00411EDB" w:rsidRDefault="00745FEA" w:rsidP="00745FEA">
                  <w:pPr>
                    <w:pStyle w:val="TableBodyText"/>
                    <w:ind w:right="57"/>
                  </w:pPr>
                  <w:r w:rsidRPr="00411EDB">
                    <w:t>48.6</w:t>
                  </w:r>
                </w:p>
              </w:tc>
              <w:tc>
                <w:tcPr>
                  <w:tcW w:w="467" w:type="pct"/>
                  <w:vAlign w:val="bottom"/>
                </w:tcPr>
                <w:p w:rsidR="00745FEA" w:rsidRPr="00411EDB" w:rsidRDefault="00745FEA" w:rsidP="00745FEA">
                  <w:pPr>
                    <w:pStyle w:val="TableBodyText"/>
                    <w:ind w:right="57"/>
                  </w:pPr>
                  <w:r w:rsidRPr="00411EDB">
                    <w:t>52.0</w:t>
                  </w:r>
                </w:p>
              </w:tc>
              <w:tc>
                <w:tcPr>
                  <w:tcW w:w="467" w:type="pct"/>
                  <w:vAlign w:val="bottom"/>
                </w:tcPr>
                <w:p w:rsidR="00745FEA" w:rsidRPr="00411EDB" w:rsidRDefault="00745FEA" w:rsidP="00745FEA">
                  <w:pPr>
                    <w:pStyle w:val="TableBodyText"/>
                    <w:ind w:right="57"/>
                  </w:pPr>
                  <w:r w:rsidRPr="00411EDB">
                    <w:t>39.7</w:t>
                  </w:r>
                </w:p>
              </w:tc>
              <w:tc>
                <w:tcPr>
                  <w:tcW w:w="467" w:type="pct"/>
                  <w:vAlign w:val="bottom"/>
                </w:tcPr>
                <w:p w:rsidR="00745FEA" w:rsidRPr="00411EDB" w:rsidRDefault="00745FEA" w:rsidP="00745FEA">
                  <w:pPr>
                    <w:pStyle w:val="TableBodyText"/>
                    <w:ind w:right="57"/>
                  </w:pPr>
                  <w:r w:rsidRPr="00411EDB">
                    <w:t>50.4</w:t>
                  </w:r>
                </w:p>
              </w:tc>
              <w:tc>
                <w:tcPr>
                  <w:tcW w:w="466" w:type="pct"/>
                  <w:shd w:val="clear" w:color="auto" w:fill="auto"/>
                  <w:vAlign w:val="bottom"/>
                </w:tcPr>
                <w:p w:rsidR="00745FEA" w:rsidRPr="00411EDB" w:rsidRDefault="00745FEA" w:rsidP="00745FEA">
                  <w:pPr>
                    <w:pStyle w:val="TableBodyText"/>
                    <w:ind w:right="57"/>
                  </w:pPr>
                  <w:r w:rsidRPr="00411EDB">
                    <w:t>47.8</w:t>
                  </w:r>
                </w:p>
              </w:tc>
              <w:tc>
                <w:tcPr>
                  <w:tcW w:w="466" w:type="pct"/>
                  <w:shd w:val="clear" w:color="auto" w:fill="auto"/>
                  <w:vAlign w:val="bottom"/>
                </w:tcPr>
                <w:p w:rsidR="00745FEA" w:rsidRPr="00411EDB" w:rsidRDefault="00745FEA" w:rsidP="00745FEA">
                  <w:pPr>
                    <w:pStyle w:val="TableBodyText"/>
                    <w:ind w:right="57"/>
                  </w:pPr>
                  <w:r w:rsidRPr="00411EDB">
                    <w:t>43.9</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Clean Technology Innovation Program</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0.2</w:t>
                  </w:r>
                </w:p>
              </w:tc>
              <w:tc>
                <w:tcPr>
                  <w:tcW w:w="467" w:type="pct"/>
                  <w:vAlign w:val="bottom"/>
                </w:tcPr>
                <w:p w:rsidR="00745FEA" w:rsidRPr="00411EDB" w:rsidRDefault="00745FEA" w:rsidP="00745FEA">
                  <w:pPr>
                    <w:pStyle w:val="TableBodyText"/>
                    <w:ind w:right="57"/>
                  </w:pPr>
                  <w:r w:rsidRPr="00411EDB">
                    <w:t>4.3</w:t>
                  </w:r>
                </w:p>
              </w:tc>
              <w:tc>
                <w:tcPr>
                  <w:tcW w:w="467" w:type="pct"/>
                  <w:vAlign w:val="bottom"/>
                </w:tcPr>
                <w:p w:rsidR="00745FEA" w:rsidRPr="00411EDB" w:rsidRDefault="00745FEA" w:rsidP="00745FEA">
                  <w:pPr>
                    <w:pStyle w:val="TableBodyText"/>
                    <w:ind w:right="57"/>
                  </w:pPr>
                  <w:r w:rsidRPr="00411EDB">
                    <w:t>0.3</w:t>
                  </w:r>
                </w:p>
              </w:tc>
              <w:tc>
                <w:tcPr>
                  <w:tcW w:w="466" w:type="pct"/>
                  <w:shd w:val="clear" w:color="auto" w:fill="auto"/>
                  <w:vAlign w:val="bottom"/>
                </w:tcPr>
                <w:p w:rsidR="00745FEA" w:rsidRPr="00411EDB" w:rsidRDefault="00745FEA" w:rsidP="00745FEA">
                  <w:pPr>
                    <w:pStyle w:val="TableBodyText"/>
                    <w:ind w:right="57"/>
                  </w:pPr>
                  <w:r w:rsidRPr="00411EDB">
                    <w:t>0.3</w:t>
                  </w:r>
                </w:p>
              </w:tc>
              <w:tc>
                <w:tcPr>
                  <w:tcW w:w="466" w:type="pct"/>
                  <w:shd w:val="clear" w:color="auto" w:fill="auto"/>
                  <w:vAlign w:val="bottom"/>
                </w:tcPr>
                <w:p w:rsidR="00745FEA" w:rsidRPr="00411EDB" w:rsidRDefault="00745FEA" w:rsidP="00745FEA">
                  <w:pPr>
                    <w:pStyle w:val="TableBodyText"/>
                    <w:ind w:right="57"/>
                  </w:pPr>
                  <w:r w:rsidRPr="00411EDB">
                    <w:t>–</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Innovation Investment Fund</w:t>
                  </w:r>
                </w:p>
              </w:tc>
              <w:tc>
                <w:tcPr>
                  <w:tcW w:w="467" w:type="pct"/>
                  <w:vAlign w:val="bottom"/>
                </w:tcPr>
                <w:p w:rsidR="00745FEA" w:rsidRPr="00411EDB" w:rsidRDefault="00745FEA" w:rsidP="00745FEA">
                  <w:pPr>
                    <w:pStyle w:val="TableBodyText"/>
                    <w:ind w:right="57"/>
                  </w:pPr>
                  <w:r w:rsidRPr="00411EDB">
                    <w:t>2.8</w:t>
                  </w:r>
                </w:p>
              </w:tc>
              <w:tc>
                <w:tcPr>
                  <w:tcW w:w="467" w:type="pct"/>
                  <w:vAlign w:val="bottom"/>
                </w:tcPr>
                <w:p w:rsidR="00745FEA" w:rsidRPr="00411EDB" w:rsidRDefault="00745FEA" w:rsidP="00745FEA">
                  <w:pPr>
                    <w:pStyle w:val="TableBodyText"/>
                    <w:ind w:right="57"/>
                  </w:pPr>
                  <w:r w:rsidRPr="00411EDB">
                    <w:t>3.3</w:t>
                  </w:r>
                </w:p>
              </w:tc>
              <w:tc>
                <w:tcPr>
                  <w:tcW w:w="467" w:type="pct"/>
                  <w:vAlign w:val="bottom"/>
                </w:tcPr>
                <w:p w:rsidR="00745FEA" w:rsidRPr="00411EDB" w:rsidRDefault="00745FEA" w:rsidP="00745FEA">
                  <w:pPr>
                    <w:pStyle w:val="TableBodyText"/>
                    <w:ind w:right="57"/>
                  </w:pPr>
                  <w:r w:rsidRPr="00411EDB">
                    <w:t>3.9</w:t>
                  </w:r>
                </w:p>
              </w:tc>
              <w:tc>
                <w:tcPr>
                  <w:tcW w:w="467" w:type="pct"/>
                  <w:vAlign w:val="bottom"/>
                </w:tcPr>
                <w:p w:rsidR="00745FEA" w:rsidRPr="00411EDB" w:rsidRDefault="00745FEA" w:rsidP="00745FEA">
                  <w:pPr>
                    <w:pStyle w:val="TableBodyText"/>
                    <w:ind w:right="57"/>
                  </w:pPr>
                  <w:r w:rsidRPr="00411EDB">
                    <w:t>3.8</w:t>
                  </w:r>
                </w:p>
              </w:tc>
              <w:tc>
                <w:tcPr>
                  <w:tcW w:w="466" w:type="pct"/>
                  <w:shd w:val="clear" w:color="auto" w:fill="auto"/>
                  <w:vAlign w:val="bottom"/>
                </w:tcPr>
                <w:p w:rsidR="00745FEA" w:rsidRPr="00411EDB" w:rsidRDefault="00745FEA" w:rsidP="00745FEA">
                  <w:pPr>
                    <w:pStyle w:val="TableBodyText"/>
                    <w:ind w:right="57"/>
                  </w:pPr>
                  <w:r w:rsidRPr="00411EDB">
                    <w:t>7.7</w:t>
                  </w:r>
                </w:p>
              </w:tc>
              <w:tc>
                <w:tcPr>
                  <w:tcW w:w="466" w:type="pct"/>
                  <w:shd w:val="clear" w:color="auto" w:fill="auto"/>
                  <w:vAlign w:val="bottom"/>
                </w:tcPr>
                <w:p w:rsidR="00745FEA" w:rsidRPr="00411EDB" w:rsidRDefault="00745FEA" w:rsidP="00745FEA">
                  <w:pPr>
                    <w:pStyle w:val="TableBodyText"/>
                    <w:ind w:right="57"/>
                  </w:pPr>
                  <w:r w:rsidRPr="00411EDB">
                    <w:t>5.4</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R&amp;D Tax Incentive - refundable tax offset</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26.1</w:t>
                  </w:r>
                </w:p>
              </w:tc>
              <w:tc>
                <w:tcPr>
                  <w:tcW w:w="467" w:type="pct"/>
                  <w:vAlign w:val="bottom"/>
                </w:tcPr>
                <w:p w:rsidR="00745FEA" w:rsidRPr="00411EDB" w:rsidRDefault="00745FEA" w:rsidP="00745FEA">
                  <w:pPr>
                    <w:pStyle w:val="TableBodyText"/>
                    <w:ind w:right="57"/>
                  </w:pPr>
                  <w:r w:rsidRPr="00411EDB">
                    <w:t>25.3</w:t>
                  </w:r>
                </w:p>
              </w:tc>
              <w:tc>
                <w:tcPr>
                  <w:tcW w:w="467" w:type="pct"/>
                  <w:vAlign w:val="bottom"/>
                </w:tcPr>
                <w:p w:rsidR="00745FEA" w:rsidRPr="00411EDB" w:rsidRDefault="00745FEA" w:rsidP="00745FEA">
                  <w:pPr>
                    <w:pStyle w:val="TableBodyText"/>
                    <w:ind w:right="57"/>
                  </w:pPr>
                  <w:r w:rsidRPr="00411EDB">
                    <w:t>33.8</w:t>
                  </w:r>
                </w:p>
              </w:tc>
              <w:tc>
                <w:tcPr>
                  <w:tcW w:w="466" w:type="pct"/>
                  <w:shd w:val="clear" w:color="auto" w:fill="auto"/>
                  <w:vAlign w:val="bottom"/>
                </w:tcPr>
                <w:p w:rsidR="00745FEA" w:rsidRPr="00411EDB" w:rsidRDefault="00745FEA" w:rsidP="00745FEA">
                  <w:pPr>
                    <w:pStyle w:val="TableBodyText"/>
                    <w:ind w:right="57"/>
                  </w:pPr>
                  <w:r w:rsidRPr="00411EDB">
                    <w:t>36.0</w:t>
                  </w:r>
                </w:p>
              </w:tc>
              <w:tc>
                <w:tcPr>
                  <w:tcW w:w="466" w:type="pct"/>
                  <w:shd w:val="clear" w:color="auto" w:fill="auto"/>
                  <w:vAlign w:val="bottom"/>
                </w:tcPr>
                <w:p w:rsidR="00745FEA" w:rsidRPr="00411EDB" w:rsidRDefault="00745FEA" w:rsidP="00745FEA">
                  <w:pPr>
                    <w:pStyle w:val="TableBodyText"/>
                    <w:ind w:right="57"/>
                  </w:pPr>
                  <w:r w:rsidRPr="00411EDB">
                    <w:t>43.6</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R&amp;D tax offsets - Refundable</w:t>
                  </w:r>
                </w:p>
              </w:tc>
              <w:tc>
                <w:tcPr>
                  <w:tcW w:w="467" w:type="pct"/>
                  <w:vAlign w:val="bottom"/>
                </w:tcPr>
                <w:p w:rsidR="00745FEA" w:rsidRPr="00411EDB" w:rsidRDefault="00745FEA" w:rsidP="00745FEA">
                  <w:pPr>
                    <w:pStyle w:val="TableBodyText"/>
                    <w:ind w:right="57"/>
                  </w:pPr>
                  <w:r w:rsidRPr="00411EDB">
                    <w:t>8.6</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Premium R&amp;D tax concession</w:t>
                  </w:r>
                </w:p>
              </w:tc>
              <w:tc>
                <w:tcPr>
                  <w:tcW w:w="467" w:type="pct"/>
                  <w:vAlign w:val="bottom"/>
                </w:tcPr>
                <w:p w:rsidR="00745FEA" w:rsidRPr="00411EDB" w:rsidRDefault="00745FEA" w:rsidP="00745FEA">
                  <w:pPr>
                    <w:pStyle w:val="TableBodyText"/>
                    <w:ind w:right="57"/>
                  </w:pPr>
                  <w:r w:rsidRPr="00411EDB">
                    <w:t>13.5</w:t>
                  </w:r>
                </w:p>
              </w:tc>
              <w:tc>
                <w:tcPr>
                  <w:tcW w:w="467" w:type="pct"/>
                  <w:vAlign w:val="bottom"/>
                </w:tcPr>
                <w:p w:rsidR="00745FEA" w:rsidRPr="00411EDB" w:rsidRDefault="00745FEA" w:rsidP="00745FEA">
                  <w:pPr>
                    <w:pStyle w:val="TableBodyText"/>
                    <w:ind w:right="57"/>
                  </w:pPr>
                  <w:r w:rsidRPr="00411EDB">
                    <w:t>3.7</w:t>
                  </w:r>
                </w:p>
              </w:tc>
              <w:tc>
                <w:tcPr>
                  <w:tcW w:w="467" w:type="pct"/>
                  <w:vAlign w:val="bottom"/>
                </w:tcPr>
                <w:p w:rsidR="00745FEA" w:rsidRPr="00411EDB" w:rsidRDefault="00745FEA" w:rsidP="00745FEA">
                  <w:pPr>
                    <w:pStyle w:val="TableBodyText"/>
                    <w:ind w:right="57"/>
                  </w:pPr>
                  <w:r w:rsidRPr="00411EDB">
                    <w:t>1.5</w:t>
                  </w:r>
                </w:p>
              </w:tc>
              <w:tc>
                <w:tcPr>
                  <w:tcW w:w="467" w:type="pct"/>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R&amp;D tax concession</w:t>
                  </w:r>
                </w:p>
              </w:tc>
              <w:tc>
                <w:tcPr>
                  <w:tcW w:w="467" w:type="pct"/>
                  <w:vAlign w:val="bottom"/>
                </w:tcPr>
                <w:p w:rsidR="00745FEA" w:rsidRPr="00411EDB" w:rsidRDefault="00745FEA" w:rsidP="00745FEA">
                  <w:pPr>
                    <w:pStyle w:val="TableBodyText"/>
                    <w:ind w:right="57"/>
                  </w:pPr>
                  <w:r w:rsidRPr="00411EDB">
                    <w:t>19.3</w:t>
                  </w:r>
                </w:p>
              </w:tc>
              <w:tc>
                <w:tcPr>
                  <w:tcW w:w="467" w:type="pct"/>
                  <w:vAlign w:val="bottom"/>
                </w:tcPr>
                <w:p w:rsidR="00745FEA" w:rsidRPr="00411EDB" w:rsidRDefault="00745FEA" w:rsidP="00745FEA">
                  <w:pPr>
                    <w:pStyle w:val="TableBodyText"/>
                    <w:ind w:right="57"/>
                  </w:pPr>
                  <w:r w:rsidRPr="00411EDB">
                    <w:t>8.6</w:t>
                  </w:r>
                </w:p>
              </w:tc>
              <w:tc>
                <w:tcPr>
                  <w:tcW w:w="467" w:type="pct"/>
                  <w:vAlign w:val="bottom"/>
                </w:tcPr>
                <w:p w:rsidR="00745FEA" w:rsidRPr="00411EDB" w:rsidRDefault="00745FEA" w:rsidP="00745FEA">
                  <w:pPr>
                    <w:pStyle w:val="TableBodyText"/>
                    <w:ind w:right="57"/>
                  </w:pPr>
                  <w:r w:rsidRPr="00411EDB">
                    <w:t>2.9</w:t>
                  </w:r>
                </w:p>
              </w:tc>
              <w:tc>
                <w:tcPr>
                  <w:tcW w:w="467" w:type="pct"/>
                  <w:vAlign w:val="bottom"/>
                </w:tcPr>
                <w:p w:rsidR="00745FEA" w:rsidRPr="00411EDB" w:rsidRDefault="00745FEA" w:rsidP="00745FEA">
                  <w:pPr>
                    <w:pStyle w:val="TableBodyText"/>
                    <w:ind w:right="57"/>
                  </w:pPr>
                  <w:r w:rsidRPr="00411EDB">
                    <w:t>0.5</w:t>
                  </w:r>
                </w:p>
              </w:tc>
              <w:tc>
                <w:tcPr>
                  <w:tcW w:w="466" w:type="pct"/>
                  <w:shd w:val="clear" w:color="auto" w:fill="auto"/>
                  <w:vAlign w:val="bottom"/>
                </w:tcPr>
                <w:p w:rsidR="00745FEA" w:rsidRPr="00411EDB" w:rsidRDefault="00745FEA" w:rsidP="00745FEA">
                  <w:pPr>
                    <w:pStyle w:val="TableBodyText"/>
                    <w:ind w:right="57"/>
                  </w:pPr>
                  <w:r w:rsidRPr="00411EDB">
                    <w:t>–</w:t>
                  </w:r>
                </w:p>
              </w:tc>
              <w:tc>
                <w:tcPr>
                  <w:tcW w:w="466" w:type="pct"/>
                  <w:shd w:val="clear" w:color="auto" w:fill="auto"/>
                  <w:vAlign w:val="bottom"/>
                </w:tcPr>
                <w:p w:rsidR="00745FEA" w:rsidRPr="00411EDB" w:rsidRDefault="00745FEA" w:rsidP="00745FEA">
                  <w:pPr>
                    <w:pStyle w:val="TableBodyText"/>
                    <w:ind w:right="57"/>
                  </w:pPr>
                  <w:r w:rsidRPr="00411EDB">
                    <w:t>–</w:t>
                  </w:r>
                </w:p>
              </w:tc>
            </w:tr>
            <w:tr w:rsidR="00745FEA" w:rsidTr="00745FEA">
              <w:tc>
                <w:tcPr>
                  <w:tcW w:w="2200" w:type="pct"/>
                  <w:shd w:val="clear" w:color="auto" w:fill="auto"/>
                </w:tcPr>
                <w:p w:rsidR="00745FEA" w:rsidRPr="00BE71ED" w:rsidRDefault="00745FEA" w:rsidP="00745FEA">
                  <w:pPr>
                    <w:pStyle w:val="TableBodyText"/>
                    <w:spacing w:after="0"/>
                    <w:ind w:left="227" w:right="0"/>
                    <w:jc w:val="left"/>
                  </w:pPr>
                  <w:r w:rsidRPr="00BE71ED">
                    <w:t>R&amp;D Tax Incentive - non-refundable tax offset</w:t>
                  </w:r>
                </w:p>
              </w:tc>
              <w:tc>
                <w:tcPr>
                  <w:tcW w:w="467" w:type="pct"/>
                  <w:vAlign w:val="bottom"/>
                </w:tcPr>
                <w:p w:rsidR="00745FEA" w:rsidRPr="00411EDB" w:rsidRDefault="00745FEA" w:rsidP="00745FEA">
                  <w:pPr>
                    <w:pStyle w:val="TableBodyText"/>
                    <w:ind w:right="57"/>
                  </w:pPr>
                  <w:r w:rsidRPr="00411EDB">
                    <w:t>–</w:t>
                  </w:r>
                </w:p>
              </w:tc>
              <w:tc>
                <w:tcPr>
                  <w:tcW w:w="467" w:type="pct"/>
                  <w:vAlign w:val="bottom"/>
                </w:tcPr>
                <w:p w:rsidR="00745FEA" w:rsidRPr="00411EDB" w:rsidRDefault="00745FEA" w:rsidP="00745FEA">
                  <w:pPr>
                    <w:pStyle w:val="TableBodyText"/>
                    <w:ind w:right="57"/>
                  </w:pPr>
                  <w:r w:rsidRPr="00411EDB">
                    <w:t>23.2</w:t>
                  </w:r>
                </w:p>
              </w:tc>
              <w:tc>
                <w:tcPr>
                  <w:tcW w:w="467" w:type="pct"/>
                  <w:vAlign w:val="bottom"/>
                </w:tcPr>
                <w:p w:rsidR="00745FEA" w:rsidRPr="00411EDB" w:rsidRDefault="00745FEA" w:rsidP="00745FEA">
                  <w:pPr>
                    <w:pStyle w:val="TableBodyText"/>
                    <w:ind w:right="57"/>
                  </w:pPr>
                  <w:r w:rsidRPr="00411EDB">
                    <w:t>21.6</w:t>
                  </w:r>
                </w:p>
              </w:tc>
              <w:tc>
                <w:tcPr>
                  <w:tcW w:w="467" w:type="pct"/>
                  <w:vAlign w:val="bottom"/>
                </w:tcPr>
                <w:p w:rsidR="00745FEA" w:rsidRPr="00411EDB" w:rsidRDefault="00745FEA" w:rsidP="00745FEA">
                  <w:pPr>
                    <w:pStyle w:val="TableBodyText"/>
                    <w:ind w:right="57"/>
                  </w:pPr>
                  <w:r w:rsidRPr="00411EDB">
                    <w:t>14.7</w:t>
                  </w:r>
                </w:p>
              </w:tc>
              <w:tc>
                <w:tcPr>
                  <w:tcW w:w="466" w:type="pct"/>
                  <w:shd w:val="clear" w:color="auto" w:fill="auto"/>
                  <w:vAlign w:val="bottom"/>
                </w:tcPr>
                <w:p w:rsidR="00745FEA" w:rsidRPr="00411EDB" w:rsidRDefault="00745FEA" w:rsidP="00745FEA">
                  <w:pPr>
                    <w:pStyle w:val="TableBodyText"/>
                    <w:ind w:right="57"/>
                  </w:pPr>
                  <w:r w:rsidRPr="00411EDB">
                    <w:t>15.3</w:t>
                  </w:r>
                </w:p>
              </w:tc>
              <w:tc>
                <w:tcPr>
                  <w:tcW w:w="466" w:type="pct"/>
                  <w:shd w:val="clear" w:color="auto" w:fill="auto"/>
                  <w:vAlign w:val="bottom"/>
                </w:tcPr>
                <w:p w:rsidR="00745FEA" w:rsidRDefault="00745FEA" w:rsidP="00745FEA">
                  <w:pPr>
                    <w:pStyle w:val="TableBodyText"/>
                    <w:ind w:right="57"/>
                  </w:pPr>
                  <w:r w:rsidRPr="00411EDB">
                    <w:t>20.8</w:t>
                  </w:r>
                </w:p>
              </w:tc>
            </w:tr>
            <w:tr w:rsidR="00745FEA" w:rsidTr="00745FEA">
              <w:tc>
                <w:tcPr>
                  <w:tcW w:w="2200" w:type="pct"/>
                  <w:shd w:val="clear" w:color="auto" w:fill="auto"/>
                </w:tcPr>
                <w:p w:rsidR="00745FEA" w:rsidRPr="00C62010" w:rsidRDefault="00745FEA" w:rsidP="00745FEA">
                  <w:pPr>
                    <w:pStyle w:val="TableBodyText"/>
                    <w:spacing w:before="40" w:after="0"/>
                    <w:ind w:left="113"/>
                    <w:jc w:val="left"/>
                    <w:rPr>
                      <w:i/>
                    </w:rPr>
                  </w:pPr>
                  <w:r>
                    <w:rPr>
                      <w:i/>
                    </w:rPr>
                    <w:t>Other measures</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6" w:type="pct"/>
                  <w:shd w:val="clear" w:color="auto" w:fill="auto"/>
                  <w:vAlign w:val="bottom"/>
                </w:tcPr>
                <w:p w:rsidR="00745FEA" w:rsidRDefault="00745FEA" w:rsidP="00745FEA">
                  <w:pPr>
                    <w:pStyle w:val="TableBodyText"/>
                    <w:spacing w:before="40" w:after="0"/>
                    <w:ind w:left="113" w:right="57"/>
                  </w:pPr>
                </w:p>
              </w:tc>
              <w:tc>
                <w:tcPr>
                  <w:tcW w:w="466"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Enterprise Connect Innovation Centres</w:t>
                  </w:r>
                </w:p>
              </w:tc>
              <w:tc>
                <w:tcPr>
                  <w:tcW w:w="467" w:type="pct"/>
                  <w:vAlign w:val="bottom"/>
                </w:tcPr>
                <w:p w:rsidR="00745FEA" w:rsidRPr="006A74BF" w:rsidRDefault="00745FEA" w:rsidP="00745FEA">
                  <w:pPr>
                    <w:pStyle w:val="TableBodyText"/>
                    <w:ind w:right="57"/>
                  </w:pPr>
                  <w:r w:rsidRPr="006A74BF">
                    <w:t>0.3</w:t>
                  </w:r>
                </w:p>
              </w:tc>
              <w:tc>
                <w:tcPr>
                  <w:tcW w:w="467" w:type="pct"/>
                  <w:vAlign w:val="bottom"/>
                </w:tcPr>
                <w:p w:rsidR="00745FEA" w:rsidRPr="006A74BF" w:rsidRDefault="00745FEA" w:rsidP="00745FEA">
                  <w:pPr>
                    <w:pStyle w:val="TableBodyText"/>
                    <w:ind w:right="57"/>
                  </w:pPr>
                  <w:r w:rsidRPr="006A74BF">
                    <w:t>0.2</w:t>
                  </w:r>
                </w:p>
              </w:tc>
              <w:tc>
                <w:tcPr>
                  <w:tcW w:w="467" w:type="pct"/>
                  <w:vAlign w:val="bottom"/>
                </w:tcPr>
                <w:p w:rsidR="00745FEA" w:rsidRPr="006A74BF" w:rsidRDefault="00745FEA" w:rsidP="00745FEA">
                  <w:pPr>
                    <w:pStyle w:val="TableBodyText"/>
                    <w:ind w:right="57"/>
                  </w:pPr>
                  <w:r w:rsidRPr="006A74BF">
                    <w:t>0.1</w:t>
                  </w:r>
                </w:p>
              </w:tc>
              <w:tc>
                <w:tcPr>
                  <w:tcW w:w="467" w:type="pct"/>
                  <w:vAlign w:val="bottom"/>
                </w:tcPr>
                <w:p w:rsidR="00745FEA" w:rsidRPr="006A74BF" w:rsidRDefault="00745FEA" w:rsidP="00745FEA">
                  <w:pPr>
                    <w:pStyle w:val="TableBodyText"/>
                    <w:ind w:right="57"/>
                  </w:pPr>
                  <w:r w:rsidRPr="006A74BF">
                    <w:t>0.2</w:t>
                  </w:r>
                </w:p>
              </w:tc>
              <w:tc>
                <w:tcPr>
                  <w:tcW w:w="466" w:type="pct"/>
                  <w:shd w:val="clear" w:color="auto" w:fill="auto"/>
                  <w:vAlign w:val="bottom"/>
                </w:tcPr>
                <w:p w:rsidR="00745FEA" w:rsidRPr="006A74BF" w:rsidRDefault="00745FEA" w:rsidP="00745FEA">
                  <w:pPr>
                    <w:pStyle w:val="TableBodyText"/>
                    <w:ind w:right="57"/>
                  </w:pPr>
                  <w:r w:rsidRPr="006A74BF">
                    <w:t>&lt;0.1</w:t>
                  </w:r>
                </w:p>
              </w:tc>
              <w:tc>
                <w:tcPr>
                  <w:tcW w:w="466" w:type="pct"/>
                  <w:shd w:val="clear" w:color="auto" w:fill="auto"/>
                  <w:vAlign w:val="bottom"/>
                </w:tcPr>
                <w:p w:rsidR="00745FEA" w:rsidRPr="006A74BF" w:rsidRDefault="00745FEA" w:rsidP="00745FEA">
                  <w:pPr>
                    <w:pStyle w:val="TableBodyText"/>
                    <w:ind w:right="57"/>
                  </w:pPr>
                  <w:r w:rsidRPr="006A74BF">
                    <w:t>–</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Entrepreneurs’ Infrastructure Programme - Accelerating Commercialisation</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&lt;0.1</w:t>
                  </w:r>
                </w:p>
              </w:tc>
              <w:tc>
                <w:tcPr>
                  <w:tcW w:w="466" w:type="pct"/>
                  <w:shd w:val="clear" w:color="auto" w:fill="auto"/>
                  <w:vAlign w:val="bottom"/>
                </w:tcPr>
                <w:p w:rsidR="00745FEA" w:rsidRPr="006A74BF" w:rsidRDefault="00745FEA" w:rsidP="00745FEA">
                  <w:pPr>
                    <w:pStyle w:val="TableBodyText"/>
                    <w:ind w:right="57"/>
                  </w:pPr>
                  <w:r w:rsidRPr="006A74BF">
                    <w:t>0.1</w:t>
                  </w:r>
                </w:p>
              </w:tc>
              <w:tc>
                <w:tcPr>
                  <w:tcW w:w="466" w:type="pct"/>
                  <w:shd w:val="clear" w:color="auto" w:fill="auto"/>
                  <w:vAlign w:val="bottom"/>
                </w:tcPr>
                <w:p w:rsidR="00745FEA" w:rsidRPr="006A74BF" w:rsidRDefault="00745FEA" w:rsidP="00745FEA">
                  <w:pPr>
                    <w:pStyle w:val="TableBodyText"/>
                    <w:ind w:right="57"/>
                  </w:pPr>
                  <w:r w:rsidRPr="006A74BF">
                    <w:t>1.2</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Entrepreneurs’ Infrastructure Programme - Business Management Skills</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&lt;0.1</w:t>
                  </w:r>
                </w:p>
              </w:tc>
              <w:tc>
                <w:tcPr>
                  <w:tcW w:w="466" w:type="pct"/>
                  <w:shd w:val="clear" w:color="auto" w:fill="auto"/>
                  <w:vAlign w:val="bottom"/>
                </w:tcPr>
                <w:p w:rsidR="00745FEA" w:rsidRPr="006A74BF" w:rsidRDefault="00745FEA" w:rsidP="00745FEA">
                  <w:pPr>
                    <w:pStyle w:val="TableBodyText"/>
                    <w:ind w:right="57"/>
                  </w:pPr>
                  <w:r w:rsidRPr="006A74BF">
                    <w:t>0.2</w:t>
                  </w:r>
                </w:p>
              </w:tc>
              <w:tc>
                <w:tcPr>
                  <w:tcW w:w="466" w:type="pct"/>
                  <w:shd w:val="clear" w:color="auto" w:fill="auto"/>
                  <w:vAlign w:val="bottom"/>
                </w:tcPr>
                <w:p w:rsidR="00745FEA" w:rsidRPr="006A74BF" w:rsidRDefault="00745FEA" w:rsidP="00745FEA">
                  <w:pPr>
                    <w:pStyle w:val="TableBodyText"/>
                    <w:ind w:right="57"/>
                  </w:pPr>
                  <w:r w:rsidRPr="006A74BF">
                    <w:t>&lt;0.1</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Illawarra Region Innovation and Investment Fund</w:t>
                  </w:r>
                </w:p>
              </w:tc>
              <w:tc>
                <w:tcPr>
                  <w:tcW w:w="467" w:type="pct"/>
                  <w:vAlign w:val="bottom"/>
                </w:tcPr>
                <w:p w:rsidR="00745FEA" w:rsidRPr="006A74BF" w:rsidRDefault="00745FEA" w:rsidP="00745FEA">
                  <w:pPr>
                    <w:pStyle w:val="TableBodyText"/>
                    <w:ind w:right="57"/>
                  </w:pPr>
                  <w:r w:rsidRPr="006A74BF">
                    <w:t>0.2</w:t>
                  </w:r>
                </w:p>
              </w:tc>
              <w:tc>
                <w:tcPr>
                  <w:tcW w:w="467" w:type="pct"/>
                  <w:vAlign w:val="bottom"/>
                </w:tcPr>
                <w:p w:rsidR="00745FEA" w:rsidRPr="006A74BF" w:rsidRDefault="00745FEA" w:rsidP="00745FEA">
                  <w:pPr>
                    <w:pStyle w:val="TableBodyText"/>
                    <w:ind w:right="57"/>
                  </w:pPr>
                  <w:r w:rsidRPr="006A74BF">
                    <w:t>1.2</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w:t>
                  </w:r>
                </w:p>
              </w:tc>
              <w:tc>
                <w:tcPr>
                  <w:tcW w:w="466" w:type="pct"/>
                  <w:shd w:val="clear" w:color="auto" w:fill="auto"/>
                  <w:vAlign w:val="bottom"/>
                </w:tcPr>
                <w:p w:rsidR="00745FEA" w:rsidRPr="006A74BF" w:rsidRDefault="00745FEA" w:rsidP="00745FEA">
                  <w:pPr>
                    <w:pStyle w:val="TableBodyText"/>
                    <w:ind w:right="57"/>
                  </w:pPr>
                  <w:r w:rsidRPr="006A74BF">
                    <w:t>–</w:t>
                  </w:r>
                </w:p>
              </w:tc>
              <w:tc>
                <w:tcPr>
                  <w:tcW w:w="466" w:type="pct"/>
                  <w:shd w:val="clear" w:color="auto" w:fill="auto"/>
                  <w:vAlign w:val="bottom"/>
                </w:tcPr>
                <w:p w:rsidR="00745FEA" w:rsidRPr="006A74BF" w:rsidRDefault="00745FEA" w:rsidP="00745FEA">
                  <w:pPr>
                    <w:pStyle w:val="TableBodyText"/>
                    <w:ind w:right="57"/>
                  </w:pPr>
                  <w:r w:rsidRPr="006A74BF">
                    <w:t>–</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South East South Australia Innovation and Investment Fund</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0.1</w:t>
                  </w:r>
                </w:p>
              </w:tc>
              <w:tc>
                <w:tcPr>
                  <w:tcW w:w="467" w:type="pct"/>
                  <w:vAlign w:val="bottom"/>
                </w:tcPr>
                <w:p w:rsidR="00745FEA" w:rsidRPr="006A74BF" w:rsidRDefault="00745FEA" w:rsidP="00745FEA">
                  <w:pPr>
                    <w:pStyle w:val="TableBodyText"/>
                    <w:ind w:right="57"/>
                  </w:pPr>
                  <w:r w:rsidRPr="006A74BF">
                    <w:t>–</w:t>
                  </w:r>
                </w:p>
              </w:tc>
              <w:tc>
                <w:tcPr>
                  <w:tcW w:w="467" w:type="pct"/>
                  <w:vAlign w:val="bottom"/>
                </w:tcPr>
                <w:p w:rsidR="00745FEA" w:rsidRPr="006A74BF" w:rsidRDefault="00745FEA" w:rsidP="00745FEA">
                  <w:pPr>
                    <w:pStyle w:val="TableBodyText"/>
                    <w:ind w:right="57"/>
                  </w:pPr>
                  <w:r w:rsidRPr="006A74BF">
                    <w:t>–</w:t>
                  </w:r>
                </w:p>
              </w:tc>
              <w:tc>
                <w:tcPr>
                  <w:tcW w:w="466" w:type="pct"/>
                  <w:shd w:val="clear" w:color="auto" w:fill="auto"/>
                  <w:vAlign w:val="bottom"/>
                </w:tcPr>
                <w:p w:rsidR="00745FEA" w:rsidRPr="006A74BF" w:rsidRDefault="00745FEA" w:rsidP="00745FEA">
                  <w:pPr>
                    <w:pStyle w:val="TableBodyText"/>
                    <w:ind w:right="57"/>
                  </w:pPr>
                  <w:r w:rsidRPr="006A74BF">
                    <w:t>–</w:t>
                  </w:r>
                </w:p>
              </w:tc>
              <w:tc>
                <w:tcPr>
                  <w:tcW w:w="466" w:type="pct"/>
                  <w:shd w:val="clear" w:color="auto" w:fill="auto"/>
                  <w:vAlign w:val="bottom"/>
                </w:tcPr>
                <w:p w:rsidR="00745FEA" w:rsidRPr="006A74BF" w:rsidRDefault="00745FEA" w:rsidP="00745FEA">
                  <w:pPr>
                    <w:pStyle w:val="TableBodyText"/>
                    <w:ind w:right="57"/>
                  </w:pPr>
                  <w:r w:rsidRPr="006A74BF">
                    <w:t>–</w:t>
                  </w:r>
                </w:p>
              </w:tc>
            </w:tr>
            <w:tr w:rsidR="00745FEA" w:rsidTr="00745FEA">
              <w:tc>
                <w:tcPr>
                  <w:tcW w:w="2200" w:type="pct"/>
                  <w:tcBorders>
                    <w:bottom w:val="single" w:sz="6" w:space="0" w:color="BFBFBF"/>
                  </w:tcBorders>
                  <w:shd w:val="clear" w:color="auto" w:fill="auto"/>
                </w:tcPr>
                <w:p w:rsidR="00745FEA" w:rsidRDefault="00745FEA" w:rsidP="00745FEA">
                  <w:pPr>
                    <w:pStyle w:val="TableBodyText"/>
                    <w:ind w:left="227" w:right="0"/>
                    <w:jc w:val="left"/>
                  </w:pPr>
                  <w:r w:rsidRPr="00BE3B32">
                    <w:t>Tasmanian Jobs and Investment Fund</w:t>
                  </w:r>
                </w:p>
              </w:tc>
              <w:tc>
                <w:tcPr>
                  <w:tcW w:w="467" w:type="pct"/>
                  <w:tcBorders>
                    <w:bottom w:val="single" w:sz="6" w:space="0" w:color="BFBFBF"/>
                  </w:tcBorders>
                  <w:vAlign w:val="bottom"/>
                </w:tcPr>
                <w:p w:rsidR="00745FEA" w:rsidRPr="006A74BF" w:rsidRDefault="00745FEA" w:rsidP="00745FEA">
                  <w:pPr>
                    <w:pStyle w:val="TableBodyText"/>
                    <w:ind w:right="57"/>
                  </w:pPr>
                  <w:r w:rsidRPr="006A74BF">
                    <w:t>–</w:t>
                  </w:r>
                </w:p>
              </w:tc>
              <w:tc>
                <w:tcPr>
                  <w:tcW w:w="467" w:type="pct"/>
                  <w:tcBorders>
                    <w:bottom w:val="single" w:sz="6" w:space="0" w:color="BFBFBF"/>
                  </w:tcBorders>
                  <w:vAlign w:val="bottom"/>
                </w:tcPr>
                <w:p w:rsidR="00745FEA" w:rsidRPr="006A74BF" w:rsidRDefault="00745FEA" w:rsidP="00745FEA">
                  <w:pPr>
                    <w:pStyle w:val="TableBodyText"/>
                    <w:ind w:right="57"/>
                  </w:pPr>
                  <w:r w:rsidRPr="006A74BF">
                    <w:t>–</w:t>
                  </w:r>
                </w:p>
              </w:tc>
              <w:tc>
                <w:tcPr>
                  <w:tcW w:w="467" w:type="pct"/>
                  <w:tcBorders>
                    <w:bottom w:val="single" w:sz="6" w:space="0" w:color="BFBFBF"/>
                  </w:tcBorders>
                  <w:vAlign w:val="bottom"/>
                </w:tcPr>
                <w:p w:rsidR="00745FEA" w:rsidRPr="006A74BF" w:rsidRDefault="00745FEA" w:rsidP="00745FEA">
                  <w:pPr>
                    <w:pStyle w:val="TableBodyText"/>
                    <w:ind w:right="57"/>
                  </w:pPr>
                  <w:r w:rsidRPr="006A74BF">
                    <w:t>–</w:t>
                  </w:r>
                </w:p>
              </w:tc>
              <w:tc>
                <w:tcPr>
                  <w:tcW w:w="467" w:type="pct"/>
                  <w:tcBorders>
                    <w:bottom w:val="single" w:sz="6" w:space="0" w:color="BFBFBF"/>
                  </w:tcBorders>
                  <w:vAlign w:val="bottom"/>
                </w:tcPr>
                <w:p w:rsidR="00745FEA" w:rsidRPr="006A74BF" w:rsidRDefault="00745FEA" w:rsidP="00745FEA">
                  <w:pPr>
                    <w:pStyle w:val="TableBodyText"/>
                    <w:ind w:right="57"/>
                  </w:pPr>
                  <w:r w:rsidRPr="006A74BF">
                    <w:t>–</w:t>
                  </w:r>
                </w:p>
              </w:tc>
              <w:tc>
                <w:tcPr>
                  <w:tcW w:w="466" w:type="pct"/>
                  <w:tcBorders>
                    <w:bottom w:val="single" w:sz="6" w:space="0" w:color="BFBFBF"/>
                  </w:tcBorders>
                  <w:shd w:val="clear" w:color="auto" w:fill="auto"/>
                  <w:vAlign w:val="bottom"/>
                </w:tcPr>
                <w:p w:rsidR="00745FEA" w:rsidRPr="006A74BF" w:rsidRDefault="00745FEA" w:rsidP="00745FEA">
                  <w:pPr>
                    <w:pStyle w:val="TableBodyText"/>
                    <w:ind w:right="57"/>
                  </w:pPr>
                  <w:r w:rsidRPr="006A74BF">
                    <w:t>–</w:t>
                  </w:r>
                </w:p>
              </w:tc>
              <w:tc>
                <w:tcPr>
                  <w:tcW w:w="466" w:type="pct"/>
                  <w:tcBorders>
                    <w:bottom w:val="single" w:sz="6" w:space="0" w:color="BFBFBF"/>
                  </w:tcBorders>
                  <w:shd w:val="clear" w:color="auto" w:fill="auto"/>
                  <w:vAlign w:val="bottom"/>
                </w:tcPr>
                <w:p w:rsidR="00745FEA" w:rsidRDefault="00745FEA" w:rsidP="00745FEA">
                  <w:pPr>
                    <w:pStyle w:val="TableBodyText"/>
                    <w:ind w:right="57"/>
                  </w:pPr>
                  <w:r w:rsidRPr="006A74BF">
                    <w:t>1.2</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742"/>
              <w:gridCol w:w="793"/>
              <w:gridCol w:w="794"/>
              <w:gridCol w:w="794"/>
              <w:gridCol w:w="794"/>
              <w:gridCol w:w="794"/>
              <w:gridCol w:w="793"/>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tcBorders>
                    <w:top w:val="single" w:sz="6" w:space="0" w:color="BFBFBF"/>
                  </w:tcBorders>
                </w:tcPr>
                <w:p w:rsidR="00745FEA" w:rsidRPr="00C62010" w:rsidRDefault="00745FEA" w:rsidP="00745FEA">
                  <w:pPr>
                    <w:pStyle w:val="TableUnitsRow"/>
                    <w:spacing w:after="0"/>
                    <w:ind w:left="113"/>
                    <w:jc w:val="left"/>
                    <w:rPr>
                      <w:i/>
                    </w:rPr>
                  </w:pPr>
                  <w:r w:rsidRPr="00C62010">
                    <w:rPr>
                      <w:i/>
                    </w:rPr>
                    <w:t>Other measures</w:t>
                  </w:r>
                  <w:r>
                    <w:rPr>
                      <w:i/>
                    </w:rPr>
                    <w:t xml:space="preserve"> (continued)</w:t>
                  </w:r>
                </w:p>
              </w:tc>
              <w:tc>
                <w:tcPr>
                  <w:tcW w:w="466"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6"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BE3B32">
                    <w:t>Small business capital gains tax rollover deferral</w:t>
                  </w:r>
                </w:p>
              </w:tc>
              <w:tc>
                <w:tcPr>
                  <w:tcW w:w="466"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0.8</w:t>
                  </w:r>
                </w:p>
              </w:tc>
              <w:tc>
                <w:tcPr>
                  <w:tcW w:w="467" w:type="pct"/>
                  <w:shd w:val="clear" w:color="auto" w:fill="auto"/>
                  <w:vAlign w:val="bottom"/>
                </w:tcPr>
                <w:p w:rsidR="00745FEA" w:rsidRPr="003B3624" w:rsidRDefault="00745FEA" w:rsidP="00745FEA">
                  <w:pPr>
                    <w:pStyle w:val="TableBodyText"/>
                    <w:ind w:right="57"/>
                  </w:pPr>
                  <w:r w:rsidRPr="003B3624">
                    <w:t>1.8</w:t>
                  </w:r>
                </w:p>
              </w:tc>
              <w:tc>
                <w:tcPr>
                  <w:tcW w:w="466" w:type="pct"/>
                  <w:shd w:val="clear" w:color="auto" w:fill="auto"/>
                  <w:vAlign w:val="bottom"/>
                </w:tcPr>
                <w:p w:rsidR="00745FEA" w:rsidRPr="003B3624" w:rsidRDefault="00745FEA" w:rsidP="00745FEA">
                  <w:pPr>
                    <w:pStyle w:val="TableBodyText"/>
                    <w:ind w:right="57"/>
                  </w:pPr>
                  <w:r w:rsidRPr="003B3624">
                    <w:t>0.6</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Small Business - Simplified depreciation rules</w:t>
                  </w:r>
                </w:p>
              </w:tc>
              <w:tc>
                <w:tcPr>
                  <w:tcW w:w="466" w:type="pct"/>
                  <w:vAlign w:val="bottom"/>
                </w:tcPr>
                <w:p w:rsidR="00745FEA" w:rsidRPr="003B3624" w:rsidRDefault="00745FEA" w:rsidP="00745FEA">
                  <w:pPr>
                    <w:pStyle w:val="TableBodyText"/>
                    <w:ind w:right="57"/>
                  </w:pPr>
                  <w:r w:rsidRPr="003B3624">
                    <w:t>&lt;0.1</w:t>
                  </w:r>
                </w:p>
              </w:tc>
              <w:tc>
                <w:tcPr>
                  <w:tcW w:w="467" w:type="pct"/>
                  <w:vAlign w:val="bottom"/>
                </w:tcPr>
                <w:p w:rsidR="00745FEA" w:rsidRPr="003B3624" w:rsidRDefault="00745FEA" w:rsidP="00745FEA">
                  <w:pPr>
                    <w:pStyle w:val="TableBodyText"/>
                    <w:ind w:right="57"/>
                  </w:pPr>
                  <w:r w:rsidRPr="003B3624">
                    <w:t>-0.1</w:t>
                  </w:r>
                </w:p>
              </w:tc>
              <w:tc>
                <w:tcPr>
                  <w:tcW w:w="467" w:type="pct"/>
                  <w:vAlign w:val="bottom"/>
                </w:tcPr>
                <w:p w:rsidR="00745FEA" w:rsidRPr="003B3624" w:rsidRDefault="00745FEA" w:rsidP="00745FEA">
                  <w:pPr>
                    <w:pStyle w:val="TableBodyText"/>
                    <w:ind w:right="57"/>
                  </w:pPr>
                  <w:r w:rsidRPr="003B3624">
                    <w:t>0.5</w:t>
                  </w:r>
                </w:p>
              </w:tc>
              <w:tc>
                <w:tcPr>
                  <w:tcW w:w="467" w:type="pct"/>
                  <w:vAlign w:val="bottom"/>
                </w:tcPr>
                <w:p w:rsidR="00745FEA" w:rsidRPr="003B3624" w:rsidRDefault="00745FEA" w:rsidP="00745FEA">
                  <w:pPr>
                    <w:pStyle w:val="TableBodyText"/>
                    <w:ind w:right="57"/>
                  </w:pPr>
                  <w:r w:rsidRPr="003B3624">
                    <w:t>-0.3</w:t>
                  </w:r>
                </w:p>
              </w:tc>
              <w:tc>
                <w:tcPr>
                  <w:tcW w:w="467" w:type="pct"/>
                  <w:shd w:val="clear" w:color="auto" w:fill="auto"/>
                  <w:vAlign w:val="bottom"/>
                </w:tcPr>
                <w:p w:rsidR="00745FEA" w:rsidRPr="003B3624" w:rsidRDefault="00745FEA" w:rsidP="00745FEA">
                  <w:pPr>
                    <w:pStyle w:val="TableBodyText"/>
                    <w:ind w:right="57"/>
                  </w:pPr>
                  <w:r w:rsidRPr="003B3624">
                    <w:t>-0.5</w:t>
                  </w:r>
                </w:p>
              </w:tc>
              <w:tc>
                <w:tcPr>
                  <w:tcW w:w="466" w:type="pct"/>
                  <w:shd w:val="clear" w:color="auto" w:fill="auto"/>
                  <w:vAlign w:val="bottom"/>
                </w:tcPr>
                <w:p w:rsidR="00745FEA" w:rsidRPr="003B3624" w:rsidRDefault="00745FEA" w:rsidP="00745FEA">
                  <w:pPr>
                    <w:pStyle w:val="TableBodyText"/>
                    <w:ind w:right="57"/>
                  </w:pPr>
                  <w:r w:rsidRPr="003B3624">
                    <w:t>3.1</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 xml:space="preserve">Small business </w:t>
                  </w:r>
                  <w:r>
                    <w:t>capital gains tax</w:t>
                  </w:r>
                  <w:r w:rsidRPr="00D025BE">
                    <w:t xml:space="preserve"> 15-year asset exemption</w:t>
                  </w:r>
                </w:p>
              </w:tc>
              <w:tc>
                <w:tcPr>
                  <w:tcW w:w="466"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0.2</w:t>
                  </w:r>
                </w:p>
              </w:tc>
              <w:tc>
                <w:tcPr>
                  <w:tcW w:w="467" w:type="pct"/>
                  <w:shd w:val="clear" w:color="auto" w:fill="auto"/>
                  <w:vAlign w:val="bottom"/>
                </w:tcPr>
                <w:p w:rsidR="00745FEA" w:rsidRPr="003B3624" w:rsidRDefault="00745FEA" w:rsidP="00745FEA">
                  <w:pPr>
                    <w:pStyle w:val="TableBodyText"/>
                    <w:ind w:right="57"/>
                  </w:pPr>
                  <w:r w:rsidRPr="003B3624">
                    <w:t>0.6</w:t>
                  </w:r>
                </w:p>
              </w:tc>
              <w:tc>
                <w:tcPr>
                  <w:tcW w:w="466" w:type="pct"/>
                  <w:shd w:val="clear" w:color="auto" w:fill="auto"/>
                  <w:vAlign w:val="bottom"/>
                </w:tcPr>
                <w:p w:rsidR="00745FEA" w:rsidRPr="003B3624" w:rsidRDefault="00745FEA" w:rsidP="00745FEA">
                  <w:pPr>
                    <w:pStyle w:val="TableBodyText"/>
                    <w:ind w:right="57"/>
                  </w:pPr>
                  <w:r w:rsidRPr="003B3624">
                    <w:t>0.5</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 xml:space="preserve">Small business </w:t>
                  </w:r>
                  <w:r>
                    <w:t>capital gains tax</w:t>
                  </w:r>
                  <w:r w:rsidRPr="00D025BE">
                    <w:t xml:space="preserve"> retirement exemption</w:t>
                  </w:r>
                </w:p>
              </w:tc>
              <w:tc>
                <w:tcPr>
                  <w:tcW w:w="466"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0.9</w:t>
                  </w:r>
                </w:p>
              </w:tc>
              <w:tc>
                <w:tcPr>
                  <w:tcW w:w="467" w:type="pct"/>
                  <w:shd w:val="clear" w:color="auto" w:fill="auto"/>
                  <w:vAlign w:val="bottom"/>
                </w:tcPr>
                <w:p w:rsidR="00745FEA" w:rsidRPr="003B3624" w:rsidRDefault="00745FEA" w:rsidP="00745FEA">
                  <w:pPr>
                    <w:pStyle w:val="TableBodyText"/>
                    <w:ind w:right="57"/>
                  </w:pPr>
                  <w:r w:rsidRPr="003B3624">
                    <w:t>0.9</w:t>
                  </w:r>
                </w:p>
              </w:tc>
              <w:tc>
                <w:tcPr>
                  <w:tcW w:w="466" w:type="pct"/>
                  <w:shd w:val="clear" w:color="auto" w:fill="auto"/>
                  <w:vAlign w:val="bottom"/>
                </w:tcPr>
                <w:p w:rsidR="00745FEA" w:rsidRPr="003B3624" w:rsidRDefault="00745FEA" w:rsidP="00745FEA">
                  <w:pPr>
                    <w:pStyle w:val="TableBodyText"/>
                    <w:ind w:right="57"/>
                  </w:pPr>
                  <w:r w:rsidRPr="003B3624">
                    <w:t>1.2</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 xml:space="preserve">Small business </w:t>
                  </w:r>
                  <w:r>
                    <w:t>capital gains tax</w:t>
                  </w:r>
                  <w:r w:rsidRPr="00D025BE">
                    <w:t xml:space="preserve"> 50 per cent reduction</w:t>
                  </w:r>
                </w:p>
              </w:tc>
              <w:tc>
                <w:tcPr>
                  <w:tcW w:w="466" w:type="pct"/>
                  <w:vAlign w:val="bottom"/>
                </w:tcPr>
                <w:p w:rsidR="00745FEA" w:rsidRPr="003B3624" w:rsidRDefault="00745FEA" w:rsidP="00745FEA">
                  <w:pPr>
                    <w:pStyle w:val="TableBodyText"/>
                    <w:ind w:right="57"/>
                  </w:pPr>
                  <w:r w:rsidRPr="003B3624">
                    <w:t>0.5</w:t>
                  </w:r>
                </w:p>
              </w:tc>
              <w:tc>
                <w:tcPr>
                  <w:tcW w:w="467" w:type="pct"/>
                  <w:vAlign w:val="bottom"/>
                </w:tcPr>
                <w:p w:rsidR="00745FEA" w:rsidRPr="003B3624" w:rsidRDefault="00745FEA" w:rsidP="00745FEA">
                  <w:pPr>
                    <w:pStyle w:val="TableBodyText"/>
                    <w:ind w:right="57"/>
                  </w:pPr>
                  <w:r w:rsidRPr="003B3624">
                    <w:t>0.5</w:t>
                  </w:r>
                </w:p>
              </w:tc>
              <w:tc>
                <w:tcPr>
                  <w:tcW w:w="467" w:type="pct"/>
                  <w:vAlign w:val="bottom"/>
                </w:tcPr>
                <w:p w:rsidR="00745FEA" w:rsidRPr="003B3624" w:rsidRDefault="00745FEA" w:rsidP="00745FEA">
                  <w:pPr>
                    <w:pStyle w:val="TableBodyText"/>
                    <w:ind w:right="57"/>
                  </w:pPr>
                  <w:r w:rsidRPr="003B3624">
                    <w:t>0.5</w:t>
                  </w:r>
                </w:p>
              </w:tc>
              <w:tc>
                <w:tcPr>
                  <w:tcW w:w="467" w:type="pct"/>
                  <w:vAlign w:val="bottom"/>
                </w:tcPr>
                <w:p w:rsidR="00745FEA" w:rsidRPr="003B3624" w:rsidRDefault="00745FEA" w:rsidP="00745FEA">
                  <w:pPr>
                    <w:pStyle w:val="TableBodyText"/>
                    <w:ind w:right="57"/>
                  </w:pPr>
                  <w:r w:rsidRPr="003B3624">
                    <w:t>1.8</w:t>
                  </w:r>
                </w:p>
              </w:tc>
              <w:tc>
                <w:tcPr>
                  <w:tcW w:w="467" w:type="pct"/>
                  <w:shd w:val="clear" w:color="auto" w:fill="auto"/>
                  <w:vAlign w:val="bottom"/>
                </w:tcPr>
                <w:p w:rsidR="00745FEA" w:rsidRPr="003B3624" w:rsidRDefault="00745FEA" w:rsidP="00745FEA">
                  <w:pPr>
                    <w:pStyle w:val="TableBodyText"/>
                    <w:ind w:right="57"/>
                  </w:pPr>
                  <w:r w:rsidRPr="003B3624">
                    <w:t>2.3</w:t>
                  </w:r>
                </w:p>
              </w:tc>
              <w:tc>
                <w:tcPr>
                  <w:tcW w:w="466" w:type="pct"/>
                  <w:shd w:val="clear" w:color="auto" w:fill="auto"/>
                  <w:vAlign w:val="bottom"/>
                </w:tcPr>
                <w:p w:rsidR="00745FEA" w:rsidRPr="003B3624" w:rsidRDefault="00745FEA" w:rsidP="00745FEA">
                  <w:pPr>
                    <w:pStyle w:val="TableBodyText"/>
                    <w:ind w:right="57"/>
                  </w:pPr>
                  <w:r w:rsidRPr="003B3624">
                    <w:t>2.5</w:t>
                  </w:r>
                </w:p>
              </w:tc>
            </w:tr>
            <w:tr w:rsidR="00745FEA" w:rsidTr="00745FEA">
              <w:tc>
                <w:tcPr>
                  <w:tcW w:w="2200" w:type="pct"/>
                  <w:shd w:val="clear" w:color="auto" w:fill="auto"/>
                </w:tcPr>
                <w:p w:rsidR="00745FEA" w:rsidRPr="00D025BE" w:rsidRDefault="00745FEA" w:rsidP="00745FEA">
                  <w:pPr>
                    <w:pStyle w:val="TableBodyText"/>
                    <w:spacing w:after="0"/>
                    <w:ind w:left="227" w:right="0"/>
                    <w:jc w:val="left"/>
                  </w:pPr>
                  <w:r w:rsidRPr="00D025BE">
                    <w:t>25 per cent entrepreneurs' tax offset</w:t>
                  </w:r>
                </w:p>
              </w:tc>
              <w:tc>
                <w:tcPr>
                  <w:tcW w:w="466" w:type="pct"/>
                  <w:vAlign w:val="bottom"/>
                </w:tcPr>
                <w:p w:rsidR="00745FEA" w:rsidRPr="003B3624" w:rsidRDefault="00745FEA" w:rsidP="00745FEA">
                  <w:pPr>
                    <w:pStyle w:val="TableBodyText"/>
                    <w:ind w:right="57"/>
                  </w:pPr>
                  <w:r w:rsidRPr="003B3624">
                    <w:t>0.2</w:t>
                  </w:r>
                </w:p>
              </w:tc>
              <w:tc>
                <w:tcPr>
                  <w:tcW w:w="467" w:type="pct"/>
                  <w:vAlign w:val="bottom"/>
                </w:tcPr>
                <w:p w:rsidR="00745FEA" w:rsidRPr="003B3624" w:rsidRDefault="00745FEA" w:rsidP="00745FEA">
                  <w:pPr>
                    <w:pStyle w:val="TableBodyText"/>
                    <w:ind w:right="57"/>
                  </w:pPr>
                  <w:r w:rsidRPr="003B3624">
                    <w:t>0.4</w:t>
                  </w:r>
                </w:p>
              </w:tc>
              <w:tc>
                <w:tcPr>
                  <w:tcW w:w="467" w:type="pct"/>
                  <w:vAlign w:val="bottom"/>
                </w:tcPr>
                <w:p w:rsidR="00745FEA" w:rsidRPr="003B3624" w:rsidRDefault="00745FEA" w:rsidP="00745FEA">
                  <w:pPr>
                    <w:pStyle w:val="TableBodyText"/>
                    <w:ind w:right="57"/>
                  </w:pPr>
                  <w:r w:rsidRPr="003B3624">
                    <w:t>–</w:t>
                  </w:r>
                </w:p>
              </w:tc>
              <w:tc>
                <w:tcPr>
                  <w:tcW w:w="467" w:type="pct"/>
                  <w:vAlign w:val="bottom"/>
                </w:tcPr>
                <w:p w:rsidR="00745FEA" w:rsidRPr="003B3624" w:rsidRDefault="00745FEA" w:rsidP="00745FEA">
                  <w:pPr>
                    <w:pStyle w:val="TableBodyText"/>
                    <w:ind w:right="57"/>
                  </w:pPr>
                  <w:r w:rsidRPr="003B3624">
                    <w:t>–</w:t>
                  </w:r>
                </w:p>
              </w:tc>
              <w:tc>
                <w:tcPr>
                  <w:tcW w:w="467" w:type="pct"/>
                  <w:shd w:val="clear" w:color="auto" w:fill="auto"/>
                  <w:vAlign w:val="bottom"/>
                </w:tcPr>
                <w:p w:rsidR="00745FEA" w:rsidRPr="003B3624" w:rsidRDefault="00745FEA" w:rsidP="00745FEA">
                  <w:pPr>
                    <w:pStyle w:val="TableBodyText"/>
                    <w:ind w:right="57"/>
                  </w:pPr>
                  <w:r w:rsidRPr="003B3624">
                    <w:t>–</w:t>
                  </w:r>
                </w:p>
              </w:tc>
              <w:tc>
                <w:tcPr>
                  <w:tcW w:w="466" w:type="pct"/>
                  <w:shd w:val="clear" w:color="auto" w:fill="auto"/>
                  <w:vAlign w:val="bottom"/>
                </w:tcPr>
                <w:p w:rsidR="00745FEA" w:rsidRDefault="00745FEA" w:rsidP="00745FEA">
                  <w:pPr>
                    <w:pStyle w:val="TableBodyText"/>
                    <w:ind w:right="57"/>
                  </w:pPr>
                  <w:r w:rsidRPr="003B3624">
                    <w:t>–</w:t>
                  </w:r>
                </w:p>
              </w:tc>
            </w:tr>
            <w:tr w:rsidR="00745FEA" w:rsidTr="00745FEA">
              <w:tc>
                <w:tcPr>
                  <w:tcW w:w="2200" w:type="pct"/>
                  <w:shd w:val="clear" w:color="auto" w:fill="auto"/>
                </w:tcPr>
                <w:p w:rsidR="00745FEA" w:rsidRPr="009B05D9" w:rsidRDefault="00745FEA" w:rsidP="00745FEA">
                  <w:pPr>
                    <w:pStyle w:val="TableBodyText"/>
                    <w:spacing w:before="20" w:after="20"/>
                    <w:jc w:val="left"/>
                    <w:rPr>
                      <w:i/>
                    </w:rPr>
                  </w:pPr>
                  <w:r w:rsidRPr="009B05D9">
                    <w:rPr>
                      <w:i/>
                    </w:rPr>
                    <w:t>Total</w:t>
                  </w:r>
                </w:p>
              </w:tc>
              <w:tc>
                <w:tcPr>
                  <w:tcW w:w="466" w:type="pct"/>
                  <w:vAlign w:val="bottom"/>
                </w:tcPr>
                <w:p w:rsidR="00745FEA" w:rsidRPr="003D318B" w:rsidRDefault="00745FEA" w:rsidP="00745FEA">
                  <w:pPr>
                    <w:pStyle w:val="TableBodyText"/>
                    <w:spacing w:before="20" w:after="20"/>
                    <w:ind w:right="57"/>
                    <w:rPr>
                      <w:i/>
                    </w:rPr>
                  </w:pPr>
                  <w:r>
                    <w:rPr>
                      <w:i/>
                    </w:rPr>
                    <w:t>1106.1</w:t>
                  </w:r>
                </w:p>
              </w:tc>
              <w:tc>
                <w:tcPr>
                  <w:tcW w:w="467" w:type="pct"/>
                  <w:vAlign w:val="bottom"/>
                </w:tcPr>
                <w:p w:rsidR="00745FEA" w:rsidRPr="003D318B" w:rsidRDefault="00745FEA" w:rsidP="00745FEA">
                  <w:pPr>
                    <w:pStyle w:val="TableBodyText"/>
                    <w:spacing w:before="20" w:after="20"/>
                    <w:ind w:right="57"/>
                    <w:rPr>
                      <w:i/>
                    </w:rPr>
                  </w:pPr>
                  <w:r>
                    <w:rPr>
                      <w:i/>
                    </w:rPr>
                    <w:t>142.9</w:t>
                  </w:r>
                </w:p>
              </w:tc>
              <w:tc>
                <w:tcPr>
                  <w:tcW w:w="467" w:type="pct"/>
                </w:tcPr>
                <w:p w:rsidR="00745FEA" w:rsidRPr="00CC52FD" w:rsidRDefault="00745FEA" w:rsidP="00745FEA">
                  <w:pPr>
                    <w:pStyle w:val="TableBodyText"/>
                    <w:spacing w:before="20" w:after="20"/>
                    <w:ind w:right="57"/>
                    <w:rPr>
                      <w:i/>
                    </w:rPr>
                  </w:pPr>
                  <w:r>
                    <w:rPr>
                      <w:i/>
                    </w:rPr>
                    <w:t>166.5</w:t>
                  </w:r>
                </w:p>
              </w:tc>
              <w:tc>
                <w:tcPr>
                  <w:tcW w:w="467" w:type="pct"/>
                </w:tcPr>
                <w:p w:rsidR="00745FEA" w:rsidRPr="00CC52FD" w:rsidRDefault="00745FEA" w:rsidP="00745FEA">
                  <w:pPr>
                    <w:pStyle w:val="TableBodyText"/>
                    <w:spacing w:before="20" w:after="20"/>
                    <w:ind w:right="57"/>
                    <w:rPr>
                      <w:i/>
                    </w:rPr>
                  </w:pPr>
                  <w:r>
                    <w:rPr>
                      <w:i/>
                    </w:rPr>
                    <w:t>231.5</w:t>
                  </w:r>
                </w:p>
              </w:tc>
              <w:tc>
                <w:tcPr>
                  <w:tcW w:w="467" w:type="pct"/>
                  <w:shd w:val="clear" w:color="auto" w:fill="auto"/>
                </w:tcPr>
                <w:p w:rsidR="00745FEA" w:rsidRPr="00CC52FD" w:rsidRDefault="00745FEA" w:rsidP="00745FEA">
                  <w:pPr>
                    <w:pStyle w:val="TableBodyText"/>
                    <w:spacing w:before="20" w:after="20"/>
                    <w:ind w:right="57"/>
                    <w:rPr>
                      <w:i/>
                    </w:rPr>
                  </w:pPr>
                  <w:r>
                    <w:rPr>
                      <w:i/>
                    </w:rPr>
                    <w:t>157.7</w:t>
                  </w:r>
                </w:p>
              </w:tc>
              <w:tc>
                <w:tcPr>
                  <w:tcW w:w="466" w:type="pct"/>
                  <w:shd w:val="clear" w:color="auto" w:fill="auto"/>
                </w:tcPr>
                <w:p w:rsidR="00745FEA" w:rsidRPr="00CC52FD" w:rsidRDefault="00745FEA" w:rsidP="00745FEA">
                  <w:pPr>
                    <w:pStyle w:val="TableBodyText"/>
                    <w:spacing w:before="20" w:after="20"/>
                    <w:ind w:right="57"/>
                    <w:rPr>
                      <w:i/>
                    </w:rPr>
                  </w:pPr>
                  <w:r>
                    <w:rPr>
                      <w:i/>
                    </w:rPr>
                    <w:t>149.3</w:t>
                  </w:r>
                </w:p>
              </w:tc>
            </w:tr>
            <w:tr w:rsidR="00745FEA" w:rsidTr="00745FEA">
              <w:tc>
                <w:tcPr>
                  <w:tcW w:w="2200" w:type="pct"/>
                  <w:shd w:val="clear" w:color="auto" w:fill="auto"/>
                </w:tcPr>
                <w:p w:rsidR="00745FEA" w:rsidRPr="009B05D9" w:rsidRDefault="00745FEA" w:rsidP="00745FEA">
                  <w:pPr>
                    <w:pStyle w:val="TableBodyText"/>
                    <w:spacing w:before="40"/>
                    <w:jc w:val="left"/>
                    <w:rPr>
                      <w:b/>
                    </w:rPr>
                  </w:pPr>
                  <w:r w:rsidRPr="009B05D9">
                    <w:rPr>
                      <w:b/>
                    </w:rPr>
                    <w:t>Construction</w:t>
                  </w:r>
                </w:p>
              </w:tc>
              <w:tc>
                <w:tcPr>
                  <w:tcW w:w="466"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6" w:type="pct"/>
                  <w:shd w:val="clear" w:color="auto" w:fill="auto"/>
                  <w:vAlign w:val="bottom"/>
                </w:tcPr>
                <w:p w:rsidR="00745FEA" w:rsidRDefault="00745FEA" w:rsidP="00745FEA">
                  <w:pPr>
                    <w:pStyle w:val="TableBodyText"/>
                    <w:spacing w:before="40"/>
                    <w:ind w:right="57"/>
                  </w:pPr>
                </w:p>
              </w:tc>
            </w:tr>
            <w:tr w:rsidR="00745FEA" w:rsidTr="00745FEA">
              <w:tc>
                <w:tcPr>
                  <w:tcW w:w="2200" w:type="pct"/>
                  <w:shd w:val="clear" w:color="auto" w:fill="auto"/>
                </w:tcPr>
                <w:p w:rsidR="00745FEA" w:rsidRPr="009B05D9" w:rsidRDefault="00745FEA" w:rsidP="00745FEA">
                  <w:pPr>
                    <w:pStyle w:val="TableBodyText"/>
                    <w:spacing w:before="40" w:after="0"/>
                    <w:ind w:left="113"/>
                    <w:jc w:val="left"/>
                    <w:rPr>
                      <w:i/>
                    </w:rPr>
                  </w:pPr>
                  <w:r w:rsidRPr="009B05D9">
                    <w:rPr>
                      <w:i/>
                    </w:rPr>
                    <w:t>Sector-specific measures</w:t>
                  </w:r>
                </w:p>
              </w:tc>
              <w:tc>
                <w:tcPr>
                  <w:tcW w:w="466"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6"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AF73C9" w:rsidRDefault="00745FEA" w:rsidP="00745FEA">
                  <w:pPr>
                    <w:pStyle w:val="TableBodyText"/>
                    <w:spacing w:after="0"/>
                    <w:ind w:left="227" w:right="0"/>
                    <w:jc w:val="left"/>
                  </w:pPr>
                  <w:r w:rsidRPr="00AF73C9">
                    <w:t>Clean Technology Investment - General Program</w:t>
                  </w:r>
                </w:p>
              </w:tc>
              <w:tc>
                <w:tcPr>
                  <w:tcW w:w="466" w:type="pct"/>
                  <w:vAlign w:val="bottom"/>
                </w:tcPr>
                <w:p w:rsidR="00745FEA" w:rsidRPr="00136B04" w:rsidRDefault="00745FEA" w:rsidP="00745FEA">
                  <w:pPr>
                    <w:pStyle w:val="TableBodyText"/>
                    <w:ind w:right="57"/>
                  </w:pPr>
                  <w:r w:rsidRPr="00136B04">
                    <w:t>–</w:t>
                  </w:r>
                </w:p>
              </w:tc>
              <w:tc>
                <w:tcPr>
                  <w:tcW w:w="467" w:type="pct"/>
                  <w:vAlign w:val="bottom"/>
                </w:tcPr>
                <w:p w:rsidR="00745FEA" w:rsidRPr="00136B04" w:rsidRDefault="00745FEA" w:rsidP="00745FEA">
                  <w:pPr>
                    <w:pStyle w:val="TableBodyText"/>
                    <w:ind w:right="57"/>
                  </w:pPr>
                  <w:r w:rsidRPr="00136B04">
                    <w:t>4.0</w:t>
                  </w:r>
                </w:p>
              </w:tc>
              <w:tc>
                <w:tcPr>
                  <w:tcW w:w="467" w:type="pct"/>
                  <w:vAlign w:val="bottom"/>
                </w:tcPr>
                <w:p w:rsidR="00745FEA" w:rsidRPr="00136B04" w:rsidRDefault="00745FEA" w:rsidP="00745FEA">
                  <w:pPr>
                    <w:pStyle w:val="TableBodyText"/>
                    <w:ind w:right="57"/>
                  </w:pPr>
                  <w:r w:rsidRPr="00136B04">
                    <w:t>1.8</w:t>
                  </w:r>
                </w:p>
              </w:tc>
              <w:tc>
                <w:tcPr>
                  <w:tcW w:w="467" w:type="pct"/>
                  <w:vAlign w:val="bottom"/>
                </w:tcPr>
                <w:p w:rsidR="00745FEA" w:rsidRPr="00136B04" w:rsidRDefault="00745FEA" w:rsidP="00745FEA">
                  <w:pPr>
                    <w:pStyle w:val="TableBodyText"/>
                    <w:ind w:right="57"/>
                  </w:pPr>
                  <w:r w:rsidRPr="00136B04">
                    <w:t>0.6</w:t>
                  </w:r>
                </w:p>
              </w:tc>
              <w:tc>
                <w:tcPr>
                  <w:tcW w:w="467" w:type="pct"/>
                  <w:shd w:val="clear" w:color="auto" w:fill="auto"/>
                  <w:vAlign w:val="bottom"/>
                </w:tcPr>
                <w:p w:rsidR="00745FEA" w:rsidRPr="00136B04" w:rsidRDefault="00745FEA" w:rsidP="00745FEA">
                  <w:pPr>
                    <w:pStyle w:val="TableBodyText"/>
                    <w:ind w:right="57"/>
                  </w:pPr>
                  <w:r w:rsidRPr="00136B04">
                    <w:t>–</w:t>
                  </w:r>
                </w:p>
              </w:tc>
              <w:tc>
                <w:tcPr>
                  <w:tcW w:w="466" w:type="pct"/>
                  <w:shd w:val="clear" w:color="auto" w:fill="auto"/>
                  <w:vAlign w:val="bottom"/>
                </w:tcPr>
                <w:p w:rsidR="00745FEA" w:rsidRDefault="00745FEA" w:rsidP="00745FEA">
                  <w:pPr>
                    <w:pStyle w:val="TableBodyText"/>
                    <w:ind w:right="57"/>
                  </w:pPr>
                  <w:r w:rsidRPr="00136B04">
                    <w:t>–</w:t>
                  </w:r>
                </w:p>
              </w:tc>
            </w:tr>
            <w:tr w:rsidR="00745FEA" w:rsidTr="00745FEA">
              <w:tc>
                <w:tcPr>
                  <w:tcW w:w="2200" w:type="pct"/>
                  <w:shd w:val="clear" w:color="auto" w:fill="auto"/>
                </w:tcPr>
                <w:p w:rsidR="00745FEA" w:rsidRPr="009B05D9" w:rsidRDefault="00745FEA" w:rsidP="00745FEA">
                  <w:pPr>
                    <w:pStyle w:val="TableBodyText"/>
                    <w:spacing w:before="40" w:after="0"/>
                    <w:ind w:left="113"/>
                    <w:jc w:val="left"/>
                    <w:rPr>
                      <w:i/>
                    </w:rPr>
                  </w:pPr>
                  <w:r w:rsidRPr="009B05D9">
                    <w:rPr>
                      <w:i/>
                    </w:rPr>
                    <w:t>General export measures</w:t>
                  </w:r>
                </w:p>
              </w:tc>
              <w:tc>
                <w:tcPr>
                  <w:tcW w:w="466"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B93E0A" w:rsidRDefault="00745FEA" w:rsidP="00745FEA">
                  <w:pPr>
                    <w:pStyle w:val="TableBodyText"/>
                    <w:spacing w:after="0"/>
                    <w:ind w:left="227" w:right="0"/>
                    <w:jc w:val="left"/>
                  </w:pPr>
                  <w:r w:rsidRPr="00B93E0A">
                    <w:t>Export Market Development Grants Scheme</w:t>
                  </w:r>
                </w:p>
              </w:tc>
              <w:tc>
                <w:tcPr>
                  <w:tcW w:w="466" w:type="pct"/>
                  <w:vAlign w:val="bottom"/>
                </w:tcPr>
                <w:p w:rsidR="00745FEA" w:rsidRPr="00C36B18" w:rsidRDefault="00745FEA" w:rsidP="00745FEA">
                  <w:pPr>
                    <w:pStyle w:val="TableBodyText"/>
                    <w:ind w:right="57"/>
                  </w:pPr>
                  <w:r w:rsidRPr="00C36B18">
                    <w:t>0.9</w:t>
                  </w:r>
                </w:p>
              </w:tc>
              <w:tc>
                <w:tcPr>
                  <w:tcW w:w="467" w:type="pct"/>
                  <w:vAlign w:val="bottom"/>
                </w:tcPr>
                <w:p w:rsidR="00745FEA" w:rsidRPr="00C36B18" w:rsidRDefault="00745FEA" w:rsidP="00745FEA">
                  <w:pPr>
                    <w:pStyle w:val="TableBodyText"/>
                    <w:ind w:right="57"/>
                  </w:pPr>
                  <w:r w:rsidRPr="00C36B18">
                    <w:t>0.3</w:t>
                  </w:r>
                </w:p>
              </w:tc>
              <w:tc>
                <w:tcPr>
                  <w:tcW w:w="467" w:type="pct"/>
                  <w:vAlign w:val="bottom"/>
                </w:tcPr>
                <w:p w:rsidR="00745FEA" w:rsidRPr="00C36B18" w:rsidRDefault="00745FEA" w:rsidP="00745FEA">
                  <w:pPr>
                    <w:pStyle w:val="TableBodyText"/>
                    <w:ind w:right="57"/>
                  </w:pPr>
                  <w:r w:rsidRPr="00C36B18">
                    <w:t>0.9</w:t>
                  </w:r>
                </w:p>
              </w:tc>
              <w:tc>
                <w:tcPr>
                  <w:tcW w:w="467" w:type="pct"/>
                  <w:vAlign w:val="bottom"/>
                </w:tcPr>
                <w:p w:rsidR="00745FEA" w:rsidRPr="00C36B18" w:rsidRDefault="00745FEA" w:rsidP="00745FEA">
                  <w:pPr>
                    <w:pStyle w:val="TableBodyText"/>
                    <w:ind w:right="57"/>
                  </w:pPr>
                  <w:r w:rsidRPr="00C36B18">
                    <w:t>1.5</w:t>
                  </w:r>
                </w:p>
              </w:tc>
              <w:tc>
                <w:tcPr>
                  <w:tcW w:w="467" w:type="pct"/>
                  <w:shd w:val="clear" w:color="auto" w:fill="auto"/>
                  <w:vAlign w:val="bottom"/>
                </w:tcPr>
                <w:p w:rsidR="00745FEA" w:rsidRPr="00C36B18" w:rsidRDefault="00745FEA" w:rsidP="00745FEA">
                  <w:pPr>
                    <w:pStyle w:val="TableBodyText"/>
                    <w:ind w:right="57"/>
                  </w:pPr>
                  <w:r w:rsidRPr="00C36B18">
                    <w:t>1.1</w:t>
                  </w:r>
                </w:p>
              </w:tc>
              <w:tc>
                <w:tcPr>
                  <w:tcW w:w="466" w:type="pct"/>
                  <w:shd w:val="clear" w:color="auto" w:fill="auto"/>
                  <w:vAlign w:val="bottom"/>
                </w:tcPr>
                <w:p w:rsidR="00745FEA" w:rsidRPr="00C36B18" w:rsidRDefault="00745FEA" w:rsidP="00745FEA">
                  <w:pPr>
                    <w:pStyle w:val="TableBodyText"/>
                    <w:ind w:right="57"/>
                  </w:pPr>
                  <w:r w:rsidRPr="00C36B18">
                    <w:t>0.8</w:t>
                  </w:r>
                </w:p>
              </w:tc>
            </w:tr>
            <w:tr w:rsidR="00745FEA" w:rsidTr="00745FEA">
              <w:tc>
                <w:tcPr>
                  <w:tcW w:w="2200" w:type="pct"/>
                  <w:shd w:val="clear" w:color="auto" w:fill="auto"/>
                </w:tcPr>
                <w:p w:rsidR="00745FEA" w:rsidRPr="00B93E0A" w:rsidRDefault="00745FEA" w:rsidP="00745FEA">
                  <w:pPr>
                    <w:pStyle w:val="TableBodyText"/>
                    <w:spacing w:after="0"/>
                    <w:ind w:left="227" w:right="0"/>
                    <w:jc w:val="left"/>
                  </w:pPr>
                  <w:r w:rsidRPr="00B93E0A">
                    <w:t>TRADEX</w:t>
                  </w:r>
                </w:p>
              </w:tc>
              <w:tc>
                <w:tcPr>
                  <w:tcW w:w="466" w:type="pct"/>
                  <w:vAlign w:val="bottom"/>
                </w:tcPr>
                <w:p w:rsidR="00745FEA" w:rsidRPr="00C36B18" w:rsidRDefault="00745FEA" w:rsidP="00745FEA">
                  <w:pPr>
                    <w:pStyle w:val="TableBodyText"/>
                    <w:ind w:right="57"/>
                  </w:pPr>
                  <w:r w:rsidRPr="00C36B18">
                    <w:t>&lt;0.1</w:t>
                  </w:r>
                </w:p>
              </w:tc>
              <w:tc>
                <w:tcPr>
                  <w:tcW w:w="467" w:type="pct"/>
                  <w:vAlign w:val="bottom"/>
                </w:tcPr>
                <w:p w:rsidR="00745FEA" w:rsidRPr="00C36B18" w:rsidRDefault="00745FEA" w:rsidP="00745FEA">
                  <w:pPr>
                    <w:pStyle w:val="TableBodyText"/>
                    <w:ind w:right="57"/>
                  </w:pPr>
                  <w:r w:rsidRPr="00C36B18">
                    <w:t>&lt;0.1</w:t>
                  </w:r>
                </w:p>
              </w:tc>
              <w:tc>
                <w:tcPr>
                  <w:tcW w:w="467" w:type="pct"/>
                  <w:vAlign w:val="bottom"/>
                </w:tcPr>
                <w:p w:rsidR="00745FEA" w:rsidRPr="00C36B18" w:rsidRDefault="00745FEA" w:rsidP="00745FEA">
                  <w:pPr>
                    <w:pStyle w:val="TableBodyText"/>
                    <w:ind w:right="57"/>
                  </w:pPr>
                  <w:r w:rsidRPr="00C36B18">
                    <w:t>&lt;0.1</w:t>
                  </w:r>
                </w:p>
              </w:tc>
              <w:tc>
                <w:tcPr>
                  <w:tcW w:w="467" w:type="pct"/>
                  <w:vAlign w:val="bottom"/>
                </w:tcPr>
                <w:p w:rsidR="00745FEA" w:rsidRPr="00C36B18" w:rsidRDefault="00745FEA" w:rsidP="00745FEA">
                  <w:pPr>
                    <w:pStyle w:val="TableBodyText"/>
                    <w:ind w:right="57"/>
                  </w:pPr>
                  <w:r w:rsidRPr="00C36B18">
                    <w:t>&lt;0.1</w:t>
                  </w:r>
                </w:p>
              </w:tc>
              <w:tc>
                <w:tcPr>
                  <w:tcW w:w="467" w:type="pct"/>
                  <w:shd w:val="clear" w:color="auto" w:fill="auto"/>
                  <w:vAlign w:val="bottom"/>
                </w:tcPr>
                <w:p w:rsidR="00745FEA" w:rsidRPr="00C36B18" w:rsidRDefault="00745FEA" w:rsidP="00745FEA">
                  <w:pPr>
                    <w:pStyle w:val="TableBodyText"/>
                    <w:ind w:right="57"/>
                  </w:pPr>
                  <w:r w:rsidRPr="00C36B18">
                    <w:t>&lt;0.1</w:t>
                  </w:r>
                </w:p>
              </w:tc>
              <w:tc>
                <w:tcPr>
                  <w:tcW w:w="466" w:type="pct"/>
                  <w:shd w:val="clear" w:color="auto" w:fill="auto"/>
                  <w:vAlign w:val="bottom"/>
                </w:tcPr>
                <w:p w:rsidR="00745FEA" w:rsidRDefault="00745FEA" w:rsidP="00745FEA">
                  <w:pPr>
                    <w:pStyle w:val="TableBodyText"/>
                    <w:ind w:right="57"/>
                  </w:pPr>
                  <w:r w:rsidRPr="00C36B18">
                    <w:t>&lt;0.1</w:t>
                  </w:r>
                </w:p>
              </w:tc>
            </w:tr>
            <w:tr w:rsidR="00745FEA" w:rsidTr="00745FEA">
              <w:tc>
                <w:tcPr>
                  <w:tcW w:w="2200" w:type="pct"/>
                  <w:shd w:val="clear" w:color="auto" w:fill="auto"/>
                </w:tcPr>
                <w:p w:rsidR="00745FEA" w:rsidRPr="009B05D9" w:rsidRDefault="00745FEA" w:rsidP="00745FEA">
                  <w:pPr>
                    <w:pStyle w:val="TableBodyText"/>
                    <w:spacing w:before="40" w:after="0"/>
                    <w:ind w:left="113"/>
                    <w:jc w:val="left"/>
                    <w:rPr>
                      <w:i/>
                    </w:rPr>
                  </w:pPr>
                  <w:r w:rsidRPr="009B05D9">
                    <w:rPr>
                      <w:i/>
                    </w:rPr>
                    <w:t>General R&amp;D measures</w:t>
                  </w:r>
                </w:p>
              </w:tc>
              <w:tc>
                <w:tcPr>
                  <w:tcW w:w="466"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Commercialisation Australia</w:t>
                  </w:r>
                </w:p>
              </w:tc>
              <w:tc>
                <w:tcPr>
                  <w:tcW w:w="466"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0.3</w:t>
                  </w:r>
                </w:p>
              </w:tc>
              <w:tc>
                <w:tcPr>
                  <w:tcW w:w="467" w:type="pct"/>
                  <w:vAlign w:val="bottom"/>
                </w:tcPr>
                <w:p w:rsidR="00745FEA" w:rsidRPr="00DC3325" w:rsidRDefault="00745FEA" w:rsidP="00745FEA">
                  <w:pPr>
                    <w:pStyle w:val="TableBodyText"/>
                    <w:ind w:right="57"/>
                  </w:pPr>
                  <w:r w:rsidRPr="00DC3325">
                    <w:t>2.9</w:t>
                  </w:r>
                </w:p>
              </w:tc>
              <w:tc>
                <w:tcPr>
                  <w:tcW w:w="467" w:type="pct"/>
                  <w:vAlign w:val="bottom"/>
                </w:tcPr>
                <w:p w:rsidR="00745FEA" w:rsidRPr="00DC3325" w:rsidRDefault="00745FEA" w:rsidP="00745FEA">
                  <w:pPr>
                    <w:pStyle w:val="TableBodyText"/>
                    <w:ind w:right="57"/>
                  </w:pPr>
                  <w:r w:rsidRPr="00DC3325">
                    <w:t>1.8</w:t>
                  </w:r>
                </w:p>
              </w:tc>
              <w:tc>
                <w:tcPr>
                  <w:tcW w:w="467" w:type="pct"/>
                  <w:shd w:val="clear" w:color="auto" w:fill="auto"/>
                  <w:vAlign w:val="bottom"/>
                </w:tcPr>
                <w:p w:rsidR="00745FEA" w:rsidRPr="00DC3325" w:rsidRDefault="00745FEA" w:rsidP="00745FEA">
                  <w:pPr>
                    <w:pStyle w:val="TableBodyText"/>
                    <w:ind w:right="57"/>
                  </w:pPr>
                  <w:r w:rsidRPr="00DC3325">
                    <w:t>0.2</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Commercial Ready Program</w:t>
                  </w:r>
                </w:p>
              </w:tc>
              <w:tc>
                <w:tcPr>
                  <w:tcW w:w="466" w:type="pct"/>
                  <w:vAlign w:val="bottom"/>
                </w:tcPr>
                <w:p w:rsidR="00745FEA" w:rsidRPr="00DC3325" w:rsidRDefault="00745FEA" w:rsidP="00745FEA">
                  <w:pPr>
                    <w:pStyle w:val="TableBodyText"/>
                    <w:ind w:right="57"/>
                  </w:pPr>
                  <w:r w:rsidRPr="00DC3325">
                    <w:t>0.5</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Cooperative Research Centres</w:t>
                  </w:r>
                </w:p>
              </w:tc>
              <w:tc>
                <w:tcPr>
                  <w:tcW w:w="466"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2.0</w:t>
                  </w:r>
                </w:p>
              </w:tc>
              <w:tc>
                <w:tcPr>
                  <w:tcW w:w="467" w:type="pct"/>
                  <w:vAlign w:val="bottom"/>
                </w:tcPr>
                <w:p w:rsidR="00745FEA" w:rsidRPr="00DC3325" w:rsidRDefault="00745FEA" w:rsidP="00745FEA">
                  <w:pPr>
                    <w:pStyle w:val="TableBodyText"/>
                    <w:ind w:right="57"/>
                  </w:pPr>
                  <w:r w:rsidRPr="00DC3325">
                    <w:t>2.8</w:t>
                  </w:r>
                </w:p>
              </w:tc>
              <w:tc>
                <w:tcPr>
                  <w:tcW w:w="467" w:type="pct"/>
                  <w:vAlign w:val="bottom"/>
                </w:tcPr>
                <w:p w:rsidR="00745FEA" w:rsidRPr="00DC3325" w:rsidRDefault="00745FEA" w:rsidP="00745FEA">
                  <w:pPr>
                    <w:pStyle w:val="TableBodyText"/>
                    <w:ind w:right="57"/>
                  </w:pPr>
                  <w:r w:rsidRPr="00DC3325">
                    <w:t>8.6</w:t>
                  </w:r>
                </w:p>
              </w:tc>
              <w:tc>
                <w:tcPr>
                  <w:tcW w:w="467" w:type="pct"/>
                  <w:shd w:val="clear" w:color="auto" w:fill="auto"/>
                  <w:vAlign w:val="bottom"/>
                </w:tcPr>
                <w:p w:rsidR="00745FEA" w:rsidRPr="00DC3325" w:rsidRDefault="00745FEA" w:rsidP="00745FEA">
                  <w:pPr>
                    <w:pStyle w:val="TableBodyText"/>
                    <w:ind w:right="57"/>
                  </w:pPr>
                  <w:r w:rsidRPr="00DC3325">
                    <w:t>1.7</w:t>
                  </w:r>
                </w:p>
              </w:tc>
              <w:tc>
                <w:tcPr>
                  <w:tcW w:w="466" w:type="pct"/>
                  <w:shd w:val="clear" w:color="auto" w:fill="auto"/>
                  <w:vAlign w:val="bottom"/>
                </w:tcPr>
                <w:p w:rsidR="00745FEA" w:rsidRPr="00DC3325" w:rsidRDefault="00745FEA" w:rsidP="00745FEA">
                  <w:pPr>
                    <w:pStyle w:val="TableBodyText"/>
                    <w:ind w:right="57"/>
                  </w:pPr>
                  <w:r w:rsidRPr="00DC3325">
                    <w:t>4.5</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Clean Business Australia - Climate Ready Program</w:t>
                  </w:r>
                </w:p>
              </w:tc>
              <w:tc>
                <w:tcPr>
                  <w:tcW w:w="466" w:type="pct"/>
                  <w:vAlign w:val="bottom"/>
                </w:tcPr>
                <w:p w:rsidR="00745FEA" w:rsidRPr="00DC3325" w:rsidRDefault="00745FEA" w:rsidP="00745FEA">
                  <w:pPr>
                    <w:pStyle w:val="TableBodyText"/>
                    <w:ind w:right="57"/>
                  </w:pPr>
                  <w:r w:rsidRPr="00DC3325">
                    <w:t>&lt;0.1</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CSIRO</w:t>
                  </w:r>
                </w:p>
              </w:tc>
              <w:tc>
                <w:tcPr>
                  <w:tcW w:w="466" w:type="pct"/>
                  <w:vAlign w:val="bottom"/>
                </w:tcPr>
                <w:p w:rsidR="00745FEA" w:rsidRPr="00DC3325" w:rsidRDefault="00745FEA" w:rsidP="00745FEA">
                  <w:pPr>
                    <w:pStyle w:val="TableBodyText"/>
                    <w:ind w:right="57"/>
                  </w:pPr>
                  <w:r w:rsidRPr="00DC3325">
                    <w:t>2.8</w:t>
                  </w:r>
                </w:p>
              </w:tc>
              <w:tc>
                <w:tcPr>
                  <w:tcW w:w="467" w:type="pct"/>
                  <w:vAlign w:val="bottom"/>
                </w:tcPr>
                <w:p w:rsidR="00745FEA" w:rsidRPr="00DC3325" w:rsidRDefault="00745FEA" w:rsidP="00745FEA">
                  <w:pPr>
                    <w:pStyle w:val="TableBodyText"/>
                    <w:ind w:right="57"/>
                  </w:pPr>
                  <w:r w:rsidRPr="00DC3325">
                    <w:t>2.6</w:t>
                  </w:r>
                </w:p>
              </w:tc>
              <w:tc>
                <w:tcPr>
                  <w:tcW w:w="467" w:type="pct"/>
                  <w:vAlign w:val="bottom"/>
                </w:tcPr>
                <w:p w:rsidR="00745FEA" w:rsidRPr="00DC3325" w:rsidRDefault="00745FEA" w:rsidP="00745FEA">
                  <w:pPr>
                    <w:pStyle w:val="TableBodyText"/>
                    <w:ind w:right="57"/>
                  </w:pPr>
                  <w:r w:rsidRPr="00DC3325">
                    <w:t>3.0</w:t>
                  </w:r>
                </w:p>
              </w:tc>
              <w:tc>
                <w:tcPr>
                  <w:tcW w:w="467" w:type="pct"/>
                  <w:vAlign w:val="bottom"/>
                </w:tcPr>
                <w:p w:rsidR="00745FEA" w:rsidRPr="00DC3325" w:rsidRDefault="00745FEA" w:rsidP="00745FEA">
                  <w:pPr>
                    <w:pStyle w:val="TableBodyText"/>
                    <w:ind w:right="57"/>
                  </w:pPr>
                  <w:r w:rsidRPr="00DC3325">
                    <w:t>–</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Clean Technology Innovation Program</w:t>
                  </w:r>
                </w:p>
              </w:tc>
              <w:tc>
                <w:tcPr>
                  <w:tcW w:w="466"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0.1</w:t>
                  </w:r>
                </w:p>
              </w:tc>
              <w:tc>
                <w:tcPr>
                  <w:tcW w:w="467" w:type="pct"/>
                  <w:vAlign w:val="bottom"/>
                </w:tcPr>
                <w:p w:rsidR="00745FEA" w:rsidRPr="00DC3325" w:rsidRDefault="00745FEA" w:rsidP="00745FEA">
                  <w:pPr>
                    <w:pStyle w:val="TableBodyText"/>
                    <w:ind w:right="57"/>
                  </w:pPr>
                  <w:r w:rsidRPr="00DC3325">
                    <w:t>&lt;0.1</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R&amp;D Tax Incentive - refundable tax offset</w:t>
                  </w:r>
                </w:p>
              </w:tc>
              <w:tc>
                <w:tcPr>
                  <w:tcW w:w="466"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44.9</w:t>
                  </w:r>
                </w:p>
              </w:tc>
              <w:tc>
                <w:tcPr>
                  <w:tcW w:w="467" w:type="pct"/>
                  <w:vAlign w:val="bottom"/>
                </w:tcPr>
                <w:p w:rsidR="00745FEA" w:rsidRPr="00DC3325" w:rsidRDefault="00745FEA" w:rsidP="00745FEA">
                  <w:pPr>
                    <w:pStyle w:val="TableBodyText"/>
                    <w:ind w:right="57"/>
                  </w:pPr>
                  <w:r w:rsidRPr="00DC3325">
                    <w:t>43.5</w:t>
                  </w:r>
                </w:p>
              </w:tc>
              <w:tc>
                <w:tcPr>
                  <w:tcW w:w="467" w:type="pct"/>
                  <w:vAlign w:val="bottom"/>
                </w:tcPr>
                <w:p w:rsidR="00745FEA" w:rsidRPr="00DC3325" w:rsidRDefault="00745FEA" w:rsidP="00745FEA">
                  <w:pPr>
                    <w:pStyle w:val="TableBodyText"/>
                    <w:ind w:right="57"/>
                  </w:pPr>
                  <w:r w:rsidRPr="00DC3325">
                    <w:t>58.1</w:t>
                  </w:r>
                </w:p>
              </w:tc>
              <w:tc>
                <w:tcPr>
                  <w:tcW w:w="467" w:type="pct"/>
                  <w:shd w:val="clear" w:color="auto" w:fill="auto"/>
                  <w:vAlign w:val="bottom"/>
                </w:tcPr>
                <w:p w:rsidR="00745FEA" w:rsidRPr="00DC3325" w:rsidRDefault="00745FEA" w:rsidP="00745FEA">
                  <w:pPr>
                    <w:pStyle w:val="TableBodyText"/>
                    <w:ind w:right="57"/>
                  </w:pPr>
                  <w:r w:rsidRPr="00DC3325">
                    <w:t>61.8</w:t>
                  </w:r>
                </w:p>
              </w:tc>
              <w:tc>
                <w:tcPr>
                  <w:tcW w:w="466" w:type="pct"/>
                  <w:shd w:val="clear" w:color="auto" w:fill="auto"/>
                  <w:vAlign w:val="bottom"/>
                </w:tcPr>
                <w:p w:rsidR="00745FEA" w:rsidRPr="00DC3325" w:rsidRDefault="00745FEA" w:rsidP="00745FEA">
                  <w:pPr>
                    <w:pStyle w:val="TableBodyText"/>
                    <w:ind w:right="57"/>
                  </w:pPr>
                  <w:r w:rsidRPr="00DC3325">
                    <w:t>74.8</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R&amp;D tax offsets - Refundable</w:t>
                  </w:r>
                </w:p>
              </w:tc>
              <w:tc>
                <w:tcPr>
                  <w:tcW w:w="466" w:type="pct"/>
                  <w:vAlign w:val="bottom"/>
                </w:tcPr>
                <w:p w:rsidR="00745FEA" w:rsidRPr="00DC3325" w:rsidRDefault="00745FEA" w:rsidP="00745FEA">
                  <w:pPr>
                    <w:pStyle w:val="TableBodyText"/>
                    <w:ind w:right="57"/>
                  </w:pPr>
                  <w:r w:rsidRPr="00DC3325">
                    <w:t>13.7</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Premium R&amp;D tax concession</w:t>
                  </w:r>
                </w:p>
              </w:tc>
              <w:tc>
                <w:tcPr>
                  <w:tcW w:w="466" w:type="pct"/>
                  <w:vAlign w:val="bottom"/>
                </w:tcPr>
                <w:p w:rsidR="00745FEA" w:rsidRPr="00DC3325" w:rsidRDefault="00745FEA" w:rsidP="00745FEA">
                  <w:pPr>
                    <w:pStyle w:val="TableBodyText"/>
                    <w:ind w:right="57"/>
                  </w:pPr>
                  <w:r w:rsidRPr="00DC3325">
                    <w:t>15.0</w:t>
                  </w:r>
                </w:p>
              </w:tc>
              <w:tc>
                <w:tcPr>
                  <w:tcW w:w="467" w:type="pct"/>
                  <w:vAlign w:val="bottom"/>
                </w:tcPr>
                <w:p w:rsidR="00745FEA" w:rsidRPr="00DC3325" w:rsidRDefault="00745FEA" w:rsidP="00745FEA">
                  <w:pPr>
                    <w:pStyle w:val="TableBodyText"/>
                    <w:ind w:right="57"/>
                  </w:pPr>
                  <w:r w:rsidRPr="00DC3325">
                    <w:t>4.1</w:t>
                  </w:r>
                </w:p>
              </w:tc>
              <w:tc>
                <w:tcPr>
                  <w:tcW w:w="467" w:type="pct"/>
                  <w:vAlign w:val="bottom"/>
                </w:tcPr>
                <w:p w:rsidR="00745FEA" w:rsidRPr="00DC3325" w:rsidRDefault="00745FEA" w:rsidP="00745FEA">
                  <w:pPr>
                    <w:pStyle w:val="TableBodyText"/>
                    <w:ind w:right="57"/>
                  </w:pPr>
                  <w:r w:rsidRPr="00DC3325">
                    <w:t>1.7</w:t>
                  </w:r>
                </w:p>
              </w:tc>
              <w:tc>
                <w:tcPr>
                  <w:tcW w:w="467" w:type="pct"/>
                  <w:vAlign w:val="bottom"/>
                </w:tcPr>
                <w:p w:rsidR="00745FEA" w:rsidRPr="00DC3325" w:rsidRDefault="00745FEA" w:rsidP="00745FEA">
                  <w:pPr>
                    <w:pStyle w:val="TableBodyText"/>
                    <w:ind w:right="57"/>
                  </w:pPr>
                  <w:r w:rsidRPr="00DC3325">
                    <w:t>–</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rsidRPr="00D03EAD">
                    <w:t>R&amp;D tax concession</w:t>
                  </w:r>
                </w:p>
              </w:tc>
              <w:tc>
                <w:tcPr>
                  <w:tcW w:w="466" w:type="pct"/>
                  <w:vAlign w:val="bottom"/>
                </w:tcPr>
                <w:p w:rsidR="00745FEA" w:rsidRPr="00DC3325" w:rsidRDefault="00745FEA" w:rsidP="00745FEA">
                  <w:pPr>
                    <w:pStyle w:val="TableBodyText"/>
                    <w:ind w:right="57"/>
                  </w:pPr>
                  <w:r w:rsidRPr="00DC3325">
                    <w:t>41.2</w:t>
                  </w:r>
                </w:p>
              </w:tc>
              <w:tc>
                <w:tcPr>
                  <w:tcW w:w="467" w:type="pct"/>
                  <w:vAlign w:val="bottom"/>
                </w:tcPr>
                <w:p w:rsidR="00745FEA" w:rsidRPr="00DC3325" w:rsidRDefault="00745FEA" w:rsidP="00745FEA">
                  <w:pPr>
                    <w:pStyle w:val="TableBodyText"/>
                    <w:ind w:right="57"/>
                  </w:pPr>
                  <w:r w:rsidRPr="00DC3325">
                    <w:t>18.4</w:t>
                  </w:r>
                </w:p>
              </w:tc>
              <w:tc>
                <w:tcPr>
                  <w:tcW w:w="467" w:type="pct"/>
                  <w:vAlign w:val="bottom"/>
                </w:tcPr>
                <w:p w:rsidR="00745FEA" w:rsidRPr="00DC3325" w:rsidRDefault="00745FEA" w:rsidP="00745FEA">
                  <w:pPr>
                    <w:pStyle w:val="TableBodyText"/>
                    <w:ind w:right="57"/>
                  </w:pPr>
                  <w:r w:rsidRPr="00DC3325">
                    <w:t>6.2</w:t>
                  </w:r>
                </w:p>
              </w:tc>
              <w:tc>
                <w:tcPr>
                  <w:tcW w:w="467" w:type="pct"/>
                  <w:vAlign w:val="bottom"/>
                </w:tcPr>
                <w:p w:rsidR="00745FEA" w:rsidRPr="00DC3325" w:rsidRDefault="00745FEA" w:rsidP="00745FEA">
                  <w:pPr>
                    <w:pStyle w:val="TableBodyText"/>
                    <w:ind w:right="57"/>
                  </w:pPr>
                  <w:r w:rsidRPr="00DC3325">
                    <w:t>1.1</w:t>
                  </w:r>
                </w:p>
              </w:tc>
              <w:tc>
                <w:tcPr>
                  <w:tcW w:w="467" w:type="pct"/>
                  <w:shd w:val="clear" w:color="auto" w:fill="auto"/>
                  <w:vAlign w:val="bottom"/>
                </w:tcPr>
                <w:p w:rsidR="00745FEA" w:rsidRPr="00DC3325" w:rsidRDefault="00745FEA" w:rsidP="00745FEA">
                  <w:pPr>
                    <w:pStyle w:val="TableBodyText"/>
                    <w:ind w:right="57"/>
                  </w:pPr>
                  <w:r w:rsidRPr="00DC3325">
                    <w:t>–</w:t>
                  </w:r>
                </w:p>
              </w:tc>
              <w:tc>
                <w:tcPr>
                  <w:tcW w:w="466" w:type="pct"/>
                  <w:shd w:val="clear" w:color="auto" w:fill="auto"/>
                  <w:vAlign w:val="bottom"/>
                </w:tcPr>
                <w:p w:rsidR="00745FEA" w:rsidRPr="00DC3325" w:rsidRDefault="00745FEA" w:rsidP="00745FEA">
                  <w:pPr>
                    <w:pStyle w:val="TableBodyText"/>
                    <w:ind w:right="57"/>
                  </w:pPr>
                  <w:r w:rsidRPr="00DC3325">
                    <w:t>–</w:t>
                  </w:r>
                </w:p>
              </w:tc>
            </w:tr>
            <w:tr w:rsidR="00745FEA" w:rsidTr="00745FEA">
              <w:tc>
                <w:tcPr>
                  <w:tcW w:w="2200" w:type="pct"/>
                  <w:shd w:val="clear" w:color="auto" w:fill="auto"/>
                </w:tcPr>
                <w:p w:rsidR="00745FEA" w:rsidRPr="00D03EAD" w:rsidRDefault="00745FEA" w:rsidP="00745FEA">
                  <w:pPr>
                    <w:pStyle w:val="TableBodyText"/>
                    <w:spacing w:after="0"/>
                    <w:ind w:left="227" w:right="0"/>
                    <w:jc w:val="left"/>
                  </w:pPr>
                  <w:r>
                    <w:t>R&amp;D Tax Incentive – non-refundable tax offset</w:t>
                  </w:r>
                </w:p>
              </w:tc>
              <w:tc>
                <w:tcPr>
                  <w:tcW w:w="466" w:type="pct"/>
                  <w:vAlign w:val="bottom"/>
                </w:tcPr>
                <w:p w:rsidR="00745FEA" w:rsidRPr="00DC3325" w:rsidRDefault="00745FEA" w:rsidP="00745FEA">
                  <w:pPr>
                    <w:pStyle w:val="TableBodyText"/>
                    <w:ind w:right="57"/>
                  </w:pPr>
                  <w:r w:rsidRPr="00DC3325">
                    <w:t>–</w:t>
                  </w:r>
                </w:p>
              </w:tc>
              <w:tc>
                <w:tcPr>
                  <w:tcW w:w="467" w:type="pct"/>
                  <w:vAlign w:val="bottom"/>
                </w:tcPr>
                <w:p w:rsidR="00745FEA" w:rsidRPr="00DC3325" w:rsidRDefault="00745FEA" w:rsidP="00745FEA">
                  <w:pPr>
                    <w:pStyle w:val="TableBodyText"/>
                    <w:ind w:right="57"/>
                  </w:pPr>
                  <w:r w:rsidRPr="00DC3325">
                    <w:t>30.5</w:t>
                  </w:r>
                </w:p>
              </w:tc>
              <w:tc>
                <w:tcPr>
                  <w:tcW w:w="467" w:type="pct"/>
                  <w:vAlign w:val="bottom"/>
                </w:tcPr>
                <w:p w:rsidR="00745FEA" w:rsidRPr="00DC3325" w:rsidRDefault="00745FEA" w:rsidP="00745FEA">
                  <w:pPr>
                    <w:pStyle w:val="TableBodyText"/>
                    <w:ind w:right="57"/>
                  </w:pPr>
                  <w:r w:rsidRPr="00DC3325">
                    <w:t>31.7</w:t>
                  </w:r>
                </w:p>
              </w:tc>
              <w:tc>
                <w:tcPr>
                  <w:tcW w:w="467" w:type="pct"/>
                  <w:vAlign w:val="bottom"/>
                </w:tcPr>
                <w:p w:rsidR="00745FEA" w:rsidRPr="00DC3325" w:rsidRDefault="00745FEA" w:rsidP="00745FEA">
                  <w:pPr>
                    <w:pStyle w:val="TableBodyText"/>
                    <w:ind w:right="57"/>
                  </w:pPr>
                  <w:r w:rsidRPr="00DC3325">
                    <w:t>39.7</w:t>
                  </w:r>
                </w:p>
              </w:tc>
              <w:tc>
                <w:tcPr>
                  <w:tcW w:w="467" w:type="pct"/>
                  <w:shd w:val="clear" w:color="auto" w:fill="auto"/>
                  <w:vAlign w:val="bottom"/>
                </w:tcPr>
                <w:p w:rsidR="00745FEA" w:rsidRPr="00DC3325" w:rsidRDefault="00745FEA" w:rsidP="00745FEA">
                  <w:pPr>
                    <w:pStyle w:val="TableBodyText"/>
                    <w:ind w:right="57"/>
                  </w:pPr>
                  <w:r w:rsidRPr="00DC3325">
                    <w:t>39.4</w:t>
                  </w:r>
                </w:p>
              </w:tc>
              <w:tc>
                <w:tcPr>
                  <w:tcW w:w="466" w:type="pct"/>
                  <w:shd w:val="clear" w:color="auto" w:fill="auto"/>
                  <w:vAlign w:val="bottom"/>
                </w:tcPr>
                <w:p w:rsidR="00745FEA" w:rsidRDefault="00745FEA" w:rsidP="00745FEA">
                  <w:pPr>
                    <w:pStyle w:val="TableBodyText"/>
                    <w:ind w:right="57"/>
                  </w:pPr>
                  <w:r w:rsidRPr="00DC3325">
                    <w:t>34.7</w:t>
                  </w:r>
                </w:p>
              </w:tc>
            </w:tr>
            <w:tr w:rsidR="00745FEA" w:rsidTr="00745FEA">
              <w:tc>
                <w:tcPr>
                  <w:tcW w:w="2200" w:type="pct"/>
                </w:tcPr>
                <w:p w:rsidR="00745FEA" w:rsidRPr="00300DC2" w:rsidRDefault="00745FEA" w:rsidP="00745FEA">
                  <w:pPr>
                    <w:pStyle w:val="TableUnitsRow"/>
                    <w:spacing w:after="0"/>
                    <w:ind w:left="113"/>
                    <w:jc w:val="left"/>
                    <w:rPr>
                      <w:i/>
                    </w:rPr>
                  </w:pPr>
                  <w:r w:rsidRPr="00300DC2">
                    <w:rPr>
                      <w:i/>
                    </w:rPr>
                    <w:t>Other measures</w:t>
                  </w:r>
                </w:p>
              </w:tc>
              <w:tc>
                <w:tcPr>
                  <w:tcW w:w="466" w:type="pct"/>
                  <w:vAlign w:val="bottom"/>
                </w:tcPr>
                <w:p w:rsidR="00745FEA" w:rsidRDefault="00745FEA" w:rsidP="00745FEA">
                  <w:pPr>
                    <w:pStyle w:val="TableUnitsRow"/>
                    <w:spacing w:after="0"/>
                    <w:ind w:left="113" w:right="57"/>
                  </w:pPr>
                </w:p>
              </w:tc>
              <w:tc>
                <w:tcPr>
                  <w:tcW w:w="467" w:type="pct"/>
                  <w:vAlign w:val="bottom"/>
                </w:tcPr>
                <w:p w:rsidR="00745FEA" w:rsidRDefault="00745FEA" w:rsidP="00745FEA">
                  <w:pPr>
                    <w:pStyle w:val="TableUnitsRow"/>
                    <w:spacing w:after="0"/>
                    <w:ind w:left="113" w:right="57"/>
                  </w:pPr>
                </w:p>
              </w:tc>
              <w:tc>
                <w:tcPr>
                  <w:tcW w:w="467" w:type="pct"/>
                  <w:vAlign w:val="bottom"/>
                </w:tcPr>
                <w:p w:rsidR="00745FEA" w:rsidRDefault="00745FEA" w:rsidP="00745FEA">
                  <w:pPr>
                    <w:pStyle w:val="TableUnitsRow"/>
                    <w:spacing w:after="0"/>
                    <w:ind w:left="113" w:right="57"/>
                  </w:pPr>
                </w:p>
              </w:tc>
              <w:tc>
                <w:tcPr>
                  <w:tcW w:w="467" w:type="pct"/>
                  <w:vAlign w:val="bottom"/>
                </w:tcPr>
                <w:p w:rsidR="00745FEA" w:rsidRDefault="00745FEA" w:rsidP="00745FEA">
                  <w:pPr>
                    <w:pStyle w:val="TableUnitsRow"/>
                    <w:spacing w:after="0"/>
                    <w:ind w:left="113" w:right="57"/>
                  </w:pPr>
                </w:p>
              </w:tc>
              <w:tc>
                <w:tcPr>
                  <w:tcW w:w="467" w:type="pct"/>
                  <w:vAlign w:val="bottom"/>
                </w:tcPr>
                <w:p w:rsidR="00745FEA" w:rsidRDefault="00745FEA" w:rsidP="00745FEA">
                  <w:pPr>
                    <w:pStyle w:val="TableUnitsRow"/>
                    <w:spacing w:after="0"/>
                    <w:ind w:left="113" w:right="57"/>
                  </w:pPr>
                </w:p>
              </w:tc>
              <w:tc>
                <w:tcPr>
                  <w:tcW w:w="466" w:type="pct"/>
                  <w:vAlign w:val="bottom"/>
                </w:tcPr>
                <w:p w:rsidR="00745FEA" w:rsidRDefault="00745FEA" w:rsidP="00745FEA">
                  <w:pPr>
                    <w:pStyle w:val="TableUnitsRow"/>
                    <w:spacing w:after="0"/>
                    <w:ind w:left="113" w:right="57"/>
                  </w:pPr>
                </w:p>
              </w:tc>
            </w:tr>
            <w:tr w:rsidR="00745FEA" w:rsidTr="00745FEA">
              <w:tc>
                <w:tcPr>
                  <w:tcW w:w="2200" w:type="pct"/>
                  <w:shd w:val="clear" w:color="auto" w:fill="auto"/>
                </w:tcPr>
                <w:p w:rsidR="00745FEA" w:rsidRPr="003225F2" w:rsidRDefault="00745FEA" w:rsidP="00745FEA">
                  <w:pPr>
                    <w:pStyle w:val="TableBodyText"/>
                    <w:spacing w:after="0"/>
                    <w:ind w:left="227" w:right="0"/>
                    <w:jc w:val="left"/>
                  </w:pPr>
                  <w:r w:rsidRPr="003225F2">
                    <w:t>Australian Government Innovation and Investment Fund - Tasmania</w:t>
                  </w:r>
                </w:p>
              </w:tc>
              <w:tc>
                <w:tcPr>
                  <w:tcW w:w="466"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0.1</w:t>
                  </w:r>
                </w:p>
              </w:tc>
              <w:tc>
                <w:tcPr>
                  <w:tcW w:w="467" w:type="pct"/>
                  <w:shd w:val="clear" w:color="auto" w:fill="auto"/>
                  <w:vAlign w:val="bottom"/>
                </w:tcPr>
                <w:p w:rsidR="00745FEA" w:rsidRPr="005023A1" w:rsidRDefault="00745FEA" w:rsidP="00745FEA">
                  <w:pPr>
                    <w:pStyle w:val="TableBodyText"/>
                    <w:ind w:right="57"/>
                  </w:pPr>
                  <w:r w:rsidRPr="005023A1">
                    <w:t>0.1</w:t>
                  </w:r>
                </w:p>
              </w:tc>
              <w:tc>
                <w:tcPr>
                  <w:tcW w:w="466" w:type="pct"/>
                  <w:shd w:val="clear" w:color="auto" w:fill="auto"/>
                  <w:vAlign w:val="bottom"/>
                </w:tcPr>
                <w:p w:rsidR="00745FEA" w:rsidRPr="005023A1" w:rsidRDefault="00745FEA" w:rsidP="00745FEA">
                  <w:pPr>
                    <w:pStyle w:val="TableBodyText"/>
                    <w:ind w:right="57"/>
                  </w:pPr>
                  <w:r w:rsidRPr="005023A1">
                    <w:t>–</w:t>
                  </w:r>
                </w:p>
              </w:tc>
            </w:tr>
            <w:tr w:rsidR="00745FEA" w:rsidTr="00745FEA">
              <w:tc>
                <w:tcPr>
                  <w:tcW w:w="2200" w:type="pct"/>
                  <w:shd w:val="clear" w:color="auto" w:fill="auto"/>
                </w:tcPr>
                <w:p w:rsidR="00745FEA" w:rsidRPr="003225F2" w:rsidRDefault="00745FEA" w:rsidP="00745FEA">
                  <w:pPr>
                    <w:pStyle w:val="TableBodyText"/>
                    <w:spacing w:after="0"/>
                    <w:ind w:left="227" w:right="0"/>
                    <w:jc w:val="left"/>
                  </w:pPr>
                  <w:r w:rsidRPr="003225F2">
                    <w:t>Enterprise Connect Innovation Centres</w:t>
                  </w:r>
                </w:p>
              </w:tc>
              <w:tc>
                <w:tcPr>
                  <w:tcW w:w="466" w:type="pct"/>
                  <w:vAlign w:val="bottom"/>
                </w:tcPr>
                <w:p w:rsidR="00745FEA" w:rsidRPr="005023A1" w:rsidRDefault="00745FEA" w:rsidP="00745FEA">
                  <w:pPr>
                    <w:pStyle w:val="TableBodyText"/>
                    <w:ind w:right="57"/>
                  </w:pPr>
                  <w:r w:rsidRPr="005023A1">
                    <w:t>0.5</w:t>
                  </w:r>
                </w:p>
              </w:tc>
              <w:tc>
                <w:tcPr>
                  <w:tcW w:w="467" w:type="pct"/>
                  <w:vAlign w:val="bottom"/>
                </w:tcPr>
                <w:p w:rsidR="00745FEA" w:rsidRPr="005023A1" w:rsidRDefault="00745FEA" w:rsidP="00745FEA">
                  <w:pPr>
                    <w:pStyle w:val="TableBodyText"/>
                    <w:ind w:right="57"/>
                  </w:pPr>
                  <w:r w:rsidRPr="005023A1">
                    <w:t>0.5</w:t>
                  </w:r>
                </w:p>
              </w:tc>
              <w:tc>
                <w:tcPr>
                  <w:tcW w:w="467" w:type="pct"/>
                  <w:vAlign w:val="bottom"/>
                </w:tcPr>
                <w:p w:rsidR="00745FEA" w:rsidRPr="005023A1" w:rsidRDefault="00745FEA" w:rsidP="00745FEA">
                  <w:pPr>
                    <w:pStyle w:val="TableBodyText"/>
                    <w:ind w:right="57"/>
                  </w:pPr>
                  <w:r w:rsidRPr="005023A1">
                    <w:t>0.5</w:t>
                  </w:r>
                </w:p>
              </w:tc>
              <w:tc>
                <w:tcPr>
                  <w:tcW w:w="467" w:type="pct"/>
                  <w:vAlign w:val="bottom"/>
                </w:tcPr>
                <w:p w:rsidR="00745FEA" w:rsidRPr="005023A1" w:rsidRDefault="00745FEA" w:rsidP="00745FEA">
                  <w:pPr>
                    <w:pStyle w:val="TableBodyText"/>
                    <w:ind w:right="57"/>
                  </w:pPr>
                  <w:r w:rsidRPr="005023A1">
                    <w:t>0.7</w:t>
                  </w:r>
                </w:p>
              </w:tc>
              <w:tc>
                <w:tcPr>
                  <w:tcW w:w="467" w:type="pct"/>
                  <w:shd w:val="clear" w:color="auto" w:fill="auto"/>
                  <w:vAlign w:val="bottom"/>
                </w:tcPr>
                <w:p w:rsidR="00745FEA" w:rsidRPr="005023A1" w:rsidRDefault="00745FEA" w:rsidP="00745FEA">
                  <w:pPr>
                    <w:pStyle w:val="TableBodyText"/>
                    <w:ind w:right="57"/>
                  </w:pPr>
                  <w:r w:rsidRPr="005023A1">
                    <w:t>&lt;0.1</w:t>
                  </w:r>
                </w:p>
              </w:tc>
              <w:tc>
                <w:tcPr>
                  <w:tcW w:w="466" w:type="pct"/>
                  <w:shd w:val="clear" w:color="auto" w:fill="auto"/>
                  <w:vAlign w:val="bottom"/>
                </w:tcPr>
                <w:p w:rsidR="00745FEA" w:rsidRPr="005023A1" w:rsidRDefault="00745FEA" w:rsidP="00745FEA">
                  <w:pPr>
                    <w:pStyle w:val="TableBodyText"/>
                    <w:ind w:right="57"/>
                  </w:pPr>
                  <w:r w:rsidRPr="005023A1">
                    <w:t>–</w:t>
                  </w:r>
                </w:p>
              </w:tc>
            </w:tr>
            <w:tr w:rsidR="00745FEA" w:rsidTr="00745FEA">
              <w:tc>
                <w:tcPr>
                  <w:tcW w:w="2200" w:type="pct"/>
                  <w:shd w:val="clear" w:color="auto" w:fill="auto"/>
                </w:tcPr>
                <w:p w:rsidR="00745FEA" w:rsidRPr="003225F2" w:rsidRDefault="00745FEA" w:rsidP="00745FEA">
                  <w:pPr>
                    <w:pStyle w:val="TableBodyText"/>
                    <w:spacing w:after="0"/>
                    <w:ind w:left="227" w:right="0"/>
                    <w:jc w:val="left"/>
                  </w:pPr>
                  <w:r w:rsidRPr="003225F2">
                    <w:t>Entrepreneurs’ Infrastructure Programme - Accelerating Commercialisation</w:t>
                  </w:r>
                </w:p>
              </w:tc>
              <w:tc>
                <w:tcPr>
                  <w:tcW w:w="466"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&lt;0.1</w:t>
                  </w:r>
                </w:p>
              </w:tc>
              <w:tc>
                <w:tcPr>
                  <w:tcW w:w="467" w:type="pct"/>
                  <w:shd w:val="clear" w:color="auto" w:fill="auto"/>
                  <w:vAlign w:val="bottom"/>
                </w:tcPr>
                <w:p w:rsidR="00745FEA" w:rsidRPr="005023A1" w:rsidRDefault="00745FEA" w:rsidP="00745FEA">
                  <w:pPr>
                    <w:pStyle w:val="TableBodyText"/>
                    <w:ind w:right="57"/>
                  </w:pPr>
                  <w:r w:rsidRPr="005023A1">
                    <w:t>0.1</w:t>
                  </w:r>
                </w:p>
              </w:tc>
              <w:tc>
                <w:tcPr>
                  <w:tcW w:w="466" w:type="pct"/>
                  <w:shd w:val="clear" w:color="auto" w:fill="auto"/>
                  <w:vAlign w:val="bottom"/>
                </w:tcPr>
                <w:p w:rsidR="00745FEA" w:rsidRPr="005023A1" w:rsidRDefault="00745FEA" w:rsidP="00745FEA">
                  <w:pPr>
                    <w:pStyle w:val="TableBodyText"/>
                    <w:ind w:right="57"/>
                  </w:pPr>
                  <w:r w:rsidRPr="005023A1">
                    <w:t>0.8</w:t>
                  </w:r>
                </w:p>
              </w:tc>
            </w:tr>
            <w:tr w:rsidR="00745FEA" w:rsidTr="00745FEA">
              <w:tc>
                <w:tcPr>
                  <w:tcW w:w="2200" w:type="pct"/>
                  <w:shd w:val="clear" w:color="auto" w:fill="auto"/>
                </w:tcPr>
                <w:p w:rsidR="00745FEA" w:rsidRPr="003225F2" w:rsidRDefault="00745FEA" w:rsidP="00745FEA">
                  <w:pPr>
                    <w:pStyle w:val="TableBodyText"/>
                    <w:spacing w:after="0"/>
                    <w:ind w:left="227" w:right="0"/>
                    <w:jc w:val="left"/>
                  </w:pPr>
                  <w:r w:rsidRPr="003225F2">
                    <w:t>Entrepreneurs’ Infrastructure Programme - Business Management Skills</w:t>
                  </w:r>
                </w:p>
              </w:tc>
              <w:tc>
                <w:tcPr>
                  <w:tcW w:w="466"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w:t>
                  </w:r>
                </w:p>
              </w:tc>
              <w:tc>
                <w:tcPr>
                  <w:tcW w:w="467" w:type="pct"/>
                  <w:vAlign w:val="bottom"/>
                </w:tcPr>
                <w:p w:rsidR="00745FEA" w:rsidRPr="005023A1" w:rsidRDefault="00745FEA" w:rsidP="00745FEA">
                  <w:pPr>
                    <w:pStyle w:val="TableBodyText"/>
                    <w:ind w:right="57"/>
                  </w:pPr>
                  <w:r w:rsidRPr="005023A1">
                    <w:t>0.2</w:t>
                  </w:r>
                </w:p>
              </w:tc>
              <w:tc>
                <w:tcPr>
                  <w:tcW w:w="467" w:type="pct"/>
                  <w:shd w:val="clear" w:color="auto" w:fill="auto"/>
                  <w:vAlign w:val="bottom"/>
                </w:tcPr>
                <w:p w:rsidR="00745FEA" w:rsidRPr="005023A1" w:rsidRDefault="00745FEA" w:rsidP="00745FEA">
                  <w:pPr>
                    <w:pStyle w:val="TableBodyText"/>
                    <w:ind w:right="57"/>
                  </w:pPr>
                  <w:r w:rsidRPr="005023A1">
                    <w:t>0.9</w:t>
                  </w:r>
                </w:p>
              </w:tc>
              <w:tc>
                <w:tcPr>
                  <w:tcW w:w="466" w:type="pct"/>
                  <w:shd w:val="clear" w:color="auto" w:fill="auto"/>
                  <w:vAlign w:val="bottom"/>
                </w:tcPr>
                <w:p w:rsidR="00745FEA" w:rsidRPr="005023A1" w:rsidRDefault="00745FEA" w:rsidP="00745FEA">
                  <w:pPr>
                    <w:pStyle w:val="TableBodyText"/>
                    <w:ind w:right="57"/>
                  </w:pPr>
                  <w:r w:rsidRPr="005023A1">
                    <w:t>0.8</w:t>
                  </w:r>
                </w:p>
              </w:tc>
            </w:tr>
            <w:tr w:rsidR="00745FEA" w:rsidTr="00745FEA">
              <w:tc>
                <w:tcPr>
                  <w:tcW w:w="2200" w:type="pct"/>
                  <w:tcBorders>
                    <w:bottom w:val="single" w:sz="6" w:space="0" w:color="BFBFBF"/>
                  </w:tcBorders>
                  <w:shd w:val="clear" w:color="auto" w:fill="auto"/>
                </w:tcPr>
                <w:p w:rsidR="00745FEA" w:rsidRPr="00D03EAD" w:rsidRDefault="00745FEA" w:rsidP="00745FEA">
                  <w:pPr>
                    <w:pStyle w:val="TableBodyText"/>
                    <w:ind w:left="227" w:right="0"/>
                    <w:jc w:val="left"/>
                  </w:pPr>
                  <w:r w:rsidRPr="003225F2">
                    <w:t>South East South Australia Innovation and Investment Fund</w:t>
                  </w:r>
                </w:p>
              </w:tc>
              <w:tc>
                <w:tcPr>
                  <w:tcW w:w="466" w:type="pct"/>
                  <w:tcBorders>
                    <w:bottom w:val="single" w:sz="6" w:space="0" w:color="BFBFBF"/>
                  </w:tcBorders>
                  <w:vAlign w:val="bottom"/>
                </w:tcPr>
                <w:p w:rsidR="00745FEA" w:rsidRPr="005023A1" w:rsidRDefault="00745FEA" w:rsidP="00745FEA">
                  <w:pPr>
                    <w:pStyle w:val="TableBodyText"/>
                    <w:ind w:right="57"/>
                  </w:pPr>
                  <w:r w:rsidRPr="005023A1">
                    <w:t>–</w:t>
                  </w:r>
                </w:p>
              </w:tc>
              <w:tc>
                <w:tcPr>
                  <w:tcW w:w="467" w:type="pct"/>
                  <w:tcBorders>
                    <w:bottom w:val="single" w:sz="6" w:space="0" w:color="BFBFBF"/>
                  </w:tcBorders>
                  <w:vAlign w:val="bottom"/>
                </w:tcPr>
                <w:p w:rsidR="00745FEA" w:rsidRPr="005023A1" w:rsidRDefault="00745FEA" w:rsidP="00745FEA">
                  <w:pPr>
                    <w:pStyle w:val="TableBodyText"/>
                    <w:ind w:right="57"/>
                  </w:pPr>
                  <w:r w:rsidRPr="005023A1">
                    <w:t>&lt;0.1</w:t>
                  </w:r>
                </w:p>
              </w:tc>
              <w:tc>
                <w:tcPr>
                  <w:tcW w:w="467" w:type="pct"/>
                  <w:tcBorders>
                    <w:bottom w:val="single" w:sz="6" w:space="0" w:color="BFBFBF"/>
                  </w:tcBorders>
                  <w:vAlign w:val="bottom"/>
                </w:tcPr>
                <w:p w:rsidR="00745FEA" w:rsidRPr="005023A1" w:rsidRDefault="00745FEA" w:rsidP="00745FEA">
                  <w:pPr>
                    <w:pStyle w:val="TableBodyText"/>
                    <w:ind w:right="57"/>
                  </w:pPr>
                  <w:r w:rsidRPr="005023A1">
                    <w:t>–</w:t>
                  </w:r>
                </w:p>
              </w:tc>
              <w:tc>
                <w:tcPr>
                  <w:tcW w:w="467" w:type="pct"/>
                  <w:tcBorders>
                    <w:bottom w:val="single" w:sz="6" w:space="0" w:color="BFBFBF"/>
                  </w:tcBorders>
                  <w:vAlign w:val="bottom"/>
                </w:tcPr>
                <w:p w:rsidR="00745FEA" w:rsidRPr="005023A1" w:rsidRDefault="00745FEA" w:rsidP="00745FEA">
                  <w:pPr>
                    <w:pStyle w:val="TableBodyText"/>
                    <w:ind w:right="57"/>
                  </w:pPr>
                  <w:r w:rsidRPr="005023A1">
                    <w:t>–</w:t>
                  </w:r>
                </w:p>
              </w:tc>
              <w:tc>
                <w:tcPr>
                  <w:tcW w:w="467" w:type="pct"/>
                  <w:tcBorders>
                    <w:bottom w:val="single" w:sz="6" w:space="0" w:color="BFBFBF"/>
                  </w:tcBorders>
                  <w:shd w:val="clear" w:color="auto" w:fill="auto"/>
                  <w:vAlign w:val="bottom"/>
                </w:tcPr>
                <w:p w:rsidR="00745FEA" w:rsidRPr="005023A1" w:rsidRDefault="00745FEA" w:rsidP="00745FEA">
                  <w:pPr>
                    <w:pStyle w:val="TableBodyText"/>
                    <w:ind w:right="57"/>
                  </w:pPr>
                  <w:r w:rsidRPr="005023A1">
                    <w:t>–</w:t>
                  </w:r>
                </w:p>
              </w:tc>
              <w:tc>
                <w:tcPr>
                  <w:tcW w:w="466" w:type="pct"/>
                  <w:tcBorders>
                    <w:bottom w:val="single" w:sz="6" w:space="0" w:color="BFBFBF"/>
                  </w:tcBorders>
                  <w:shd w:val="clear" w:color="auto" w:fill="auto"/>
                  <w:vAlign w:val="bottom"/>
                </w:tcPr>
                <w:p w:rsidR="00745FEA" w:rsidRDefault="00745FEA" w:rsidP="00745FEA">
                  <w:pPr>
                    <w:pStyle w:val="TableBodyText"/>
                    <w:ind w:right="57"/>
                  </w:pPr>
                  <w:r w:rsidRPr="005023A1">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640"/>
            </w:pPr>
            <w:r>
              <w:t>(continued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744"/>
              <w:gridCol w:w="795"/>
              <w:gridCol w:w="794"/>
              <w:gridCol w:w="794"/>
              <w:gridCol w:w="794"/>
              <w:gridCol w:w="794"/>
              <w:gridCol w:w="789"/>
            </w:tblGrid>
            <w:tr w:rsidR="00745FEA" w:rsidTr="00C719FB">
              <w:trPr>
                <w:tblHeader/>
              </w:trPr>
              <w:tc>
                <w:tcPr>
                  <w:tcW w:w="2201"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1" w:type="pct"/>
                  <w:tcBorders>
                    <w:top w:val="single" w:sz="6" w:space="0" w:color="BFBFBF"/>
                  </w:tcBorders>
                </w:tcPr>
                <w:p w:rsidR="00745FEA" w:rsidRPr="00300DC2" w:rsidRDefault="00745FEA" w:rsidP="00745FEA">
                  <w:pPr>
                    <w:pStyle w:val="TableUnitsRow"/>
                    <w:spacing w:after="0"/>
                    <w:ind w:left="113"/>
                    <w:jc w:val="left"/>
                    <w:rPr>
                      <w:i/>
                    </w:rPr>
                  </w:pPr>
                  <w:r w:rsidRPr="00300DC2">
                    <w:rPr>
                      <w:i/>
                    </w:rPr>
                    <w:t>Other measures</w:t>
                  </w:r>
                  <w:r>
                    <w:rPr>
                      <w:i/>
                    </w:rPr>
                    <w:t xml:space="preserve"> (continued)</w:t>
                  </w: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4"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Tasmanian Jobs and Investment Fund</w:t>
                  </w:r>
                </w:p>
              </w:tc>
              <w:tc>
                <w:tcPr>
                  <w:tcW w:w="467" w:type="pct"/>
                  <w:vAlign w:val="bottom"/>
                </w:tcPr>
                <w:p w:rsidR="00745FEA" w:rsidRPr="00583CAB" w:rsidRDefault="00745FEA" w:rsidP="00745FEA">
                  <w:pPr>
                    <w:pStyle w:val="TableBodyText"/>
                    <w:ind w:right="57"/>
                  </w:pPr>
                  <w:r w:rsidRPr="00583CAB">
                    <w:t>–</w:t>
                  </w:r>
                </w:p>
              </w:tc>
              <w:tc>
                <w:tcPr>
                  <w:tcW w:w="467" w:type="pct"/>
                  <w:vAlign w:val="bottom"/>
                </w:tcPr>
                <w:p w:rsidR="00745FEA" w:rsidRPr="00583CAB" w:rsidRDefault="00745FEA" w:rsidP="00745FEA">
                  <w:pPr>
                    <w:pStyle w:val="TableBodyText"/>
                    <w:ind w:right="57"/>
                  </w:pPr>
                  <w:r w:rsidRPr="00583CAB">
                    <w:t>–</w:t>
                  </w:r>
                </w:p>
              </w:tc>
              <w:tc>
                <w:tcPr>
                  <w:tcW w:w="467" w:type="pct"/>
                  <w:vAlign w:val="bottom"/>
                </w:tcPr>
                <w:p w:rsidR="00745FEA" w:rsidRPr="00583CAB" w:rsidRDefault="00745FEA" w:rsidP="00745FEA">
                  <w:pPr>
                    <w:pStyle w:val="TableBodyText"/>
                    <w:ind w:right="57"/>
                  </w:pPr>
                  <w:r w:rsidRPr="00583CAB">
                    <w:t>–</w:t>
                  </w:r>
                </w:p>
              </w:tc>
              <w:tc>
                <w:tcPr>
                  <w:tcW w:w="467" w:type="pct"/>
                  <w:vAlign w:val="bottom"/>
                </w:tcPr>
                <w:p w:rsidR="00745FEA" w:rsidRPr="00583CAB" w:rsidRDefault="00745FEA" w:rsidP="00745FEA">
                  <w:pPr>
                    <w:pStyle w:val="TableBodyText"/>
                    <w:ind w:right="57"/>
                  </w:pPr>
                  <w:r w:rsidRPr="00583CAB">
                    <w:t>–</w:t>
                  </w:r>
                </w:p>
              </w:tc>
              <w:tc>
                <w:tcPr>
                  <w:tcW w:w="467" w:type="pct"/>
                  <w:shd w:val="clear" w:color="auto" w:fill="auto"/>
                  <w:vAlign w:val="bottom"/>
                </w:tcPr>
                <w:p w:rsidR="00745FEA" w:rsidRPr="00583CAB" w:rsidRDefault="00745FEA" w:rsidP="00745FEA">
                  <w:pPr>
                    <w:pStyle w:val="TableBodyText"/>
                    <w:ind w:right="57"/>
                  </w:pPr>
                  <w:r w:rsidRPr="00583CAB">
                    <w:t>0.1</w:t>
                  </w:r>
                </w:p>
              </w:tc>
              <w:tc>
                <w:tcPr>
                  <w:tcW w:w="464" w:type="pct"/>
                  <w:shd w:val="clear" w:color="auto" w:fill="auto"/>
                  <w:vAlign w:val="bottom"/>
                </w:tcPr>
                <w:p w:rsidR="00745FEA" w:rsidRPr="00583CAB" w:rsidRDefault="00745FEA" w:rsidP="00745FEA">
                  <w:pPr>
                    <w:pStyle w:val="TableBodyText"/>
                    <w:ind w:right="57"/>
                  </w:pPr>
                  <w:r w:rsidRPr="00583CAB">
                    <w:t>&lt;0.1</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 xml:space="preserve">Small business </w:t>
                  </w:r>
                  <w:r>
                    <w:t>capital gains tax</w:t>
                  </w:r>
                  <w:r w:rsidRPr="003225F2">
                    <w:t xml:space="preserve"> rollover deferral</w:t>
                  </w:r>
                </w:p>
              </w:tc>
              <w:tc>
                <w:tcPr>
                  <w:tcW w:w="467" w:type="pct"/>
                  <w:vAlign w:val="bottom"/>
                </w:tcPr>
                <w:p w:rsidR="00745FEA" w:rsidRPr="00583CAB" w:rsidRDefault="00745FEA" w:rsidP="00745FEA">
                  <w:pPr>
                    <w:pStyle w:val="TableBodyText"/>
                    <w:ind w:right="57"/>
                  </w:pPr>
                  <w:r w:rsidRPr="00583CAB">
                    <w:t>1.2</w:t>
                  </w:r>
                </w:p>
              </w:tc>
              <w:tc>
                <w:tcPr>
                  <w:tcW w:w="467" w:type="pct"/>
                  <w:vAlign w:val="bottom"/>
                </w:tcPr>
                <w:p w:rsidR="00745FEA" w:rsidRPr="00583CAB" w:rsidRDefault="00745FEA" w:rsidP="00745FEA">
                  <w:pPr>
                    <w:pStyle w:val="TableBodyText"/>
                    <w:ind w:right="57"/>
                  </w:pPr>
                  <w:r w:rsidRPr="00583CAB">
                    <w:t>1.5</w:t>
                  </w:r>
                </w:p>
              </w:tc>
              <w:tc>
                <w:tcPr>
                  <w:tcW w:w="467" w:type="pct"/>
                  <w:vAlign w:val="bottom"/>
                </w:tcPr>
                <w:p w:rsidR="00745FEA" w:rsidRPr="00583CAB" w:rsidRDefault="00745FEA" w:rsidP="00745FEA">
                  <w:pPr>
                    <w:pStyle w:val="TableBodyText"/>
                    <w:ind w:right="57"/>
                  </w:pPr>
                  <w:r w:rsidRPr="00583CAB">
                    <w:t>1.5</w:t>
                  </w:r>
                </w:p>
              </w:tc>
              <w:tc>
                <w:tcPr>
                  <w:tcW w:w="467" w:type="pct"/>
                  <w:vAlign w:val="bottom"/>
                </w:tcPr>
                <w:p w:rsidR="00745FEA" w:rsidRPr="00583CAB" w:rsidRDefault="00745FEA" w:rsidP="00745FEA">
                  <w:pPr>
                    <w:pStyle w:val="TableBodyText"/>
                    <w:ind w:right="57"/>
                  </w:pPr>
                  <w:r w:rsidRPr="00583CAB">
                    <w:t>6.3</w:t>
                  </w:r>
                </w:p>
              </w:tc>
              <w:tc>
                <w:tcPr>
                  <w:tcW w:w="467" w:type="pct"/>
                  <w:shd w:val="clear" w:color="auto" w:fill="auto"/>
                  <w:vAlign w:val="bottom"/>
                </w:tcPr>
                <w:p w:rsidR="00745FEA" w:rsidRPr="00583CAB" w:rsidRDefault="00745FEA" w:rsidP="00745FEA">
                  <w:pPr>
                    <w:pStyle w:val="TableBodyText"/>
                    <w:ind w:right="57"/>
                  </w:pPr>
                  <w:r w:rsidRPr="00583CAB">
                    <w:t>4.3</w:t>
                  </w:r>
                </w:p>
              </w:tc>
              <w:tc>
                <w:tcPr>
                  <w:tcW w:w="464" w:type="pct"/>
                  <w:shd w:val="clear" w:color="auto" w:fill="auto"/>
                  <w:vAlign w:val="bottom"/>
                </w:tcPr>
                <w:p w:rsidR="00745FEA" w:rsidRPr="00583CAB" w:rsidRDefault="00745FEA" w:rsidP="00745FEA">
                  <w:pPr>
                    <w:pStyle w:val="TableBodyText"/>
                    <w:ind w:right="57"/>
                  </w:pPr>
                  <w:r w:rsidRPr="00583CAB">
                    <w:t>3.8</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The Small Business and General Business Tax Break</w:t>
                  </w:r>
                </w:p>
              </w:tc>
              <w:tc>
                <w:tcPr>
                  <w:tcW w:w="467" w:type="pct"/>
                  <w:vAlign w:val="bottom"/>
                </w:tcPr>
                <w:p w:rsidR="00745FEA" w:rsidRPr="00583CAB" w:rsidRDefault="00745FEA" w:rsidP="00745FEA">
                  <w:pPr>
                    <w:pStyle w:val="TableBodyText"/>
                    <w:ind w:right="57"/>
                  </w:pPr>
                  <w:r w:rsidRPr="00583CAB">
                    <w:t>58.2</w:t>
                  </w:r>
                </w:p>
              </w:tc>
              <w:tc>
                <w:tcPr>
                  <w:tcW w:w="467" w:type="pct"/>
                  <w:vAlign w:val="bottom"/>
                </w:tcPr>
                <w:p w:rsidR="00745FEA" w:rsidRPr="00583CAB" w:rsidRDefault="00745FEA" w:rsidP="00745FEA">
                  <w:pPr>
                    <w:pStyle w:val="TableBodyText"/>
                    <w:ind w:right="57"/>
                  </w:pPr>
                  <w:r w:rsidRPr="00583CAB">
                    <w:t>20.2</w:t>
                  </w:r>
                </w:p>
              </w:tc>
              <w:tc>
                <w:tcPr>
                  <w:tcW w:w="467" w:type="pct"/>
                  <w:vAlign w:val="bottom"/>
                </w:tcPr>
                <w:p w:rsidR="00745FEA" w:rsidRPr="00583CAB" w:rsidRDefault="00745FEA" w:rsidP="00745FEA">
                  <w:pPr>
                    <w:pStyle w:val="TableBodyText"/>
                    <w:ind w:right="57"/>
                  </w:pPr>
                  <w:r w:rsidRPr="00583CAB">
                    <w:t>2.4</w:t>
                  </w:r>
                </w:p>
              </w:tc>
              <w:tc>
                <w:tcPr>
                  <w:tcW w:w="467" w:type="pct"/>
                  <w:vAlign w:val="bottom"/>
                </w:tcPr>
                <w:p w:rsidR="00745FEA" w:rsidRPr="00583CAB" w:rsidRDefault="00745FEA" w:rsidP="00745FEA">
                  <w:pPr>
                    <w:pStyle w:val="TableBodyText"/>
                    <w:ind w:right="57"/>
                  </w:pPr>
                  <w:r w:rsidRPr="00583CAB">
                    <w:t>–</w:t>
                  </w:r>
                </w:p>
              </w:tc>
              <w:tc>
                <w:tcPr>
                  <w:tcW w:w="467" w:type="pct"/>
                  <w:shd w:val="clear" w:color="auto" w:fill="auto"/>
                  <w:vAlign w:val="bottom"/>
                </w:tcPr>
                <w:p w:rsidR="00745FEA" w:rsidRPr="00583CAB" w:rsidRDefault="00745FEA" w:rsidP="00745FEA">
                  <w:pPr>
                    <w:pStyle w:val="TableBodyText"/>
                    <w:ind w:right="57"/>
                  </w:pPr>
                  <w:r w:rsidRPr="00583CAB">
                    <w:t>–</w:t>
                  </w:r>
                </w:p>
              </w:tc>
              <w:tc>
                <w:tcPr>
                  <w:tcW w:w="464" w:type="pct"/>
                  <w:shd w:val="clear" w:color="auto" w:fill="auto"/>
                  <w:vAlign w:val="bottom"/>
                </w:tcPr>
                <w:p w:rsidR="00745FEA" w:rsidRPr="00583CAB" w:rsidRDefault="00745FEA" w:rsidP="00745FEA">
                  <w:pPr>
                    <w:pStyle w:val="TableBodyText"/>
                    <w:ind w:right="57"/>
                  </w:pPr>
                  <w:r w:rsidRPr="00583CAB">
                    <w:t>–</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Small Business - Simplified depreciation rules</w:t>
                  </w:r>
                </w:p>
              </w:tc>
              <w:tc>
                <w:tcPr>
                  <w:tcW w:w="467" w:type="pct"/>
                  <w:vAlign w:val="bottom"/>
                </w:tcPr>
                <w:p w:rsidR="00745FEA" w:rsidRPr="00583CAB" w:rsidRDefault="00745FEA" w:rsidP="00745FEA">
                  <w:pPr>
                    <w:pStyle w:val="TableBodyText"/>
                    <w:ind w:right="57"/>
                  </w:pPr>
                  <w:r w:rsidRPr="00583CAB">
                    <w:t>1.6</w:t>
                  </w:r>
                </w:p>
              </w:tc>
              <w:tc>
                <w:tcPr>
                  <w:tcW w:w="467" w:type="pct"/>
                  <w:vAlign w:val="bottom"/>
                </w:tcPr>
                <w:p w:rsidR="00745FEA" w:rsidRPr="00583CAB" w:rsidRDefault="00745FEA" w:rsidP="00745FEA">
                  <w:pPr>
                    <w:pStyle w:val="TableBodyText"/>
                    <w:ind w:right="57"/>
                  </w:pPr>
                  <w:r w:rsidRPr="00583CAB">
                    <w:t>-9.0</w:t>
                  </w:r>
                </w:p>
              </w:tc>
              <w:tc>
                <w:tcPr>
                  <w:tcW w:w="467" w:type="pct"/>
                  <w:vAlign w:val="bottom"/>
                </w:tcPr>
                <w:p w:rsidR="00745FEA" w:rsidRPr="00583CAB" w:rsidRDefault="00745FEA" w:rsidP="00745FEA">
                  <w:pPr>
                    <w:pStyle w:val="TableBodyText"/>
                    <w:ind w:right="57"/>
                  </w:pPr>
                  <w:r w:rsidRPr="00583CAB">
                    <w:t>32.5</w:t>
                  </w:r>
                </w:p>
              </w:tc>
              <w:tc>
                <w:tcPr>
                  <w:tcW w:w="467" w:type="pct"/>
                  <w:vAlign w:val="bottom"/>
                </w:tcPr>
                <w:p w:rsidR="00745FEA" w:rsidRPr="00583CAB" w:rsidRDefault="00745FEA" w:rsidP="00745FEA">
                  <w:pPr>
                    <w:pStyle w:val="TableBodyText"/>
                    <w:ind w:right="57"/>
                  </w:pPr>
                  <w:r w:rsidRPr="00583CAB">
                    <w:t>-16.4</w:t>
                  </w:r>
                </w:p>
              </w:tc>
              <w:tc>
                <w:tcPr>
                  <w:tcW w:w="467" w:type="pct"/>
                  <w:shd w:val="clear" w:color="auto" w:fill="auto"/>
                  <w:vAlign w:val="bottom"/>
                </w:tcPr>
                <w:p w:rsidR="00745FEA" w:rsidRPr="00583CAB" w:rsidRDefault="00745FEA" w:rsidP="00745FEA">
                  <w:pPr>
                    <w:pStyle w:val="TableBodyText"/>
                    <w:ind w:right="57"/>
                  </w:pPr>
                  <w:r w:rsidRPr="00583CAB">
                    <w:t>-33.0</w:t>
                  </w:r>
                </w:p>
              </w:tc>
              <w:tc>
                <w:tcPr>
                  <w:tcW w:w="464" w:type="pct"/>
                  <w:shd w:val="clear" w:color="auto" w:fill="auto"/>
                  <w:vAlign w:val="bottom"/>
                </w:tcPr>
                <w:p w:rsidR="00745FEA" w:rsidRPr="00583CAB" w:rsidRDefault="00745FEA" w:rsidP="00745FEA">
                  <w:pPr>
                    <w:pStyle w:val="TableBodyText"/>
                    <w:ind w:right="57"/>
                  </w:pPr>
                  <w:r w:rsidRPr="00583CAB">
                    <w:t>182.6</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 xml:space="preserve">Small business </w:t>
                  </w:r>
                  <w:r>
                    <w:t>capital gains tax</w:t>
                  </w:r>
                  <w:r w:rsidRPr="003225F2">
                    <w:t xml:space="preserve"> 15-year asset exemption</w:t>
                  </w:r>
                </w:p>
              </w:tc>
              <w:tc>
                <w:tcPr>
                  <w:tcW w:w="467" w:type="pct"/>
                  <w:vAlign w:val="bottom"/>
                </w:tcPr>
                <w:p w:rsidR="00745FEA" w:rsidRPr="00583CAB" w:rsidRDefault="00745FEA" w:rsidP="00745FEA">
                  <w:pPr>
                    <w:pStyle w:val="TableBodyText"/>
                    <w:ind w:right="57"/>
                  </w:pPr>
                  <w:r w:rsidRPr="00583CAB">
                    <w:t>2.9</w:t>
                  </w:r>
                </w:p>
              </w:tc>
              <w:tc>
                <w:tcPr>
                  <w:tcW w:w="467" w:type="pct"/>
                  <w:vAlign w:val="bottom"/>
                </w:tcPr>
                <w:p w:rsidR="00745FEA" w:rsidRPr="00583CAB" w:rsidRDefault="00745FEA" w:rsidP="00745FEA">
                  <w:pPr>
                    <w:pStyle w:val="TableBodyText"/>
                    <w:ind w:right="57"/>
                  </w:pPr>
                  <w:r w:rsidRPr="00583CAB">
                    <w:t>3.0</w:t>
                  </w:r>
                </w:p>
              </w:tc>
              <w:tc>
                <w:tcPr>
                  <w:tcW w:w="467" w:type="pct"/>
                  <w:vAlign w:val="bottom"/>
                </w:tcPr>
                <w:p w:rsidR="00745FEA" w:rsidRPr="00583CAB" w:rsidRDefault="00745FEA" w:rsidP="00745FEA">
                  <w:pPr>
                    <w:pStyle w:val="TableBodyText"/>
                    <w:ind w:right="57"/>
                  </w:pPr>
                  <w:r w:rsidRPr="00583CAB">
                    <w:t>3.4</w:t>
                  </w:r>
                </w:p>
              </w:tc>
              <w:tc>
                <w:tcPr>
                  <w:tcW w:w="467" w:type="pct"/>
                  <w:vAlign w:val="bottom"/>
                </w:tcPr>
                <w:p w:rsidR="00745FEA" w:rsidRPr="00583CAB" w:rsidRDefault="00745FEA" w:rsidP="00745FEA">
                  <w:pPr>
                    <w:pStyle w:val="TableBodyText"/>
                    <w:ind w:right="57"/>
                  </w:pPr>
                  <w:r w:rsidRPr="00583CAB">
                    <w:t>2.9</w:t>
                  </w:r>
                </w:p>
              </w:tc>
              <w:tc>
                <w:tcPr>
                  <w:tcW w:w="467" w:type="pct"/>
                  <w:shd w:val="clear" w:color="auto" w:fill="auto"/>
                  <w:vAlign w:val="bottom"/>
                </w:tcPr>
                <w:p w:rsidR="00745FEA" w:rsidRPr="00583CAB" w:rsidRDefault="00745FEA" w:rsidP="00745FEA">
                  <w:pPr>
                    <w:pStyle w:val="TableBodyText"/>
                    <w:ind w:right="57"/>
                  </w:pPr>
                  <w:r w:rsidRPr="00583CAB">
                    <w:t>6.6</w:t>
                  </w:r>
                </w:p>
              </w:tc>
              <w:tc>
                <w:tcPr>
                  <w:tcW w:w="464" w:type="pct"/>
                  <w:shd w:val="clear" w:color="auto" w:fill="auto"/>
                  <w:vAlign w:val="bottom"/>
                </w:tcPr>
                <w:p w:rsidR="00745FEA" w:rsidRPr="00583CAB" w:rsidRDefault="00745FEA" w:rsidP="00745FEA">
                  <w:pPr>
                    <w:pStyle w:val="TableBodyText"/>
                    <w:ind w:right="57"/>
                  </w:pPr>
                  <w:r w:rsidRPr="00583CAB">
                    <w:t>6.0</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 xml:space="preserve">Small business </w:t>
                  </w:r>
                  <w:r>
                    <w:t>capital gains tax</w:t>
                  </w:r>
                  <w:r w:rsidRPr="003225F2">
                    <w:t xml:space="preserve"> retirement exemption</w:t>
                  </w:r>
                </w:p>
              </w:tc>
              <w:tc>
                <w:tcPr>
                  <w:tcW w:w="467" w:type="pct"/>
                  <w:vAlign w:val="bottom"/>
                </w:tcPr>
                <w:p w:rsidR="00745FEA" w:rsidRPr="00583CAB" w:rsidRDefault="00745FEA" w:rsidP="00745FEA">
                  <w:pPr>
                    <w:pStyle w:val="TableBodyText"/>
                    <w:ind w:right="57"/>
                  </w:pPr>
                  <w:r w:rsidRPr="00583CAB">
                    <w:t>6.2</w:t>
                  </w:r>
                </w:p>
              </w:tc>
              <w:tc>
                <w:tcPr>
                  <w:tcW w:w="467" w:type="pct"/>
                  <w:vAlign w:val="bottom"/>
                </w:tcPr>
                <w:p w:rsidR="00745FEA" w:rsidRPr="00583CAB" w:rsidRDefault="00745FEA" w:rsidP="00745FEA">
                  <w:pPr>
                    <w:pStyle w:val="TableBodyText"/>
                    <w:ind w:right="57"/>
                  </w:pPr>
                  <w:r w:rsidRPr="00583CAB">
                    <w:t>6.4</w:t>
                  </w:r>
                </w:p>
              </w:tc>
              <w:tc>
                <w:tcPr>
                  <w:tcW w:w="467" w:type="pct"/>
                  <w:vAlign w:val="bottom"/>
                </w:tcPr>
                <w:p w:rsidR="00745FEA" w:rsidRPr="00583CAB" w:rsidRDefault="00745FEA" w:rsidP="00745FEA">
                  <w:pPr>
                    <w:pStyle w:val="TableBodyText"/>
                    <w:ind w:right="57"/>
                  </w:pPr>
                  <w:r w:rsidRPr="00583CAB">
                    <w:t>6.6</w:t>
                  </w:r>
                </w:p>
              </w:tc>
              <w:tc>
                <w:tcPr>
                  <w:tcW w:w="467" w:type="pct"/>
                  <w:vAlign w:val="bottom"/>
                </w:tcPr>
                <w:p w:rsidR="00745FEA" w:rsidRPr="00583CAB" w:rsidRDefault="00745FEA" w:rsidP="00745FEA">
                  <w:pPr>
                    <w:pStyle w:val="TableBodyText"/>
                    <w:ind w:right="57"/>
                  </w:pPr>
                  <w:r w:rsidRPr="00583CAB">
                    <w:t>10.2</w:t>
                  </w:r>
                </w:p>
              </w:tc>
              <w:tc>
                <w:tcPr>
                  <w:tcW w:w="467" w:type="pct"/>
                  <w:shd w:val="clear" w:color="auto" w:fill="auto"/>
                  <w:vAlign w:val="bottom"/>
                </w:tcPr>
                <w:p w:rsidR="00745FEA" w:rsidRPr="00583CAB" w:rsidRDefault="00745FEA" w:rsidP="00745FEA">
                  <w:pPr>
                    <w:pStyle w:val="TableBodyText"/>
                    <w:ind w:right="57"/>
                  </w:pPr>
                  <w:r w:rsidRPr="00583CAB">
                    <w:t>12.5</w:t>
                  </w:r>
                </w:p>
              </w:tc>
              <w:tc>
                <w:tcPr>
                  <w:tcW w:w="464" w:type="pct"/>
                  <w:shd w:val="clear" w:color="auto" w:fill="auto"/>
                  <w:vAlign w:val="bottom"/>
                </w:tcPr>
                <w:p w:rsidR="00745FEA" w:rsidRPr="00583CAB" w:rsidRDefault="00745FEA" w:rsidP="00745FEA">
                  <w:pPr>
                    <w:pStyle w:val="TableBodyText"/>
                    <w:ind w:right="57"/>
                  </w:pPr>
                  <w:r w:rsidRPr="00583CAB">
                    <w:t>10.4</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 xml:space="preserve">Small business </w:t>
                  </w:r>
                  <w:r>
                    <w:t>capital gains tax</w:t>
                  </w:r>
                  <w:r w:rsidRPr="003225F2">
                    <w:t xml:space="preserve"> 50 per cent reduction</w:t>
                  </w:r>
                </w:p>
              </w:tc>
              <w:tc>
                <w:tcPr>
                  <w:tcW w:w="467" w:type="pct"/>
                  <w:vAlign w:val="bottom"/>
                </w:tcPr>
                <w:p w:rsidR="00745FEA" w:rsidRPr="00583CAB" w:rsidRDefault="00745FEA" w:rsidP="00745FEA">
                  <w:pPr>
                    <w:pStyle w:val="TableBodyText"/>
                    <w:ind w:right="57"/>
                  </w:pPr>
                  <w:r w:rsidRPr="00583CAB">
                    <w:t>15.1</w:t>
                  </w:r>
                </w:p>
              </w:tc>
              <w:tc>
                <w:tcPr>
                  <w:tcW w:w="467" w:type="pct"/>
                  <w:vAlign w:val="bottom"/>
                </w:tcPr>
                <w:p w:rsidR="00745FEA" w:rsidRPr="00583CAB" w:rsidRDefault="00745FEA" w:rsidP="00745FEA">
                  <w:pPr>
                    <w:pStyle w:val="TableBodyText"/>
                    <w:ind w:right="57"/>
                  </w:pPr>
                  <w:r w:rsidRPr="00583CAB">
                    <w:t>16.0</w:t>
                  </w:r>
                </w:p>
              </w:tc>
              <w:tc>
                <w:tcPr>
                  <w:tcW w:w="467" w:type="pct"/>
                  <w:vAlign w:val="bottom"/>
                </w:tcPr>
                <w:p w:rsidR="00745FEA" w:rsidRPr="00583CAB" w:rsidRDefault="00745FEA" w:rsidP="00745FEA">
                  <w:pPr>
                    <w:pStyle w:val="TableBodyText"/>
                    <w:ind w:right="57"/>
                  </w:pPr>
                  <w:r w:rsidRPr="00583CAB">
                    <w:t>16.0</w:t>
                  </w:r>
                </w:p>
              </w:tc>
              <w:tc>
                <w:tcPr>
                  <w:tcW w:w="467" w:type="pct"/>
                  <w:vAlign w:val="bottom"/>
                </w:tcPr>
                <w:p w:rsidR="00745FEA" w:rsidRPr="00583CAB" w:rsidRDefault="00745FEA" w:rsidP="00745FEA">
                  <w:pPr>
                    <w:pStyle w:val="TableBodyText"/>
                    <w:ind w:right="57"/>
                  </w:pPr>
                  <w:r w:rsidRPr="00583CAB">
                    <w:t>16.3</w:t>
                  </w:r>
                </w:p>
              </w:tc>
              <w:tc>
                <w:tcPr>
                  <w:tcW w:w="467" w:type="pct"/>
                  <w:shd w:val="clear" w:color="auto" w:fill="auto"/>
                  <w:vAlign w:val="bottom"/>
                </w:tcPr>
                <w:p w:rsidR="00745FEA" w:rsidRPr="00583CAB" w:rsidRDefault="00745FEA" w:rsidP="00745FEA">
                  <w:pPr>
                    <w:pStyle w:val="TableBodyText"/>
                    <w:ind w:right="57"/>
                  </w:pPr>
                  <w:r w:rsidRPr="00583CAB">
                    <w:t>17.3</w:t>
                  </w:r>
                </w:p>
              </w:tc>
              <w:tc>
                <w:tcPr>
                  <w:tcW w:w="464" w:type="pct"/>
                  <w:shd w:val="clear" w:color="auto" w:fill="auto"/>
                  <w:vAlign w:val="bottom"/>
                </w:tcPr>
                <w:p w:rsidR="00745FEA" w:rsidRPr="00583CAB" w:rsidRDefault="00745FEA" w:rsidP="00745FEA">
                  <w:pPr>
                    <w:pStyle w:val="TableBodyText"/>
                    <w:ind w:right="57"/>
                  </w:pPr>
                  <w:r w:rsidRPr="00583CAB">
                    <w:t>9.9</w:t>
                  </w:r>
                </w:p>
              </w:tc>
            </w:tr>
            <w:tr w:rsidR="00745FEA" w:rsidTr="00745FEA">
              <w:tc>
                <w:tcPr>
                  <w:tcW w:w="2201" w:type="pct"/>
                  <w:shd w:val="clear" w:color="auto" w:fill="auto"/>
                </w:tcPr>
                <w:p w:rsidR="00745FEA" w:rsidRPr="003225F2" w:rsidRDefault="00745FEA" w:rsidP="00745FEA">
                  <w:pPr>
                    <w:pStyle w:val="TableBodyText"/>
                    <w:spacing w:after="0"/>
                    <w:ind w:left="227" w:right="0"/>
                    <w:jc w:val="left"/>
                  </w:pPr>
                  <w:r w:rsidRPr="003225F2">
                    <w:t>25 per cent entrepreneurs' tax offset</w:t>
                  </w:r>
                </w:p>
              </w:tc>
              <w:tc>
                <w:tcPr>
                  <w:tcW w:w="467" w:type="pct"/>
                  <w:vAlign w:val="bottom"/>
                </w:tcPr>
                <w:p w:rsidR="00745FEA" w:rsidRPr="00583CAB" w:rsidRDefault="00745FEA" w:rsidP="00745FEA">
                  <w:pPr>
                    <w:pStyle w:val="TableBodyText"/>
                    <w:ind w:right="57"/>
                  </w:pPr>
                  <w:r w:rsidRPr="00583CAB">
                    <w:t>50.8</w:t>
                  </w:r>
                </w:p>
              </w:tc>
              <w:tc>
                <w:tcPr>
                  <w:tcW w:w="467" w:type="pct"/>
                  <w:vAlign w:val="bottom"/>
                </w:tcPr>
                <w:p w:rsidR="00745FEA" w:rsidRPr="00583CAB" w:rsidRDefault="00745FEA" w:rsidP="00745FEA">
                  <w:pPr>
                    <w:pStyle w:val="TableBodyText"/>
                    <w:ind w:right="57"/>
                  </w:pPr>
                  <w:r w:rsidRPr="00583CAB">
                    <w:t>52.0</w:t>
                  </w:r>
                </w:p>
              </w:tc>
              <w:tc>
                <w:tcPr>
                  <w:tcW w:w="467" w:type="pct"/>
                  <w:vAlign w:val="bottom"/>
                </w:tcPr>
                <w:p w:rsidR="00745FEA" w:rsidRPr="00583CAB" w:rsidRDefault="00745FEA" w:rsidP="00745FEA">
                  <w:pPr>
                    <w:pStyle w:val="TableBodyText"/>
                    <w:ind w:right="57"/>
                  </w:pPr>
                  <w:r w:rsidRPr="00583CAB">
                    <w:t>–</w:t>
                  </w:r>
                </w:p>
              </w:tc>
              <w:tc>
                <w:tcPr>
                  <w:tcW w:w="467" w:type="pct"/>
                  <w:vAlign w:val="bottom"/>
                </w:tcPr>
                <w:p w:rsidR="00745FEA" w:rsidRPr="00583CAB" w:rsidRDefault="00745FEA" w:rsidP="00745FEA">
                  <w:pPr>
                    <w:pStyle w:val="TableBodyText"/>
                    <w:ind w:right="57"/>
                  </w:pPr>
                  <w:r w:rsidRPr="00583CAB">
                    <w:t>–</w:t>
                  </w:r>
                </w:p>
              </w:tc>
              <w:tc>
                <w:tcPr>
                  <w:tcW w:w="467" w:type="pct"/>
                  <w:shd w:val="clear" w:color="auto" w:fill="auto"/>
                  <w:vAlign w:val="bottom"/>
                </w:tcPr>
                <w:p w:rsidR="00745FEA" w:rsidRPr="00583CAB" w:rsidRDefault="00745FEA" w:rsidP="00745FEA">
                  <w:pPr>
                    <w:pStyle w:val="TableBodyText"/>
                    <w:ind w:right="57"/>
                  </w:pPr>
                  <w:r w:rsidRPr="00583CAB">
                    <w:t>–</w:t>
                  </w:r>
                </w:p>
              </w:tc>
              <w:tc>
                <w:tcPr>
                  <w:tcW w:w="464" w:type="pct"/>
                  <w:shd w:val="clear" w:color="auto" w:fill="auto"/>
                  <w:vAlign w:val="bottom"/>
                </w:tcPr>
                <w:p w:rsidR="00745FEA" w:rsidRDefault="00745FEA" w:rsidP="00745FEA">
                  <w:pPr>
                    <w:pStyle w:val="TableBodyText"/>
                    <w:ind w:right="57"/>
                  </w:pPr>
                  <w:r w:rsidRPr="00583CAB">
                    <w:t>–</w:t>
                  </w:r>
                </w:p>
              </w:tc>
            </w:tr>
            <w:tr w:rsidR="00745FEA" w:rsidTr="00745FEA">
              <w:tc>
                <w:tcPr>
                  <w:tcW w:w="2201" w:type="pct"/>
                  <w:shd w:val="clear" w:color="auto" w:fill="auto"/>
                </w:tcPr>
                <w:p w:rsidR="00745FEA" w:rsidRPr="00300DC2" w:rsidRDefault="00745FEA" w:rsidP="00745FEA">
                  <w:pPr>
                    <w:pStyle w:val="TableBodyText"/>
                    <w:spacing w:before="20" w:after="20"/>
                    <w:jc w:val="left"/>
                    <w:rPr>
                      <w:i/>
                    </w:rPr>
                  </w:pPr>
                  <w:r w:rsidRPr="00300DC2">
                    <w:rPr>
                      <w:i/>
                    </w:rPr>
                    <w:t>Total</w:t>
                  </w:r>
                </w:p>
              </w:tc>
              <w:tc>
                <w:tcPr>
                  <w:tcW w:w="467" w:type="pct"/>
                  <w:vAlign w:val="bottom"/>
                </w:tcPr>
                <w:p w:rsidR="00745FEA" w:rsidRPr="003D318B" w:rsidRDefault="00745FEA" w:rsidP="00745FEA">
                  <w:pPr>
                    <w:pStyle w:val="TableBodyText"/>
                    <w:spacing w:before="20" w:after="20"/>
                    <w:ind w:right="57"/>
                    <w:rPr>
                      <w:i/>
                    </w:rPr>
                  </w:pPr>
                  <w:r>
                    <w:rPr>
                      <w:i/>
                    </w:rPr>
                    <w:t>210.6</w:t>
                  </w:r>
                </w:p>
              </w:tc>
              <w:tc>
                <w:tcPr>
                  <w:tcW w:w="467" w:type="pct"/>
                  <w:vAlign w:val="bottom"/>
                </w:tcPr>
                <w:p w:rsidR="00745FEA" w:rsidRPr="003D318B" w:rsidRDefault="00745FEA" w:rsidP="00745FEA">
                  <w:pPr>
                    <w:pStyle w:val="TableBodyText"/>
                    <w:spacing w:before="20" w:after="20"/>
                    <w:ind w:right="57"/>
                    <w:rPr>
                      <w:i/>
                    </w:rPr>
                  </w:pPr>
                  <w:r>
                    <w:rPr>
                      <w:i/>
                    </w:rPr>
                    <w:t>197.6</w:t>
                  </w:r>
                </w:p>
              </w:tc>
              <w:tc>
                <w:tcPr>
                  <w:tcW w:w="467" w:type="pct"/>
                </w:tcPr>
                <w:p w:rsidR="00745FEA" w:rsidRPr="00CC52FD" w:rsidRDefault="00745FEA" w:rsidP="00745FEA">
                  <w:pPr>
                    <w:pStyle w:val="TableBodyText"/>
                    <w:spacing w:before="20" w:after="20"/>
                    <w:ind w:right="57"/>
                    <w:rPr>
                      <w:i/>
                    </w:rPr>
                  </w:pPr>
                  <w:r>
                    <w:rPr>
                      <w:i/>
                    </w:rPr>
                    <w:t>157.6</w:t>
                  </w:r>
                </w:p>
              </w:tc>
              <w:tc>
                <w:tcPr>
                  <w:tcW w:w="467" w:type="pct"/>
                </w:tcPr>
                <w:p w:rsidR="00745FEA" w:rsidRPr="00CC52FD" w:rsidRDefault="00745FEA" w:rsidP="00745FEA">
                  <w:pPr>
                    <w:pStyle w:val="TableBodyText"/>
                    <w:spacing w:before="20" w:after="20"/>
                    <w:ind w:right="57"/>
                    <w:rPr>
                      <w:i/>
                    </w:rPr>
                  </w:pPr>
                  <w:r>
                    <w:rPr>
                      <w:i/>
                    </w:rPr>
                    <w:t>131.7</w:t>
                  </w:r>
                </w:p>
              </w:tc>
              <w:tc>
                <w:tcPr>
                  <w:tcW w:w="467" w:type="pct"/>
                  <w:shd w:val="clear" w:color="auto" w:fill="auto"/>
                </w:tcPr>
                <w:p w:rsidR="00745FEA" w:rsidRPr="00CC52FD" w:rsidRDefault="00745FEA" w:rsidP="00745FEA">
                  <w:pPr>
                    <w:pStyle w:val="TableBodyText"/>
                    <w:spacing w:before="20" w:after="20"/>
                    <w:ind w:right="57"/>
                    <w:rPr>
                      <w:i/>
                    </w:rPr>
                  </w:pPr>
                  <w:r>
                    <w:rPr>
                      <w:i/>
                    </w:rPr>
                    <w:t>113.0</w:t>
                  </w:r>
                </w:p>
              </w:tc>
              <w:tc>
                <w:tcPr>
                  <w:tcW w:w="464" w:type="pct"/>
                  <w:shd w:val="clear" w:color="auto" w:fill="auto"/>
                </w:tcPr>
                <w:p w:rsidR="00745FEA" w:rsidRPr="00CC52FD" w:rsidRDefault="00745FEA" w:rsidP="00745FEA">
                  <w:pPr>
                    <w:pStyle w:val="TableBodyText"/>
                    <w:spacing w:before="20" w:after="20"/>
                    <w:ind w:right="57"/>
                    <w:rPr>
                      <w:i/>
                    </w:rPr>
                  </w:pPr>
                  <w:r>
                    <w:rPr>
                      <w:i/>
                    </w:rPr>
                    <w:t>329.0</w:t>
                  </w:r>
                </w:p>
              </w:tc>
            </w:tr>
            <w:tr w:rsidR="00745FEA" w:rsidTr="00745FEA">
              <w:tc>
                <w:tcPr>
                  <w:tcW w:w="2201" w:type="pct"/>
                  <w:shd w:val="clear" w:color="auto" w:fill="auto"/>
                </w:tcPr>
                <w:p w:rsidR="00745FEA" w:rsidRPr="005F55A9" w:rsidRDefault="00745FEA" w:rsidP="00745FEA">
                  <w:pPr>
                    <w:pStyle w:val="TableBodyText"/>
                    <w:spacing w:before="40"/>
                    <w:jc w:val="left"/>
                    <w:rPr>
                      <w:b/>
                    </w:rPr>
                  </w:pPr>
                  <w:r w:rsidRPr="005F55A9">
                    <w:rPr>
                      <w:b/>
                    </w:rPr>
                    <w:t>Wholesale trade</w:t>
                  </w: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r>
            <w:tr w:rsidR="00745FEA" w:rsidTr="00745FEA">
              <w:tc>
                <w:tcPr>
                  <w:tcW w:w="2201" w:type="pct"/>
                  <w:shd w:val="clear" w:color="auto" w:fill="auto"/>
                </w:tcPr>
                <w:p w:rsidR="00745FEA" w:rsidRPr="005F55A9" w:rsidRDefault="00745FEA" w:rsidP="00745FEA">
                  <w:pPr>
                    <w:pStyle w:val="TableBodyText"/>
                    <w:spacing w:before="40" w:after="0"/>
                    <w:ind w:left="113"/>
                    <w:jc w:val="left"/>
                    <w:rPr>
                      <w:rFonts w:cs="Arial"/>
                      <w:i/>
                      <w:szCs w:val="18"/>
                    </w:rPr>
                  </w:pPr>
                  <w:r w:rsidRPr="005F55A9">
                    <w:rPr>
                      <w:rFonts w:cs="Arial"/>
                      <w:i/>
                      <w:szCs w:val="18"/>
                    </w:rPr>
                    <w:t>Industry-specific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Tr="00745FEA">
              <w:tc>
                <w:tcPr>
                  <w:tcW w:w="2201" w:type="pct"/>
                  <w:shd w:val="clear" w:color="auto" w:fill="auto"/>
                </w:tcPr>
                <w:p w:rsidR="00745FEA" w:rsidRPr="00A722BC" w:rsidRDefault="00745FEA" w:rsidP="00745FEA">
                  <w:pPr>
                    <w:pStyle w:val="TableBodyText"/>
                    <w:spacing w:after="0"/>
                    <w:ind w:left="227" w:right="0"/>
                    <w:jc w:val="left"/>
                  </w:pPr>
                  <w:r w:rsidRPr="00A722BC">
                    <w:t>TCF Small Business Program</w:t>
                  </w:r>
                </w:p>
              </w:tc>
              <w:tc>
                <w:tcPr>
                  <w:tcW w:w="467" w:type="pct"/>
                  <w:vAlign w:val="bottom"/>
                </w:tcPr>
                <w:p w:rsidR="00745FEA" w:rsidRPr="00A722BC" w:rsidRDefault="00745FEA" w:rsidP="00745FEA">
                  <w:pPr>
                    <w:pStyle w:val="TableBodyText"/>
                    <w:ind w:right="57"/>
                  </w:pPr>
                  <w:r w:rsidRPr="004A066D">
                    <w:t>&lt;0.1</w:t>
                  </w:r>
                </w:p>
              </w:tc>
              <w:tc>
                <w:tcPr>
                  <w:tcW w:w="467" w:type="pct"/>
                  <w:vAlign w:val="bottom"/>
                </w:tcPr>
                <w:p w:rsidR="00745FEA" w:rsidRPr="00A722BC" w:rsidRDefault="00745FEA" w:rsidP="00745FEA">
                  <w:pPr>
                    <w:pStyle w:val="TableBodyText"/>
                    <w:ind w:right="57"/>
                  </w:pPr>
                  <w:r w:rsidRPr="004A066D">
                    <w:t>&lt;0.1</w:t>
                  </w:r>
                </w:p>
              </w:tc>
              <w:tc>
                <w:tcPr>
                  <w:tcW w:w="467" w:type="pct"/>
                  <w:vAlign w:val="bottom"/>
                </w:tcPr>
                <w:p w:rsidR="00745FEA" w:rsidRPr="00A722BC" w:rsidRDefault="00745FEA" w:rsidP="00745FEA">
                  <w:pPr>
                    <w:pStyle w:val="TableBodyText"/>
                    <w:ind w:right="57"/>
                  </w:pPr>
                  <w:r w:rsidRPr="004A066D">
                    <w:t>–</w:t>
                  </w:r>
                </w:p>
              </w:tc>
              <w:tc>
                <w:tcPr>
                  <w:tcW w:w="467" w:type="pct"/>
                  <w:vAlign w:val="bottom"/>
                </w:tcPr>
                <w:p w:rsidR="00745FEA" w:rsidRPr="00A722BC" w:rsidRDefault="00745FEA" w:rsidP="00745FEA">
                  <w:pPr>
                    <w:pStyle w:val="TableBodyText"/>
                    <w:ind w:right="57"/>
                  </w:pPr>
                  <w:r w:rsidRPr="004A066D">
                    <w:t>–</w:t>
                  </w:r>
                </w:p>
              </w:tc>
              <w:tc>
                <w:tcPr>
                  <w:tcW w:w="467" w:type="pct"/>
                  <w:shd w:val="clear" w:color="auto" w:fill="auto"/>
                  <w:vAlign w:val="bottom"/>
                </w:tcPr>
                <w:p w:rsidR="00745FEA" w:rsidRPr="00A722BC" w:rsidRDefault="00745FEA" w:rsidP="00745FEA">
                  <w:pPr>
                    <w:pStyle w:val="TableBodyText"/>
                    <w:ind w:right="57"/>
                  </w:pPr>
                  <w:r w:rsidRPr="004A066D">
                    <w:t>–</w:t>
                  </w:r>
                </w:p>
              </w:tc>
              <w:tc>
                <w:tcPr>
                  <w:tcW w:w="464" w:type="pct"/>
                  <w:shd w:val="clear" w:color="auto" w:fill="auto"/>
                  <w:vAlign w:val="bottom"/>
                </w:tcPr>
                <w:p w:rsidR="00745FEA" w:rsidRDefault="00745FEA" w:rsidP="00745FEA">
                  <w:pPr>
                    <w:pStyle w:val="TableBodyText"/>
                    <w:ind w:right="57"/>
                  </w:pPr>
                  <w:r w:rsidRPr="004A066D">
                    <w:t>–</w:t>
                  </w:r>
                </w:p>
              </w:tc>
            </w:tr>
            <w:tr w:rsidR="00745FEA" w:rsidTr="00745FEA">
              <w:tc>
                <w:tcPr>
                  <w:tcW w:w="2201" w:type="pct"/>
                  <w:shd w:val="clear" w:color="auto" w:fill="auto"/>
                </w:tcPr>
                <w:p w:rsidR="00745FEA" w:rsidRPr="005F55A9" w:rsidRDefault="00745FEA" w:rsidP="00745FEA">
                  <w:pPr>
                    <w:pStyle w:val="TableBodyText"/>
                    <w:spacing w:before="40" w:after="0"/>
                    <w:ind w:left="113"/>
                    <w:jc w:val="left"/>
                    <w:rPr>
                      <w:i/>
                    </w:rPr>
                  </w:pPr>
                  <w:r w:rsidRPr="005F55A9">
                    <w:rPr>
                      <w:i/>
                    </w:rPr>
                    <w:t>Sector-specific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RPr="000C3BED" w:rsidTr="00745FEA">
              <w:tc>
                <w:tcPr>
                  <w:tcW w:w="2201" w:type="pct"/>
                  <w:shd w:val="clear" w:color="auto" w:fill="auto"/>
                </w:tcPr>
                <w:p w:rsidR="00745FEA" w:rsidRPr="00290F42" w:rsidRDefault="00745FEA" w:rsidP="00745FEA">
                  <w:pPr>
                    <w:pStyle w:val="TableBodyText"/>
                    <w:spacing w:after="0"/>
                    <w:ind w:left="227" w:right="0"/>
                    <w:jc w:val="left"/>
                  </w:pPr>
                  <w:r w:rsidRPr="00E5511C">
                    <w:t>Next Generation Manufacturing Investment Programme</w:t>
                  </w:r>
                </w:p>
              </w:tc>
              <w:tc>
                <w:tcPr>
                  <w:tcW w:w="467" w:type="pct"/>
                  <w:vAlign w:val="bottom"/>
                </w:tcPr>
                <w:p w:rsidR="00745FEA" w:rsidRPr="00290F42" w:rsidRDefault="00745FEA" w:rsidP="00745FEA">
                  <w:pPr>
                    <w:pStyle w:val="TableBodyText"/>
                    <w:ind w:right="57"/>
                  </w:pPr>
                  <w:r w:rsidRPr="00EC1B0B">
                    <w:t>–</w:t>
                  </w:r>
                </w:p>
              </w:tc>
              <w:tc>
                <w:tcPr>
                  <w:tcW w:w="467" w:type="pct"/>
                  <w:vAlign w:val="bottom"/>
                </w:tcPr>
                <w:p w:rsidR="00745FEA" w:rsidRPr="00290F42" w:rsidRDefault="00745FEA" w:rsidP="00745FEA">
                  <w:pPr>
                    <w:pStyle w:val="TableBodyText"/>
                    <w:ind w:right="57"/>
                  </w:pPr>
                  <w:r w:rsidRPr="00EC1B0B">
                    <w:t>–</w:t>
                  </w:r>
                </w:p>
              </w:tc>
              <w:tc>
                <w:tcPr>
                  <w:tcW w:w="467" w:type="pct"/>
                  <w:vAlign w:val="bottom"/>
                </w:tcPr>
                <w:p w:rsidR="00745FEA" w:rsidRPr="00290F42" w:rsidRDefault="00745FEA" w:rsidP="00745FEA">
                  <w:pPr>
                    <w:pStyle w:val="TableBodyText"/>
                    <w:ind w:right="57"/>
                  </w:pPr>
                  <w:r w:rsidRPr="00EC1B0B">
                    <w:t>–</w:t>
                  </w:r>
                </w:p>
              </w:tc>
              <w:tc>
                <w:tcPr>
                  <w:tcW w:w="467" w:type="pct"/>
                  <w:vAlign w:val="bottom"/>
                </w:tcPr>
                <w:p w:rsidR="00745FEA" w:rsidRPr="00290F42" w:rsidRDefault="00745FEA" w:rsidP="00745FEA">
                  <w:pPr>
                    <w:pStyle w:val="TableBodyText"/>
                    <w:ind w:right="57"/>
                  </w:pPr>
                  <w:r w:rsidRPr="00EC1B0B">
                    <w:t>–</w:t>
                  </w:r>
                </w:p>
              </w:tc>
              <w:tc>
                <w:tcPr>
                  <w:tcW w:w="467" w:type="pct"/>
                  <w:shd w:val="clear" w:color="auto" w:fill="auto"/>
                  <w:vAlign w:val="bottom"/>
                </w:tcPr>
                <w:p w:rsidR="00745FEA" w:rsidRPr="00290F42" w:rsidRDefault="00745FEA" w:rsidP="00745FEA">
                  <w:pPr>
                    <w:pStyle w:val="TableBodyText"/>
                    <w:ind w:right="57"/>
                  </w:pPr>
                  <w:r w:rsidRPr="00EC1B0B">
                    <w:t>–</w:t>
                  </w:r>
                </w:p>
              </w:tc>
              <w:tc>
                <w:tcPr>
                  <w:tcW w:w="464" w:type="pct"/>
                  <w:shd w:val="clear" w:color="auto" w:fill="auto"/>
                  <w:vAlign w:val="bottom"/>
                </w:tcPr>
                <w:p w:rsidR="00745FEA" w:rsidRPr="00290F42" w:rsidRDefault="00745FEA" w:rsidP="00745FEA">
                  <w:pPr>
                    <w:pStyle w:val="TableBodyText"/>
                    <w:ind w:right="57"/>
                  </w:pPr>
                  <w:r w:rsidRPr="00EC1B0B">
                    <w:t>0.5</w:t>
                  </w:r>
                </w:p>
              </w:tc>
            </w:tr>
            <w:tr w:rsidR="00745FEA" w:rsidRPr="000C3BED" w:rsidTr="00745FEA">
              <w:tc>
                <w:tcPr>
                  <w:tcW w:w="2201" w:type="pct"/>
                  <w:shd w:val="clear" w:color="auto" w:fill="auto"/>
                </w:tcPr>
                <w:p w:rsidR="00745FEA" w:rsidRPr="00290F42" w:rsidRDefault="00745FEA" w:rsidP="00745FEA">
                  <w:pPr>
                    <w:pStyle w:val="TableBodyText"/>
                    <w:spacing w:after="0"/>
                    <w:ind w:left="227" w:right="0"/>
                    <w:jc w:val="left"/>
                  </w:pPr>
                  <w:r w:rsidRPr="00290F42">
                    <w:t>Victorian Innovation and Investment Fund - Ford Assistance</w:t>
                  </w:r>
                </w:p>
              </w:tc>
              <w:tc>
                <w:tcPr>
                  <w:tcW w:w="467" w:type="pct"/>
                  <w:vAlign w:val="bottom"/>
                </w:tcPr>
                <w:p w:rsidR="00745FEA" w:rsidRPr="00290F42" w:rsidRDefault="00745FEA" w:rsidP="00745FEA">
                  <w:pPr>
                    <w:pStyle w:val="TableBodyText"/>
                    <w:ind w:right="57"/>
                  </w:pPr>
                  <w:r w:rsidRPr="00EC1B0B">
                    <w:t>–</w:t>
                  </w:r>
                </w:p>
              </w:tc>
              <w:tc>
                <w:tcPr>
                  <w:tcW w:w="467" w:type="pct"/>
                  <w:vAlign w:val="bottom"/>
                </w:tcPr>
                <w:p w:rsidR="00745FEA" w:rsidRPr="00290F42" w:rsidRDefault="00745FEA" w:rsidP="00745FEA">
                  <w:pPr>
                    <w:pStyle w:val="TableBodyText"/>
                    <w:ind w:right="57"/>
                  </w:pPr>
                  <w:r w:rsidRPr="00EC1B0B">
                    <w:t>–</w:t>
                  </w:r>
                </w:p>
              </w:tc>
              <w:tc>
                <w:tcPr>
                  <w:tcW w:w="467" w:type="pct"/>
                  <w:vAlign w:val="bottom"/>
                </w:tcPr>
                <w:p w:rsidR="00745FEA" w:rsidRPr="00290F42" w:rsidRDefault="00745FEA" w:rsidP="00745FEA">
                  <w:pPr>
                    <w:pStyle w:val="TableBodyText"/>
                    <w:ind w:right="57"/>
                  </w:pPr>
                  <w:r w:rsidRPr="00EC1B0B">
                    <w:t>–</w:t>
                  </w:r>
                </w:p>
              </w:tc>
              <w:tc>
                <w:tcPr>
                  <w:tcW w:w="467" w:type="pct"/>
                  <w:vAlign w:val="bottom"/>
                </w:tcPr>
                <w:p w:rsidR="00745FEA" w:rsidRPr="00290F42" w:rsidRDefault="00745FEA" w:rsidP="00745FEA">
                  <w:pPr>
                    <w:pStyle w:val="TableBodyText"/>
                    <w:ind w:right="57"/>
                  </w:pPr>
                  <w:r w:rsidRPr="00EC1B0B">
                    <w:t>0.2</w:t>
                  </w:r>
                </w:p>
              </w:tc>
              <w:tc>
                <w:tcPr>
                  <w:tcW w:w="467" w:type="pct"/>
                  <w:shd w:val="clear" w:color="auto" w:fill="auto"/>
                  <w:vAlign w:val="bottom"/>
                </w:tcPr>
                <w:p w:rsidR="00745FEA" w:rsidRPr="00290F42" w:rsidRDefault="00745FEA" w:rsidP="00745FEA">
                  <w:pPr>
                    <w:pStyle w:val="TableBodyText"/>
                    <w:ind w:right="57"/>
                  </w:pPr>
                  <w:r w:rsidRPr="00EC1B0B">
                    <w:t>0.2</w:t>
                  </w:r>
                </w:p>
              </w:tc>
              <w:tc>
                <w:tcPr>
                  <w:tcW w:w="464" w:type="pct"/>
                  <w:shd w:val="clear" w:color="auto" w:fill="auto"/>
                  <w:vAlign w:val="bottom"/>
                </w:tcPr>
                <w:p w:rsidR="00745FEA" w:rsidRDefault="00745FEA" w:rsidP="00745FEA">
                  <w:pPr>
                    <w:pStyle w:val="TableBodyText"/>
                    <w:ind w:right="57"/>
                  </w:pPr>
                  <w:r w:rsidRPr="00EC1B0B">
                    <w:t>–</w:t>
                  </w:r>
                </w:p>
              </w:tc>
            </w:tr>
            <w:tr w:rsidR="00745FEA" w:rsidTr="00745FEA">
              <w:tc>
                <w:tcPr>
                  <w:tcW w:w="2201" w:type="pct"/>
                  <w:shd w:val="clear" w:color="auto" w:fill="auto"/>
                </w:tcPr>
                <w:p w:rsidR="00745FEA" w:rsidRPr="005F55A9" w:rsidRDefault="00745FEA" w:rsidP="00745FEA">
                  <w:pPr>
                    <w:pStyle w:val="TableBodyText"/>
                    <w:spacing w:before="40" w:after="0"/>
                    <w:ind w:left="113"/>
                    <w:jc w:val="left"/>
                    <w:rPr>
                      <w:i/>
                    </w:rPr>
                  </w:pPr>
                  <w:r w:rsidRPr="005F55A9">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Tr="00745FEA">
              <w:tc>
                <w:tcPr>
                  <w:tcW w:w="2201" w:type="pct"/>
                  <w:shd w:val="clear" w:color="auto" w:fill="auto"/>
                </w:tcPr>
                <w:p w:rsidR="00745FEA" w:rsidRPr="00A93508" w:rsidRDefault="00745FEA" w:rsidP="00745FEA">
                  <w:pPr>
                    <w:pStyle w:val="TableBodyText"/>
                    <w:spacing w:after="0"/>
                    <w:ind w:left="227" w:right="0"/>
                    <w:jc w:val="left"/>
                  </w:pPr>
                  <w:r w:rsidRPr="00A93508">
                    <w:t>Export Market Development Grants Scheme</w:t>
                  </w:r>
                </w:p>
              </w:tc>
              <w:tc>
                <w:tcPr>
                  <w:tcW w:w="467" w:type="pct"/>
                  <w:vAlign w:val="bottom"/>
                </w:tcPr>
                <w:p w:rsidR="00745FEA" w:rsidRPr="00A93508" w:rsidRDefault="00745FEA" w:rsidP="00745FEA">
                  <w:pPr>
                    <w:pStyle w:val="TableBodyText"/>
                    <w:ind w:right="57"/>
                  </w:pPr>
                  <w:r w:rsidRPr="00B33816">
                    <w:t>10.3</w:t>
                  </w:r>
                </w:p>
              </w:tc>
              <w:tc>
                <w:tcPr>
                  <w:tcW w:w="467" w:type="pct"/>
                  <w:vAlign w:val="bottom"/>
                </w:tcPr>
                <w:p w:rsidR="00745FEA" w:rsidRPr="00A93508" w:rsidRDefault="00745FEA" w:rsidP="00745FEA">
                  <w:pPr>
                    <w:pStyle w:val="TableBodyText"/>
                    <w:ind w:right="57"/>
                  </w:pPr>
                  <w:r w:rsidRPr="00B33816">
                    <w:t>10.6</w:t>
                  </w:r>
                </w:p>
              </w:tc>
              <w:tc>
                <w:tcPr>
                  <w:tcW w:w="467" w:type="pct"/>
                  <w:vAlign w:val="bottom"/>
                </w:tcPr>
                <w:p w:rsidR="00745FEA" w:rsidRPr="00A93508" w:rsidRDefault="00745FEA" w:rsidP="00745FEA">
                  <w:pPr>
                    <w:pStyle w:val="TableBodyText"/>
                    <w:ind w:right="57"/>
                  </w:pPr>
                  <w:r w:rsidRPr="00B33816">
                    <w:t>8.6</w:t>
                  </w:r>
                </w:p>
              </w:tc>
              <w:tc>
                <w:tcPr>
                  <w:tcW w:w="467" w:type="pct"/>
                  <w:vAlign w:val="bottom"/>
                </w:tcPr>
                <w:p w:rsidR="00745FEA" w:rsidRPr="00A93508" w:rsidRDefault="00745FEA" w:rsidP="00745FEA">
                  <w:pPr>
                    <w:pStyle w:val="TableBodyText"/>
                    <w:ind w:right="57"/>
                  </w:pPr>
                  <w:r w:rsidRPr="00B33816">
                    <w:t>10.9</w:t>
                  </w:r>
                </w:p>
              </w:tc>
              <w:tc>
                <w:tcPr>
                  <w:tcW w:w="467" w:type="pct"/>
                  <w:shd w:val="clear" w:color="auto" w:fill="auto"/>
                  <w:vAlign w:val="bottom"/>
                </w:tcPr>
                <w:p w:rsidR="00745FEA" w:rsidRPr="00A93508" w:rsidRDefault="00745FEA" w:rsidP="00745FEA">
                  <w:pPr>
                    <w:pStyle w:val="TableBodyText"/>
                    <w:ind w:right="57"/>
                  </w:pPr>
                  <w:r w:rsidRPr="00B33816">
                    <w:t>10.8</w:t>
                  </w:r>
                </w:p>
              </w:tc>
              <w:tc>
                <w:tcPr>
                  <w:tcW w:w="464" w:type="pct"/>
                  <w:shd w:val="clear" w:color="auto" w:fill="auto"/>
                  <w:vAlign w:val="bottom"/>
                </w:tcPr>
                <w:p w:rsidR="00745FEA" w:rsidRPr="00A93508" w:rsidRDefault="00745FEA" w:rsidP="00745FEA">
                  <w:pPr>
                    <w:pStyle w:val="TableBodyText"/>
                    <w:ind w:right="57"/>
                  </w:pPr>
                  <w:r w:rsidRPr="00B33816">
                    <w:t>11.0</w:t>
                  </w:r>
                </w:p>
              </w:tc>
            </w:tr>
            <w:tr w:rsidR="00745FEA" w:rsidTr="00745FEA">
              <w:tc>
                <w:tcPr>
                  <w:tcW w:w="2201" w:type="pct"/>
                  <w:shd w:val="clear" w:color="auto" w:fill="auto"/>
                </w:tcPr>
                <w:p w:rsidR="00745FEA" w:rsidRPr="00A93508" w:rsidRDefault="00745FEA" w:rsidP="00745FEA">
                  <w:pPr>
                    <w:pStyle w:val="TableBodyText"/>
                    <w:spacing w:after="0"/>
                    <w:ind w:left="227" w:right="0"/>
                    <w:jc w:val="left"/>
                  </w:pPr>
                  <w:r w:rsidRPr="00A93508">
                    <w:t>TRADEX</w:t>
                  </w:r>
                </w:p>
              </w:tc>
              <w:tc>
                <w:tcPr>
                  <w:tcW w:w="467" w:type="pct"/>
                  <w:vAlign w:val="bottom"/>
                </w:tcPr>
                <w:p w:rsidR="00745FEA" w:rsidRPr="00A93508" w:rsidRDefault="00745FEA" w:rsidP="00745FEA">
                  <w:pPr>
                    <w:pStyle w:val="TableBodyText"/>
                    <w:ind w:right="57"/>
                  </w:pPr>
                  <w:r w:rsidRPr="00B33816">
                    <w:t>1.8</w:t>
                  </w:r>
                </w:p>
              </w:tc>
              <w:tc>
                <w:tcPr>
                  <w:tcW w:w="467" w:type="pct"/>
                  <w:vAlign w:val="bottom"/>
                </w:tcPr>
                <w:p w:rsidR="00745FEA" w:rsidRPr="00A93508" w:rsidRDefault="00745FEA" w:rsidP="00745FEA">
                  <w:pPr>
                    <w:pStyle w:val="TableBodyText"/>
                    <w:ind w:right="57"/>
                  </w:pPr>
                  <w:r w:rsidRPr="00B33816">
                    <w:t>1.9</w:t>
                  </w:r>
                </w:p>
              </w:tc>
              <w:tc>
                <w:tcPr>
                  <w:tcW w:w="467" w:type="pct"/>
                  <w:vAlign w:val="bottom"/>
                </w:tcPr>
                <w:p w:rsidR="00745FEA" w:rsidRPr="00A93508" w:rsidRDefault="00745FEA" w:rsidP="00745FEA">
                  <w:pPr>
                    <w:pStyle w:val="TableBodyText"/>
                    <w:ind w:right="57"/>
                  </w:pPr>
                  <w:r w:rsidRPr="00B33816">
                    <w:t>1.9</w:t>
                  </w:r>
                </w:p>
              </w:tc>
              <w:tc>
                <w:tcPr>
                  <w:tcW w:w="467" w:type="pct"/>
                  <w:vAlign w:val="bottom"/>
                </w:tcPr>
                <w:p w:rsidR="00745FEA" w:rsidRPr="00A93508" w:rsidRDefault="00745FEA" w:rsidP="00745FEA">
                  <w:pPr>
                    <w:pStyle w:val="TableBodyText"/>
                    <w:ind w:right="57"/>
                  </w:pPr>
                  <w:r w:rsidRPr="00B33816">
                    <w:t>2.0</w:t>
                  </w:r>
                </w:p>
              </w:tc>
              <w:tc>
                <w:tcPr>
                  <w:tcW w:w="467" w:type="pct"/>
                  <w:shd w:val="clear" w:color="auto" w:fill="auto"/>
                  <w:vAlign w:val="bottom"/>
                </w:tcPr>
                <w:p w:rsidR="00745FEA" w:rsidRPr="00A93508" w:rsidRDefault="00745FEA" w:rsidP="00745FEA">
                  <w:pPr>
                    <w:pStyle w:val="TableBodyText"/>
                    <w:ind w:right="57"/>
                  </w:pPr>
                  <w:r w:rsidRPr="00B33816">
                    <w:t>2.3</w:t>
                  </w:r>
                </w:p>
              </w:tc>
              <w:tc>
                <w:tcPr>
                  <w:tcW w:w="464" w:type="pct"/>
                  <w:shd w:val="clear" w:color="auto" w:fill="auto"/>
                  <w:vAlign w:val="bottom"/>
                </w:tcPr>
                <w:p w:rsidR="00745FEA" w:rsidRDefault="00745FEA" w:rsidP="00745FEA">
                  <w:pPr>
                    <w:pStyle w:val="TableBodyText"/>
                    <w:ind w:right="57"/>
                  </w:pPr>
                  <w:r w:rsidRPr="00B33816">
                    <w:t>2.1</w:t>
                  </w:r>
                </w:p>
              </w:tc>
            </w:tr>
            <w:tr w:rsidR="00745FEA" w:rsidTr="00745FEA">
              <w:tc>
                <w:tcPr>
                  <w:tcW w:w="2201" w:type="pct"/>
                  <w:shd w:val="clear" w:color="auto" w:fill="auto"/>
                </w:tcPr>
                <w:p w:rsidR="00745FEA" w:rsidRPr="005F55A9" w:rsidRDefault="00745FEA" w:rsidP="00745FEA">
                  <w:pPr>
                    <w:pStyle w:val="TableBodyText"/>
                    <w:spacing w:before="40" w:after="0"/>
                    <w:ind w:left="113"/>
                    <w:jc w:val="left"/>
                    <w:rPr>
                      <w:i/>
                    </w:rPr>
                  </w:pPr>
                  <w:r w:rsidRPr="005F55A9">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rsidRPr="005C6BA5">
                    <w:t>Commercialisation Australia</w:t>
                  </w:r>
                </w:p>
              </w:tc>
              <w:tc>
                <w:tcPr>
                  <w:tcW w:w="467" w:type="pct"/>
                  <w:vAlign w:val="bottom"/>
                </w:tcPr>
                <w:p w:rsidR="00745FEA" w:rsidRPr="005C6BA5" w:rsidRDefault="00745FEA" w:rsidP="00745FEA">
                  <w:pPr>
                    <w:pStyle w:val="TableBodyText"/>
                    <w:ind w:right="57"/>
                  </w:pPr>
                  <w:r w:rsidRPr="00E1009B">
                    <w:t>1.8</w:t>
                  </w:r>
                </w:p>
              </w:tc>
              <w:tc>
                <w:tcPr>
                  <w:tcW w:w="467" w:type="pct"/>
                  <w:vAlign w:val="bottom"/>
                </w:tcPr>
                <w:p w:rsidR="00745FEA" w:rsidRPr="005C6BA5" w:rsidRDefault="00745FEA" w:rsidP="00745FEA">
                  <w:pPr>
                    <w:pStyle w:val="TableBodyText"/>
                    <w:ind w:right="57"/>
                  </w:pPr>
                  <w:r w:rsidRPr="00E1009B">
                    <w:t>0.8</w:t>
                  </w:r>
                </w:p>
              </w:tc>
              <w:tc>
                <w:tcPr>
                  <w:tcW w:w="467" w:type="pct"/>
                  <w:vAlign w:val="bottom"/>
                </w:tcPr>
                <w:p w:rsidR="00745FEA" w:rsidRPr="005C6BA5" w:rsidRDefault="00745FEA" w:rsidP="00745FEA">
                  <w:pPr>
                    <w:pStyle w:val="TableBodyText"/>
                    <w:ind w:right="57"/>
                  </w:pPr>
                  <w:r w:rsidRPr="00E1009B">
                    <w:t>0.5</w:t>
                  </w:r>
                </w:p>
              </w:tc>
              <w:tc>
                <w:tcPr>
                  <w:tcW w:w="467" w:type="pct"/>
                  <w:vAlign w:val="bottom"/>
                </w:tcPr>
                <w:p w:rsidR="00745FEA" w:rsidRPr="005C6BA5" w:rsidRDefault="00745FEA" w:rsidP="00745FEA">
                  <w:pPr>
                    <w:pStyle w:val="TableBodyText"/>
                    <w:ind w:right="57"/>
                  </w:pPr>
                  <w:r w:rsidRPr="00E1009B">
                    <w:t>0.1</w:t>
                  </w:r>
                </w:p>
              </w:tc>
              <w:tc>
                <w:tcPr>
                  <w:tcW w:w="467" w:type="pct"/>
                  <w:shd w:val="clear" w:color="auto" w:fill="auto"/>
                  <w:vAlign w:val="bottom"/>
                </w:tcPr>
                <w:p w:rsidR="00745FEA" w:rsidRPr="005C6BA5" w:rsidRDefault="00745FEA" w:rsidP="00745FEA">
                  <w:pPr>
                    <w:pStyle w:val="TableBodyText"/>
                    <w:ind w:right="57"/>
                  </w:pPr>
                  <w:r w:rsidRPr="00E1009B">
                    <w:t>–</w:t>
                  </w:r>
                </w:p>
              </w:tc>
              <w:tc>
                <w:tcPr>
                  <w:tcW w:w="464" w:type="pct"/>
                  <w:shd w:val="clear" w:color="auto" w:fill="auto"/>
                  <w:vAlign w:val="bottom"/>
                </w:tcPr>
                <w:p w:rsidR="00745FEA" w:rsidRPr="005C6BA5" w:rsidRDefault="00745FEA" w:rsidP="00745FEA">
                  <w:pPr>
                    <w:pStyle w:val="TableBodyText"/>
                    <w:ind w:right="57"/>
                  </w:pPr>
                  <w:r w:rsidRPr="00E1009B">
                    <w:t>–</w:t>
                  </w: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rsidRPr="005C6BA5">
                    <w:t>Clean Business Australia - Climate Ready Program</w:t>
                  </w:r>
                </w:p>
              </w:tc>
              <w:tc>
                <w:tcPr>
                  <w:tcW w:w="467" w:type="pct"/>
                  <w:vAlign w:val="bottom"/>
                </w:tcPr>
                <w:p w:rsidR="00745FEA" w:rsidRPr="005C6BA5" w:rsidRDefault="00745FEA" w:rsidP="00745FEA">
                  <w:pPr>
                    <w:pStyle w:val="TableBodyText"/>
                    <w:ind w:right="57"/>
                  </w:pPr>
                  <w:r w:rsidRPr="00E1009B">
                    <w:t>0.1</w:t>
                  </w:r>
                </w:p>
              </w:tc>
              <w:tc>
                <w:tcPr>
                  <w:tcW w:w="467" w:type="pct"/>
                  <w:vAlign w:val="bottom"/>
                </w:tcPr>
                <w:p w:rsidR="00745FEA" w:rsidRPr="005C6BA5" w:rsidRDefault="00745FEA" w:rsidP="00745FEA">
                  <w:pPr>
                    <w:pStyle w:val="TableBodyText"/>
                    <w:ind w:right="57"/>
                  </w:pPr>
                  <w:r w:rsidRPr="00E1009B">
                    <w:t>–</w:t>
                  </w:r>
                </w:p>
              </w:tc>
              <w:tc>
                <w:tcPr>
                  <w:tcW w:w="467" w:type="pct"/>
                  <w:vAlign w:val="bottom"/>
                </w:tcPr>
                <w:p w:rsidR="00745FEA" w:rsidRPr="005C6BA5" w:rsidRDefault="00745FEA" w:rsidP="00745FEA">
                  <w:pPr>
                    <w:pStyle w:val="TableBodyText"/>
                    <w:ind w:right="57"/>
                  </w:pPr>
                  <w:r w:rsidRPr="00E1009B">
                    <w:t>–</w:t>
                  </w:r>
                </w:p>
              </w:tc>
              <w:tc>
                <w:tcPr>
                  <w:tcW w:w="467" w:type="pct"/>
                  <w:vAlign w:val="bottom"/>
                </w:tcPr>
                <w:p w:rsidR="00745FEA" w:rsidRPr="005C6BA5" w:rsidRDefault="00745FEA" w:rsidP="00745FEA">
                  <w:pPr>
                    <w:pStyle w:val="TableBodyText"/>
                    <w:ind w:right="57"/>
                  </w:pPr>
                  <w:r w:rsidRPr="00E1009B">
                    <w:t>–</w:t>
                  </w:r>
                </w:p>
              </w:tc>
              <w:tc>
                <w:tcPr>
                  <w:tcW w:w="467" w:type="pct"/>
                  <w:shd w:val="clear" w:color="auto" w:fill="auto"/>
                  <w:vAlign w:val="bottom"/>
                </w:tcPr>
                <w:p w:rsidR="00745FEA" w:rsidRPr="005C6BA5" w:rsidRDefault="00745FEA" w:rsidP="00745FEA">
                  <w:pPr>
                    <w:pStyle w:val="TableBodyText"/>
                    <w:ind w:right="57"/>
                  </w:pPr>
                  <w:r w:rsidRPr="00E1009B">
                    <w:t>–</w:t>
                  </w:r>
                </w:p>
              </w:tc>
              <w:tc>
                <w:tcPr>
                  <w:tcW w:w="464" w:type="pct"/>
                  <w:shd w:val="clear" w:color="auto" w:fill="auto"/>
                  <w:vAlign w:val="bottom"/>
                </w:tcPr>
                <w:p w:rsidR="00745FEA" w:rsidRPr="005C6BA5" w:rsidRDefault="00745FEA" w:rsidP="00745FEA">
                  <w:pPr>
                    <w:pStyle w:val="TableBodyText"/>
                    <w:ind w:right="57"/>
                  </w:pPr>
                  <w:r w:rsidRPr="00E1009B">
                    <w:t>–</w:t>
                  </w: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rsidRPr="005C6BA5">
                    <w:t>R&amp;D Tax Incentive - refundable tax offset</w:t>
                  </w:r>
                </w:p>
              </w:tc>
              <w:tc>
                <w:tcPr>
                  <w:tcW w:w="467" w:type="pct"/>
                  <w:vAlign w:val="bottom"/>
                </w:tcPr>
                <w:p w:rsidR="00745FEA" w:rsidRPr="005C6BA5" w:rsidRDefault="00745FEA" w:rsidP="00745FEA">
                  <w:pPr>
                    <w:pStyle w:val="TableBodyText"/>
                    <w:ind w:right="57"/>
                  </w:pPr>
                  <w:r w:rsidRPr="00E1009B">
                    <w:t>–</w:t>
                  </w:r>
                </w:p>
              </w:tc>
              <w:tc>
                <w:tcPr>
                  <w:tcW w:w="467" w:type="pct"/>
                  <w:vAlign w:val="bottom"/>
                </w:tcPr>
                <w:p w:rsidR="00745FEA" w:rsidRPr="005C6BA5" w:rsidRDefault="00745FEA" w:rsidP="00745FEA">
                  <w:pPr>
                    <w:pStyle w:val="TableBodyText"/>
                    <w:ind w:right="57"/>
                  </w:pPr>
                  <w:r w:rsidRPr="00E1009B">
                    <w:t>53.3</w:t>
                  </w:r>
                </w:p>
              </w:tc>
              <w:tc>
                <w:tcPr>
                  <w:tcW w:w="467" w:type="pct"/>
                  <w:vAlign w:val="bottom"/>
                </w:tcPr>
                <w:p w:rsidR="00745FEA" w:rsidRPr="005C6BA5" w:rsidRDefault="00745FEA" w:rsidP="00745FEA">
                  <w:pPr>
                    <w:pStyle w:val="TableBodyText"/>
                    <w:ind w:right="57"/>
                  </w:pPr>
                  <w:r w:rsidRPr="00E1009B">
                    <w:t>51.6</w:t>
                  </w:r>
                </w:p>
              </w:tc>
              <w:tc>
                <w:tcPr>
                  <w:tcW w:w="467" w:type="pct"/>
                  <w:vAlign w:val="bottom"/>
                </w:tcPr>
                <w:p w:rsidR="00745FEA" w:rsidRPr="005C6BA5" w:rsidRDefault="00745FEA" w:rsidP="00745FEA">
                  <w:pPr>
                    <w:pStyle w:val="TableBodyText"/>
                    <w:ind w:right="57"/>
                  </w:pPr>
                  <w:r w:rsidRPr="00E1009B">
                    <w:t>69.0</w:t>
                  </w:r>
                </w:p>
              </w:tc>
              <w:tc>
                <w:tcPr>
                  <w:tcW w:w="467" w:type="pct"/>
                  <w:shd w:val="clear" w:color="auto" w:fill="auto"/>
                  <w:vAlign w:val="bottom"/>
                </w:tcPr>
                <w:p w:rsidR="00745FEA" w:rsidRPr="005C6BA5" w:rsidRDefault="00745FEA" w:rsidP="00745FEA">
                  <w:pPr>
                    <w:pStyle w:val="TableBodyText"/>
                    <w:ind w:right="57"/>
                  </w:pPr>
                  <w:r w:rsidRPr="00E1009B">
                    <w:t>73.4</w:t>
                  </w:r>
                </w:p>
              </w:tc>
              <w:tc>
                <w:tcPr>
                  <w:tcW w:w="464" w:type="pct"/>
                  <w:shd w:val="clear" w:color="auto" w:fill="auto"/>
                  <w:vAlign w:val="bottom"/>
                </w:tcPr>
                <w:p w:rsidR="00745FEA" w:rsidRPr="005C6BA5" w:rsidRDefault="00745FEA" w:rsidP="00745FEA">
                  <w:pPr>
                    <w:pStyle w:val="TableBodyText"/>
                    <w:ind w:right="57"/>
                  </w:pPr>
                  <w:r w:rsidRPr="00E1009B">
                    <w:t>88.8</w:t>
                  </w: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rsidRPr="005C6BA5">
                    <w:t>R&amp;D tax offsets - Refundable</w:t>
                  </w:r>
                </w:p>
              </w:tc>
              <w:tc>
                <w:tcPr>
                  <w:tcW w:w="467" w:type="pct"/>
                  <w:vAlign w:val="bottom"/>
                </w:tcPr>
                <w:p w:rsidR="00745FEA" w:rsidRPr="005C6BA5" w:rsidRDefault="00745FEA" w:rsidP="00745FEA">
                  <w:pPr>
                    <w:pStyle w:val="TableBodyText"/>
                    <w:ind w:right="57"/>
                  </w:pPr>
                  <w:r w:rsidRPr="00E1009B">
                    <w:t>25.9</w:t>
                  </w:r>
                </w:p>
              </w:tc>
              <w:tc>
                <w:tcPr>
                  <w:tcW w:w="467" w:type="pct"/>
                  <w:vAlign w:val="bottom"/>
                </w:tcPr>
                <w:p w:rsidR="00745FEA" w:rsidRPr="005C6BA5" w:rsidRDefault="00745FEA" w:rsidP="00745FEA">
                  <w:pPr>
                    <w:pStyle w:val="TableBodyText"/>
                    <w:ind w:right="57"/>
                  </w:pPr>
                  <w:r w:rsidRPr="00E1009B">
                    <w:t>–</w:t>
                  </w:r>
                </w:p>
              </w:tc>
              <w:tc>
                <w:tcPr>
                  <w:tcW w:w="467" w:type="pct"/>
                  <w:vAlign w:val="bottom"/>
                </w:tcPr>
                <w:p w:rsidR="00745FEA" w:rsidRPr="005C6BA5" w:rsidRDefault="00745FEA" w:rsidP="00745FEA">
                  <w:pPr>
                    <w:pStyle w:val="TableBodyText"/>
                    <w:ind w:right="57"/>
                  </w:pPr>
                  <w:r w:rsidRPr="00E1009B">
                    <w:t>–</w:t>
                  </w:r>
                </w:p>
              </w:tc>
              <w:tc>
                <w:tcPr>
                  <w:tcW w:w="467" w:type="pct"/>
                  <w:vAlign w:val="bottom"/>
                </w:tcPr>
                <w:p w:rsidR="00745FEA" w:rsidRPr="005C6BA5" w:rsidRDefault="00745FEA" w:rsidP="00745FEA">
                  <w:pPr>
                    <w:pStyle w:val="TableBodyText"/>
                    <w:ind w:right="57"/>
                  </w:pPr>
                  <w:r w:rsidRPr="00E1009B">
                    <w:t>–</w:t>
                  </w:r>
                </w:p>
              </w:tc>
              <w:tc>
                <w:tcPr>
                  <w:tcW w:w="467" w:type="pct"/>
                  <w:shd w:val="clear" w:color="auto" w:fill="auto"/>
                  <w:vAlign w:val="bottom"/>
                </w:tcPr>
                <w:p w:rsidR="00745FEA" w:rsidRPr="005C6BA5" w:rsidRDefault="00745FEA" w:rsidP="00745FEA">
                  <w:pPr>
                    <w:pStyle w:val="TableBodyText"/>
                    <w:ind w:right="57"/>
                  </w:pPr>
                  <w:r w:rsidRPr="00E1009B">
                    <w:t>–</w:t>
                  </w:r>
                </w:p>
              </w:tc>
              <w:tc>
                <w:tcPr>
                  <w:tcW w:w="464" w:type="pct"/>
                  <w:shd w:val="clear" w:color="auto" w:fill="auto"/>
                  <w:vAlign w:val="bottom"/>
                </w:tcPr>
                <w:p w:rsidR="00745FEA" w:rsidRPr="005C6BA5" w:rsidRDefault="00745FEA" w:rsidP="00745FEA">
                  <w:pPr>
                    <w:pStyle w:val="TableBodyText"/>
                    <w:ind w:right="57"/>
                  </w:pPr>
                  <w:r w:rsidRPr="00E1009B">
                    <w:t>–</w:t>
                  </w: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rsidRPr="005C6BA5">
                    <w:t>Premium R&amp;D tax concession</w:t>
                  </w:r>
                </w:p>
              </w:tc>
              <w:tc>
                <w:tcPr>
                  <w:tcW w:w="467" w:type="pct"/>
                  <w:vAlign w:val="bottom"/>
                </w:tcPr>
                <w:p w:rsidR="00745FEA" w:rsidRPr="005C6BA5" w:rsidRDefault="00745FEA" w:rsidP="00745FEA">
                  <w:pPr>
                    <w:pStyle w:val="TableBodyText"/>
                    <w:ind w:right="57"/>
                  </w:pPr>
                  <w:r w:rsidRPr="00E1009B">
                    <w:t>31.5</w:t>
                  </w:r>
                </w:p>
              </w:tc>
              <w:tc>
                <w:tcPr>
                  <w:tcW w:w="467" w:type="pct"/>
                  <w:vAlign w:val="bottom"/>
                </w:tcPr>
                <w:p w:rsidR="00745FEA" w:rsidRPr="005C6BA5" w:rsidRDefault="00745FEA" w:rsidP="00745FEA">
                  <w:pPr>
                    <w:pStyle w:val="TableBodyText"/>
                    <w:ind w:right="57"/>
                  </w:pPr>
                  <w:r w:rsidRPr="00E1009B">
                    <w:t>8.6</w:t>
                  </w:r>
                </w:p>
              </w:tc>
              <w:tc>
                <w:tcPr>
                  <w:tcW w:w="467" w:type="pct"/>
                  <w:vAlign w:val="bottom"/>
                </w:tcPr>
                <w:p w:rsidR="00745FEA" w:rsidRPr="005C6BA5" w:rsidRDefault="00745FEA" w:rsidP="00745FEA">
                  <w:pPr>
                    <w:pStyle w:val="TableBodyText"/>
                    <w:ind w:right="57"/>
                  </w:pPr>
                  <w:r w:rsidRPr="00E1009B">
                    <w:t>3.6</w:t>
                  </w:r>
                </w:p>
              </w:tc>
              <w:tc>
                <w:tcPr>
                  <w:tcW w:w="467" w:type="pct"/>
                  <w:vAlign w:val="bottom"/>
                </w:tcPr>
                <w:p w:rsidR="00745FEA" w:rsidRPr="005C6BA5" w:rsidRDefault="00745FEA" w:rsidP="00745FEA">
                  <w:pPr>
                    <w:pStyle w:val="TableBodyText"/>
                    <w:ind w:right="57"/>
                  </w:pPr>
                  <w:r w:rsidRPr="00E1009B">
                    <w:t>–</w:t>
                  </w:r>
                </w:p>
              </w:tc>
              <w:tc>
                <w:tcPr>
                  <w:tcW w:w="467" w:type="pct"/>
                  <w:shd w:val="clear" w:color="auto" w:fill="auto"/>
                  <w:vAlign w:val="bottom"/>
                </w:tcPr>
                <w:p w:rsidR="00745FEA" w:rsidRPr="005C6BA5" w:rsidRDefault="00745FEA" w:rsidP="00745FEA">
                  <w:pPr>
                    <w:pStyle w:val="TableBodyText"/>
                    <w:ind w:right="57"/>
                  </w:pPr>
                  <w:r w:rsidRPr="00E1009B">
                    <w:t>–</w:t>
                  </w:r>
                </w:p>
              </w:tc>
              <w:tc>
                <w:tcPr>
                  <w:tcW w:w="464" w:type="pct"/>
                  <w:shd w:val="clear" w:color="auto" w:fill="auto"/>
                  <w:vAlign w:val="bottom"/>
                </w:tcPr>
                <w:p w:rsidR="00745FEA" w:rsidRPr="005C6BA5" w:rsidRDefault="00745FEA" w:rsidP="00745FEA">
                  <w:pPr>
                    <w:pStyle w:val="TableBodyText"/>
                    <w:ind w:right="57"/>
                  </w:pPr>
                  <w:r w:rsidRPr="00E1009B">
                    <w:t>–</w:t>
                  </w: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rsidRPr="005C6BA5">
                    <w:t>R&amp;D tax concession</w:t>
                  </w:r>
                </w:p>
              </w:tc>
              <w:tc>
                <w:tcPr>
                  <w:tcW w:w="467" w:type="pct"/>
                  <w:vAlign w:val="bottom"/>
                </w:tcPr>
                <w:p w:rsidR="00745FEA" w:rsidRPr="005C6BA5" w:rsidRDefault="00745FEA" w:rsidP="00745FEA">
                  <w:pPr>
                    <w:pStyle w:val="TableBodyText"/>
                    <w:ind w:right="57"/>
                  </w:pPr>
                  <w:r w:rsidRPr="00E1009B">
                    <w:t>91.7</w:t>
                  </w:r>
                </w:p>
              </w:tc>
              <w:tc>
                <w:tcPr>
                  <w:tcW w:w="467" w:type="pct"/>
                  <w:vAlign w:val="bottom"/>
                </w:tcPr>
                <w:p w:rsidR="00745FEA" w:rsidRPr="005C6BA5" w:rsidRDefault="00745FEA" w:rsidP="00745FEA">
                  <w:pPr>
                    <w:pStyle w:val="TableBodyText"/>
                    <w:ind w:right="57"/>
                  </w:pPr>
                  <w:r w:rsidRPr="00E1009B">
                    <w:t>41.0</w:t>
                  </w:r>
                </w:p>
              </w:tc>
              <w:tc>
                <w:tcPr>
                  <w:tcW w:w="467" w:type="pct"/>
                  <w:vAlign w:val="bottom"/>
                </w:tcPr>
                <w:p w:rsidR="00745FEA" w:rsidRPr="005C6BA5" w:rsidRDefault="00745FEA" w:rsidP="00745FEA">
                  <w:pPr>
                    <w:pStyle w:val="TableBodyText"/>
                    <w:ind w:right="57"/>
                  </w:pPr>
                  <w:r w:rsidRPr="00E1009B">
                    <w:t>13.9</w:t>
                  </w:r>
                </w:p>
              </w:tc>
              <w:tc>
                <w:tcPr>
                  <w:tcW w:w="467" w:type="pct"/>
                  <w:vAlign w:val="bottom"/>
                </w:tcPr>
                <w:p w:rsidR="00745FEA" w:rsidRPr="005C6BA5" w:rsidRDefault="00745FEA" w:rsidP="00745FEA">
                  <w:pPr>
                    <w:pStyle w:val="TableBodyText"/>
                    <w:ind w:right="57"/>
                  </w:pPr>
                  <w:r w:rsidRPr="00E1009B">
                    <w:t>2.5</w:t>
                  </w:r>
                </w:p>
              </w:tc>
              <w:tc>
                <w:tcPr>
                  <w:tcW w:w="467" w:type="pct"/>
                  <w:shd w:val="clear" w:color="auto" w:fill="auto"/>
                  <w:vAlign w:val="bottom"/>
                </w:tcPr>
                <w:p w:rsidR="00745FEA" w:rsidRPr="005C6BA5" w:rsidRDefault="00745FEA" w:rsidP="00745FEA">
                  <w:pPr>
                    <w:pStyle w:val="TableBodyText"/>
                    <w:ind w:right="57"/>
                  </w:pPr>
                  <w:r w:rsidRPr="00E1009B">
                    <w:t>–</w:t>
                  </w:r>
                </w:p>
              </w:tc>
              <w:tc>
                <w:tcPr>
                  <w:tcW w:w="464" w:type="pct"/>
                  <w:shd w:val="clear" w:color="auto" w:fill="auto"/>
                  <w:vAlign w:val="bottom"/>
                </w:tcPr>
                <w:p w:rsidR="00745FEA" w:rsidRPr="005C6BA5" w:rsidRDefault="00745FEA" w:rsidP="00745FEA">
                  <w:pPr>
                    <w:pStyle w:val="TableBodyText"/>
                    <w:ind w:right="57"/>
                  </w:pPr>
                  <w:r w:rsidRPr="00E1009B">
                    <w:t>–</w:t>
                  </w:r>
                </w:p>
              </w:tc>
            </w:tr>
            <w:tr w:rsidR="00745FEA" w:rsidTr="00745FEA">
              <w:tc>
                <w:tcPr>
                  <w:tcW w:w="2201" w:type="pct"/>
                  <w:shd w:val="clear" w:color="auto" w:fill="auto"/>
                </w:tcPr>
                <w:p w:rsidR="00745FEA" w:rsidRPr="005C6BA5" w:rsidRDefault="00745FEA" w:rsidP="00745FEA">
                  <w:pPr>
                    <w:pStyle w:val="TableBodyText"/>
                    <w:spacing w:after="0"/>
                    <w:ind w:left="227" w:right="0"/>
                    <w:jc w:val="left"/>
                  </w:pPr>
                  <w:r>
                    <w:t>R&amp;D Tax Incentive – non-refundable tax offset</w:t>
                  </w:r>
                </w:p>
              </w:tc>
              <w:tc>
                <w:tcPr>
                  <w:tcW w:w="467" w:type="pct"/>
                  <w:vAlign w:val="bottom"/>
                </w:tcPr>
                <w:p w:rsidR="00745FEA" w:rsidRPr="005C6BA5" w:rsidRDefault="00745FEA" w:rsidP="00745FEA">
                  <w:pPr>
                    <w:pStyle w:val="TableBodyText"/>
                    <w:ind w:right="57"/>
                  </w:pPr>
                  <w:r w:rsidRPr="00E1009B">
                    <w:t>–</w:t>
                  </w:r>
                </w:p>
              </w:tc>
              <w:tc>
                <w:tcPr>
                  <w:tcW w:w="467" w:type="pct"/>
                  <w:vAlign w:val="bottom"/>
                </w:tcPr>
                <w:p w:rsidR="00745FEA" w:rsidRPr="005C6BA5" w:rsidRDefault="00745FEA" w:rsidP="00745FEA">
                  <w:pPr>
                    <w:pStyle w:val="TableBodyText"/>
                    <w:ind w:right="57"/>
                  </w:pPr>
                  <w:r w:rsidRPr="00E1009B">
                    <w:t>27.1</w:t>
                  </w:r>
                </w:p>
              </w:tc>
              <w:tc>
                <w:tcPr>
                  <w:tcW w:w="467" w:type="pct"/>
                  <w:vAlign w:val="bottom"/>
                </w:tcPr>
                <w:p w:rsidR="00745FEA" w:rsidRPr="005C6BA5" w:rsidRDefault="00745FEA" w:rsidP="00745FEA">
                  <w:pPr>
                    <w:pStyle w:val="TableBodyText"/>
                    <w:ind w:right="57"/>
                  </w:pPr>
                  <w:r w:rsidRPr="00E1009B">
                    <w:t>59.7</w:t>
                  </w:r>
                </w:p>
              </w:tc>
              <w:tc>
                <w:tcPr>
                  <w:tcW w:w="467" w:type="pct"/>
                  <w:vAlign w:val="bottom"/>
                </w:tcPr>
                <w:p w:rsidR="00745FEA" w:rsidRPr="005C6BA5" w:rsidRDefault="00745FEA" w:rsidP="00745FEA">
                  <w:pPr>
                    <w:pStyle w:val="TableBodyText"/>
                    <w:ind w:right="57"/>
                  </w:pPr>
                  <w:r w:rsidRPr="00E1009B">
                    <w:t>75.4</w:t>
                  </w:r>
                </w:p>
              </w:tc>
              <w:tc>
                <w:tcPr>
                  <w:tcW w:w="467" w:type="pct"/>
                  <w:shd w:val="clear" w:color="auto" w:fill="auto"/>
                  <w:vAlign w:val="bottom"/>
                </w:tcPr>
                <w:p w:rsidR="00745FEA" w:rsidRPr="005C6BA5" w:rsidRDefault="00745FEA" w:rsidP="00745FEA">
                  <w:pPr>
                    <w:pStyle w:val="TableBodyText"/>
                    <w:ind w:right="57"/>
                  </w:pPr>
                  <w:r w:rsidRPr="00E1009B">
                    <w:t>47.2</w:t>
                  </w:r>
                </w:p>
              </w:tc>
              <w:tc>
                <w:tcPr>
                  <w:tcW w:w="464" w:type="pct"/>
                  <w:shd w:val="clear" w:color="auto" w:fill="auto"/>
                  <w:vAlign w:val="bottom"/>
                </w:tcPr>
                <w:p w:rsidR="00745FEA" w:rsidRPr="005C6BA5" w:rsidRDefault="00745FEA" w:rsidP="00745FEA">
                  <w:pPr>
                    <w:pStyle w:val="TableBodyText"/>
                    <w:ind w:right="57"/>
                  </w:pPr>
                  <w:r w:rsidRPr="00E1009B">
                    <w:t>49.0</w:t>
                  </w:r>
                </w:p>
              </w:tc>
            </w:tr>
            <w:tr w:rsidR="00745FEA" w:rsidRPr="00527B68" w:rsidTr="00745FEA">
              <w:tc>
                <w:tcPr>
                  <w:tcW w:w="2201" w:type="pct"/>
                </w:tcPr>
                <w:p w:rsidR="00745FEA" w:rsidRPr="00527B68" w:rsidRDefault="00745FEA" w:rsidP="00745FEA">
                  <w:pPr>
                    <w:pStyle w:val="TableUnitsRow"/>
                    <w:spacing w:after="0"/>
                    <w:ind w:left="113"/>
                    <w:jc w:val="left"/>
                    <w:rPr>
                      <w:i/>
                    </w:rPr>
                  </w:pPr>
                  <w:r w:rsidRPr="00527B68">
                    <w:rPr>
                      <w:i/>
                    </w:rPr>
                    <w:t>Other measures</w:t>
                  </w:r>
                </w:p>
              </w:tc>
              <w:tc>
                <w:tcPr>
                  <w:tcW w:w="467" w:type="pct"/>
                  <w:vAlign w:val="bottom"/>
                </w:tcPr>
                <w:p w:rsidR="00745FEA" w:rsidRPr="00527B68" w:rsidRDefault="00745FEA" w:rsidP="00745FEA">
                  <w:pPr>
                    <w:pStyle w:val="TableBodyText"/>
                    <w:ind w:right="57"/>
                    <w:rPr>
                      <w:i/>
                    </w:rPr>
                  </w:pPr>
                </w:p>
              </w:tc>
              <w:tc>
                <w:tcPr>
                  <w:tcW w:w="467" w:type="pct"/>
                  <w:vAlign w:val="bottom"/>
                </w:tcPr>
                <w:p w:rsidR="00745FEA" w:rsidRPr="00527B68" w:rsidRDefault="00745FEA" w:rsidP="00745FEA">
                  <w:pPr>
                    <w:pStyle w:val="TableBodyText"/>
                    <w:ind w:right="57"/>
                    <w:rPr>
                      <w:i/>
                    </w:rPr>
                  </w:pPr>
                </w:p>
              </w:tc>
              <w:tc>
                <w:tcPr>
                  <w:tcW w:w="467" w:type="pct"/>
                  <w:vAlign w:val="bottom"/>
                </w:tcPr>
                <w:p w:rsidR="00745FEA" w:rsidRPr="00527B68" w:rsidRDefault="00745FEA" w:rsidP="00745FEA">
                  <w:pPr>
                    <w:pStyle w:val="TableBodyText"/>
                    <w:ind w:right="57"/>
                    <w:rPr>
                      <w:i/>
                    </w:rPr>
                  </w:pPr>
                </w:p>
              </w:tc>
              <w:tc>
                <w:tcPr>
                  <w:tcW w:w="467" w:type="pct"/>
                  <w:vAlign w:val="bottom"/>
                </w:tcPr>
                <w:p w:rsidR="00745FEA" w:rsidRPr="00527B68" w:rsidRDefault="00745FEA" w:rsidP="00745FEA">
                  <w:pPr>
                    <w:pStyle w:val="TableBodyText"/>
                    <w:ind w:right="57"/>
                    <w:rPr>
                      <w:i/>
                    </w:rPr>
                  </w:pPr>
                </w:p>
              </w:tc>
              <w:tc>
                <w:tcPr>
                  <w:tcW w:w="467" w:type="pct"/>
                  <w:vAlign w:val="bottom"/>
                </w:tcPr>
                <w:p w:rsidR="00745FEA" w:rsidRPr="00527B68" w:rsidRDefault="00745FEA" w:rsidP="00745FEA">
                  <w:pPr>
                    <w:pStyle w:val="TableBodyText"/>
                    <w:ind w:right="57"/>
                    <w:rPr>
                      <w:i/>
                    </w:rPr>
                  </w:pPr>
                </w:p>
              </w:tc>
              <w:tc>
                <w:tcPr>
                  <w:tcW w:w="464" w:type="pct"/>
                  <w:vAlign w:val="bottom"/>
                </w:tcPr>
                <w:p w:rsidR="00745FEA" w:rsidRPr="00527B68" w:rsidRDefault="00745FEA" w:rsidP="00745FEA">
                  <w:pPr>
                    <w:pStyle w:val="TableBodyText"/>
                    <w:ind w:right="57"/>
                    <w:rPr>
                      <w:i/>
                    </w:rPr>
                  </w:pP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Australian Government Innovation and Investment Fund - Tasmania</w:t>
                  </w:r>
                </w:p>
              </w:tc>
              <w:tc>
                <w:tcPr>
                  <w:tcW w:w="467" w:type="pct"/>
                  <w:vAlign w:val="bottom"/>
                </w:tcPr>
                <w:p w:rsidR="00745FEA" w:rsidRPr="00670541" w:rsidRDefault="00745FEA" w:rsidP="00745FEA">
                  <w:pPr>
                    <w:pStyle w:val="TableBodyText"/>
                    <w:ind w:right="57"/>
                  </w:pPr>
                  <w:r w:rsidRPr="00E92F88">
                    <w:t>–</w:t>
                  </w:r>
                </w:p>
              </w:tc>
              <w:tc>
                <w:tcPr>
                  <w:tcW w:w="467" w:type="pct"/>
                  <w:vAlign w:val="bottom"/>
                </w:tcPr>
                <w:p w:rsidR="00745FEA" w:rsidRPr="00670541" w:rsidRDefault="00745FEA" w:rsidP="00745FEA">
                  <w:pPr>
                    <w:pStyle w:val="TableBodyText"/>
                    <w:ind w:right="57"/>
                  </w:pPr>
                  <w:r w:rsidRPr="00E92F88">
                    <w:t>–</w:t>
                  </w:r>
                </w:p>
              </w:tc>
              <w:tc>
                <w:tcPr>
                  <w:tcW w:w="467" w:type="pct"/>
                  <w:vAlign w:val="bottom"/>
                </w:tcPr>
                <w:p w:rsidR="00745FEA" w:rsidRPr="00670541" w:rsidRDefault="00745FEA" w:rsidP="00745FEA">
                  <w:pPr>
                    <w:pStyle w:val="TableBodyText"/>
                    <w:ind w:right="57"/>
                  </w:pPr>
                  <w:r w:rsidRPr="00E92F88">
                    <w:t>–</w:t>
                  </w:r>
                </w:p>
              </w:tc>
              <w:tc>
                <w:tcPr>
                  <w:tcW w:w="467" w:type="pct"/>
                  <w:vAlign w:val="bottom"/>
                </w:tcPr>
                <w:p w:rsidR="00745FEA" w:rsidRPr="00670541" w:rsidRDefault="00745FEA" w:rsidP="00745FEA">
                  <w:pPr>
                    <w:pStyle w:val="TableBodyText"/>
                    <w:ind w:right="57"/>
                  </w:pPr>
                  <w:r w:rsidRPr="00E92F88">
                    <w:t>0.2</w:t>
                  </w:r>
                </w:p>
              </w:tc>
              <w:tc>
                <w:tcPr>
                  <w:tcW w:w="467" w:type="pct"/>
                  <w:shd w:val="clear" w:color="auto" w:fill="auto"/>
                  <w:vAlign w:val="bottom"/>
                </w:tcPr>
                <w:p w:rsidR="00745FEA" w:rsidRPr="00670541" w:rsidRDefault="00745FEA" w:rsidP="00745FEA">
                  <w:pPr>
                    <w:pStyle w:val="TableBodyText"/>
                    <w:ind w:right="57"/>
                  </w:pPr>
                  <w:r w:rsidRPr="00E92F88">
                    <w:t>0.2</w:t>
                  </w:r>
                </w:p>
              </w:tc>
              <w:tc>
                <w:tcPr>
                  <w:tcW w:w="464" w:type="pct"/>
                  <w:shd w:val="clear" w:color="auto" w:fill="auto"/>
                  <w:vAlign w:val="bottom"/>
                </w:tcPr>
                <w:p w:rsidR="00745FEA" w:rsidRPr="00670541" w:rsidRDefault="00745FEA" w:rsidP="00745FEA">
                  <w:pPr>
                    <w:pStyle w:val="TableBodyText"/>
                    <w:ind w:right="57"/>
                  </w:pPr>
                  <w:r w:rsidRPr="00E92F88">
                    <w:t>&lt;0.1</w:t>
                  </w:r>
                </w:p>
              </w:tc>
            </w:tr>
            <w:tr w:rsidR="00745FEA" w:rsidTr="00745FEA">
              <w:tc>
                <w:tcPr>
                  <w:tcW w:w="2201" w:type="pct"/>
                  <w:tcBorders>
                    <w:bottom w:val="single" w:sz="6" w:space="0" w:color="BFBFBF"/>
                  </w:tcBorders>
                  <w:shd w:val="clear" w:color="auto" w:fill="auto"/>
                </w:tcPr>
                <w:p w:rsidR="00745FEA" w:rsidRPr="005C6BA5" w:rsidRDefault="00745FEA" w:rsidP="00745FEA">
                  <w:pPr>
                    <w:pStyle w:val="TableBodyText"/>
                    <w:ind w:left="227" w:right="0"/>
                    <w:jc w:val="left"/>
                  </w:pPr>
                  <w:r>
                    <w:t>Enterprise Connect Innovation Centres</w:t>
                  </w:r>
                </w:p>
              </w:tc>
              <w:tc>
                <w:tcPr>
                  <w:tcW w:w="467" w:type="pct"/>
                  <w:tcBorders>
                    <w:bottom w:val="single" w:sz="6" w:space="0" w:color="BFBFBF"/>
                  </w:tcBorders>
                  <w:vAlign w:val="bottom"/>
                </w:tcPr>
                <w:p w:rsidR="00745FEA" w:rsidRPr="005C6BA5" w:rsidRDefault="00745FEA" w:rsidP="00745FEA">
                  <w:pPr>
                    <w:pStyle w:val="TableBodyText"/>
                    <w:ind w:right="57"/>
                  </w:pPr>
                  <w:r w:rsidRPr="00E92F88">
                    <w:t>0.3</w:t>
                  </w:r>
                </w:p>
              </w:tc>
              <w:tc>
                <w:tcPr>
                  <w:tcW w:w="467" w:type="pct"/>
                  <w:tcBorders>
                    <w:bottom w:val="single" w:sz="6" w:space="0" w:color="BFBFBF"/>
                  </w:tcBorders>
                  <w:vAlign w:val="bottom"/>
                </w:tcPr>
                <w:p w:rsidR="00745FEA" w:rsidRPr="005C6BA5" w:rsidRDefault="00745FEA" w:rsidP="00745FEA">
                  <w:pPr>
                    <w:pStyle w:val="TableBodyText"/>
                    <w:ind w:right="57"/>
                  </w:pPr>
                  <w:r w:rsidRPr="00E92F88">
                    <w:t>0.3</w:t>
                  </w:r>
                </w:p>
              </w:tc>
              <w:tc>
                <w:tcPr>
                  <w:tcW w:w="467" w:type="pct"/>
                  <w:tcBorders>
                    <w:bottom w:val="single" w:sz="6" w:space="0" w:color="BFBFBF"/>
                  </w:tcBorders>
                  <w:vAlign w:val="bottom"/>
                </w:tcPr>
                <w:p w:rsidR="00745FEA" w:rsidRPr="005C6BA5" w:rsidRDefault="00745FEA" w:rsidP="00745FEA">
                  <w:pPr>
                    <w:pStyle w:val="TableBodyText"/>
                    <w:ind w:right="57"/>
                  </w:pPr>
                  <w:r w:rsidRPr="00E92F88">
                    <w:t>0.3</w:t>
                  </w:r>
                </w:p>
              </w:tc>
              <w:tc>
                <w:tcPr>
                  <w:tcW w:w="467" w:type="pct"/>
                  <w:tcBorders>
                    <w:bottom w:val="single" w:sz="6" w:space="0" w:color="BFBFBF"/>
                  </w:tcBorders>
                  <w:vAlign w:val="bottom"/>
                </w:tcPr>
                <w:p w:rsidR="00745FEA" w:rsidRPr="005C6BA5" w:rsidRDefault="00745FEA" w:rsidP="00745FEA">
                  <w:pPr>
                    <w:pStyle w:val="TableBodyText"/>
                    <w:ind w:right="57"/>
                  </w:pPr>
                  <w:r w:rsidRPr="00E92F88">
                    <w:t>0.3</w:t>
                  </w:r>
                </w:p>
              </w:tc>
              <w:tc>
                <w:tcPr>
                  <w:tcW w:w="467" w:type="pct"/>
                  <w:tcBorders>
                    <w:bottom w:val="single" w:sz="6" w:space="0" w:color="BFBFBF"/>
                  </w:tcBorders>
                  <w:shd w:val="clear" w:color="auto" w:fill="auto"/>
                  <w:vAlign w:val="bottom"/>
                </w:tcPr>
                <w:p w:rsidR="00745FEA" w:rsidRPr="005C6BA5" w:rsidRDefault="00745FEA" w:rsidP="00745FEA">
                  <w:pPr>
                    <w:pStyle w:val="TableBodyText"/>
                    <w:ind w:right="57"/>
                  </w:pPr>
                  <w:r w:rsidRPr="00E92F88">
                    <w:t>&lt;0.1</w:t>
                  </w:r>
                </w:p>
              </w:tc>
              <w:tc>
                <w:tcPr>
                  <w:tcW w:w="464" w:type="pct"/>
                  <w:tcBorders>
                    <w:bottom w:val="single" w:sz="6" w:space="0" w:color="BFBFBF"/>
                  </w:tcBorders>
                  <w:shd w:val="clear" w:color="auto" w:fill="auto"/>
                  <w:vAlign w:val="bottom"/>
                </w:tcPr>
                <w:p w:rsidR="00745FEA" w:rsidRDefault="00745FEA" w:rsidP="00745FEA">
                  <w:pPr>
                    <w:pStyle w:val="TableBodyText"/>
                    <w:ind w:right="57"/>
                  </w:pPr>
                  <w:r w:rsidRPr="00E92F88">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357"/>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744"/>
              <w:gridCol w:w="795"/>
              <w:gridCol w:w="794"/>
              <w:gridCol w:w="794"/>
              <w:gridCol w:w="794"/>
              <w:gridCol w:w="794"/>
              <w:gridCol w:w="789"/>
            </w:tblGrid>
            <w:tr w:rsidR="00745FEA" w:rsidTr="00C719FB">
              <w:trPr>
                <w:tblHeader/>
              </w:trPr>
              <w:tc>
                <w:tcPr>
                  <w:tcW w:w="2201"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527B68" w:rsidTr="00745FEA">
              <w:tc>
                <w:tcPr>
                  <w:tcW w:w="2201" w:type="pct"/>
                  <w:tcBorders>
                    <w:top w:val="single" w:sz="6" w:space="0" w:color="BFBFBF"/>
                  </w:tcBorders>
                </w:tcPr>
                <w:p w:rsidR="00745FEA" w:rsidRPr="00527B68" w:rsidRDefault="00745FEA" w:rsidP="00745FEA">
                  <w:pPr>
                    <w:pStyle w:val="TableUnitsRow"/>
                    <w:spacing w:after="0"/>
                    <w:ind w:left="113"/>
                    <w:jc w:val="left"/>
                    <w:rPr>
                      <w:i/>
                    </w:rPr>
                  </w:pPr>
                  <w:r w:rsidRPr="00527B68">
                    <w:rPr>
                      <w:i/>
                    </w:rPr>
                    <w:t>Other measures</w:t>
                  </w:r>
                  <w:r>
                    <w:rPr>
                      <w:i/>
                    </w:rPr>
                    <w:t xml:space="preserve"> (continued)</w:t>
                  </w:r>
                </w:p>
              </w:tc>
              <w:tc>
                <w:tcPr>
                  <w:tcW w:w="467" w:type="pct"/>
                  <w:tcBorders>
                    <w:top w:val="single" w:sz="6" w:space="0" w:color="BFBFBF"/>
                  </w:tcBorders>
                  <w:vAlign w:val="bottom"/>
                </w:tcPr>
                <w:p w:rsidR="00745FEA" w:rsidRPr="00527B68" w:rsidRDefault="00745FEA" w:rsidP="00745FEA">
                  <w:pPr>
                    <w:pStyle w:val="TableUnitsRow"/>
                    <w:spacing w:after="0"/>
                    <w:ind w:left="113" w:right="57"/>
                    <w:rPr>
                      <w:i/>
                    </w:rPr>
                  </w:pPr>
                </w:p>
              </w:tc>
              <w:tc>
                <w:tcPr>
                  <w:tcW w:w="467" w:type="pct"/>
                  <w:tcBorders>
                    <w:top w:val="single" w:sz="6" w:space="0" w:color="BFBFBF"/>
                  </w:tcBorders>
                  <w:vAlign w:val="bottom"/>
                </w:tcPr>
                <w:p w:rsidR="00745FEA" w:rsidRPr="00527B68" w:rsidRDefault="00745FEA" w:rsidP="00745FEA">
                  <w:pPr>
                    <w:pStyle w:val="TableUnitsRow"/>
                    <w:spacing w:after="0"/>
                    <w:ind w:left="113" w:right="57"/>
                    <w:rPr>
                      <w:i/>
                    </w:rPr>
                  </w:pPr>
                </w:p>
              </w:tc>
              <w:tc>
                <w:tcPr>
                  <w:tcW w:w="467" w:type="pct"/>
                  <w:tcBorders>
                    <w:top w:val="single" w:sz="6" w:space="0" w:color="BFBFBF"/>
                  </w:tcBorders>
                  <w:vAlign w:val="bottom"/>
                </w:tcPr>
                <w:p w:rsidR="00745FEA" w:rsidRPr="00527B68" w:rsidRDefault="00745FEA" w:rsidP="00745FEA">
                  <w:pPr>
                    <w:pStyle w:val="TableUnitsRow"/>
                    <w:spacing w:after="0"/>
                    <w:ind w:left="113" w:right="57"/>
                    <w:rPr>
                      <w:i/>
                    </w:rPr>
                  </w:pPr>
                </w:p>
              </w:tc>
              <w:tc>
                <w:tcPr>
                  <w:tcW w:w="467" w:type="pct"/>
                  <w:tcBorders>
                    <w:top w:val="single" w:sz="6" w:space="0" w:color="BFBFBF"/>
                  </w:tcBorders>
                  <w:vAlign w:val="bottom"/>
                </w:tcPr>
                <w:p w:rsidR="00745FEA" w:rsidRPr="00527B68" w:rsidRDefault="00745FEA" w:rsidP="00745FEA">
                  <w:pPr>
                    <w:pStyle w:val="TableUnitsRow"/>
                    <w:spacing w:after="0"/>
                    <w:ind w:left="113" w:right="57"/>
                    <w:rPr>
                      <w:i/>
                    </w:rPr>
                  </w:pPr>
                </w:p>
              </w:tc>
              <w:tc>
                <w:tcPr>
                  <w:tcW w:w="467" w:type="pct"/>
                  <w:tcBorders>
                    <w:top w:val="single" w:sz="6" w:space="0" w:color="BFBFBF"/>
                  </w:tcBorders>
                  <w:vAlign w:val="bottom"/>
                </w:tcPr>
                <w:p w:rsidR="00745FEA" w:rsidRPr="00527B68" w:rsidRDefault="00745FEA" w:rsidP="00745FEA">
                  <w:pPr>
                    <w:pStyle w:val="TableUnitsRow"/>
                    <w:spacing w:after="0"/>
                    <w:ind w:left="113" w:right="57"/>
                    <w:rPr>
                      <w:i/>
                    </w:rPr>
                  </w:pPr>
                </w:p>
              </w:tc>
              <w:tc>
                <w:tcPr>
                  <w:tcW w:w="464" w:type="pct"/>
                  <w:tcBorders>
                    <w:top w:val="single" w:sz="6" w:space="0" w:color="BFBFBF"/>
                  </w:tcBorders>
                  <w:vAlign w:val="bottom"/>
                </w:tcPr>
                <w:p w:rsidR="00745FEA" w:rsidRPr="00527B68" w:rsidRDefault="00745FEA" w:rsidP="00745FEA">
                  <w:pPr>
                    <w:pStyle w:val="TableUnitsRow"/>
                    <w:spacing w:after="0"/>
                    <w:ind w:left="113" w:right="57"/>
                    <w:rPr>
                      <w:i/>
                    </w:rPr>
                  </w:pP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CE676E">
                    <w:t>Entrepreneurs’ Infrastructure Programme - Accelerating Commercialisation</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shd w:val="clear" w:color="auto" w:fill="auto"/>
                  <w:vAlign w:val="bottom"/>
                </w:tcPr>
                <w:p w:rsidR="00745FEA" w:rsidRPr="001C132C" w:rsidRDefault="00745FEA" w:rsidP="00745FEA">
                  <w:pPr>
                    <w:pStyle w:val="TableBodyText"/>
                    <w:ind w:right="57"/>
                  </w:pPr>
                  <w:r w:rsidRPr="001C132C">
                    <w:t>–</w:t>
                  </w:r>
                </w:p>
              </w:tc>
              <w:tc>
                <w:tcPr>
                  <w:tcW w:w="464" w:type="pct"/>
                  <w:shd w:val="clear" w:color="auto" w:fill="auto"/>
                  <w:vAlign w:val="bottom"/>
                </w:tcPr>
                <w:p w:rsidR="00745FEA" w:rsidRPr="001C132C" w:rsidRDefault="00745FEA" w:rsidP="00745FEA">
                  <w:pPr>
                    <w:pStyle w:val="TableBodyText"/>
                    <w:ind w:right="57"/>
                  </w:pPr>
                  <w:r w:rsidRPr="001C132C">
                    <w:t>1.3</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Entrepreneurs’ Infrastructure Programme - Business Management Skills</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0.1</w:t>
                  </w:r>
                </w:p>
              </w:tc>
              <w:tc>
                <w:tcPr>
                  <w:tcW w:w="467" w:type="pct"/>
                  <w:shd w:val="clear" w:color="auto" w:fill="auto"/>
                  <w:vAlign w:val="bottom"/>
                </w:tcPr>
                <w:p w:rsidR="00745FEA" w:rsidRPr="001C132C" w:rsidRDefault="00745FEA" w:rsidP="00745FEA">
                  <w:pPr>
                    <w:pStyle w:val="TableBodyText"/>
                    <w:ind w:right="57"/>
                  </w:pPr>
                  <w:r w:rsidRPr="001C132C">
                    <w:t>0.3</w:t>
                  </w:r>
                </w:p>
              </w:tc>
              <w:tc>
                <w:tcPr>
                  <w:tcW w:w="464" w:type="pct"/>
                  <w:shd w:val="clear" w:color="auto" w:fill="auto"/>
                  <w:vAlign w:val="bottom"/>
                </w:tcPr>
                <w:p w:rsidR="00745FEA" w:rsidRPr="001C132C" w:rsidRDefault="00745FEA" w:rsidP="00745FEA">
                  <w:pPr>
                    <w:pStyle w:val="TableBodyText"/>
                    <w:ind w:right="57"/>
                  </w:pPr>
                  <w:r w:rsidRPr="001C132C">
                    <w:t>1.2</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South East South Australia Innovation and Investment Fund</w:t>
                  </w:r>
                </w:p>
              </w:tc>
              <w:tc>
                <w:tcPr>
                  <w:tcW w:w="467" w:type="pct"/>
                  <w:vAlign w:val="bottom"/>
                </w:tcPr>
                <w:p w:rsidR="00745FEA" w:rsidRPr="001C132C" w:rsidRDefault="00745FEA" w:rsidP="00745FEA">
                  <w:pPr>
                    <w:pStyle w:val="TableBodyText"/>
                    <w:ind w:right="57"/>
                  </w:pPr>
                  <w:r w:rsidRPr="001C132C">
                    <w:t>0.1</w:t>
                  </w:r>
                </w:p>
              </w:tc>
              <w:tc>
                <w:tcPr>
                  <w:tcW w:w="467" w:type="pct"/>
                  <w:vAlign w:val="bottom"/>
                </w:tcPr>
                <w:p w:rsidR="00745FEA" w:rsidRPr="001C132C" w:rsidRDefault="00745FEA" w:rsidP="00745FEA">
                  <w:pPr>
                    <w:pStyle w:val="TableBodyText"/>
                    <w:ind w:right="57"/>
                  </w:pPr>
                  <w:r w:rsidRPr="001C132C">
                    <w:t>1.5</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shd w:val="clear" w:color="auto" w:fill="auto"/>
                  <w:vAlign w:val="bottom"/>
                </w:tcPr>
                <w:p w:rsidR="00745FEA" w:rsidRPr="001C132C" w:rsidRDefault="00745FEA" w:rsidP="00745FEA">
                  <w:pPr>
                    <w:pStyle w:val="TableBodyText"/>
                    <w:ind w:right="57"/>
                  </w:pPr>
                  <w:r w:rsidRPr="001C132C">
                    <w:t>–</w:t>
                  </w:r>
                </w:p>
              </w:tc>
              <w:tc>
                <w:tcPr>
                  <w:tcW w:w="464" w:type="pct"/>
                  <w:shd w:val="clear" w:color="auto" w:fill="auto"/>
                  <w:vAlign w:val="bottom"/>
                </w:tcPr>
                <w:p w:rsidR="00745FEA" w:rsidRPr="001C132C" w:rsidRDefault="00745FEA" w:rsidP="00745FEA">
                  <w:pPr>
                    <w:pStyle w:val="TableBodyText"/>
                    <w:ind w:right="57"/>
                  </w:pPr>
                  <w:r w:rsidRPr="001C132C">
                    <w:t>–</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CE676E">
                    <w:t>Tasmanian Jobs and Investment Fund</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shd w:val="clear" w:color="auto" w:fill="auto"/>
                  <w:vAlign w:val="bottom"/>
                </w:tcPr>
                <w:p w:rsidR="00745FEA" w:rsidRPr="001C132C" w:rsidRDefault="00745FEA" w:rsidP="00745FEA">
                  <w:pPr>
                    <w:pStyle w:val="TableBodyText"/>
                    <w:ind w:right="57"/>
                  </w:pPr>
                  <w:r w:rsidRPr="001C132C">
                    <w:t>–</w:t>
                  </w:r>
                </w:p>
              </w:tc>
              <w:tc>
                <w:tcPr>
                  <w:tcW w:w="464" w:type="pct"/>
                  <w:shd w:val="clear" w:color="auto" w:fill="auto"/>
                  <w:vAlign w:val="bottom"/>
                </w:tcPr>
                <w:p w:rsidR="00745FEA" w:rsidRPr="001C132C" w:rsidRDefault="00745FEA" w:rsidP="00745FEA">
                  <w:pPr>
                    <w:pStyle w:val="TableBodyText"/>
                    <w:ind w:right="57"/>
                  </w:pPr>
                  <w:r w:rsidRPr="001C132C">
                    <w:t>0.3</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 xml:space="preserve">Small business </w:t>
                  </w:r>
                  <w:r>
                    <w:t>capital gains tax</w:t>
                  </w:r>
                  <w:r w:rsidRPr="00670541">
                    <w:t xml:space="preserve"> rollover deferral</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5.0</w:t>
                  </w:r>
                </w:p>
              </w:tc>
              <w:tc>
                <w:tcPr>
                  <w:tcW w:w="467" w:type="pct"/>
                  <w:shd w:val="clear" w:color="auto" w:fill="auto"/>
                  <w:vAlign w:val="bottom"/>
                </w:tcPr>
                <w:p w:rsidR="00745FEA" w:rsidRPr="001C132C" w:rsidRDefault="00745FEA" w:rsidP="00745FEA">
                  <w:pPr>
                    <w:pStyle w:val="TableBodyText"/>
                    <w:ind w:right="57"/>
                  </w:pPr>
                  <w:r w:rsidRPr="001C132C">
                    <w:t>2.7</w:t>
                  </w:r>
                </w:p>
              </w:tc>
              <w:tc>
                <w:tcPr>
                  <w:tcW w:w="464" w:type="pct"/>
                  <w:shd w:val="clear" w:color="auto" w:fill="auto"/>
                  <w:vAlign w:val="bottom"/>
                </w:tcPr>
                <w:p w:rsidR="00745FEA" w:rsidRPr="001C132C" w:rsidRDefault="00745FEA" w:rsidP="00745FEA">
                  <w:pPr>
                    <w:pStyle w:val="TableBodyText"/>
                    <w:ind w:right="57"/>
                  </w:pPr>
                  <w:r w:rsidRPr="001C132C">
                    <w:t>2.8</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The Small Business and General Business Tax Break</w:t>
                  </w:r>
                </w:p>
              </w:tc>
              <w:tc>
                <w:tcPr>
                  <w:tcW w:w="467" w:type="pct"/>
                  <w:vAlign w:val="bottom"/>
                </w:tcPr>
                <w:p w:rsidR="00745FEA" w:rsidRPr="001C132C" w:rsidRDefault="00745FEA" w:rsidP="00745FEA">
                  <w:pPr>
                    <w:pStyle w:val="TableBodyText"/>
                    <w:ind w:right="57"/>
                  </w:pPr>
                  <w:r w:rsidRPr="001C132C">
                    <w:t>96.9</w:t>
                  </w:r>
                </w:p>
              </w:tc>
              <w:tc>
                <w:tcPr>
                  <w:tcW w:w="467" w:type="pct"/>
                  <w:vAlign w:val="bottom"/>
                </w:tcPr>
                <w:p w:rsidR="00745FEA" w:rsidRPr="001C132C" w:rsidRDefault="00745FEA" w:rsidP="00745FEA">
                  <w:pPr>
                    <w:pStyle w:val="TableBodyText"/>
                    <w:ind w:right="57"/>
                  </w:pPr>
                  <w:r w:rsidRPr="001C132C">
                    <w:t>33.7</w:t>
                  </w:r>
                </w:p>
              </w:tc>
              <w:tc>
                <w:tcPr>
                  <w:tcW w:w="467" w:type="pct"/>
                  <w:vAlign w:val="bottom"/>
                </w:tcPr>
                <w:p w:rsidR="00745FEA" w:rsidRPr="001C132C" w:rsidRDefault="00745FEA" w:rsidP="00745FEA">
                  <w:pPr>
                    <w:pStyle w:val="TableBodyText"/>
                    <w:ind w:right="57"/>
                  </w:pPr>
                  <w:r w:rsidRPr="001C132C">
                    <w:t>4.0</w:t>
                  </w:r>
                </w:p>
              </w:tc>
              <w:tc>
                <w:tcPr>
                  <w:tcW w:w="467" w:type="pct"/>
                  <w:vAlign w:val="bottom"/>
                </w:tcPr>
                <w:p w:rsidR="00745FEA" w:rsidRPr="001C132C" w:rsidRDefault="00745FEA" w:rsidP="00745FEA">
                  <w:pPr>
                    <w:pStyle w:val="TableBodyText"/>
                    <w:ind w:right="57"/>
                  </w:pPr>
                  <w:r w:rsidRPr="001C132C">
                    <w:t>–</w:t>
                  </w:r>
                </w:p>
              </w:tc>
              <w:tc>
                <w:tcPr>
                  <w:tcW w:w="467" w:type="pct"/>
                  <w:shd w:val="clear" w:color="auto" w:fill="auto"/>
                  <w:vAlign w:val="bottom"/>
                </w:tcPr>
                <w:p w:rsidR="00745FEA" w:rsidRPr="001C132C" w:rsidRDefault="00745FEA" w:rsidP="00745FEA">
                  <w:pPr>
                    <w:pStyle w:val="TableBodyText"/>
                    <w:ind w:right="57"/>
                  </w:pPr>
                  <w:r w:rsidRPr="001C132C">
                    <w:t>–</w:t>
                  </w:r>
                </w:p>
              </w:tc>
              <w:tc>
                <w:tcPr>
                  <w:tcW w:w="464" w:type="pct"/>
                  <w:shd w:val="clear" w:color="auto" w:fill="auto"/>
                  <w:vAlign w:val="bottom"/>
                </w:tcPr>
                <w:p w:rsidR="00745FEA" w:rsidRPr="001C132C" w:rsidRDefault="00745FEA" w:rsidP="00745FEA">
                  <w:pPr>
                    <w:pStyle w:val="TableBodyText"/>
                    <w:ind w:right="57"/>
                  </w:pPr>
                  <w:r w:rsidRPr="001C132C">
                    <w:t>–</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Small Business - Simplified depreciation rules</w:t>
                  </w:r>
                </w:p>
              </w:tc>
              <w:tc>
                <w:tcPr>
                  <w:tcW w:w="467" w:type="pct"/>
                  <w:vAlign w:val="bottom"/>
                </w:tcPr>
                <w:p w:rsidR="00745FEA" w:rsidRPr="001C132C" w:rsidRDefault="00745FEA" w:rsidP="00745FEA">
                  <w:pPr>
                    <w:pStyle w:val="TableBodyText"/>
                    <w:ind w:right="57"/>
                  </w:pPr>
                  <w:r w:rsidRPr="001C132C">
                    <w:t>0.3</w:t>
                  </w:r>
                </w:p>
              </w:tc>
              <w:tc>
                <w:tcPr>
                  <w:tcW w:w="467" w:type="pct"/>
                  <w:vAlign w:val="bottom"/>
                </w:tcPr>
                <w:p w:rsidR="00745FEA" w:rsidRPr="001C132C" w:rsidRDefault="00745FEA" w:rsidP="00745FEA">
                  <w:pPr>
                    <w:pStyle w:val="TableBodyText"/>
                    <w:ind w:right="57"/>
                  </w:pPr>
                  <w:r w:rsidRPr="001C132C">
                    <w:t>-1.7</w:t>
                  </w:r>
                </w:p>
              </w:tc>
              <w:tc>
                <w:tcPr>
                  <w:tcW w:w="467" w:type="pct"/>
                  <w:vAlign w:val="bottom"/>
                </w:tcPr>
                <w:p w:rsidR="00745FEA" w:rsidRPr="001C132C" w:rsidRDefault="00745FEA" w:rsidP="00745FEA">
                  <w:pPr>
                    <w:pStyle w:val="TableBodyText"/>
                    <w:ind w:right="57"/>
                  </w:pPr>
                  <w:r w:rsidRPr="001C132C">
                    <w:t>6.3</w:t>
                  </w:r>
                </w:p>
              </w:tc>
              <w:tc>
                <w:tcPr>
                  <w:tcW w:w="467" w:type="pct"/>
                  <w:vAlign w:val="bottom"/>
                </w:tcPr>
                <w:p w:rsidR="00745FEA" w:rsidRPr="001C132C" w:rsidRDefault="00745FEA" w:rsidP="00745FEA">
                  <w:pPr>
                    <w:pStyle w:val="TableBodyText"/>
                    <w:ind w:right="57"/>
                  </w:pPr>
                  <w:r w:rsidRPr="001C132C">
                    <w:t>-3.1</w:t>
                  </w:r>
                </w:p>
              </w:tc>
              <w:tc>
                <w:tcPr>
                  <w:tcW w:w="467" w:type="pct"/>
                  <w:shd w:val="clear" w:color="auto" w:fill="auto"/>
                  <w:vAlign w:val="bottom"/>
                </w:tcPr>
                <w:p w:rsidR="00745FEA" w:rsidRPr="001C132C" w:rsidRDefault="00745FEA" w:rsidP="00745FEA">
                  <w:pPr>
                    <w:pStyle w:val="TableBodyText"/>
                    <w:ind w:right="57"/>
                  </w:pPr>
                  <w:r w:rsidRPr="001C132C">
                    <w:t>-6.1</w:t>
                  </w:r>
                </w:p>
              </w:tc>
              <w:tc>
                <w:tcPr>
                  <w:tcW w:w="464" w:type="pct"/>
                  <w:shd w:val="clear" w:color="auto" w:fill="auto"/>
                  <w:vAlign w:val="bottom"/>
                </w:tcPr>
                <w:p w:rsidR="00745FEA" w:rsidRPr="001C132C" w:rsidRDefault="00745FEA" w:rsidP="00745FEA">
                  <w:pPr>
                    <w:pStyle w:val="TableBodyText"/>
                    <w:ind w:right="57"/>
                  </w:pPr>
                  <w:r w:rsidRPr="001C132C">
                    <w:t>37.1</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 xml:space="preserve">Small business </w:t>
                  </w:r>
                  <w:r>
                    <w:t>capital gains tax</w:t>
                  </w:r>
                  <w:r w:rsidRPr="00670541">
                    <w:t xml:space="preserve"> 15-year asset exemption</w:t>
                  </w:r>
                </w:p>
              </w:tc>
              <w:tc>
                <w:tcPr>
                  <w:tcW w:w="467" w:type="pct"/>
                  <w:vAlign w:val="bottom"/>
                </w:tcPr>
                <w:p w:rsidR="00745FEA" w:rsidRPr="001C132C" w:rsidRDefault="00745FEA" w:rsidP="00745FEA">
                  <w:pPr>
                    <w:pStyle w:val="TableBodyText"/>
                    <w:ind w:right="57"/>
                  </w:pPr>
                  <w:r w:rsidRPr="001C132C">
                    <w:t>3.2</w:t>
                  </w:r>
                </w:p>
              </w:tc>
              <w:tc>
                <w:tcPr>
                  <w:tcW w:w="467" w:type="pct"/>
                  <w:vAlign w:val="bottom"/>
                </w:tcPr>
                <w:p w:rsidR="00745FEA" w:rsidRPr="001C132C" w:rsidRDefault="00745FEA" w:rsidP="00745FEA">
                  <w:pPr>
                    <w:pStyle w:val="TableBodyText"/>
                    <w:ind w:right="57"/>
                  </w:pPr>
                  <w:r w:rsidRPr="001C132C">
                    <w:t>3.3</w:t>
                  </w:r>
                </w:p>
              </w:tc>
              <w:tc>
                <w:tcPr>
                  <w:tcW w:w="467" w:type="pct"/>
                  <w:vAlign w:val="bottom"/>
                </w:tcPr>
                <w:p w:rsidR="00745FEA" w:rsidRPr="001C132C" w:rsidRDefault="00745FEA" w:rsidP="00745FEA">
                  <w:pPr>
                    <w:pStyle w:val="TableBodyText"/>
                    <w:ind w:right="57"/>
                  </w:pPr>
                  <w:r w:rsidRPr="001C132C">
                    <w:t>3.8</w:t>
                  </w:r>
                </w:p>
              </w:tc>
              <w:tc>
                <w:tcPr>
                  <w:tcW w:w="467" w:type="pct"/>
                  <w:vAlign w:val="bottom"/>
                </w:tcPr>
                <w:p w:rsidR="00745FEA" w:rsidRPr="001C132C" w:rsidRDefault="00745FEA" w:rsidP="00745FEA">
                  <w:pPr>
                    <w:pStyle w:val="TableBodyText"/>
                    <w:ind w:right="57"/>
                  </w:pPr>
                  <w:r w:rsidRPr="001C132C">
                    <w:t>3.1</w:t>
                  </w:r>
                </w:p>
              </w:tc>
              <w:tc>
                <w:tcPr>
                  <w:tcW w:w="467" w:type="pct"/>
                  <w:shd w:val="clear" w:color="auto" w:fill="auto"/>
                  <w:vAlign w:val="bottom"/>
                </w:tcPr>
                <w:p w:rsidR="00745FEA" w:rsidRPr="001C132C" w:rsidRDefault="00745FEA" w:rsidP="00745FEA">
                  <w:pPr>
                    <w:pStyle w:val="TableBodyText"/>
                    <w:ind w:right="57"/>
                  </w:pPr>
                  <w:r w:rsidRPr="001C132C">
                    <w:t>4.7</w:t>
                  </w:r>
                </w:p>
              </w:tc>
              <w:tc>
                <w:tcPr>
                  <w:tcW w:w="464" w:type="pct"/>
                  <w:shd w:val="clear" w:color="auto" w:fill="auto"/>
                  <w:vAlign w:val="bottom"/>
                </w:tcPr>
                <w:p w:rsidR="00745FEA" w:rsidRPr="001C132C" w:rsidRDefault="00745FEA" w:rsidP="00745FEA">
                  <w:pPr>
                    <w:pStyle w:val="TableBodyText"/>
                    <w:ind w:right="57"/>
                  </w:pPr>
                  <w:r w:rsidRPr="001C132C">
                    <w:t>5.2</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 xml:space="preserve">Small business </w:t>
                  </w:r>
                  <w:r>
                    <w:t>capital gains tax</w:t>
                  </w:r>
                  <w:r w:rsidRPr="00670541">
                    <w:t xml:space="preserve"> retirement exemption</w:t>
                  </w:r>
                </w:p>
              </w:tc>
              <w:tc>
                <w:tcPr>
                  <w:tcW w:w="467" w:type="pct"/>
                  <w:vAlign w:val="bottom"/>
                </w:tcPr>
                <w:p w:rsidR="00745FEA" w:rsidRPr="001C132C" w:rsidRDefault="00745FEA" w:rsidP="00745FEA">
                  <w:pPr>
                    <w:pStyle w:val="TableBodyText"/>
                    <w:ind w:right="57"/>
                  </w:pPr>
                  <w:r w:rsidRPr="001C132C">
                    <w:t>7.6</w:t>
                  </w:r>
                </w:p>
              </w:tc>
              <w:tc>
                <w:tcPr>
                  <w:tcW w:w="467" w:type="pct"/>
                  <w:vAlign w:val="bottom"/>
                </w:tcPr>
                <w:p w:rsidR="00745FEA" w:rsidRPr="001C132C" w:rsidRDefault="00745FEA" w:rsidP="00745FEA">
                  <w:pPr>
                    <w:pStyle w:val="TableBodyText"/>
                    <w:ind w:right="57"/>
                  </w:pPr>
                  <w:r w:rsidRPr="001C132C">
                    <w:t>7.8</w:t>
                  </w:r>
                </w:p>
              </w:tc>
              <w:tc>
                <w:tcPr>
                  <w:tcW w:w="467" w:type="pct"/>
                  <w:vAlign w:val="bottom"/>
                </w:tcPr>
                <w:p w:rsidR="00745FEA" w:rsidRPr="001C132C" w:rsidRDefault="00745FEA" w:rsidP="00745FEA">
                  <w:pPr>
                    <w:pStyle w:val="TableBodyText"/>
                    <w:ind w:right="57"/>
                  </w:pPr>
                  <w:r w:rsidRPr="001C132C">
                    <w:t>8.0</w:t>
                  </w:r>
                </w:p>
              </w:tc>
              <w:tc>
                <w:tcPr>
                  <w:tcW w:w="467" w:type="pct"/>
                  <w:vAlign w:val="bottom"/>
                </w:tcPr>
                <w:p w:rsidR="00745FEA" w:rsidRPr="001C132C" w:rsidRDefault="00745FEA" w:rsidP="00745FEA">
                  <w:pPr>
                    <w:pStyle w:val="TableBodyText"/>
                    <w:ind w:right="57"/>
                  </w:pPr>
                  <w:r w:rsidRPr="001C132C">
                    <w:t>10.0</w:t>
                  </w:r>
                </w:p>
              </w:tc>
              <w:tc>
                <w:tcPr>
                  <w:tcW w:w="467" w:type="pct"/>
                  <w:shd w:val="clear" w:color="auto" w:fill="auto"/>
                  <w:vAlign w:val="bottom"/>
                </w:tcPr>
                <w:p w:rsidR="00745FEA" w:rsidRPr="001C132C" w:rsidRDefault="00745FEA" w:rsidP="00745FEA">
                  <w:pPr>
                    <w:pStyle w:val="TableBodyText"/>
                    <w:ind w:right="57"/>
                  </w:pPr>
                  <w:r w:rsidRPr="001C132C">
                    <w:t>11.5</w:t>
                  </w:r>
                </w:p>
              </w:tc>
              <w:tc>
                <w:tcPr>
                  <w:tcW w:w="464" w:type="pct"/>
                  <w:shd w:val="clear" w:color="auto" w:fill="auto"/>
                  <w:vAlign w:val="bottom"/>
                </w:tcPr>
                <w:p w:rsidR="00745FEA" w:rsidRPr="001C132C" w:rsidRDefault="00745FEA" w:rsidP="00745FEA">
                  <w:pPr>
                    <w:pStyle w:val="TableBodyText"/>
                    <w:ind w:right="57"/>
                  </w:pPr>
                  <w:r w:rsidRPr="001C132C">
                    <w:t>9.1</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 xml:space="preserve">Small business </w:t>
                  </w:r>
                  <w:r>
                    <w:t>capital gains tax</w:t>
                  </w:r>
                  <w:r w:rsidRPr="00670541">
                    <w:t xml:space="preserve"> 50 per cent reduction</w:t>
                  </w:r>
                </w:p>
              </w:tc>
              <w:tc>
                <w:tcPr>
                  <w:tcW w:w="467" w:type="pct"/>
                  <w:vAlign w:val="bottom"/>
                </w:tcPr>
                <w:p w:rsidR="00745FEA" w:rsidRPr="001C132C" w:rsidRDefault="00745FEA" w:rsidP="00745FEA">
                  <w:pPr>
                    <w:pStyle w:val="TableBodyText"/>
                    <w:ind w:right="57"/>
                  </w:pPr>
                  <w:r w:rsidRPr="001C132C">
                    <w:t>12.8</w:t>
                  </w:r>
                </w:p>
              </w:tc>
              <w:tc>
                <w:tcPr>
                  <w:tcW w:w="467" w:type="pct"/>
                  <w:vAlign w:val="bottom"/>
                </w:tcPr>
                <w:p w:rsidR="00745FEA" w:rsidRPr="001C132C" w:rsidRDefault="00745FEA" w:rsidP="00745FEA">
                  <w:pPr>
                    <w:pStyle w:val="TableBodyText"/>
                    <w:ind w:right="57"/>
                  </w:pPr>
                  <w:r w:rsidRPr="001C132C">
                    <w:t>13.5</w:t>
                  </w:r>
                </w:p>
              </w:tc>
              <w:tc>
                <w:tcPr>
                  <w:tcW w:w="467" w:type="pct"/>
                  <w:vAlign w:val="bottom"/>
                </w:tcPr>
                <w:p w:rsidR="00745FEA" w:rsidRPr="001C132C" w:rsidRDefault="00745FEA" w:rsidP="00745FEA">
                  <w:pPr>
                    <w:pStyle w:val="TableBodyText"/>
                    <w:ind w:right="57"/>
                  </w:pPr>
                  <w:r w:rsidRPr="001C132C">
                    <w:t>13.5</w:t>
                  </w:r>
                </w:p>
              </w:tc>
              <w:tc>
                <w:tcPr>
                  <w:tcW w:w="467" w:type="pct"/>
                  <w:vAlign w:val="bottom"/>
                </w:tcPr>
                <w:p w:rsidR="00745FEA" w:rsidRPr="001C132C" w:rsidRDefault="00745FEA" w:rsidP="00745FEA">
                  <w:pPr>
                    <w:pStyle w:val="TableBodyText"/>
                    <w:ind w:right="57"/>
                  </w:pPr>
                  <w:r w:rsidRPr="001C132C">
                    <w:t>13.8</w:t>
                  </w:r>
                </w:p>
              </w:tc>
              <w:tc>
                <w:tcPr>
                  <w:tcW w:w="467" w:type="pct"/>
                  <w:shd w:val="clear" w:color="auto" w:fill="auto"/>
                  <w:vAlign w:val="bottom"/>
                </w:tcPr>
                <w:p w:rsidR="00745FEA" w:rsidRPr="001C132C" w:rsidRDefault="00745FEA" w:rsidP="00745FEA">
                  <w:pPr>
                    <w:pStyle w:val="TableBodyText"/>
                    <w:ind w:right="57"/>
                  </w:pPr>
                  <w:r w:rsidRPr="001C132C">
                    <w:t>14.3</w:t>
                  </w:r>
                </w:p>
              </w:tc>
              <w:tc>
                <w:tcPr>
                  <w:tcW w:w="464" w:type="pct"/>
                  <w:shd w:val="clear" w:color="auto" w:fill="auto"/>
                  <w:vAlign w:val="bottom"/>
                </w:tcPr>
                <w:p w:rsidR="00745FEA" w:rsidRPr="001C132C" w:rsidRDefault="00745FEA" w:rsidP="00745FEA">
                  <w:pPr>
                    <w:pStyle w:val="TableBodyText"/>
                    <w:ind w:right="57"/>
                  </w:pPr>
                  <w:r w:rsidRPr="001C132C">
                    <w:t>9.7</w:t>
                  </w:r>
                </w:p>
              </w:tc>
            </w:tr>
            <w:tr w:rsidR="00745FEA" w:rsidTr="00745FEA">
              <w:tc>
                <w:tcPr>
                  <w:tcW w:w="2201" w:type="pct"/>
                  <w:shd w:val="clear" w:color="auto" w:fill="auto"/>
                </w:tcPr>
                <w:p w:rsidR="00745FEA" w:rsidRPr="00670541" w:rsidRDefault="00745FEA" w:rsidP="00745FEA">
                  <w:pPr>
                    <w:pStyle w:val="TableBodyText"/>
                    <w:spacing w:after="0"/>
                    <w:ind w:left="227" w:right="0"/>
                    <w:jc w:val="left"/>
                  </w:pPr>
                  <w:r w:rsidRPr="00670541">
                    <w:t>25 per cent entrepreneurs' tax offset</w:t>
                  </w:r>
                </w:p>
              </w:tc>
              <w:tc>
                <w:tcPr>
                  <w:tcW w:w="467" w:type="pct"/>
                  <w:vAlign w:val="bottom"/>
                </w:tcPr>
                <w:p w:rsidR="00745FEA" w:rsidRPr="001C132C" w:rsidRDefault="00745FEA" w:rsidP="00745FEA">
                  <w:pPr>
                    <w:pStyle w:val="TableBodyText"/>
                    <w:ind w:right="57"/>
                  </w:pPr>
                  <w:r w:rsidRPr="001C132C">
                    <w:t>1.2</w:t>
                  </w:r>
                </w:p>
              </w:tc>
              <w:tc>
                <w:tcPr>
                  <w:tcW w:w="467" w:type="pct"/>
                  <w:vAlign w:val="bottom"/>
                </w:tcPr>
                <w:p w:rsidR="00745FEA" w:rsidRPr="001C132C" w:rsidRDefault="00745FEA" w:rsidP="00745FEA">
                  <w:pPr>
                    <w:pStyle w:val="TableBodyText"/>
                    <w:ind w:right="57"/>
                  </w:pPr>
                  <w:r w:rsidRPr="001C132C">
                    <w:t>1.1</w:t>
                  </w:r>
                </w:p>
              </w:tc>
              <w:tc>
                <w:tcPr>
                  <w:tcW w:w="467" w:type="pct"/>
                  <w:vAlign w:val="bottom"/>
                </w:tcPr>
                <w:p w:rsidR="00745FEA" w:rsidRPr="001C132C" w:rsidRDefault="00745FEA" w:rsidP="00745FEA">
                  <w:pPr>
                    <w:pStyle w:val="TableBodyText"/>
                    <w:ind w:right="57"/>
                  </w:pPr>
                  <w:r w:rsidRPr="001C132C">
                    <w:t>–</w:t>
                  </w:r>
                </w:p>
              </w:tc>
              <w:tc>
                <w:tcPr>
                  <w:tcW w:w="467" w:type="pct"/>
                  <w:vAlign w:val="bottom"/>
                </w:tcPr>
                <w:p w:rsidR="00745FEA" w:rsidRPr="001C132C" w:rsidRDefault="00745FEA" w:rsidP="00745FEA">
                  <w:pPr>
                    <w:pStyle w:val="TableBodyText"/>
                    <w:ind w:right="57"/>
                  </w:pPr>
                  <w:r w:rsidRPr="001C132C">
                    <w:t>–</w:t>
                  </w:r>
                </w:p>
              </w:tc>
              <w:tc>
                <w:tcPr>
                  <w:tcW w:w="467" w:type="pct"/>
                  <w:shd w:val="clear" w:color="auto" w:fill="auto"/>
                  <w:vAlign w:val="bottom"/>
                </w:tcPr>
                <w:p w:rsidR="00745FEA" w:rsidRPr="001C132C" w:rsidRDefault="00745FEA" w:rsidP="00745FEA">
                  <w:pPr>
                    <w:pStyle w:val="TableBodyText"/>
                    <w:ind w:right="57"/>
                  </w:pPr>
                  <w:r w:rsidRPr="001C132C">
                    <w:t>–</w:t>
                  </w:r>
                </w:p>
              </w:tc>
              <w:tc>
                <w:tcPr>
                  <w:tcW w:w="464" w:type="pct"/>
                  <w:shd w:val="clear" w:color="auto" w:fill="auto"/>
                  <w:vAlign w:val="bottom"/>
                </w:tcPr>
                <w:p w:rsidR="00745FEA" w:rsidRPr="001C132C" w:rsidRDefault="00745FEA" w:rsidP="00745FEA">
                  <w:pPr>
                    <w:pStyle w:val="TableBodyText"/>
                    <w:ind w:right="57"/>
                  </w:pPr>
                  <w:r w:rsidRPr="001C132C">
                    <w:t>–</w:t>
                  </w:r>
                </w:p>
              </w:tc>
            </w:tr>
            <w:tr w:rsidR="00745FEA" w:rsidRPr="00620235" w:rsidTr="00745FEA">
              <w:tc>
                <w:tcPr>
                  <w:tcW w:w="2201" w:type="pct"/>
                  <w:shd w:val="clear" w:color="auto" w:fill="auto"/>
                </w:tcPr>
                <w:p w:rsidR="00745FEA" w:rsidRPr="00620235" w:rsidRDefault="00745FEA" w:rsidP="00745FEA">
                  <w:pPr>
                    <w:pStyle w:val="TableBodyText"/>
                    <w:spacing w:before="20" w:after="20"/>
                    <w:jc w:val="left"/>
                    <w:rPr>
                      <w:i/>
                    </w:rPr>
                  </w:pPr>
                  <w:r w:rsidRPr="00620235">
                    <w:rPr>
                      <w:i/>
                    </w:rPr>
                    <w:t>Total</w:t>
                  </w:r>
                </w:p>
              </w:tc>
              <w:tc>
                <w:tcPr>
                  <w:tcW w:w="467" w:type="pct"/>
                  <w:vAlign w:val="bottom"/>
                </w:tcPr>
                <w:p w:rsidR="00745FEA" w:rsidRPr="003D318B" w:rsidRDefault="00745FEA" w:rsidP="00745FEA">
                  <w:pPr>
                    <w:pStyle w:val="TableBodyText"/>
                    <w:spacing w:before="20" w:after="20"/>
                    <w:ind w:right="57"/>
                    <w:rPr>
                      <w:i/>
                    </w:rPr>
                  </w:pPr>
                  <w:r>
                    <w:rPr>
                      <w:i/>
                    </w:rPr>
                    <w:t>285.6</w:t>
                  </w:r>
                </w:p>
              </w:tc>
              <w:tc>
                <w:tcPr>
                  <w:tcW w:w="467" w:type="pct"/>
                  <w:vAlign w:val="bottom"/>
                </w:tcPr>
                <w:p w:rsidR="00745FEA" w:rsidRPr="003D318B" w:rsidRDefault="00745FEA" w:rsidP="00745FEA">
                  <w:pPr>
                    <w:pStyle w:val="TableBodyText"/>
                    <w:spacing w:before="20" w:after="20"/>
                    <w:ind w:right="57"/>
                    <w:rPr>
                      <w:i/>
                    </w:rPr>
                  </w:pPr>
                  <w:r>
                    <w:rPr>
                      <w:i/>
                    </w:rPr>
                    <w:t>202.6</w:t>
                  </w:r>
                </w:p>
              </w:tc>
              <w:tc>
                <w:tcPr>
                  <w:tcW w:w="467" w:type="pct"/>
                </w:tcPr>
                <w:p w:rsidR="00745FEA" w:rsidRPr="006938BC" w:rsidRDefault="00745FEA" w:rsidP="00745FEA">
                  <w:pPr>
                    <w:pStyle w:val="TableBodyText"/>
                    <w:spacing w:before="20" w:after="20"/>
                    <w:ind w:right="57"/>
                    <w:rPr>
                      <w:i/>
                    </w:rPr>
                  </w:pPr>
                  <w:r>
                    <w:rPr>
                      <w:i/>
                    </w:rPr>
                    <w:t>175.6</w:t>
                  </w:r>
                </w:p>
              </w:tc>
              <w:tc>
                <w:tcPr>
                  <w:tcW w:w="467" w:type="pct"/>
                </w:tcPr>
                <w:p w:rsidR="00745FEA" w:rsidRPr="006938BC" w:rsidRDefault="00745FEA" w:rsidP="00745FEA">
                  <w:pPr>
                    <w:pStyle w:val="TableBodyText"/>
                    <w:spacing w:before="20" w:after="20"/>
                    <w:ind w:right="57"/>
                    <w:rPr>
                      <w:i/>
                    </w:rPr>
                  </w:pPr>
                  <w:r>
                    <w:rPr>
                      <w:i/>
                    </w:rPr>
                    <w:t>189.5</w:t>
                  </w:r>
                </w:p>
              </w:tc>
              <w:tc>
                <w:tcPr>
                  <w:tcW w:w="467" w:type="pct"/>
                  <w:shd w:val="clear" w:color="auto" w:fill="auto"/>
                </w:tcPr>
                <w:p w:rsidR="00745FEA" w:rsidRPr="006938BC" w:rsidRDefault="00745FEA" w:rsidP="00745FEA">
                  <w:pPr>
                    <w:pStyle w:val="TableBodyText"/>
                    <w:spacing w:before="20" w:after="20"/>
                    <w:ind w:right="57"/>
                    <w:rPr>
                      <w:i/>
                    </w:rPr>
                  </w:pPr>
                  <w:r>
                    <w:rPr>
                      <w:i/>
                    </w:rPr>
                    <w:t>161.5</w:t>
                  </w:r>
                </w:p>
              </w:tc>
              <w:tc>
                <w:tcPr>
                  <w:tcW w:w="464" w:type="pct"/>
                  <w:shd w:val="clear" w:color="auto" w:fill="auto"/>
                </w:tcPr>
                <w:p w:rsidR="00745FEA" w:rsidRPr="006938BC" w:rsidRDefault="00745FEA" w:rsidP="00745FEA">
                  <w:pPr>
                    <w:pStyle w:val="TableBodyText"/>
                    <w:spacing w:before="20" w:after="20"/>
                    <w:ind w:right="57"/>
                    <w:rPr>
                      <w:i/>
                    </w:rPr>
                  </w:pPr>
                  <w:r>
                    <w:rPr>
                      <w:i/>
                    </w:rPr>
                    <w:t>218.2</w:t>
                  </w:r>
                </w:p>
              </w:tc>
            </w:tr>
            <w:tr w:rsidR="00745FEA" w:rsidTr="00745FEA">
              <w:tc>
                <w:tcPr>
                  <w:tcW w:w="2201" w:type="pct"/>
                  <w:shd w:val="clear" w:color="auto" w:fill="auto"/>
                </w:tcPr>
                <w:p w:rsidR="00745FEA" w:rsidRPr="00620235" w:rsidRDefault="00745FEA" w:rsidP="00745FEA">
                  <w:pPr>
                    <w:pStyle w:val="TableBodyText"/>
                    <w:spacing w:before="40"/>
                    <w:jc w:val="left"/>
                    <w:rPr>
                      <w:b/>
                    </w:rPr>
                  </w:pPr>
                  <w:r w:rsidRPr="00620235">
                    <w:rPr>
                      <w:b/>
                    </w:rPr>
                    <w:t>Retail trade</w:t>
                  </w: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4" w:type="pct"/>
                  <w:shd w:val="clear" w:color="auto" w:fill="auto"/>
                  <w:vAlign w:val="bottom"/>
                </w:tcPr>
                <w:p w:rsidR="00745FEA" w:rsidRDefault="00745FEA" w:rsidP="00745FEA">
                  <w:pPr>
                    <w:pStyle w:val="TableBodyText"/>
                    <w:spacing w:before="40"/>
                    <w:ind w:right="57"/>
                  </w:pPr>
                </w:p>
              </w:tc>
            </w:tr>
            <w:tr w:rsidR="00745FEA" w:rsidTr="00745FEA">
              <w:tc>
                <w:tcPr>
                  <w:tcW w:w="2201" w:type="pct"/>
                  <w:shd w:val="clear" w:color="auto" w:fill="auto"/>
                </w:tcPr>
                <w:p w:rsidR="00745FEA" w:rsidRPr="00620235" w:rsidRDefault="00745FEA" w:rsidP="00745FEA">
                  <w:pPr>
                    <w:pStyle w:val="TableBodyText"/>
                    <w:spacing w:before="40" w:after="0"/>
                    <w:ind w:left="113"/>
                    <w:jc w:val="left"/>
                    <w:rPr>
                      <w:i/>
                    </w:rPr>
                  </w:pPr>
                  <w:r w:rsidRPr="00620235">
                    <w:rPr>
                      <w:i/>
                    </w:rPr>
                    <w:t>Industry-specific measures</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r>
            <w:tr w:rsidR="00745FEA" w:rsidTr="00745FEA">
              <w:tc>
                <w:tcPr>
                  <w:tcW w:w="2201" w:type="pct"/>
                  <w:shd w:val="clear" w:color="auto" w:fill="auto"/>
                </w:tcPr>
                <w:p w:rsidR="00745FEA" w:rsidRPr="00847D6D" w:rsidRDefault="00745FEA" w:rsidP="00745FEA">
                  <w:pPr>
                    <w:pStyle w:val="TableBodyText"/>
                    <w:spacing w:after="0"/>
                    <w:ind w:left="227" w:right="0"/>
                    <w:jc w:val="left"/>
                  </w:pPr>
                  <w:r w:rsidRPr="00847D6D">
                    <w:t>LPG Vehicle Scheme</w:t>
                  </w:r>
                </w:p>
              </w:tc>
              <w:tc>
                <w:tcPr>
                  <w:tcW w:w="467" w:type="pct"/>
                  <w:vAlign w:val="bottom"/>
                </w:tcPr>
                <w:p w:rsidR="00745FEA" w:rsidRPr="00847D6D" w:rsidRDefault="00745FEA" w:rsidP="00745FEA">
                  <w:pPr>
                    <w:pStyle w:val="TableBodyText"/>
                    <w:ind w:right="57"/>
                  </w:pPr>
                  <w:r w:rsidRPr="003004AC">
                    <w:t>18.8</w:t>
                  </w:r>
                </w:p>
              </w:tc>
              <w:tc>
                <w:tcPr>
                  <w:tcW w:w="467" w:type="pct"/>
                  <w:vAlign w:val="bottom"/>
                </w:tcPr>
                <w:p w:rsidR="00745FEA" w:rsidRPr="00847D6D" w:rsidRDefault="00745FEA" w:rsidP="00745FEA">
                  <w:pPr>
                    <w:pStyle w:val="TableBodyText"/>
                    <w:ind w:right="57"/>
                  </w:pPr>
                  <w:r w:rsidRPr="003004AC">
                    <w:t>5.2</w:t>
                  </w:r>
                </w:p>
              </w:tc>
              <w:tc>
                <w:tcPr>
                  <w:tcW w:w="467" w:type="pct"/>
                  <w:vAlign w:val="bottom"/>
                </w:tcPr>
                <w:p w:rsidR="00745FEA" w:rsidRPr="00847D6D" w:rsidRDefault="00745FEA" w:rsidP="00745FEA">
                  <w:pPr>
                    <w:pStyle w:val="TableBodyText"/>
                    <w:ind w:right="57"/>
                  </w:pPr>
                  <w:r w:rsidRPr="003004AC">
                    <w:t>–</w:t>
                  </w:r>
                </w:p>
              </w:tc>
              <w:tc>
                <w:tcPr>
                  <w:tcW w:w="467" w:type="pct"/>
                  <w:vAlign w:val="bottom"/>
                </w:tcPr>
                <w:p w:rsidR="00745FEA" w:rsidRPr="00847D6D" w:rsidRDefault="00745FEA" w:rsidP="00745FEA">
                  <w:pPr>
                    <w:pStyle w:val="TableBodyText"/>
                    <w:ind w:right="57"/>
                  </w:pPr>
                  <w:r w:rsidRPr="003004AC">
                    <w:t>–</w:t>
                  </w:r>
                </w:p>
              </w:tc>
              <w:tc>
                <w:tcPr>
                  <w:tcW w:w="467" w:type="pct"/>
                  <w:shd w:val="clear" w:color="auto" w:fill="auto"/>
                  <w:vAlign w:val="bottom"/>
                </w:tcPr>
                <w:p w:rsidR="00745FEA" w:rsidRPr="00847D6D" w:rsidRDefault="00745FEA" w:rsidP="00745FEA">
                  <w:pPr>
                    <w:pStyle w:val="TableBodyText"/>
                    <w:ind w:right="57"/>
                  </w:pPr>
                  <w:r w:rsidRPr="003004AC">
                    <w:t>–</w:t>
                  </w:r>
                </w:p>
              </w:tc>
              <w:tc>
                <w:tcPr>
                  <w:tcW w:w="464" w:type="pct"/>
                  <w:shd w:val="clear" w:color="auto" w:fill="auto"/>
                  <w:vAlign w:val="bottom"/>
                </w:tcPr>
                <w:p w:rsidR="00745FEA" w:rsidRPr="00847D6D" w:rsidRDefault="00745FEA" w:rsidP="00745FEA">
                  <w:pPr>
                    <w:pStyle w:val="TableBodyText"/>
                    <w:ind w:right="57"/>
                  </w:pPr>
                  <w:r w:rsidRPr="003004AC">
                    <w:t>–</w:t>
                  </w:r>
                </w:p>
              </w:tc>
            </w:tr>
            <w:tr w:rsidR="00745FEA" w:rsidTr="00745FEA">
              <w:tc>
                <w:tcPr>
                  <w:tcW w:w="2201" w:type="pct"/>
                  <w:shd w:val="clear" w:color="auto" w:fill="auto"/>
                </w:tcPr>
                <w:p w:rsidR="00745FEA" w:rsidRPr="00847D6D" w:rsidRDefault="00745FEA" w:rsidP="00745FEA">
                  <w:pPr>
                    <w:pStyle w:val="TableBodyText"/>
                    <w:spacing w:after="0"/>
                    <w:ind w:left="227" w:right="0"/>
                    <w:jc w:val="left"/>
                  </w:pPr>
                  <w:r w:rsidRPr="00847D6D">
                    <w:t>TCF Small Business Program</w:t>
                  </w:r>
                </w:p>
              </w:tc>
              <w:tc>
                <w:tcPr>
                  <w:tcW w:w="467" w:type="pct"/>
                  <w:vAlign w:val="bottom"/>
                </w:tcPr>
                <w:p w:rsidR="00745FEA" w:rsidRPr="00847D6D" w:rsidRDefault="00745FEA" w:rsidP="00745FEA">
                  <w:pPr>
                    <w:pStyle w:val="TableBodyText"/>
                    <w:ind w:right="57"/>
                  </w:pPr>
                  <w:r w:rsidRPr="003004AC">
                    <w:t>–</w:t>
                  </w:r>
                </w:p>
              </w:tc>
              <w:tc>
                <w:tcPr>
                  <w:tcW w:w="467" w:type="pct"/>
                  <w:vAlign w:val="bottom"/>
                </w:tcPr>
                <w:p w:rsidR="00745FEA" w:rsidRPr="00847D6D" w:rsidRDefault="00745FEA" w:rsidP="00745FEA">
                  <w:pPr>
                    <w:pStyle w:val="TableBodyText"/>
                    <w:ind w:right="57"/>
                  </w:pPr>
                  <w:r w:rsidRPr="003004AC">
                    <w:t>&lt;0.1</w:t>
                  </w:r>
                </w:p>
              </w:tc>
              <w:tc>
                <w:tcPr>
                  <w:tcW w:w="467" w:type="pct"/>
                  <w:vAlign w:val="bottom"/>
                </w:tcPr>
                <w:p w:rsidR="00745FEA" w:rsidRPr="00847D6D" w:rsidRDefault="00745FEA" w:rsidP="00745FEA">
                  <w:pPr>
                    <w:pStyle w:val="TableBodyText"/>
                    <w:ind w:right="57"/>
                  </w:pPr>
                  <w:r w:rsidRPr="003004AC">
                    <w:t>–</w:t>
                  </w:r>
                </w:p>
              </w:tc>
              <w:tc>
                <w:tcPr>
                  <w:tcW w:w="467" w:type="pct"/>
                  <w:vAlign w:val="bottom"/>
                </w:tcPr>
                <w:p w:rsidR="00745FEA" w:rsidRPr="00847D6D" w:rsidRDefault="00745FEA" w:rsidP="00745FEA">
                  <w:pPr>
                    <w:pStyle w:val="TableBodyText"/>
                    <w:ind w:right="57"/>
                  </w:pPr>
                  <w:r w:rsidRPr="003004AC">
                    <w:t>–</w:t>
                  </w:r>
                </w:p>
              </w:tc>
              <w:tc>
                <w:tcPr>
                  <w:tcW w:w="467" w:type="pct"/>
                  <w:shd w:val="clear" w:color="auto" w:fill="auto"/>
                  <w:vAlign w:val="bottom"/>
                </w:tcPr>
                <w:p w:rsidR="00745FEA" w:rsidRPr="00847D6D" w:rsidRDefault="00745FEA" w:rsidP="00745FEA">
                  <w:pPr>
                    <w:pStyle w:val="TableBodyText"/>
                    <w:ind w:right="57"/>
                  </w:pPr>
                  <w:r w:rsidRPr="003004AC">
                    <w:t>–</w:t>
                  </w:r>
                </w:p>
              </w:tc>
              <w:tc>
                <w:tcPr>
                  <w:tcW w:w="464" w:type="pct"/>
                  <w:shd w:val="clear" w:color="auto" w:fill="auto"/>
                  <w:vAlign w:val="bottom"/>
                </w:tcPr>
                <w:p w:rsidR="00745FEA" w:rsidRDefault="00745FEA" w:rsidP="00745FEA">
                  <w:pPr>
                    <w:pStyle w:val="TableBodyText"/>
                    <w:ind w:right="57"/>
                  </w:pPr>
                  <w:r w:rsidRPr="003004AC">
                    <w:t>–</w:t>
                  </w:r>
                </w:p>
              </w:tc>
            </w:tr>
            <w:tr w:rsidR="00745FEA" w:rsidTr="00745FEA">
              <w:tc>
                <w:tcPr>
                  <w:tcW w:w="2201" w:type="pct"/>
                  <w:shd w:val="clear" w:color="auto" w:fill="auto"/>
                </w:tcPr>
                <w:p w:rsidR="00745FEA" w:rsidRPr="00620235" w:rsidRDefault="00745FEA" w:rsidP="00745FEA">
                  <w:pPr>
                    <w:pStyle w:val="TableBodyText"/>
                    <w:spacing w:before="40" w:after="0"/>
                    <w:ind w:left="113"/>
                    <w:jc w:val="left"/>
                    <w:rPr>
                      <w:i/>
                    </w:rPr>
                  </w:pPr>
                  <w:r w:rsidRPr="00620235">
                    <w:rPr>
                      <w:i/>
                    </w:rPr>
                    <w:t>Sector-specific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RPr="000C3BED" w:rsidTr="00745FEA">
              <w:tc>
                <w:tcPr>
                  <w:tcW w:w="2201" w:type="pct"/>
                  <w:shd w:val="clear" w:color="auto" w:fill="auto"/>
                </w:tcPr>
                <w:p w:rsidR="00745FEA" w:rsidRPr="004C3DBB" w:rsidRDefault="00745FEA" w:rsidP="00745FEA">
                  <w:pPr>
                    <w:pStyle w:val="TableBodyText"/>
                    <w:spacing w:after="0"/>
                    <w:ind w:left="227" w:right="0"/>
                    <w:jc w:val="left"/>
                  </w:pPr>
                  <w:r w:rsidRPr="004C3DBB">
                    <w:t>Victorian Innovation and Investment Fund - Ford Assistance</w:t>
                  </w:r>
                </w:p>
              </w:tc>
              <w:tc>
                <w:tcPr>
                  <w:tcW w:w="467" w:type="pct"/>
                  <w:vAlign w:val="bottom"/>
                </w:tcPr>
                <w:p w:rsidR="00745FEA" w:rsidRPr="004C3DBB" w:rsidRDefault="00745FEA" w:rsidP="00745FEA">
                  <w:pPr>
                    <w:pStyle w:val="TableBodyText"/>
                    <w:ind w:right="57"/>
                  </w:pPr>
                  <w:r w:rsidRPr="00407E76">
                    <w:t>–</w:t>
                  </w:r>
                </w:p>
              </w:tc>
              <w:tc>
                <w:tcPr>
                  <w:tcW w:w="467" w:type="pct"/>
                  <w:vAlign w:val="bottom"/>
                </w:tcPr>
                <w:p w:rsidR="00745FEA" w:rsidRPr="004C3DBB" w:rsidRDefault="00745FEA" w:rsidP="00745FEA">
                  <w:pPr>
                    <w:pStyle w:val="TableBodyText"/>
                    <w:ind w:right="57"/>
                  </w:pPr>
                  <w:r w:rsidRPr="00407E76">
                    <w:t>–</w:t>
                  </w:r>
                </w:p>
              </w:tc>
              <w:tc>
                <w:tcPr>
                  <w:tcW w:w="467" w:type="pct"/>
                  <w:vAlign w:val="bottom"/>
                </w:tcPr>
                <w:p w:rsidR="00745FEA" w:rsidRPr="004C3DBB" w:rsidRDefault="00745FEA" w:rsidP="00745FEA">
                  <w:pPr>
                    <w:pStyle w:val="TableBodyText"/>
                    <w:ind w:right="57"/>
                  </w:pPr>
                  <w:r w:rsidRPr="00407E76">
                    <w:t>–</w:t>
                  </w:r>
                </w:p>
              </w:tc>
              <w:tc>
                <w:tcPr>
                  <w:tcW w:w="467" w:type="pct"/>
                  <w:vAlign w:val="bottom"/>
                </w:tcPr>
                <w:p w:rsidR="00745FEA" w:rsidRPr="004C3DBB" w:rsidRDefault="00745FEA" w:rsidP="00745FEA">
                  <w:pPr>
                    <w:pStyle w:val="TableBodyText"/>
                    <w:ind w:right="57"/>
                  </w:pPr>
                  <w:r w:rsidRPr="00407E76">
                    <w:t>0.7</w:t>
                  </w:r>
                </w:p>
              </w:tc>
              <w:tc>
                <w:tcPr>
                  <w:tcW w:w="467" w:type="pct"/>
                  <w:shd w:val="clear" w:color="auto" w:fill="auto"/>
                  <w:vAlign w:val="bottom"/>
                </w:tcPr>
                <w:p w:rsidR="00745FEA" w:rsidRPr="004C3DBB" w:rsidRDefault="00745FEA" w:rsidP="00745FEA">
                  <w:pPr>
                    <w:pStyle w:val="TableBodyText"/>
                    <w:ind w:right="57"/>
                  </w:pPr>
                  <w:r w:rsidRPr="00407E76">
                    <w:t>0.6</w:t>
                  </w:r>
                </w:p>
              </w:tc>
              <w:tc>
                <w:tcPr>
                  <w:tcW w:w="464" w:type="pct"/>
                  <w:shd w:val="clear" w:color="auto" w:fill="auto"/>
                  <w:vAlign w:val="bottom"/>
                </w:tcPr>
                <w:p w:rsidR="00745FEA" w:rsidRDefault="00745FEA" w:rsidP="00745FEA">
                  <w:pPr>
                    <w:pStyle w:val="TableBodyText"/>
                    <w:ind w:right="57"/>
                  </w:pPr>
                  <w:r w:rsidRPr="00407E76">
                    <w:t>1.8</w:t>
                  </w:r>
                </w:p>
              </w:tc>
            </w:tr>
            <w:tr w:rsidR="00745FEA" w:rsidTr="00745FEA">
              <w:tc>
                <w:tcPr>
                  <w:tcW w:w="2201" w:type="pct"/>
                  <w:shd w:val="clear" w:color="auto" w:fill="auto"/>
                </w:tcPr>
                <w:p w:rsidR="00745FEA" w:rsidRPr="00620235" w:rsidRDefault="00745FEA" w:rsidP="00745FEA">
                  <w:pPr>
                    <w:pStyle w:val="TableBodyText"/>
                    <w:spacing w:before="40" w:after="0"/>
                    <w:ind w:left="113"/>
                    <w:jc w:val="left"/>
                    <w:rPr>
                      <w:i/>
                    </w:rPr>
                  </w:pPr>
                  <w:r w:rsidRPr="00620235">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Tr="00745FEA">
              <w:tc>
                <w:tcPr>
                  <w:tcW w:w="2201" w:type="pct"/>
                  <w:shd w:val="clear" w:color="auto" w:fill="auto"/>
                </w:tcPr>
                <w:p w:rsidR="00745FEA" w:rsidRPr="00F0413C" w:rsidRDefault="00745FEA" w:rsidP="00745FEA">
                  <w:pPr>
                    <w:pStyle w:val="TableBodyText"/>
                    <w:spacing w:after="0"/>
                    <w:ind w:left="227" w:right="0"/>
                    <w:jc w:val="left"/>
                  </w:pPr>
                  <w:r w:rsidRPr="00F0413C">
                    <w:t>Export Market Development Grants Scheme</w:t>
                  </w:r>
                </w:p>
              </w:tc>
              <w:tc>
                <w:tcPr>
                  <w:tcW w:w="467" w:type="pct"/>
                  <w:vAlign w:val="bottom"/>
                </w:tcPr>
                <w:p w:rsidR="00745FEA" w:rsidRPr="00F0413C" w:rsidRDefault="00745FEA" w:rsidP="00745FEA">
                  <w:pPr>
                    <w:pStyle w:val="TableBodyText"/>
                    <w:ind w:right="57"/>
                  </w:pPr>
                  <w:r w:rsidRPr="00E3490B">
                    <w:t>1.2</w:t>
                  </w:r>
                </w:p>
              </w:tc>
              <w:tc>
                <w:tcPr>
                  <w:tcW w:w="467" w:type="pct"/>
                  <w:vAlign w:val="bottom"/>
                </w:tcPr>
                <w:p w:rsidR="00745FEA" w:rsidRPr="00F0413C" w:rsidRDefault="00745FEA" w:rsidP="00745FEA">
                  <w:pPr>
                    <w:pStyle w:val="TableBodyText"/>
                    <w:ind w:right="57"/>
                  </w:pPr>
                  <w:r w:rsidRPr="00E3490B">
                    <w:t>1.0</w:t>
                  </w:r>
                </w:p>
              </w:tc>
              <w:tc>
                <w:tcPr>
                  <w:tcW w:w="467" w:type="pct"/>
                  <w:vAlign w:val="bottom"/>
                </w:tcPr>
                <w:p w:rsidR="00745FEA" w:rsidRPr="00F0413C" w:rsidRDefault="00745FEA" w:rsidP="00745FEA">
                  <w:pPr>
                    <w:pStyle w:val="TableBodyText"/>
                    <w:ind w:right="57"/>
                  </w:pPr>
                  <w:r w:rsidRPr="00E3490B">
                    <w:t>1.6</w:t>
                  </w:r>
                </w:p>
              </w:tc>
              <w:tc>
                <w:tcPr>
                  <w:tcW w:w="467" w:type="pct"/>
                  <w:vAlign w:val="bottom"/>
                </w:tcPr>
                <w:p w:rsidR="00745FEA" w:rsidRPr="00F0413C" w:rsidRDefault="00745FEA" w:rsidP="00745FEA">
                  <w:pPr>
                    <w:pStyle w:val="TableBodyText"/>
                    <w:ind w:right="57"/>
                  </w:pPr>
                  <w:r w:rsidRPr="00E3490B">
                    <w:t>2.6</w:t>
                  </w:r>
                </w:p>
              </w:tc>
              <w:tc>
                <w:tcPr>
                  <w:tcW w:w="467" w:type="pct"/>
                  <w:shd w:val="clear" w:color="auto" w:fill="auto"/>
                  <w:vAlign w:val="bottom"/>
                </w:tcPr>
                <w:p w:rsidR="00745FEA" w:rsidRPr="00F0413C" w:rsidRDefault="00745FEA" w:rsidP="00745FEA">
                  <w:pPr>
                    <w:pStyle w:val="TableBodyText"/>
                    <w:ind w:right="57"/>
                  </w:pPr>
                  <w:r w:rsidRPr="00E3490B">
                    <w:t>3.4</w:t>
                  </w:r>
                </w:p>
              </w:tc>
              <w:tc>
                <w:tcPr>
                  <w:tcW w:w="464" w:type="pct"/>
                  <w:shd w:val="clear" w:color="auto" w:fill="auto"/>
                  <w:vAlign w:val="bottom"/>
                </w:tcPr>
                <w:p w:rsidR="00745FEA" w:rsidRPr="00F0413C" w:rsidRDefault="00745FEA" w:rsidP="00745FEA">
                  <w:pPr>
                    <w:pStyle w:val="TableBodyText"/>
                    <w:ind w:right="57"/>
                  </w:pPr>
                  <w:r w:rsidRPr="00E3490B">
                    <w:t>5.3</w:t>
                  </w:r>
                </w:p>
              </w:tc>
            </w:tr>
            <w:tr w:rsidR="00745FEA" w:rsidTr="00745FEA">
              <w:tc>
                <w:tcPr>
                  <w:tcW w:w="2201" w:type="pct"/>
                  <w:shd w:val="clear" w:color="auto" w:fill="auto"/>
                </w:tcPr>
                <w:p w:rsidR="00745FEA" w:rsidRPr="00F0413C" w:rsidRDefault="00745FEA" w:rsidP="00745FEA">
                  <w:pPr>
                    <w:pStyle w:val="TableBodyText"/>
                    <w:spacing w:after="0"/>
                    <w:ind w:left="227" w:right="0"/>
                    <w:jc w:val="left"/>
                  </w:pPr>
                  <w:r w:rsidRPr="00F0413C">
                    <w:t>TRADEX</w:t>
                  </w:r>
                </w:p>
              </w:tc>
              <w:tc>
                <w:tcPr>
                  <w:tcW w:w="467" w:type="pct"/>
                  <w:vAlign w:val="bottom"/>
                </w:tcPr>
                <w:p w:rsidR="00745FEA" w:rsidRPr="00F0413C" w:rsidRDefault="00745FEA" w:rsidP="00745FEA">
                  <w:pPr>
                    <w:pStyle w:val="TableBodyText"/>
                    <w:ind w:right="57"/>
                  </w:pPr>
                  <w:r w:rsidRPr="00E3490B">
                    <w:t>2.3</w:t>
                  </w:r>
                </w:p>
              </w:tc>
              <w:tc>
                <w:tcPr>
                  <w:tcW w:w="467" w:type="pct"/>
                  <w:vAlign w:val="bottom"/>
                </w:tcPr>
                <w:p w:rsidR="00745FEA" w:rsidRPr="00F0413C" w:rsidRDefault="00745FEA" w:rsidP="00745FEA">
                  <w:pPr>
                    <w:pStyle w:val="TableBodyText"/>
                    <w:ind w:right="57"/>
                  </w:pPr>
                  <w:r w:rsidRPr="00E3490B">
                    <w:t>2.4</w:t>
                  </w:r>
                </w:p>
              </w:tc>
              <w:tc>
                <w:tcPr>
                  <w:tcW w:w="467" w:type="pct"/>
                  <w:vAlign w:val="bottom"/>
                </w:tcPr>
                <w:p w:rsidR="00745FEA" w:rsidRPr="00F0413C" w:rsidRDefault="00745FEA" w:rsidP="00745FEA">
                  <w:pPr>
                    <w:pStyle w:val="TableBodyText"/>
                    <w:ind w:right="57"/>
                  </w:pPr>
                  <w:r w:rsidRPr="00E3490B">
                    <w:t>2.4</w:t>
                  </w:r>
                </w:p>
              </w:tc>
              <w:tc>
                <w:tcPr>
                  <w:tcW w:w="467" w:type="pct"/>
                  <w:vAlign w:val="bottom"/>
                </w:tcPr>
                <w:p w:rsidR="00745FEA" w:rsidRPr="00F0413C" w:rsidRDefault="00745FEA" w:rsidP="00745FEA">
                  <w:pPr>
                    <w:pStyle w:val="TableBodyText"/>
                    <w:ind w:right="57"/>
                  </w:pPr>
                  <w:r w:rsidRPr="00E3490B">
                    <w:t>2.6</w:t>
                  </w:r>
                </w:p>
              </w:tc>
              <w:tc>
                <w:tcPr>
                  <w:tcW w:w="467" w:type="pct"/>
                  <w:shd w:val="clear" w:color="auto" w:fill="auto"/>
                  <w:vAlign w:val="bottom"/>
                </w:tcPr>
                <w:p w:rsidR="00745FEA" w:rsidRPr="00F0413C" w:rsidRDefault="00745FEA" w:rsidP="00745FEA">
                  <w:pPr>
                    <w:pStyle w:val="TableBodyText"/>
                    <w:ind w:right="57"/>
                  </w:pPr>
                  <w:r w:rsidRPr="00E3490B">
                    <w:t>2.9</w:t>
                  </w:r>
                </w:p>
              </w:tc>
              <w:tc>
                <w:tcPr>
                  <w:tcW w:w="464" w:type="pct"/>
                  <w:shd w:val="clear" w:color="auto" w:fill="auto"/>
                  <w:vAlign w:val="bottom"/>
                </w:tcPr>
                <w:p w:rsidR="00745FEA" w:rsidRDefault="00745FEA" w:rsidP="00745FEA">
                  <w:pPr>
                    <w:pStyle w:val="TableBodyText"/>
                    <w:ind w:right="57"/>
                  </w:pPr>
                  <w:r w:rsidRPr="00E3490B">
                    <w:t>2.7</w:t>
                  </w:r>
                </w:p>
              </w:tc>
            </w:tr>
            <w:tr w:rsidR="00745FEA" w:rsidTr="00745FEA">
              <w:tc>
                <w:tcPr>
                  <w:tcW w:w="2201" w:type="pct"/>
                  <w:shd w:val="clear" w:color="auto" w:fill="auto"/>
                </w:tcPr>
                <w:p w:rsidR="00745FEA" w:rsidRPr="00620235" w:rsidRDefault="00745FEA" w:rsidP="00745FEA">
                  <w:pPr>
                    <w:pStyle w:val="TableBodyText"/>
                    <w:spacing w:before="40" w:after="0"/>
                    <w:ind w:left="113"/>
                    <w:jc w:val="left"/>
                    <w:rPr>
                      <w:i/>
                    </w:rPr>
                  </w:pPr>
                  <w:r w:rsidRPr="00620235">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4" w:type="pct"/>
                  <w:shd w:val="clear" w:color="auto" w:fill="auto"/>
                  <w:vAlign w:val="bottom"/>
                </w:tcPr>
                <w:p w:rsidR="00745FEA" w:rsidRDefault="00745FEA" w:rsidP="00745FEA">
                  <w:pPr>
                    <w:pStyle w:val="TableBodyText"/>
                    <w:ind w:right="57"/>
                  </w:pPr>
                </w:p>
              </w:tc>
            </w:tr>
            <w:tr w:rsidR="00745FEA" w:rsidTr="00745FEA">
              <w:tc>
                <w:tcPr>
                  <w:tcW w:w="2201" w:type="pct"/>
                  <w:shd w:val="clear" w:color="auto" w:fill="auto"/>
                </w:tcPr>
                <w:p w:rsidR="00745FEA" w:rsidRPr="00EB47A0" w:rsidRDefault="00745FEA" w:rsidP="00745FEA">
                  <w:pPr>
                    <w:pStyle w:val="TableBodyText"/>
                    <w:spacing w:after="0"/>
                    <w:ind w:left="227" w:right="0"/>
                    <w:jc w:val="left"/>
                  </w:pPr>
                  <w:r w:rsidRPr="00EB47A0">
                    <w:t>Commercialisation Australia</w:t>
                  </w:r>
                </w:p>
              </w:tc>
              <w:tc>
                <w:tcPr>
                  <w:tcW w:w="467" w:type="pct"/>
                  <w:vAlign w:val="bottom"/>
                </w:tcPr>
                <w:p w:rsidR="00745FEA" w:rsidRPr="00EB47A0" w:rsidRDefault="00745FEA" w:rsidP="00745FEA">
                  <w:pPr>
                    <w:pStyle w:val="TableBodyText"/>
                    <w:ind w:right="57"/>
                  </w:pPr>
                  <w:r w:rsidRPr="00767B08">
                    <w:t>0.1</w:t>
                  </w:r>
                </w:p>
              </w:tc>
              <w:tc>
                <w:tcPr>
                  <w:tcW w:w="467" w:type="pct"/>
                  <w:vAlign w:val="bottom"/>
                </w:tcPr>
                <w:p w:rsidR="00745FEA" w:rsidRPr="00EB47A0" w:rsidRDefault="00745FEA" w:rsidP="00745FEA">
                  <w:pPr>
                    <w:pStyle w:val="TableBodyText"/>
                    <w:ind w:right="57"/>
                  </w:pPr>
                  <w:r w:rsidRPr="00767B08">
                    <w:t>0.6</w:t>
                  </w:r>
                </w:p>
              </w:tc>
              <w:tc>
                <w:tcPr>
                  <w:tcW w:w="467" w:type="pct"/>
                  <w:vAlign w:val="bottom"/>
                </w:tcPr>
                <w:p w:rsidR="00745FEA" w:rsidRPr="00EB47A0" w:rsidRDefault="00745FEA" w:rsidP="00745FEA">
                  <w:pPr>
                    <w:pStyle w:val="TableBodyText"/>
                    <w:ind w:right="57"/>
                  </w:pPr>
                  <w:r w:rsidRPr="00767B08">
                    <w:t>0.2</w:t>
                  </w:r>
                </w:p>
              </w:tc>
              <w:tc>
                <w:tcPr>
                  <w:tcW w:w="467" w:type="pct"/>
                  <w:vAlign w:val="bottom"/>
                </w:tcPr>
                <w:p w:rsidR="00745FEA" w:rsidRPr="00EB47A0" w:rsidRDefault="00745FEA" w:rsidP="00745FEA">
                  <w:pPr>
                    <w:pStyle w:val="TableBodyText"/>
                    <w:ind w:right="57"/>
                  </w:pPr>
                  <w:r w:rsidRPr="00767B08">
                    <w:t>0.6</w:t>
                  </w:r>
                </w:p>
              </w:tc>
              <w:tc>
                <w:tcPr>
                  <w:tcW w:w="467" w:type="pct"/>
                  <w:shd w:val="clear" w:color="auto" w:fill="auto"/>
                  <w:vAlign w:val="bottom"/>
                </w:tcPr>
                <w:p w:rsidR="00745FEA" w:rsidRPr="00EB47A0" w:rsidRDefault="00745FEA" w:rsidP="00745FEA">
                  <w:pPr>
                    <w:pStyle w:val="TableBodyText"/>
                    <w:ind w:right="57"/>
                  </w:pPr>
                  <w:r w:rsidRPr="00767B08">
                    <w:t>0.4</w:t>
                  </w:r>
                </w:p>
              </w:tc>
              <w:tc>
                <w:tcPr>
                  <w:tcW w:w="464" w:type="pct"/>
                  <w:shd w:val="clear" w:color="auto" w:fill="auto"/>
                  <w:vAlign w:val="bottom"/>
                </w:tcPr>
                <w:p w:rsidR="00745FEA" w:rsidRPr="00EB47A0" w:rsidRDefault="00745FEA" w:rsidP="00745FEA">
                  <w:pPr>
                    <w:pStyle w:val="TableBodyText"/>
                    <w:ind w:right="57"/>
                  </w:pPr>
                  <w:r w:rsidRPr="00767B08">
                    <w:t>–</w:t>
                  </w:r>
                </w:p>
              </w:tc>
            </w:tr>
            <w:tr w:rsidR="00745FEA" w:rsidTr="00745FEA">
              <w:tc>
                <w:tcPr>
                  <w:tcW w:w="2201" w:type="pct"/>
                  <w:shd w:val="clear" w:color="auto" w:fill="auto"/>
                </w:tcPr>
                <w:p w:rsidR="00745FEA" w:rsidRPr="00EB47A0" w:rsidRDefault="00745FEA" w:rsidP="00745FEA">
                  <w:pPr>
                    <w:pStyle w:val="TableBodyText"/>
                    <w:spacing w:after="0"/>
                    <w:ind w:left="227" w:right="0"/>
                    <w:jc w:val="left"/>
                  </w:pPr>
                  <w:r w:rsidRPr="00EB47A0">
                    <w:t>R&amp;D Tax Incentive - refundable tax offset</w:t>
                  </w:r>
                </w:p>
              </w:tc>
              <w:tc>
                <w:tcPr>
                  <w:tcW w:w="467" w:type="pct"/>
                  <w:vAlign w:val="bottom"/>
                </w:tcPr>
                <w:p w:rsidR="00745FEA" w:rsidRPr="00EB47A0" w:rsidRDefault="00745FEA" w:rsidP="00745FEA">
                  <w:pPr>
                    <w:pStyle w:val="TableBodyText"/>
                    <w:ind w:right="57"/>
                  </w:pPr>
                  <w:r w:rsidRPr="00767B08">
                    <w:t>–</w:t>
                  </w:r>
                </w:p>
              </w:tc>
              <w:tc>
                <w:tcPr>
                  <w:tcW w:w="467" w:type="pct"/>
                  <w:vAlign w:val="bottom"/>
                </w:tcPr>
                <w:p w:rsidR="00745FEA" w:rsidRPr="00EB47A0" w:rsidRDefault="00745FEA" w:rsidP="00745FEA">
                  <w:pPr>
                    <w:pStyle w:val="TableBodyText"/>
                    <w:ind w:right="57"/>
                  </w:pPr>
                  <w:r w:rsidRPr="00767B08">
                    <w:t>23.2</w:t>
                  </w:r>
                </w:p>
              </w:tc>
              <w:tc>
                <w:tcPr>
                  <w:tcW w:w="467" w:type="pct"/>
                  <w:vAlign w:val="bottom"/>
                </w:tcPr>
                <w:p w:rsidR="00745FEA" w:rsidRPr="00EB47A0" w:rsidRDefault="00745FEA" w:rsidP="00745FEA">
                  <w:pPr>
                    <w:pStyle w:val="TableBodyText"/>
                    <w:ind w:right="57"/>
                  </w:pPr>
                  <w:r w:rsidRPr="00767B08">
                    <w:t>22.5</w:t>
                  </w:r>
                </w:p>
              </w:tc>
              <w:tc>
                <w:tcPr>
                  <w:tcW w:w="467" w:type="pct"/>
                  <w:vAlign w:val="bottom"/>
                </w:tcPr>
                <w:p w:rsidR="00745FEA" w:rsidRPr="00EB47A0" w:rsidRDefault="00745FEA" w:rsidP="00745FEA">
                  <w:pPr>
                    <w:pStyle w:val="TableBodyText"/>
                    <w:ind w:right="57"/>
                  </w:pPr>
                  <w:r w:rsidRPr="00767B08">
                    <w:t>30.1</w:t>
                  </w:r>
                </w:p>
              </w:tc>
              <w:tc>
                <w:tcPr>
                  <w:tcW w:w="467" w:type="pct"/>
                  <w:shd w:val="clear" w:color="auto" w:fill="auto"/>
                  <w:vAlign w:val="bottom"/>
                </w:tcPr>
                <w:p w:rsidR="00745FEA" w:rsidRPr="00EB47A0" w:rsidRDefault="00745FEA" w:rsidP="00745FEA">
                  <w:pPr>
                    <w:pStyle w:val="TableBodyText"/>
                    <w:ind w:right="57"/>
                  </w:pPr>
                  <w:r w:rsidRPr="00767B08">
                    <w:t>32.0</w:t>
                  </w:r>
                </w:p>
              </w:tc>
              <w:tc>
                <w:tcPr>
                  <w:tcW w:w="464" w:type="pct"/>
                  <w:shd w:val="clear" w:color="auto" w:fill="auto"/>
                  <w:vAlign w:val="bottom"/>
                </w:tcPr>
                <w:p w:rsidR="00745FEA" w:rsidRPr="00EB47A0" w:rsidRDefault="00745FEA" w:rsidP="00745FEA">
                  <w:pPr>
                    <w:pStyle w:val="TableBodyText"/>
                    <w:ind w:right="57"/>
                  </w:pPr>
                  <w:r w:rsidRPr="00767B08">
                    <w:t>38.7</w:t>
                  </w:r>
                </w:p>
              </w:tc>
            </w:tr>
            <w:tr w:rsidR="00745FEA" w:rsidTr="00745FEA">
              <w:tc>
                <w:tcPr>
                  <w:tcW w:w="2201" w:type="pct"/>
                  <w:shd w:val="clear" w:color="auto" w:fill="auto"/>
                </w:tcPr>
                <w:p w:rsidR="00745FEA" w:rsidRPr="00EB47A0" w:rsidRDefault="00745FEA" w:rsidP="00745FEA">
                  <w:pPr>
                    <w:pStyle w:val="TableBodyText"/>
                    <w:spacing w:after="0"/>
                    <w:ind w:left="227" w:right="0"/>
                    <w:jc w:val="left"/>
                  </w:pPr>
                  <w:r w:rsidRPr="00EB47A0">
                    <w:t>R&amp;D tax offsets - Refundable</w:t>
                  </w:r>
                </w:p>
              </w:tc>
              <w:tc>
                <w:tcPr>
                  <w:tcW w:w="467" w:type="pct"/>
                  <w:vAlign w:val="bottom"/>
                </w:tcPr>
                <w:p w:rsidR="00745FEA" w:rsidRPr="00EB47A0" w:rsidRDefault="00745FEA" w:rsidP="00745FEA">
                  <w:pPr>
                    <w:pStyle w:val="TableBodyText"/>
                    <w:ind w:right="57"/>
                  </w:pPr>
                  <w:r w:rsidRPr="00767B08">
                    <w:t>11.9</w:t>
                  </w:r>
                </w:p>
              </w:tc>
              <w:tc>
                <w:tcPr>
                  <w:tcW w:w="467" w:type="pct"/>
                  <w:vAlign w:val="bottom"/>
                </w:tcPr>
                <w:p w:rsidR="00745FEA" w:rsidRPr="00EB47A0" w:rsidRDefault="00745FEA" w:rsidP="00745FEA">
                  <w:pPr>
                    <w:pStyle w:val="TableBodyText"/>
                    <w:ind w:right="57"/>
                  </w:pPr>
                  <w:r w:rsidRPr="00767B08">
                    <w:t>–</w:t>
                  </w:r>
                </w:p>
              </w:tc>
              <w:tc>
                <w:tcPr>
                  <w:tcW w:w="467" w:type="pct"/>
                  <w:vAlign w:val="bottom"/>
                </w:tcPr>
                <w:p w:rsidR="00745FEA" w:rsidRPr="00EB47A0" w:rsidRDefault="00745FEA" w:rsidP="00745FEA">
                  <w:pPr>
                    <w:pStyle w:val="TableBodyText"/>
                    <w:ind w:right="57"/>
                  </w:pPr>
                  <w:r w:rsidRPr="00767B08">
                    <w:t>–</w:t>
                  </w:r>
                </w:p>
              </w:tc>
              <w:tc>
                <w:tcPr>
                  <w:tcW w:w="467" w:type="pct"/>
                  <w:vAlign w:val="bottom"/>
                </w:tcPr>
                <w:p w:rsidR="00745FEA" w:rsidRPr="00EB47A0" w:rsidRDefault="00745FEA" w:rsidP="00745FEA">
                  <w:pPr>
                    <w:pStyle w:val="TableBodyText"/>
                    <w:ind w:right="57"/>
                  </w:pPr>
                  <w:r w:rsidRPr="00767B08">
                    <w:t>–</w:t>
                  </w:r>
                </w:p>
              </w:tc>
              <w:tc>
                <w:tcPr>
                  <w:tcW w:w="467" w:type="pct"/>
                  <w:shd w:val="clear" w:color="auto" w:fill="auto"/>
                  <w:vAlign w:val="bottom"/>
                </w:tcPr>
                <w:p w:rsidR="00745FEA" w:rsidRPr="00EB47A0" w:rsidRDefault="00745FEA" w:rsidP="00745FEA">
                  <w:pPr>
                    <w:pStyle w:val="TableBodyText"/>
                    <w:ind w:right="57"/>
                  </w:pPr>
                  <w:r w:rsidRPr="00767B08">
                    <w:t>–</w:t>
                  </w:r>
                </w:p>
              </w:tc>
              <w:tc>
                <w:tcPr>
                  <w:tcW w:w="464" w:type="pct"/>
                  <w:shd w:val="clear" w:color="auto" w:fill="auto"/>
                  <w:vAlign w:val="bottom"/>
                </w:tcPr>
                <w:p w:rsidR="00745FEA" w:rsidRPr="00EB47A0" w:rsidRDefault="00745FEA" w:rsidP="00745FEA">
                  <w:pPr>
                    <w:pStyle w:val="TableBodyText"/>
                    <w:ind w:right="57"/>
                  </w:pPr>
                  <w:r w:rsidRPr="00767B08">
                    <w:t>–</w:t>
                  </w:r>
                </w:p>
              </w:tc>
            </w:tr>
            <w:tr w:rsidR="00745FEA" w:rsidTr="00745FEA">
              <w:tc>
                <w:tcPr>
                  <w:tcW w:w="2201" w:type="pct"/>
                  <w:shd w:val="clear" w:color="auto" w:fill="auto"/>
                </w:tcPr>
                <w:p w:rsidR="00745FEA" w:rsidRPr="00EB47A0" w:rsidRDefault="00745FEA" w:rsidP="00745FEA">
                  <w:pPr>
                    <w:pStyle w:val="TableBodyText"/>
                    <w:spacing w:after="0"/>
                    <w:ind w:left="227" w:right="0"/>
                    <w:jc w:val="left"/>
                  </w:pPr>
                  <w:r w:rsidRPr="00EB47A0">
                    <w:t>Premium R&amp;D tax concession</w:t>
                  </w:r>
                </w:p>
              </w:tc>
              <w:tc>
                <w:tcPr>
                  <w:tcW w:w="467" w:type="pct"/>
                  <w:vAlign w:val="bottom"/>
                </w:tcPr>
                <w:p w:rsidR="00745FEA" w:rsidRPr="00EB47A0" w:rsidRDefault="00745FEA" w:rsidP="00745FEA">
                  <w:pPr>
                    <w:pStyle w:val="TableBodyText"/>
                    <w:ind w:right="57"/>
                  </w:pPr>
                  <w:r w:rsidRPr="00767B08">
                    <w:t>3.4</w:t>
                  </w:r>
                </w:p>
              </w:tc>
              <w:tc>
                <w:tcPr>
                  <w:tcW w:w="467" w:type="pct"/>
                  <w:vAlign w:val="bottom"/>
                </w:tcPr>
                <w:p w:rsidR="00745FEA" w:rsidRPr="00EB47A0" w:rsidRDefault="00745FEA" w:rsidP="00745FEA">
                  <w:pPr>
                    <w:pStyle w:val="TableBodyText"/>
                    <w:ind w:right="57"/>
                  </w:pPr>
                  <w:r w:rsidRPr="00767B08">
                    <w:t>0.9</w:t>
                  </w:r>
                </w:p>
              </w:tc>
              <w:tc>
                <w:tcPr>
                  <w:tcW w:w="467" w:type="pct"/>
                  <w:vAlign w:val="bottom"/>
                </w:tcPr>
                <w:p w:rsidR="00745FEA" w:rsidRPr="00EB47A0" w:rsidRDefault="00745FEA" w:rsidP="00745FEA">
                  <w:pPr>
                    <w:pStyle w:val="TableBodyText"/>
                    <w:ind w:right="57"/>
                  </w:pPr>
                  <w:r w:rsidRPr="00767B08">
                    <w:t>0.4</w:t>
                  </w:r>
                </w:p>
              </w:tc>
              <w:tc>
                <w:tcPr>
                  <w:tcW w:w="467" w:type="pct"/>
                  <w:vAlign w:val="bottom"/>
                </w:tcPr>
                <w:p w:rsidR="00745FEA" w:rsidRPr="00EB47A0" w:rsidRDefault="00745FEA" w:rsidP="00745FEA">
                  <w:pPr>
                    <w:pStyle w:val="TableBodyText"/>
                    <w:ind w:right="57"/>
                  </w:pPr>
                  <w:r w:rsidRPr="00767B08">
                    <w:t>–</w:t>
                  </w:r>
                </w:p>
              </w:tc>
              <w:tc>
                <w:tcPr>
                  <w:tcW w:w="467" w:type="pct"/>
                  <w:shd w:val="clear" w:color="auto" w:fill="auto"/>
                  <w:vAlign w:val="bottom"/>
                </w:tcPr>
                <w:p w:rsidR="00745FEA" w:rsidRPr="00EB47A0" w:rsidRDefault="00745FEA" w:rsidP="00745FEA">
                  <w:pPr>
                    <w:pStyle w:val="TableBodyText"/>
                    <w:ind w:right="57"/>
                  </w:pPr>
                  <w:r w:rsidRPr="00767B08">
                    <w:t>–</w:t>
                  </w:r>
                </w:p>
              </w:tc>
              <w:tc>
                <w:tcPr>
                  <w:tcW w:w="464" w:type="pct"/>
                  <w:shd w:val="clear" w:color="auto" w:fill="auto"/>
                  <w:vAlign w:val="bottom"/>
                </w:tcPr>
                <w:p w:rsidR="00745FEA" w:rsidRPr="00EB47A0" w:rsidRDefault="00745FEA" w:rsidP="00745FEA">
                  <w:pPr>
                    <w:pStyle w:val="TableBodyText"/>
                    <w:ind w:right="57"/>
                  </w:pPr>
                  <w:r w:rsidRPr="00767B08">
                    <w:t>–</w:t>
                  </w:r>
                </w:p>
              </w:tc>
            </w:tr>
            <w:tr w:rsidR="00745FEA" w:rsidTr="00745FEA">
              <w:tc>
                <w:tcPr>
                  <w:tcW w:w="2201" w:type="pct"/>
                  <w:shd w:val="clear" w:color="auto" w:fill="auto"/>
                </w:tcPr>
                <w:p w:rsidR="00745FEA" w:rsidRPr="00EB47A0" w:rsidRDefault="00745FEA" w:rsidP="00745FEA">
                  <w:pPr>
                    <w:pStyle w:val="TableBodyText"/>
                    <w:spacing w:after="0"/>
                    <w:ind w:left="227" w:right="0"/>
                    <w:jc w:val="left"/>
                  </w:pPr>
                  <w:r w:rsidRPr="00EB47A0">
                    <w:t>R&amp;D tax concession</w:t>
                  </w:r>
                </w:p>
              </w:tc>
              <w:tc>
                <w:tcPr>
                  <w:tcW w:w="467" w:type="pct"/>
                  <w:vAlign w:val="bottom"/>
                </w:tcPr>
                <w:p w:rsidR="00745FEA" w:rsidRPr="00EB47A0" w:rsidRDefault="00745FEA" w:rsidP="00745FEA">
                  <w:pPr>
                    <w:pStyle w:val="TableBodyText"/>
                    <w:ind w:right="57"/>
                  </w:pPr>
                  <w:r w:rsidRPr="00767B08">
                    <w:t>14.0</w:t>
                  </w:r>
                </w:p>
              </w:tc>
              <w:tc>
                <w:tcPr>
                  <w:tcW w:w="467" w:type="pct"/>
                  <w:vAlign w:val="bottom"/>
                </w:tcPr>
                <w:p w:rsidR="00745FEA" w:rsidRPr="00EB47A0" w:rsidRDefault="00745FEA" w:rsidP="00745FEA">
                  <w:pPr>
                    <w:pStyle w:val="TableBodyText"/>
                    <w:ind w:right="57"/>
                  </w:pPr>
                  <w:r w:rsidRPr="00767B08">
                    <w:t>6.2</w:t>
                  </w:r>
                </w:p>
              </w:tc>
              <w:tc>
                <w:tcPr>
                  <w:tcW w:w="467" w:type="pct"/>
                  <w:vAlign w:val="bottom"/>
                </w:tcPr>
                <w:p w:rsidR="00745FEA" w:rsidRPr="00EB47A0" w:rsidRDefault="00745FEA" w:rsidP="00745FEA">
                  <w:pPr>
                    <w:pStyle w:val="TableBodyText"/>
                    <w:ind w:right="57"/>
                  </w:pPr>
                  <w:r w:rsidRPr="00767B08">
                    <w:t>2.1</w:t>
                  </w:r>
                </w:p>
              </w:tc>
              <w:tc>
                <w:tcPr>
                  <w:tcW w:w="467" w:type="pct"/>
                  <w:vAlign w:val="bottom"/>
                </w:tcPr>
                <w:p w:rsidR="00745FEA" w:rsidRPr="00EB47A0" w:rsidRDefault="00745FEA" w:rsidP="00745FEA">
                  <w:pPr>
                    <w:pStyle w:val="TableBodyText"/>
                    <w:ind w:right="57"/>
                  </w:pPr>
                  <w:r w:rsidRPr="00767B08">
                    <w:t>0.4</w:t>
                  </w:r>
                </w:p>
              </w:tc>
              <w:tc>
                <w:tcPr>
                  <w:tcW w:w="467" w:type="pct"/>
                  <w:shd w:val="clear" w:color="auto" w:fill="auto"/>
                  <w:vAlign w:val="bottom"/>
                </w:tcPr>
                <w:p w:rsidR="00745FEA" w:rsidRPr="00EB47A0" w:rsidRDefault="00745FEA" w:rsidP="00745FEA">
                  <w:pPr>
                    <w:pStyle w:val="TableBodyText"/>
                    <w:ind w:right="57"/>
                  </w:pPr>
                  <w:r w:rsidRPr="00767B08">
                    <w:t>–</w:t>
                  </w:r>
                </w:p>
              </w:tc>
              <w:tc>
                <w:tcPr>
                  <w:tcW w:w="464" w:type="pct"/>
                  <w:shd w:val="clear" w:color="auto" w:fill="auto"/>
                  <w:vAlign w:val="bottom"/>
                </w:tcPr>
                <w:p w:rsidR="00745FEA" w:rsidRPr="00EB47A0" w:rsidRDefault="00745FEA" w:rsidP="00745FEA">
                  <w:pPr>
                    <w:pStyle w:val="TableBodyText"/>
                    <w:ind w:right="57"/>
                  </w:pPr>
                  <w:r w:rsidRPr="00767B08">
                    <w:t>–</w:t>
                  </w:r>
                </w:p>
              </w:tc>
            </w:tr>
            <w:tr w:rsidR="00745FEA" w:rsidTr="00745FEA">
              <w:tc>
                <w:tcPr>
                  <w:tcW w:w="2201" w:type="pct"/>
                  <w:tcBorders>
                    <w:bottom w:val="single" w:sz="6" w:space="0" w:color="BFBFBF"/>
                  </w:tcBorders>
                  <w:shd w:val="clear" w:color="auto" w:fill="auto"/>
                </w:tcPr>
                <w:p w:rsidR="00745FEA" w:rsidRPr="00EB47A0" w:rsidRDefault="00745FEA" w:rsidP="00745FEA">
                  <w:pPr>
                    <w:pStyle w:val="TableBodyText"/>
                    <w:ind w:left="227" w:right="0"/>
                    <w:jc w:val="left"/>
                  </w:pPr>
                  <w:r w:rsidRPr="00EB47A0">
                    <w:t>R&amp;D Tax Incentive - non-refundable tax offset</w:t>
                  </w:r>
                </w:p>
              </w:tc>
              <w:tc>
                <w:tcPr>
                  <w:tcW w:w="467" w:type="pct"/>
                  <w:tcBorders>
                    <w:bottom w:val="single" w:sz="6" w:space="0" w:color="BFBFBF"/>
                  </w:tcBorders>
                  <w:vAlign w:val="bottom"/>
                </w:tcPr>
                <w:p w:rsidR="00745FEA" w:rsidRPr="00EB47A0" w:rsidRDefault="00745FEA" w:rsidP="00745FEA">
                  <w:pPr>
                    <w:pStyle w:val="TableBodyText"/>
                    <w:ind w:right="57"/>
                  </w:pPr>
                  <w:r w:rsidRPr="00767B08">
                    <w:t>–</w:t>
                  </w:r>
                </w:p>
              </w:tc>
              <w:tc>
                <w:tcPr>
                  <w:tcW w:w="467" w:type="pct"/>
                  <w:tcBorders>
                    <w:bottom w:val="single" w:sz="6" w:space="0" w:color="BFBFBF"/>
                  </w:tcBorders>
                  <w:vAlign w:val="bottom"/>
                </w:tcPr>
                <w:p w:rsidR="00745FEA" w:rsidRPr="00EB47A0" w:rsidRDefault="00745FEA" w:rsidP="00745FEA">
                  <w:pPr>
                    <w:pStyle w:val="TableBodyText"/>
                    <w:ind w:right="57"/>
                  </w:pPr>
                  <w:r w:rsidRPr="00767B08">
                    <w:t>22.4</w:t>
                  </w:r>
                </w:p>
              </w:tc>
              <w:tc>
                <w:tcPr>
                  <w:tcW w:w="467" w:type="pct"/>
                  <w:tcBorders>
                    <w:bottom w:val="single" w:sz="6" w:space="0" w:color="BFBFBF"/>
                  </w:tcBorders>
                  <w:vAlign w:val="bottom"/>
                </w:tcPr>
                <w:p w:rsidR="00745FEA" w:rsidRPr="00EB47A0" w:rsidRDefault="00745FEA" w:rsidP="00745FEA">
                  <w:pPr>
                    <w:pStyle w:val="TableBodyText"/>
                    <w:ind w:right="57"/>
                  </w:pPr>
                  <w:r w:rsidRPr="00767B08">
                    <w:t>11.1</w:t>
                  </w:r>
                </w:p>
              </w:tc>
              <w:tc>
                <w:tcPr>
                  <w:tcW w:w="467" w:type="pct"/>
                  <w:tcBorders>
                    <w:bottom w:val="single" w:sz="6" w:space="0" w:color="BFBFBF"/>
                  </w:tcBorders>
                  <w:vAlign w:val="bottom"/>
                </w:tcPr>
                <w:p w:rsidR="00745FEA" w:rsidRPr="00EB47A0" w:rsidRDefault="00745FEA" w:rsidP="00745FEA">
                  <w:pPr>
                    <w:pStyle w:val="TableBodyText"/>
                    <w:ind w:right="57"/>
                  </w:pPr>
                  <w:r w:rsidRPr="00767B08">
                    <w:t>7.9</w:t>
                  </w:r>
                </w:p>
              </w:tc>
              <w:tc>
                <w:tcPr>
                  <w:tcW w:w="467" w:type="pct"/>
                  <w:tcBorders>
                    <w:bottom w:val="single" w:sz="6" w:space="0" w:color="BFBFBF"/>
                  </w:tcBorders>
                  <w:shd w:val="clear" w:color="auto" w:fill="auto"/>
                  <w:vAlign w:val="bottom"/>
                </w:tcPr>
                <w:p w:rsidR="00745FEA" w:rsidRPr="00EB47A0" w:rsidRDefault="00745FEA" w:rsidP="00745FEA">
                  <w:pPr>
                    <w:pStyle w:val="TableBodyText"/>
                    <w:ind w:right="57"/>
                  </w:pPr>
                  <w:r w:rsidRPr="00767B08">
                    <w:t>8.3</w:t>
                  </w:r>
                </w:p>
              </w:tc>
              <w:tc>
                <w:tcPr>
                  <w:tcW w:w="464" w:type="pct"/>
                  <w:tcBorders>
                    <w:bottom w:val="single" w:sz="6" w:space="0" w:color="BFBFBF"/>
                  </w:tcBorders>
                  <w:shd w:val="clear" w:color="auto" w:fill="auto"/>
                  <w:vAlign w:val="bottom"/>
                </w:tcPr>
                <w:p w:rsidR="00745FEA" w:rsidRDefault="00745FEA" w:rsidP="00745FEA">
                  <w:pPr>
                    <w:pStyle w:val="TableBodyText"/>
                    <w:ind w:right="57"/>
                  </w:pPr>
                  <w:r w:rsidRPr="00767B08">
                    <w:t>8.5</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357"/>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795"/>
              <w:gridCol w:w="794"/>
              <w:gridCol w:w="794"/>
              <w:gridCol w:w="794"/>
              <w:gridCol w:w="794"/>
              <w:gridCol w:w="791"/>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tcBorders>
                    <w:top w:val="single" w:sz="6" w:space="0" w:color="BFBFBF"/>
                  </w:tcBorders>
                </w:tcPr>
                <w:p w:rsidR="00745FEA" w:rsidRPr="00D945AF" w:rsidRDefault="00745FEA" w:rsidP="00745FEA">
                  <w:pPr>
                    <w:pStyle w:val="TableUnitsRow"/>
                    <w:spacing w:after="0"/>
                    <w:ind w:left="113"/>
                    <w:jc w:val="left"/>
                    <w:rPr>
                      <w:i/>
                    </w:rPr>
                  </w:pPr>
                  <w:r w:rsidRPr="00D945AF">
                    <w:rPr>
                      <w:i/>
                    </w:rPr>
                    <w:t>Other measures</w:t>
                  </w: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5"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0" w:type="pct"/>
                </w:tcPr>
                <w:p w:rsidR="00745FEA" w:rsidRPr="007546B5" w:rsidRDefault="00745FEA" w:rsidP="00745FEA">
                  <w:pPr>
                    <w:pStyle w:val="TableBodyText"/>
                    <w:spacing w:after="0"/>
                    <w:ind w:left="227" w:right="0"/>
                    <w:jc w:val="left"/>
                  </w:pPr>
                  <w:r w:rsidRPr="007546B5">
                    <w:t>Enterprise Connect Innovation Centres</w:t>
                  </w:r>
                </w:p>
              </w:tc>
              <w:tc>
                <w:tcPr>
                  <w:tcW w:w="467" w:type="pct"/>
                  <w:vAlign w:val="bottom"/>
                </w:tcPr>
                <w:p w:rsidR="00745FEA" w:rsidRPr="00C40723" w:rsidRDefault="00745FEA" w:rsidP="00745FEA">
                  <w:pPr>
                    <w:pStyle w:val="TableBodyText"/>
                    <w:ind w:right="57"/>
                  </w:pPr>
                  <w:r w:rsidRPr="00C40723">
                    <w:t>0.2</w:t>
                  </w:r>
                </w:p>
              </w:tc>
              <w:tc>
                <w:tcPr>
                  <w:tcW w:w="467" w:type="pct"/>
                  <w:vAlign w:val="bottom"/>
                </w:tcPr>
                <w:p w:rsidR="00745FEA" w:rsidRPr="00C40723" w:rsidRDefault="00745FEA" w:rsidP="00745FEA">
                  <w:pPr>
                    <w:pStyle w:val="TableBodyText"/>
                    <w:ind w:right="57"/>
                  </w:pPr>
                  <w:r w:rsidRPr="00C40723">
                    <w:t>0.1</w:t>
                  </w:r>
                </w:p>
              </w:tc>
              <w:tc>
                <w:tcPr>
                  <w:tcW w:w="467" w:type="pct"/>
                  <w:vAlign w:val="bottom"/>
                </w:tcPr>
                <w:p w:rsidR="00745FEA" w:rsidRPr="00C40723" w:rsidRDefault="00745FEA" w:rsidP="00745FEA">
                  <w:pPr>
                    <w:pStyle w:val="TableBodyText"/>
                    <w:ind w:right="57"/>
                  </w:pPr>
                  <w:r w:rsidRPr="00C40723">
                    <w:t>0.2</w:t>
                  </w:r>
                </w:p>
              </w:tc>
              <w:tc>
                <w:tcPr>
                  <w:tcW w:w="467" w:type="pct"/>
                  <w:vAlign w:val="bottom"/>
                </w:tcPr>
                <w:p w:rsidR="00745FEA" w:rsidRPr="00C40723" w:rsidRDefault="00745FEA" w:rsidP="00745FEA">
                  <w:pPr>
                    <w:pStyle w:val="TableBodyText"/>
                    <w:ind w:right="57"/>
                  </w:pPr>
                  <w:r w:rsidRPr="00C40723">
                    <w:t>0.1</w:t>
                  </w:r>
                </w:p>
              </w:tc>
              <w:tc>
                <w:tcPr>
                  <w:tcW w:w="467" w:type="pct"/>
                  <w:vAlign w:val="bottom"/>
                </w:tcPr>
                <w:p w:rsidR="00745FEA" w:rsidRPr="00C40723" w:rsidRDefault="00745FEA" w:rsidP="00745FEA">
                  <w:pPr>
                    <w:pStyle w:val="TableBodyText"/>
                    <w:ind w:right="57"/>
                  </w:pPr>
                  <w:r w:rsidRPr="00C40723">
                    <w:t>&lt;0.1</w:t>
                  </w:r>
                </w:p>
              </w:tc>
              <w:tc>
                <w:tcPr>
                  <w:tcW w:w="465" w:type="pct"/>
                  <w:vAlign w:val="bottom"/>
                </w:tcPr>
                <w:p w:rsidR="00745FEA" w:rsidRPr="00C40723" w:rsidRDefault="00745FEA" w:rsidP="00745FEA">
                  <w:pPr>
                    <w:pStyle w:val="TableBodyText"/>
                    <w:ind w:right="57"/>
                  </w:pPr>
                  <w:r w:rsidRPr="00C40723">
                    <w:t>–</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Entrepreneurs’ Infrastructure Programme - Accelerating Commercialisation</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0.1</w:t>
                  </w:r>
                </w:p>
              </w:tc>
              <w:tc>
                <w:tcPr>
                  <w:tcW w:w="467" w:type="pct"/>
                  <w:shd w:val="clear" w:color="auto" w:fill="auto"/>
                  <w:vAlign w:val="bottom"/>
                </w:tcPr>
                <w:p w:rsidR="00745FEA" w:rsidRPr="00C40723" w:rsidRDefault="00745FEA" w:rsidP="00745FEA">
                  <w:pPr>
                    <w:pStyle w:val="TableBodyText"/>
                    <w:ind w:right="57"/>
                  </w:pPr>
                  <w:r w:rsidRPr="00C40723">
                    <w:t>0.6</w:t>
                  </w:r>
                </w:p>
              </w:tc>
              <w:tc>
                <w:tcPr>
                  <w:tcW w:w="465" w:type="pct"/>
                  <w:shd w:val="clear" w:color="auto" w:fill="auto"/>
                  <w:vAlign w:val="bottom"/>
                </w:tcPr>
                <w:p w:rsidR="00745FEA" w:rsidRPr="00C40723" w:rsidRDefault="00745FEA" w:rsidP="00745FEA">
                  <w:pPr>
                    <w:pStyle w:val="TableBodyText"/>
                    <w:ind w:right="57"/>
                  </w:pPr>
                  <w:r w:rsidRPr="00C40723">
                    <w:t>0.2</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Entrepreneurs’ Infrastructure Programme - Business Management Skills</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&lt;0.1</w:t>
                  </w:r>
                </w:p>
              </w:tc>
              <w:tc>
                <w:tcPr>
                  <w:tcW w:w="467" w:type="pct"/>
                  <w:shd w:val="clear" w:color="auto" w:fill="auto"/>
                  <w:vAlign w:val="bottom"/>
                </w:tcPr>
                <w:p w:rsidR="00745FEA" w:rsidRPr="00C40723" w:rsidRDefault="00745FEA" w:rsidP="00745FEA">
                  <w:pPr>
                    <w:pStyle w:val="TableBodyText"/>
                    <w:ind w:right="57"/>
                  </w:pPr>
                  <w:r w:rsidRPr="00C40723">
                    <w:t>0.1</w:t>
                  </w:r>
                </w:p>
              </w:tc>
              <w:tc>
                <w:tcPr>
                  <w:tcW w:w="465" w:type="pct"/>
                  <w:shd w:val="clear" w:color="auto" w:fill="auto"/>
                  <w:vAlign w:val="bottom"/>
                </w:tcPr>
                <w:p w:rsidR="00745FEA" w:rsidRPr="00C40723" w:rsidRDefault="00745FEA" w:rsidP="00745FEA">
                  <w:pPr>
                    <w:pStyle w:val="TableBodyText"/>
                    <w:ind w:right="57"/>
                  </w:pPr>
                  <w:r w:rsidRPr="00C40723">
                    <w:t>0.5</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South East South Australia Innovation and Investment Fund</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0.2</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shd w:val="clear" w:color="auto" w:fill="auto"/>
                  <w:vAlign w:val="bottom"/>
                </w:tcPr>
                <w:p w:rsidR="00745FEA" w:rsidRPr="00C40723" w:rsidRDefault="00745FEA" w:rsidP="00745FEA">
                  <w:pPr>
                    <w:pStyle w:val="TableBodyText"/>
                    <w:ind w:right="57"/>
                  </w:pPr>
                  <w:r w:rsidRPr="00C40723">
                    <w:t>–</w:t>
                  </w:r>
                </w:p>
              </w:tc>
              <w:tc>
                <w:tcPr>
                  <w:tcW w:w="465" w:type="pct"/>
                  <w:shd w:val="clear" w:color="auto" w:fill="auto"/>
                  <w:vAlign w:val="bottom"/>
                </w:tcPr>
                <w:p w:rsidR="00745FEA" w:rsidRPr="00C40723" w:rsidRDefault="00745FEA" w:rsidP="00745FEA">
                  <w:pPr>
                    <w:pStyle w:val="TableBodyText"/>
                    <w:ind w:right="57"/>
                  </w:pPr>
                  <w:r w:rsidRPr="00C40723">
                    <w:t>–</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Tasmanian Jobs and Investment Fund</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shd w:val="clear" w:color="auto" w:fill="auto"/>
                  <w:vAlign w:val="bottom"/>
                </w:tcPr>
                <w:p w:rsidR="00745FEA" w:rsidRPr="00C40723" w:rsidRDefault="00745FEA" w:rsidP="00745FEA">
                  <w:pPr>
                    <w:pStyle w:val="TableBodyText"/>
                    <w:ind w:right="57"/>
                  </w:pPr>
                  <w:r w:rsidRPr="00C40723">
                    <w:t>0.1</w:t>
                  </w:r>
                </w:p>
              </w:tc>
              <w:tc>
                <w:tcPr>
                  <w:tcW w:w="465" w:type="pct"/>
                  <w:shd w:val="clear" w:color="auto" w:fill="auto"/>
                  <w:vAlign w:val="bottom"/>
                </w:tcPr>
                <w:p w:rsidR="00745FEA" w:rsidRPr="00C40723" w:rsidRDefault="00745FEA" w:rsidP="00745FEA">
                  <w:pPr>
                    <w:pStyle w:val="TableBodyText"/>
                    <w:ind w:right="57"/>
                  </w:pPr>
                  <w:r w:rsidRPr="00C40723">
                    <w:t>0.1</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 xml:space="preserve">Small business </w:t>
                  </w:r>
                  <w:r>
                    <w:t>capital gains tax</w:t>
                  </w:r>
                  <w:r w:rsidRPr="007546B5">
                    <w:t xml:space="preserve"> rollover deferral</w:t>
                  </w:r>
                </w:p>
              </w:tc>
              <w:tc>
                <w:tcPr>
                  <w:tcW w:w="467" w:type="pct"/>
                  <w:vAlign w:val="bottom"/>
                </w:tcPr>
                <w:p w:rsidR="00745FEA" w:rsidRPr="00C40723" w:rsidRDefault="00745FEA" w:rsidP="00745FEA">
                  <w:pPr>
                    <w:pStyle w:val="TableBodyText"/>
                    <w:ind w:right="57"/>
                  </w:pPr>
                  <w:r w:rsidRPr="00C40723">
                    <w:t>5.6</w:t>
                  </w:r>
                </w:p>
              </w:tc>
              <w:tc>
                <w:tcPr>
                  <w:tcW w:w="467" w:type="pct"/>
                  <w:vAlign w:val="bottom"/>
                </w:tcPr>
                <w:p w:rsidR="00745FEA" w:rsidRPr="00C40723" w:rsidRDefault="00745FEA" w:rsidP="00745FEA">
                  <w:pPr>
                    <w:pStyle w:val="TableBodyText"/>
                    <w:ind w:right="57"/>
                  </w:pPr>
                  <w:r w:rsidRPr="00C40723">
                    <w:t>6.6</w:t>
                  </w:r>
                </w:p>
              </w:tc>
              <w:tc>
                <w:tcPr>
                  <w:tcW w:w="467" w:type="pct"/>
                  <w:vAlign w:val="bottom"/>
                </w:tcPr>
                <w:p w:rsidR="00745FEA" w:rsidRPr="00C40723" w:rsidRDefault="00745FEA" w:rsidP="00745FEA">
                  <w:pPr>
                    <w:pStyle w:val="TableBodyText"/>
                    <w:ind w:right="57"/>
                  </w:pPr>
                  <w:r w:rsidRPr="00C40723">
                    <w:t>6.9</w:t>
                  </w:r>
                </w:p>
              </w:tc>
              <w:tc>
                <w:tcPr>
                  <w:tcW w:w="467" w:type="pct"/>
                  <w:vAlign w:val="bottom"/>
                </w:tcPr>
                <w:p w:rsidR="00745FEA" w:rsidRPr="00C40723" w:rsidRDefault="00745FEA" w:rsidP="00745FEA">
                  <w:pPr>
                    <w:pStyle w:val="TableBodyText"/>
                    <w:ind w:right="57"/>
                  </w:pPr>
                  <w:r w:rsidRPr="00C40723">
                    <w:t>15.4</w:t>
                  </w:r>
                </w:p>
              </w:tc>
              <w:tc>
                <w:tcPr>
                  <w:tcW w:w="467" w:type="pct"/>
                  <w:shd w:val="clear" w:color="auto" w:fill="auto"/>
                  <w:vAlign w:val="bottom"/>
                </w:tcPr>
                <w:p w:rsidR="00745FEA" w:rsidRPr="00C40723" w:rsidRDefault="00745FEA" w:rsidP="00745FEA">
                  <w:pPr>
                    <w:pStyle w:val="TableBodyText"/>
                    <w:ind w:right="57"/>
                  </w:pPr>
                  <w:r w:rsidRPr="00C40723">
                    <w:t>10.7</w:t>
                  </w:r>
                </w:p>
              </w:tc>
              <w:tc>
                <w:tcPr>
                  <w:tcW w:w="465" w:type="pct"/>
                  <w:shd w:val="clear" w:color="auto" w:fill="auto"/>
                  <w:vAlign w:val="bottom"/>
                </w:tcPr>
                <w:p w:rsidR="00745FEA" w:rsidRPr="00C40723" w:rsidRDefault="00745FEA" w:rsidP="00745FEA">
                  <w:pPr>
                    <w:pStyle w:val="TableBodyText"/>
                    <w:ind w:right="57"/>
                  </w:pPr>
                  <w:r w:rsidRPr="00C40723">
                    <w:t>9.8</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The Small Business and General Business Tax Break</w:t>
                  </w:r>
                </w:p>
              </w:tc>
              <w:tc>
                <w:tcPr>
                  <w:tcW w:w="467" w:type="pct"/>
                  <w:vAlign w:val="bottom"/>
                </w:tcPr>
                <w:p w:rsidR="00745FEA" w:rsidRPr="00C40723" w:rsidRDefault="00745FEA" w:rsidP="00745FEA">
                  <w:pPr>
                    <w:pStyle w:val="TableBodyText"/>
                    <w:ind w:right="57"/>
                  </w:pPr>
                  <w:r w:rsidRPr="00C40723">
                    <w:t>26.6</w:t>
                  </w:r>
                </w:p>
              </w:tc>
              <w:tc>
                <w:tcPr>
                  <w:tcW w:w="467" w:type="pct"/>
                  <w:vAlign w:val="bottom"/>
                </w:tcPr>
                <w:p w:rsidR="00745FEA" w:rsidRPr="00C40723" w:rsidRDefault="00745FEA" w:rsidP="00745FEA">
                  <w:pPr>
                    <w:pStyle w:val="TableBodyText"/>
                    <w:ind w:right="57"/>
                  </w:pPr>
                  <w:r w:rsidRPr="00C40723">
                    <w:t>9.2</w:t>
                  </w:r>
                </w:p>
              </w:tc>
              <w:tc>
                <w:tcPr>
                  <w:tcW w:w="467" w:type="pct"/>
                  <w:vAlign w:val="bottom"/>
                </w:tcPr>
                <w:p w:rsidR="00745FEA" w:rsidRPr="00C40723" w:rsidRDefault="00745FEA" w:rsidP="00745FEA">
                  <w:pPr>
                    <w:pStyle w:val="TableBodyText"/>
                    <w:ind w:right="57"/>
                  </w:pPr>
                  <w:r w:rsidRPr="00C40723">
                    <w:t>1.1</w:t>
                  </w:r>
                </w:p>
              </w:tc>
              <w:tc>
                <w:tcPr>
                  <w:tcW w:w="467" w:type="pct"/>
                  <w:vAlign w:val="bottom"/>
                </w:tcPr>
                <w:p w:rsidR="00745FEA" w:rsidRPr="00C40723" w:rsidRDefault="00745FEA" w:rsidP="00745FEA">
                  <w:pPr>
                    <w:pStyle w:val="TableBodyText"/>
                    <w:ind w:right="57"/>
                  </w:pPr>
                  <w:r w:rsidRPr="00C40723">
                    <w:t>–</w:t>
                  </w:r>
                </w:p>
              </w:tc>
              <w:tc>
                <w:tcPr>
                  <w:tcW w:w="467" w:type="pct"/>
                  <w:shd w:val="clear" w:color="auto" w:fill="auto"/>
                  <w:vAlign w:val="bottom"/>
                </w:tcPr>
                <w:p w:rsidR="00745FEA" w:rsidRPr="00C40723" w:rsidRDefault="00745FEA" w:rsidP="00745FEA">
                  <w:pPr>
                    <w:pStyle w:val="TableBodyText"/>
                    <w:ind w:right="57"/>
                  </w:pPr>
                  <w:r w:rsidRPr="00C40723">
                    <w:t>–</w:t>
                  </w:r>
                </w:p>
              </w:tc>
              <w:tc>
                <w:tcPr>
                  <w:tcW w:w="465" w:type="pct"/>
                  <w:shd w:val="clear" w:color="auto" w:fill="auto"/>
                  <w:vAlign w:val="bottom"/>
                </w:tcPr>
                <w:p w:rsidR="00745FEA" w:rsidRPr="00C40723" w:rsidRDefault="00745FEA" w:rsidP="00745FEA">
                  <w:pPr>
                    <w:pStyle w:val="TableBodyText"/>
                    <w:ind w:right="57"/>
                  </w:pPr>
                  <w:r w:rsidRPr="00C40723">
                    <w:t>–</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Small Business - Simplified depreciation rules</w:t>
                  </w:r>
                </w:p>
              </w:tc>
              <w:tc>
                <w:tcPr>
                  <w:tcW w:w="467" w:type="pct"/>
                  <w:vAlign w:val="bottom"/>
                </w:tcPr>
                <w:p w:rsidR="00745FEA" w:rsidRPr="00C40723" w:rsidRDefault="00745FEA" w:rsidP="00745FEA">
                  <w:pPr>
                    <w:pStyle w:val="TableBodyText"/>
                    <w:ind w:right="57"/>
                  </w:pPr>
                  <w:r w:rsidRPr="00C40723">
                    <w:t>0.6</w:t>
                  </w:r>
                </w:p>
              </w:tc>
              <w:tc>
                <w:tcPr>
                  <w:tcW w:w="467" w:type="pct"/>
                  <w:vAlign w:val="bottom"/>
                </w:tcPr>
                <w:p w:rsidR="00745FEA" w:rsidRPr="00C40723" w:rsidRDefault="00745FEA" w:rsidP="00745FEA">
                  <w:pPr>
                    <w:pStyle w:val="TableBodyText"/>
                    <w:ind w:right="57"/>
                  </w:pPr>
                  <w:r w:rsidRPr="00C40723">
                    <w:t>-3.3</w:t>
                  </w:r>
                </w:p>
              </w:tc>
              <w:tc>
                <w:tcPr>
                  <w:tcW w:w="467" w:type="pct"/>
                  <w:vAlign w:val="bottom"/>
                </w:tcPr>
                <w:p w:rsidR="00745FEA" w:rsidRPr="00C40723" w:rsidRDefault="00745FEA" w:rsidP="00745FEA">
                  <w:pPr>
                    <w:pStyle w:val="TableBodyText"/>
                    <w:ind w:right="57"/>
                  </w:pPr>
                  <w:r w:rsidRPr="00C40723">
                    <w:t>11.8</w:t>
                  </w:r>
                </w:p>
              </w:tc>
              <w:tc>
                <w:tcPr>
                  <w:tcW w:w="467" w:type="pct"/>
                  <w:vAlign w:val="bottom"/>
                </w:tcPr>
                <w:p w:rsidR="00745FEA" w:rsidRPr="00C40723" w:rsidRDefault="00745FEA" w:rsidP="00745FEA">
                  <w:pPr>
                    <w:pStyle w:val="TableBodyText"/>
                    <w:ind w:right="57"/>
                  </w:pPr>
                  <w:r w:rsidRPr="00C40723">
                    <w:t>-5.7</w:t>
                  </w:r>
                </w:p>
              </w:tc>
              <w:tc>
                <w:tcPr>
                  <w:tcW w:w="467" w:type="pct"/>
                  <w:shd w:val="clear" w:color="auto" w:fill="auto"/>
                  <w:vAlign w:val="bottom"/>
                </w:tcPr>
                <w:p w:rsidR="00745FEA" w:rsidRPr="00C40723" w:rsidRDefault="00745FEA" w:rsidP="00745FEA">
                  <w:pPr>
                    <w:pStyle w:val="TableBodyText"/>
                    <w:ind w:right="57"/>
                  </w:pPr>
                  <w:r w:rsidRPr="00C40723">
                    <w:t>-11.1</w:t>
                  </w:r>
                </w:p>
              </w:tc>
              <w:tc>
                <w:tcPr>
                  <w:tcW w:w="465" w:type="pct"/>
                  <w:shd w:val="clear" w:color="auto" w:fill="auto"/>
                  <w:vAlign w:val="bottom"/>
                </w:tcPr>
                <w:p w:rsidR="00745FEA" w:rsidRPr="00C40723" w:rsidRDefault="00745FEA" w:rsidP="00745FEA">
                  <w:pPr>
                    <w:pStyle w:val="TableBodyText"/>
                    <w:ind w:right="57"/>
                  </w:pPr>
                  <w:r w:rsidRPr="00C40723">
                    <w:t>64.2</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 xml:space="preserve">Small business </w:t>
                  </w:r>
                  <w:r>
                    <w:t>capital gains tax</w:t>
                  </w:r>
                  <w:r w:rsidRPr="007546B5">
                    <w:t xml:space="preserve"> 15-year asset exemption</w:t>
                  </w:r>
                </w:p>
              </w:tc>
              <w:tc>
                <w:tcPr>
                  <w:tcW w:w="467" w:type="pct"/>
                  <w:vAlign w:val="bottom"/>
                </w:tcPr>
                <w:p w:rsidR="00745FEA" w:rsidRPr="00C40723" w:rsidRDefault="00745FEA" w:rsidP="00745FEA">
                  <w:pPr>
                    <w:pStyle w:val="TableBodyText"/>
                    <w:ind w:right="57"/>
                  </w:pPr>
                  <w:r w:rsidRPr="00C40723">
                    <w:t>2.2</w:t>
                  </w:r>
                </w:p>
              </w:tc>
              <w:tc>
                <w:tcPr>
                  <w:tcW w:w="467" w:type="pct"/>
                  <w:vAlign w:val="bottom"/>
                </w:tcPr>
                <w:p w:rsidR="00745FEA" w:rsidRPr="00C40723" w:rsidRDefault="00745FEA" w:rsidP="00745FEA">
                  <w:pPr>
                    <w:pStyle w:val="TableBodyText"/>
                    <w:ind w:right="57"/>
                  </w:pPr>
                  <w:r w:rsidRPr="00C40723">
                    <w:t>2.3</w:t>
                  </w:r>
                </w:p>
              </w:tc>
              <w:tc>
                <w:tcPr>
                  <w:tcW w:w="467" w:type="pct"/>
                  <w:vAlign w:val="bottom"/>
                </w:tcPr>
                <w:p w:rsidR="00745FEA" w:rsidRPr="00C40723" w:rsidRDefault="00745FEA" w:rsidP="00745FEA">
                  <w:pPr>
                    <w:pStyle w:val="TableBodyText"/>
                    <w:ind w:right="57"/>
                  </w:pPr>
                  <w:r w:rsidRPr="00C40723">
                    <w:t>2.6</w:t>
                  </w:r>
                </w:p>
              </w:tc>
              <w:tc>
                <w:tcPr>
                  <w:tcW w:w="467" w:type="pct"/>
                  <w:vAlign w:val="bottom"/>
                </w:tcPr>
                <w:p w:rsidR="00745FEA" w:rsidRPr="00C40723" w:rsidRDefault="00745FEA" w:rsidP="00745FEA">
                  <w:pPr>
                    <w:pStyle w:val="TableBodyText"/>
                    <w:ind w:right="57"/>
                  </w:pPr>
                  <w:r w:rsidRPr="00C40723">
                    <w:t>11.1</w:t>
                  </w:r>
                </w:p>
              </w:tc>
              <w:tc>
                <w:tcPr>
                  <w:tcW w:w="467" w:type="pct"/>
                  <w:shd w:val="clear" w:color="auto" w:fill="auto"/>
                  <w:vAlign w:val="bottom"/>
                </w:tcPr>
                <w:p w:rsidR="00745FEA" w:rsidRPr="00C40723" w:rsidRDefault="00745FEA" w:rsidP="00745FEA">
                  <w:pPr>
                    <w:pStyle w:val="TableBodyText"/>
                    <w:ind w:right="57"/>
                  </w:pPr>
                  <w:r w:rsidRPr="00C40723">
                    <w:t>8.7</w:t>
                  </w:r>
                </w:p>
              </w:tc>
              <w:tc>
                <w:tcPr>
                  <w:tcW w:w="465" w:type="pct"/>
                  <w:shd w:val="clear" w:color="auto" w:fill="auto"/>
                  <w:vAlign w:val="bottom"/>
                </w:tcPr>
                <w:p w:rsidR="00745FEA" w:rsidRPr="00C40723" w:rsidRDefault="00745FEA" w:rsidP="00745FEA">
                  <w:pPr>
                    <w:pStyle w:val="TableBodyText"/>
                    <w:ind w:right="57"/>
                  </w:pPr>
                  <w:r w:rsidRPr="00C40723">
                    <w:t>8.1</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 xml:space="preserve">Small business </w:t>
                  </w:r>
                  <w:r>
                    <w:t>capital gains tax</w:t>
                  </w:r>
                  <w:r w:rsidRPr="007546B5">
                    <w:t xml:space="preserve"> retirement exemption</w:t>
                  </w:r>
                </w:p>
              </w:tc>
              <w:tc>
                <w:tcPr>
                  <w:tcW w:w="467" w:type="pct"/>
                  <w:vAlign w:val="bottom"/>
                </w:tcPr>
                <w:p w:rsidR="00745FEA" w:rsidRPr="00C40723" w:rsidRDefault="00745FEA" w:rsidP="00745FEA">
                  <w:pPr>
                    <w:pStyle w:val="TableBodyText"/>
                    <w:ind w:right="57"/>
                  </w:pPr>
                  <w:r w:rsidRPr="00C40723">
                    <w:t>17.0</w:t>
                  </w:r>
                </w:p>
              </w:tc>
              <w:tc>
                <w:tcPr>
                  <w:tcW w:w="467" w:type="pct"/>
                  <w:vAlign w:val="bottom"/>
                </w:tcPr>
                <w:p w:rsidR="00745FEA" w:rsidRPr="00C40723" w:rsidRDefault="00745FEA" w:rsidP="00745FEA">
                  <w:pPr>
                    <w:pStyle w:val="TableBodyText"/>
                    <w:ind w:right="57"/>
                  </w:pPr>
                  <w:r w:rsidRPr="00C40723">
                    <w:t>17.5</w:t>
                  </w:r>
                </w:p>
              </w:tc>
              <w:tc>
                <w:tcPr>
                  <w:tcW w:w="467" w:type="pct"/>
                  <w:vAlign w:val="bottom"/>
                </w:tcPr>
                <w:p w:rsidR="00745FEA" w:rsidRPr="00C40723" w:rsidRDefault="00745FEA" w:rsidP="00745FEA">
                  <w:pPr>
                    <w:pStyle w:val="TableBodyText"/>
                    <w:ind w:right="57"/>
                  </w:pPr>
                  <w:r w:rsidRPr="00C40723">
                    <w:t>17.9</w:t>
                  </w:r>
                </w:p>
              </w:tc>
              <w:tc>
                <w:tcPr>
                  <w:tcW w:w="467" w:type="pct"/>
                  <w:vAlign w:val="bottom"/>
                </w:tcPr>
                <w:p w:rsidR="00745FEA" w:rsidRPr="00C40723" w:rsidRDefault="00745FEA" w:rsidP="00745FEA">
                  <w:pPr>
                    <w:pStyle w:val="TableBodyText"/>
                    <w:ind w:right="57"/>
                  </w:pPr>
                  <w:r w:rsidRPr="00C40723">
                    <w:t>20.5</w:t>
                  </w:r>
                </w:p>
              </w:tc>
              <w:tc>
                <w:tcPr>
                  <w:tcW w:w="467" w:type="pct"/>
                  <w:shd w:val="clear" w:color="auto" w:fill="auto"/>
                  <w:vAlign w:val="bottom"/>
                </w:tcPr>
                <w:p w:rsidR="00745FEA" w:rsidRPr="00C40723" w:rsidRDefault="00745FEA" w:rsidP="00745FEA">
                  <w:pPr>
                    <w:pStyle w:val="TableBodyText"/>
                    <w:ind w:right="57"/>
                  </w:pPr>
                  <w:r w:rsidRPr="00C40723">
                    <w:t>19.8</w:t>
                  </w:r>
                </w:p>
              </w:tc>
              <w:tc>
                <w:tcPr>
                  <w:tcW w:w="465" w:type="pct"/>
                  <w:shd w:val="clear" w:color="auto" w:fill="auto"/>
                  <w:vAlign w:val="bottom"/>
                </w:tcPr>
                <w:p w:rsidR="00745FEA" w:rsidRPr="00C40723" w:rsidRDefault="00745FEA" w:rsidP="00745FEA">
                  <w:pPr>
                    <w:pStyle w:val="TableBodyText"/>
                    <w:ind w:right="57"/>
                  </w:pPr>
                  <w:r w:rsidRPr="00C40723">
                    <w:t>16.7</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 xml:space="preserve">Small business </w:t>
                  </w:r>
                  <w:r>
                    <w:t>capital gains tax</w:t>
                  </w:r>
                  <w:r w:rsidRPr="007546B5">
                    <w:t xml:space="preserve"> 50 per cent reduction</w:t>
                  </w:r>
                </w:p>
              </w:tc>
              <w:tc>
                <w:tcPr>
                  <w:tcW w:w="467" w:type="pct"/>
                  <w:vAlign w:val="bottom"/>
                </w:tcPr>
                <w:p w:rsidR="00745FEA" w:rsidRPr="00C40723" w:rsidRDefault="00745FEA" w:rsidP="00745FEA">
                  <w:pPr>
                    <w:pStyle w:val="TableBodyText"/>
                    <w:ind w:right="57"/>
                  </w:pPr>
                  <w:r w:rsidRPr="00C40723">
                    <w:t>29.6</w:t>
                  </w:r>
                </w:p>
              </w:tc>
              <w:tc>
                <w:tcPr>
                  <w:tcW w:w="467" w:type="pct"/>
                  <w:vAlign w:val="bottom"/>
                </w:tcPr>
                <w:p w:rsidR="00745FEA" w:rsidRPr="00C40723" w:rsidRDefault="00745FEA" w:rsidP="00745FEA">
                  <w:pPr>
                    <w:pStyle w:val="TableBodyText"/>
                    <w:ind w:right="57"/>
                  </w:pPr>
                  <w:r w:rsidRPr="00C40723">
                    <w:t>31.2</w:t>
                  </w:r>
                </w:p>
              </w:tc>
              <w:tc>
                <w:tcPr>
                  <w:tcW w:w="467" w:type="pct"/>
                  <w:vAlign w:val="bottom"/>
                </w:tcPr>
                <w:p w:rsidR="00745FEA" w:rsidRPr="00C40723" w:rsidRDefault="00745FEA" w:rsidP="00745FEA">
                  <w:pPr>
                    <w:pStyle w:val="TableBodyText"/>
                    <w:ind w:right="57"/>
                  </w:pPr>
                  <w:r w:rsidRPr="00C40723">
                    <w:t>31.2</w:t>
                  </w:r>
                </w:p>
              </w:tc>
              <w:tc>
                <w:tcPr>
                  <w:tcW w:w="467" w:type="pct"/>
                  <w:vAlign w:val="bottom"/>
                </w:tcPr>
                <w:p w:rsidR="00745FEA" w:rsidRPr="00C40723" w:rsidRDefault="00745FEA" w:rsidP="00745FEA">
                  <w:pPr>
                    <w:pStyle w:val="TableBodyText"/>
                    <w:ind w:right="57"/>
                  </w:pPr>
                  <w:r w:rsidRPr="00C40723">
                    <w:t>34.5</w:t>
                  </w:r>
                </w:p>
              </w:tc>
              <w:tc>
                <w:tcPr>
                  <w:tcW w:w="467" w:type="pct"/>
                  <w:shd w:val="clear" w:color="auto" w:fill="auto"/>
                  <w:vAlign w:val="bottom"/>
                </w:tcPr>
                <w:p w:rsidR="00745FEA" w:rsidRPr="00C40723" w:rsidRDefault="00745FEA" w:rsidP="00745FEA">
                  <w:pPr>
                    <w:pStyle w:val="TableBodyText"/>
                    <w:ind w:right="57"/>
                  </w:pPr>
                  <w:r w:rsidRPr="00C40723">
                    <w:t>35.6</w:t>
                  </w:r>
                </w:p>
              </w:tc>
              <w:tc>
                <w:tcPr>
                  <w:tcW w:w="465" w:type="pct"/>
                  <w:shd w:val="clear" w:color="auto" w:fill="auto"/>
                  <w:vAlign w:val="bottom"/>
                </w:tcPr>
                <w:p w:rsidR="00745FEA" w:rsidRPr="00C40723" w:rsidRDefault="00745FEA" w:rsidP="00745FEA">
                  <w:pPr>
                    <w:pStyle w:val="TableBodyText"/>
                    <w:ind w:right="57"/>
                  </w:pPr>
                  <w:r w:rsidRPr="00C40723">
                    <w:t>29.3</w:t>
                  </w:r>
                </w:p>
              </w:tc>
            </w:tr>
            <w:tr w:rsidR="00745FEA" w:rsidTr="00745FEA">
              <w:tc>
                <w:tcPr>
                  <w:tcW w:w="2200" w:type="pct"/>
                  <w:shd w:val="clear" w:color="auto" w:fill="auto"/>
                </w:tcPr>
                <w:p w:rsidR="00745FEA" w:rsidRPr="007546B5" w:rsidRDefault="00745FEA" w:rsidP="00745FEA">
                  <w:pPr>
                    <w:pStyle w:val="TableBodyText"/>
                    <w:spacing w:after="0"/>
                    <w:ind w:left="227" w:right="0"/>
                    <w:jc w:val="left"/>
                  </w:pPr>
                  <w:r w:rsidRPr="007546B5">
                    <w:t>25 per cent entrepreneurs' tax offset</w:t>
                  </w:r>
                </w:p>
              </w:tc>
              <w:tc>
                <w:tcPr>
                  <w:tcW w:w="467" w:type="pct"/>
                  <w:vAlign w:val="bottom"/>
                </w:tcPr>
                <w:p w:rsidR="00745FEA" w:rsidRPr="00C40723" w:rsidRDefault="00745FEA" w:rsidP="00745FEA">
                  <w:pPr>
                    <w:pStyle w:val="TableBodyText"/>
                    <w:ind w:right="57"/>
                  </w:pPr>
                  <w:r w:rsidRPr="00C40723">
                    <w:t>2.8</w:t>
                  </w:r>
                </w:p>
              </w:tc>
              <w:tc>
                <w:tcPr>
                  <w:tcW w:w="467" w:type="pct"/>
                  <w:vAlign w:val="bottom"/>
                </w:tcPr>
                <w:p w:rsidR="00745FEA" w:rsidRPr="00C40723" w:rsidRDefault="00745FEA" w:rsidP="00745FEA">
                  <w:pPr>
                    <w:pStyle w:val="TableBodyText"/>
                    <w:ind w:right="57"/>
                  </w:pPr>
                  <w:r w:rsidRPr="00C40723">
                    <w:t>3.1</w:t>
                  </w:r>
                </w:p>
              </w:tc>
              <w:tc>
                <w:tcPr>
                  <w:tcW w:w="467" w:type="pct"/>
                  <w:vAlign w:val="bottom"/>
                </w:tcPr>
                <w:p w:rsidR="00745FEA" w:rsidRPr="00C40723" w:rsidRDefault="00745FEA" w:rsidP="00745FEA">
                  <w:pPr>
                    <w:pStyle w:val="TableBodyText"/>
                    <w:ind w:right="57"/>
                  </w:pPr>
                  <w:r w:rsidRPr="00C40723">
                    <w:t>–</w:t>
                  </w:r>
                </w:p>
              </w:tc>
              <w:tc>
                <w:tcPr>
                  <w:tcW w:w="467" w:type="pct"/>
                  <w:vAlign w:val="bottom"/>
                </w:tcPr>
                <w:p w:rsidR="00745FEA" w:rsidRPr="00C40723" w:rsidRDefault="00745FEA" w:rsidP="00745FEA">
                  <w:pPr>
                    <w:pStyle w:val="TableBodyText"/>
                    <w:ind w:right="57"/>
                  </w:pPr>
                  <w:r w:rsidRPr="00C40723">
                    <w:t>–</w:t>
                  </w:r>
                </w:p>
              </w:tc>
              <w:tc>
                <w:tcPr>
                  <w:tcW w:w="467" w:type="pct"/>
                  <w:shd w:val="clear" w:color="auto" w:fill="auto"/>
                  <w:vAlign w:val="bottom"/>
                </w:tcPr>
                <w:p w:rsidR="00745FEA" w:rsidRPr="00C40723" w:rsidRDefault="00745FEA" w:rsidP="00745FEA">
                  <w:pPr>
                    <w:pStyle w:val="TableBodyText"/>
                    <w:ind w:right="57"/>
                  </w:pPr>
                  <w:r w:rsidRPr="00C40723">
                    <w:t>–</w:t>
                  </w:r>
                </w:p>
              </w:tc>
              <w:tc>
                <w:tcPr>
                  <w:tcW w:w="465" w:type="pct"/>
                  <w:shd w:val="clear" w:color="auto" w:fill="auto"/>
                  <w:vAlign w:val="bottom"/>
                </w:tcPr>
                <w:p w:rsidR="00745FEA" w:rsidRPr="00C40723" w:rsidRDefault="00745FEA" w:rsidP="00745FEA">
                  <w:pPr>
                    <w:pStyle w:val="TableBodyText"/>
                    <w:ind w:right="57"/>
                  </w:pPr>
                  <w:r w:rsidRPr="00C40723">
                    <w:t>–</w:t>
                  </w:r>
                </w:p>
              </w:tc>
            </w:tr>
            <w:tr w:rsidR="00745FEA" w:rsidTr="00745FEA">
              <w:tc>
                <w:tcPr>
                  <w:tcW w:w="2200" w:type="pct"/>
                  <w:shd w:val="clear" w:color="auto" w:fill="auto"/>
                </w:tcPr>
                <w:p w:rsidR="00745FEA" w:rsidRPr="00D945AF" w:rsidRDefault="00745FEA" w:rsidP="00745FEA">
                  <w:pPr>
                    <w:pStyle w:val="TableBodyText"/>
                    <w:spacing w:before="20" w:after="20"/>
                    <w:jc w:val="left"/>
                    <w:rPr>
                      <w:i/>
                    </w:rPr>
                  </w:pPr>
                  <w:r w:rsidRPr="00D945AF">
                    <w:rPr>
                      <w:i/>
                    </w:rPr>
                    <w:t>Total</w:t>
                  </w:r>
                </w:p>
              </w:tc>
              <w:tc>
                <w:tcPr>
                  <w:tcW w:w="467" w:type="pct"/>
                  <w:vAlign w:val="bottom"/>
                </w:tcPr>
                <w:p w:rsidR="00745FEA" w:rsidRPr="008464F9" w:rsidRDefault="00745FEA" w:rsidP="00745FEA">
                  <w:pPr>
                    <w:pStyle w:val="TableBodyText"/>
                    <w:spacing w:before="20" w:after="20"/>
                    <w:ind w:right="57"/>
                    <w:rPr>
                      <w:i/>
                    </w:rPr>
                  </w:pPr>
                  <w:r>
                    <w:rPr>
                      <w:i/>
                    </w:rPr>
                    <w:t>136.2</w:t>
                  </w:r>
                </w:p>
              </w:tc>
              <w:tc>
                <w:tcPr>
                  <w:tcW w:w="467" w:type="pct"/>
                  <w:vAlign w:val="bottom"/>
                </w:tcPr>
                <w:p w:rsidR="00745FEA" w:rsidRPr="008464F9" w:rsidRDefault="00745FEA" w:rsidP="00745FEA">
                  <w:pPr>
                    <w:pStyle w:val="TableBodyText"/>
                    <w:spacing w:before="20" w:after="20"/>
                    <w:ind w:right="57"/>
                    <w:rPr>
                      <w:i/>
                    </w:rPr>
                  </w:pPr>
                  <w:r>
                    <w:rPr>
                      <w:i/>
                    </w:rPr>
                    <w:t>128.8</w:t>
                  </w:r>
                </w:p>
              </w:tc>
              <w:tc>
                <w:tcPr>
                  <w:tcW w:w="467" w:type="pct"/>
                </w:tcPr>
                <w:p w:rsidR="00745FEA" w:rsidRPr="006938BC" w:rsidRDefault="00745FEA" w:rsidP="00745FEA">
                  <w:pPr>
                    <w:pStyle w:val="TableBodyText"/>
                    <w:spacing w:before="20" w:after="20"/>
                    <w:ind w:right="57"/>
                    <w:rPr>
                      <w:i/>
                    </w:rPr>
                  </w:pPr>
                  <w:r>
                    <w:rPr>
                      <w:i/>
                    </w:rPr>
                    <w:t>112.0</w:t>
                  </w:r>
                </w:p>
              </w:tc>
              <w:tc>
                <w:tcPr>
                  <w:tcW w:w="467" w:type="pct"/>
                </w:tcPr>
                <w:p w:rsidR="00745FEA" w:rsidRPr="006938BC" w:rsidRDefault="00745FEA" w:rsidP="00745FEA">
                  <w:pPr>
                    <w:pStyle w:val="TableBodyText"/>
                    <w:spacing w:before="20" w:after="20"/>
                    <w:ind w:right="57"/>
                    <w:rPr>
                      <w:i/>
                    </w:rPr>
                  </w:pPr>
                  <w:r>
                    <w:rPr>
                      <w:i/>
                    </w:rPr>
                    <w:t>120.7</w:t>
                  </w:r>
                </w:p>
              </w:tc>
              <w:tc>
                <w:tcPr>
                  <w:tcW w:w="467" w:type="pct"/>
                  <w:shd w:val="clear" w:color="auto" w:fill="auto"/>
                </w:tcPr>
                <w:p w:rsidR="00745FEA" w:rsidRPr="006938BC" w:rsidRDefault="00745FEA" w:rsidP="00745FEA">
                  <w:pPr>
                    <w:pStyle w:val="TableBodyText"/>
                    <w:spacing w:before="20" w:after="20"/>
                    <w:ind w:right="57"/>
                    <w:rPr>
                      <w:i/>
                    </w:rPr>
                  </w:pPr>
                  <w:r>
                    <w:rPr>
                      <w:i/>
                    </w:rPr>
                    <w:t>112.1</w:t>
                  </w:r>
                </w:p>
              </w:tc>
              <w:tc>
                <w:tcPr>
                  <w:tcW w:w="465" w:type="pct"/>
                  <w:shd w:val="clear" w:color="auto" w:fill="auto"/>
                </w:tcPr>
                <w:p w:rsidR="00745FEA" w:rsidRPr="006938BC" w:rsidRDefault="00745FEA" w:rsidP="00745FEA">
                  <w:pPr>
                    <w:pStyle w:val="TableBodyText"/>
                    <w:spacing w:before="20" w:after="20"/>
                    <w:ind w:right="57"/>
                    <w:rPr>
                      <w:i/>
                    </w:rPr>
                  </w:pPr>
                  <w:r>
                    <w:rPr>
                      <w:i/>
                    </w:rPr>
                    <w:t>186.0</w:t>
                  </w:r>
                </w:p>
              </w:tc>
            </w:tr>
            <w:tr w:rsidR="00745FEA" w:rsidTr="00745FEA">
              <w:tc>
                <w:tcPr>
                  <w:tcW w:w="2200" w:type="pct"/>
                  <w:shd w:val="clear" w:color="auto" w:fill="auto"/>
                </w:tcPr>
                <w:p w:rsidR="00745FEA" w:rsidRPr="00D945AF" w:rsidRDefault="00745FEA" w:rsidP="00745FEA">
                  <w:pPr>
                    <w:pStyle w:val="TableBodyText"/>
                    <w:spacing w:before="40"/>
                    <w:jc w:val="left"/>
                    <w:rPr>
                      <w:b/>
                    </w:rPr>
                  </w:pPr>
                  <w:r w:rsidRPr="00D945AF">
                    <w:rPr>
                      <w:b/>
                    </w:rPr>
                    <w:t>Accommodation and food services</w:t>
                  </w: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shd w:val="clear" w:color="auto" w:fill="auto"/>
                  <w:vAlign w:val="bottom"/>
                </w:tcPr>
                <w:p w:rsidR="00745FEA" w:rsidRDefault="00745FEA" w:rsidP="00745FEA">
                  <w:pPr>
                    <w:pStyle w:val="TableBodyText"/>
                    <w:spacing w:before="40"/>
                    <w:ind w:right="57"/>
                  </w:pPr>
                </w:p>
              </w:tc>
              <w:tc>
                <w:tcPr>
                  <w:tcW w:w="465" w:type="pct"/>
                  <w:shd w:val="clear" w:color="auto" w:fill="auto"/>
                  <w:vAlign w:val="bottom"/>
                </w:tcPr>
                <w:p w:rsidR="00745FEA" w:rsidRDefault="00745FEA" w:rsidP="00745FEA">
                  <w:pPr>
                    <w:pStyle w:val="TableBodyText"/>
                    <w:spacing w:before="40"/>
                    <w:ind w:right="57"/>
                  </w:pPr>
                </w:p>
              </w:tc>
            </w:tr>
            <w:tr w:rsidR="00745FEA" w:rsidTr="00745FEA">
              <w:tc>
                <w:tcPr>
                  <w:tcW w:w="2200" w:type="pct"/>
                  <w:shd w:val="clear" w:color="auto" w:fill="auto"/>
                </w:tcPr>
                <w:p w:rsidR="00745FEA" w:rsidRPr="00D945AF" w:rsidRDefault="00745FEA" w:rsidP="00745FEA">
                  <w:pPr>
                    <w:pStyle w:val="TableBodyText"/>
                    <w:spacing w:before="40" w:after="0"/>
                    <w:ind w:left="113"/>
                    <w:jc w:val="left"/>
                    <w:rPr>
                      <w:i/>
                    </w:rPr>
                  </w:pPr>
                  <w:r w:rsidRPr="00D945AF">
                    <w:rPr>
                      <w:i/>
                    </w:rPr>
                    <w:t>General export measures</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5"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A244FA" w:rsidRDefault="00745FEA" w:rsidP="00745FEA">
                  <w:pPr>
                    <w:pStyle w:val="TableBodyText"/>
                    <w:spacing w:after="0"/>
                    <w:ind w:left="227" w:right="0"/>
                    <w:jc w:val="left"/>
                  </w:pPr>
                  <w:r w:rsidRPr="00A244FA">
                    <w:t>Export Market Development Grants Scheme</w:t>
                  </w:r>
                </w:p>
              </w:tc>
              <w:tc>
                <w:tcPr>
                  <w:tcW w:w="467" w:type="pct"/>
                  <w:vAlign w:val="bottom"/>
                </w:tcPr>
                <w:p w:rsidR="00745FEA" w:rsidRPr="00A244FA" w:rsidRDefault="00745FEA" w:rsidP="00745FEA">
                  <w:pPr>
                    <w:pStyle w:val="TableBodyText"/>
                    <w:ind w:right="57"/>
                  </w:pPr>
                  <w:r w:rsidRPr="00CC658F">
                    <w:t>3.2</w:t>
                  </w:r>
                </w:p>
              </w:tc>
              <w:tc>
                <w:tcPr>
                  <w:tcW w:w="467" w:type="pct"/>
                  <w:vAlign w:val="bottom"/>
                </w:tcPr>
                <w:p w:rsidR="00745FEA" w:rsidRPr="00A244FA" w:rsidRDefault="00745FEA" w:rsidP="00745FEA">
                  <w:pPr>
                    <w:pStyle w:val="TableBodyText"/>
                    <w:ind w:right="57"/>
                  </w:pPr>
                  <w:r w:rsidRPr="00CC658F">
                    <w:t>3.3</w:t>
                  </w:r>
                </w:p>
              </w:tc>
              <w:tc>
                <w:tcPr>
                  <w:tcW w:w="467" w:type="pct"/>
                  <w:vAlign w:val="bottom"/>
                </w:tcPr>
                <w:p w:rsidR="00745FEA" w:rsidRPr="00A244FA" w:rsidRDefault="00745FEA" w:rsidP="00745FEA">
                  <w:pPr>
                    <w:pStyle w:val="TableBodyText"/>
                    <w:ind w:right="57"/>
                  </w:pPr>
                  <w:r w:rsidRPr="00CC658F">
                    <w:t>2.8</w:t>
                  </w:r>
                </w:p>
              </w:tc>
              <w:tc>
                <w:tcPr>
                  <w:tcW w:w="467" w:type="pct"/>
                  <w:vAlign w:val="bottom"/>
                </w:tcPr>
                <w:p w:rsidR="00745FEA" w:rsidRPr="00A244FA" w:rsidRDefault="00745FEA" w:rsidP="00745FEA">
                  <w:pPr>
                    <w:pStyle w:val="TableBodyText"/>
                    <w:ind w:right="57"/>
                  </w:pPr>
                  <w:r w:rsidRPr="00CC658F">
                    <w:t>4.3</w:t>
                  </w:r>
                </w:p>
              </w:tc>
              <w:tc>
                <w:tcPr>
                  <w:tcW w:w="467" w:type="pct"/>
                  <w:shd w:val="clear" w:color="auto" w:fill="auto"/>
                  <w:vAlign w:val="bottom"/>
                </w:tcPr>
                <w:p w:rsidR="00745FEA" w:rsidRPr="00A244FA" w:rsidRDefault="00745FEA" w:rsidP="00745FEA">
                  <w:pPr>
                    <w:pStyle w:val="TableBodyText"/>
                    <w:ind w:right="57"/>
                  </w:pPr>
                  <w:r w:rsidRPr="00CC658F">
                    <w:t>4.1</w:t>
                  </w:r>
                </w:p>
              </w:tc>
              <w:tc>
                <w:tcPr>
                  <w:tcW w:w="465" w:type="pct"/>
                  <w:shd w:val="clear" w:color="auto" w:fill="auto"/>
                  <w:vAlign w:val="bottom"/>
                </w:tcPr>
                <w:p w:rsidR="00745FEA" w:rsidRDefault="00745FEA" w:rsidP="00745FEA">
                  <w:pPr>
                    <w:pStyle w:val="TableBodyText"/>
                    <w:ind w:right="57"/>
                  </w:pPr>
                  <w:r w:rsidRPr="00CC658F">
                    <w:t>3.4</w:t>
                  </w:r>
                </w:p>
              </w:tc>
            </w:tr>
            <w:tr w:rsidR="00745FEA" w:rsidTr="00745FEA">
              <w:tc>
                <w:tcPr>
                  <w:tcW w:w="2200" w:type="pct"/>
                  <w:shd w:val="clear" w:color="auto" w:fill="auto"/>
                </w:tcPr>
                <w:p w:rsidR="00745FEA" w:rsidRPr="00D945AF" w:rsidRDefault="00745FEA" w:rsidP="00745FEA">
                  <w:pPr>
                    <w:pStyle w:val="TableBodyText"/>
                    <w:spacing w:before="40" w:after="0"/>
                    <w:ind w:left="113"/>
                    <w:jc w:val="left"/>
                    <w:rPr>
                      <w:i/>
                    </w:rPr>
                  </w:pPr>
                  <w:r w:rsidRPr="00D945AF">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FB553F" w:rsidRDefault="00745FEA" w:rsidP="00745FEA">
                  <w:pPr>
                    <w:pStyle w:val="TableBodyText"/>
                    <w:spacing w:after="0"/>
                    <w:ind w:left="227" w:right="0"/>
                    <w:jc w:val="left"/>
                  </w:pPr>
                  <w:r w:rsidRPr="00FB553F">
                    <w:t>Commercialisation Australia</w:t>
                  </w:r>
                </w:p>
              </w:tc>
              <w:tc>
                <w:tcPr>
                  <w:tcW w:w="467" w:type="pct"/>
                  <w:vAlign w:val="bottom"/>
                </w:tcPr>
                <w:p w:rsidR="00745FEA" w:rsidRPr="00FB553F" w:rsidRDefault="00745FEA" w:rsidP="00745FEA">
                  <w:pPr>
                    <w:pStyle w:val="TableBodyText"/>
                    <w:ind w:right="57"/>
                  </w:pPr>
                  <w:r w:rsidRPr="00627389">
                    <w:t>0.1</w:t>
                  </w:r>
                </w:p>
              </w:tc>
              <w:tc>
                <w:tcPr>
                  <w:tcW w:w="467" w:type="pct"/>
                  <w:vAlign w:val="bottom"/>
                </w:tcPr>
                <w:p w:rsidR="00745FEA" w:rsidRPr="00FB553F" w:rsidRDefault="00745FEA" w:rsidP="00745FEA">
                  <w:pPr>
                    <w:pStyle w:val="TableBodyText"/>
                    <w:ind w:right="57"/>
                  </w:pPr>
                  <w:r w:rsidRPr="00627389">
                    <w:t>&lt;0.1</w:t>
                  </w:r>
                </w:p>
              </w:tc>
              <w:tc>
                <w:tcPr>
                  <w:tcW w:w="467" w:type="pct"/>
                  <w:vAlign w:val="bottom"/>
                </w:tcPr>
                <w:p w:rsidR="00745FEA" w:rsidRPr="00FB553F" w:rsidRDefault="00745FEA" w:rsidP="00745FEA">
                  <w:pPr>
                    <w:pStyle w:val="TableBodyText"/>
                    <w:ind w:right="57"/>
                  </w:pPr>
                  <w:r w:rsidRPr="00627389">
                    <w:t>–</w:t>
                  </w:r>
                </w:p>
              </w:tc>
              <w:tc>
                <w:tcPr>
                  <w:tcW w:w="467" w:type="pct"/>
                  <w:vAlign w:val="bottom"/>
                </w:tcPr>
                <w:p w:rsidR="00745FEA" w:rsidRPr="00FB553F" w:rsidRDefault="00745FEA" w:rsidP="00745FEA">
                  <w:pPr>
                    <w:pStyle w:val="TableBodyText"/>
                    <w:ind w:right="57"/>
                  </w:pPr>
                  <w:r w:rsidRPr="00627389">
                    <w:t>–</w:t>
                  </w:r>
                </w:p>
              </w:tc>
              <w:tc>
                <w:tcPr>
                  <w:tcW w:w="467" w:type="pct"/>
                  <w:shd w:val="clear" w:color="auto" w:fill="auto"/>
                  <w:vAlign w:val="bottom"/>
                </w:tcPr>
                <w:p w:rsidR="00745FEA" w:rsidRPr="00FB553F" w:rsidRDefault="00745FEA" w:rsidP="00745FEA">
                  <w:pPr>
                    <w:pStyle w:val="TableBodyText"/>
                    <w:ind w:right="57"/>
                  </w:pPr>
                  <w:r w:rsidRPr="00627389">
                    <w:t>–</w:t>
                  </w:r>
                </w:p>
              </w:tc>
              <w:tc>
                <w:tcPr>
                  <w:tcW w:w="465" w:type="pct"/>
                  <w:shd w:val="clear" w:color="auto" w:fill="auto"/>
                  <w:vAlign w:val="bottom"/>
                </w:tcPr>
                <w:p w:rsidR="00745FEA" w:rsidRPr="00FB553F" w:rsidRDefault="00745FEA" w:rsidP="00745FEA">
                  <w:pPr>
                    <w:pStyle w:val="TableBodyText"/>
                    <w:ind w:right="57"/>
                  </w:pPr>
                  <w:r w:rsidRPr="00627389">
                    <w:t>–</w:t>
                  </w:r>
                </w:p>
              </w:tc>
            </w:tr>
            <w:tr w:rsidR="00745FEA" w:rsidTr="00745FEA">
              <w:tc>
                <w:tcPr>
                  <w:tcW w:w="2200" w:type="pct"/>
                  <w:shd w:val="clear" w:color="auto" w:fill="auto"/>
                </w:tcPr>
                <w:p w:rsidR="00745FEA" w:rsidRPr="00FB553F" w:rsidRDefault="00745FEA" w:rsidP="00745FEA">
                  <w:pPr>
                    <w:pStyle w:val="TableBodyText"/>
                    <w:spacing w:after="0"/>
                    <w:ind w:left="227" w:right="0"/>
                    <w:jc w:val="left"/>
                  </w:pPr>
                  <w:r w:rsidRPr="00FB553F">
                    <w:t>R&amp;D Tax Incentive - refundable tax offset</w:t>
                  </w:r>
                </w:p>
              </w:tc>
              <w:tc>
                <w:tcPr>
                  <w:tcW w:w="467" w:type="pct"/>
                  <w:vAlign w:val="bottom"/>
                </w:tcPr>
                <w:p w:rsidR="00745FEA" w:rsidRPr="00FB553F" w:rsidRDefault="00745FEA" w:rsidP="00745FEA">
                  <w:pPr>
                    <w:pStyle w:val="TableBodyText"/>
                    <w:ind w:right="57"/>
                  </w:pPr>
                  <w:r w:rsidRPr="00627389">
                    <w:t>–</w:t>
                  </w:r>
                </w:p>
              </w:tc>
              <w:tc>
                <w:tcPr>
                  <w:tcW w:w="467" w:type="pct"/>
                  <w:vAlign w:val="bottom"/>
                </w:tcPr>
                <w:p w:rsidR="00745FEA" w:rsidRPr="00FB553F" w:rsidRDefault="00745FEA" w:rsidP="00745FEA">
                  <w:pPr>
                    <w:pStyle w:val="TableBodyText"/>
                    <w:ind w:right="57"/>
                  </w:pPr>
                  <w:r w:rsidRPr="00627389">
                    <w:t>2.9</w:t>
                  </w:r>
                </w:p>
              </w:tc>
              <w:tc>
                <w:tcPr>
                  <w:tcW w:w="467" w:type="pct"/>
                  <w:vAlign w:val="bottom"/>
                </w:tcPr>
                <w:p w:rsidR="00745FEA" w:rsidRPr="00FB553F" w:rsidRDefault="00745FEA" w:rsidP="00745FEA">
                  <w:pPr>
                    <w:pStyle w:val="TableBodyText"/>
                    <w:ind w:right="57"/>
                  </w:pPr>
                  <w:r w:rsidRPr="00627389">
                    <w:t>2.8</w:t>
                  </w:r>
                </w:p>
              </w:tc>
              <w:tc>
                <w:tcPr>
                  <w:tcW w:w="467" w:type="pct"/>
                  <w:vAlign w:val="bottom"/>
                </w:tcPr>
                <w:p w:rsidR="00745FEA" w:rsidRPr="00FB553F" w:rsidRDefault="00745FEA" w:rsidP="00745FEA">
                  <w:pPr>
                    <w:pStyle w:val="TableBodyText"/>
                    <w:ind w:right="57"/>
                  </w:pPr>
                  <w:r w:rsidRPr="00627389">
                    <w:t>3.7</w:t>
                  </w:r>
                </w:p>
              </w:tc>
              <w:tc>
                <w:tcPr>
                  <w:tcW w:w="467" w:type="pct"/>
                  <w:shd w:val="clear" w:color="auto" w:fill="auto"/>
                  <w:vAlign w:val="bottom"/>
                </w:tcPr>
                <w:p w:rsidR="00745FEA" w:rsidRPr="00FB553F" w:rsidRDefault="00745FEA" w:rsidP="00745FEA">
                  <w:pPr>
                    <w:pStyle w:val="TableBodyText"/>
                    <w:ind w:right="57"/>
                  </w:pPr>
                  <w:r w:rsidRPr="00627389">
                    <w:t>4.0</w:t>
                  </w:r>
                </w:p>
              </w:tc>
              <w:tc>
                <w:tcPr>
                  <w:tcW w:w="465" w:type="pct"/>
                  <w:shd w:val="clear" w:color="auto" w:fill="auto"/>
                  <w:vAlign w:val="bottom"/>
                </w:tcPr>
                <w:p w:rsidR="00745FEA" w:rsidRPr="00FB553F" w:rsidRDefault="00745FEA" w:rsidP="00745FEA">
                  <w:pPr>
                    <w:pStyle w:val="TableBodyText"/>
                    <w:ind w:right="57"/>
                  </w:pPr>
                  <w:r w:rsidRPr="00627389">
                    <w:t>4.8</w:t>
                  </w:r>
                </w:p>
              </w:tc>
            </w:tr>
            <w:tr w:rsidR="00745FEA" w:rsidTr="00745FEA">
              <w:tc>
                <w:tcPr>
                  <w:tcW w:w="2200" w:type="pct"/>
                  <w:shd w:val="clear" w:color="auto" w:fill="auto"/>
                </w:tcPr>
                <w:p w:rsidR="00745FEA" w:rsidRPr="00FB553F" w:rsidRDefault="00745FEA" w:rsidP="00745FEA">
                  <w:pPr>
                    <w:pStyle w:val="TableBodyText"/>
                    <w:spacing w:after="0"/>
                    <w:ind w:left="227" w:right="0"/>
                    <w:jc w:val="left"/>
                  </w:pPr>
                  <w:r w:rsidRPr="00FB553F">
                    <w:t>R&amp;D tax offsets - Refundable</w:t>
                  </w:r>
                </w:p>
              </w:tc>
              <w:tc>
                <w:tcPr>
                  <w:tcW w:w="467" w:type="pct"/>
                  <w:vAlign w:val="bottom"/>
                </w:tcPr>
                <w:p w:rsidR="00745FEA" w:rsidRPr="00FB553F" w:rsidRDefault="00745FEA" w:rsidP="00745FEA">
                  <w:pPr>
                    <w:pStyle w:val="TableBodyText"/>
                    <w:ind w:right="57"/>
                  </w:pPr>
                  <w:r w:rsidRPr="00627389">
                    <w:t>1.3</w:t>
                  </w:r>
                </w:p>
              </w:tc>
              <w:tc>
                <w:tcPr>
                  <w:tcW w:w="467" w:type="pct"/>
                  <w:vAlign w:val="bottom"/>
                </w:tcPr>
                <w:p w:rsidR="00745FEA" w:rsidRPr="00FB553F" w:rsidRDefault="00745FEA" w:rsidP="00745FEA">
                  <w:pPr>
                    <w:pStyle w:val="TableBodyText"/>
                    <w:ind w:right="57"/>
                  </w:pPr>
                  <w:r w:rsidRPr="00627389">
                    <w:t>–</w:t>
                  </w:r>
                </w:p>
              </w:tc>
              <w:tc>
                <w:tcPr>
                  <w:tcW w:w="467" w:type="pct"/>
                  <w:vAlign w:val="bottom"/>
                </w:tcPr>
                <w:p w:rsidR="00745FEA" w:rsidRPr="00FB553F" w:rsidRDefault="00745FEA" w:rsidP="00745FEA">
                  <w:pPr>
                    <w:pStyle w:val="TableBodyText"/>
                    <w:ind w:right="57"/>
                  </w:pPr>
                  <w:r w:rsidRPr="00627389">
                    <w:t>–</w:t>
                  </w:r>
                </w:p>
              </w:tc>
              <w:tc>
                <w:tcPr>
                  <w:tcW w:w="467" w:type="pct"/>
                  <w:vAlign w:val="bottom"/>
                </w:tcPr>
                <w:p w:rsidR="00745FEA" w:rsidRPr="00FB553F" w:rsidRDefault="00745FEA" w:rsidP="00745FEA">
                  <w:pPr>
                    <w:pStyle w:val="TableBodyText"/>
                    <w:ind w:right="57"/>
                  </w:pPr>
                  <w:r w:rsidRPr="00627389">
                    <w:t>–</w:t>
                  </w:r>
                </w:p>
              </w:tc>
              <w:tc>
                <w:tcPr>
                  <w:tcW w:w="467" w:type="pct"/>
                  <w:shd w:val="clear" w:color="auto" w:fill="auto"/>
                  <w:vAlign w:val="bottom"/>
                </w:tcPr>
                <w:p w:rsidR="00745FEA" w:rsidRPr="00FB553F" w:rsidRDefault="00745FEA" w:rsidP="00745FEA">
                  <w:pPr>
                    <w:pStyle w:val="TableBodyText"/>
                    <w:ind w:right="57"/>
                  </w:pPr>
                  <w:r w:rsidRPr="00627389">
                    <w:t>–</w:t>
                  </w:r>
                </w:p>
              </w:tc>
              <w:tc>
                <w:tcPr>
                  <w:tcW w:w="465" w:type="pct"/>
                  <w:shd w:val="clear" w:color="auto" w:fill="auto"/>
                  <w:vAlign w:val="bottom"/>
                </w:tcPr>
                <w:p w:rsidR="00745FEA" w:rsidRPr="00FB553F" w:rsidRDefault="00745FEA" w:rsidP="00745FEA">
                  <w:pPr>
                    <w:pStyle w:val="TableBodyText"/>
                    <w:ind w:right="57"/>
                  </w:pPr>
                  <w:r w:rsidRPr="00627389">
                    <w:t>–</w:t>
                  </w:r>
                </w:p>
              </w:tc>
            </w:tr>
            <w:tr w:rsidR="00745FEA" w:rsidTr="00745FEA">
              <w:tc>
                <w:tcPr>
                  <w:tcW w:w="2200" w:type="pct"/>
                  <w:shd w:val="clear" w:color="auto" w:fill="auto"/>
                </w:tcPr>
                <w:p w:rsidR="00745FEA" w:rsidRPr="00FB553F" w:rsidRDefault="00745FEA" w:rsidP="00745FEA">
                  <w:pPr>
                    <w:pStyle w:val="TableBodyText"/>
                    <w:spacing w:after="0"/>
                    <w:ind w:left="227" w:right="0"/>
                    <w:jc w:val="left"/>
                  </w:pPr>
                  <w:r w:rsidRPr="00FB553F">
                    <w:t>R&amp;D tax concession</w:t>
                  </w:r>
                </w:p>
              </w:tc>
              <w:tc>
                <w:tcPr>
                  <w:tcW w:w="467" w:type="pct"/>
                  <w:vAlign w:val="bottom"/>
                </w:tcPr>
                <w:p w:rsidR="00745FEA" w:rsidRPr="00FB553F" w:rsidRDefault="00745FEA" w:rsidP="00745FEA">
                  <w:pPr>
                    <w:pStyle w:val="TableBodyText"/>
                    <w:ind w:right="57"/>
                  </w:pPr>
                  <w:r w:rsidRPr="00627389">
                    <w:t>0.8</w:t>
                  </w:r>
                </w:p>
              </w:tc>
              <w:tc>
                <w:tcPr>
                  <w:tcW w:w="467" w:type="pct"/>
                  <w:vAlign w:val="bottom"/>
                </w:tcPr>
                <w:p w:rsidR="00745FEA" w:rsidRPr="00FB553F" w:rsidRDefault="00745FEA" w:rsidP="00745FEA">
                  <w:pPr>
                    <w:pStyle w:val="TableBodyText"/>
                    <w:ind w:right="57"/>
                  </w:pPr>
                  <w:r w:rsidRPr="00627389">
                    <w:t>0.3</w:t>
                  </w:r>
                </w:p>
              </w:tc>
              <w:tc>
                <w:tcPr>
                  <w:tcW w:w="467" w:type="pct"/>
                  <w:vAlign w:val="bottom"/>
                </w:tcPr>
                <w:p w:rsidR="00745FEA" w:rsidRPr="00FB553F" w:rsidRDefault="00745FEA" w:rsidP="00745FEA">
                  <w:pPr>
                    <w:pStyle w:val="TableBodyText"/>
                    <w:ind w:right="57"/>
                  </w:pPr>
                  <w:r w:rsidRPr="00627389">
                    <w:t>0.1</w:t>
                  </w:r>
                </w:p>
              </w:tc>
              <w:tc>
                <w:tcPr>
                  <w:tcW w:w="467" w:type="pct"/>
                  <w:vAlign w:val="bottom"/>
                </w:tcPr>
                <w:p w:rsidR="00745FEA" w:rsidRPr="00FB553F" w:rsidRDefault="00745FEA" w:rsidP="00745FEA">
                  <w:pPr>
                    <w:pStyle w:val="TableBodyText"/>
                    <w:ind w:right="57"/>
                  </w:pPr>
                  <w:r w:rsidRPr="00627389">
                    <w:t>&lt;0.1</w:t>
                  </w:r>
                </w:p>
              </w:tc>
              <w:tc>
                <w:tcPr>
                  <w:tcW w:w="467" w:type="pct"/>
                  <w:shd w:val="clear" w:color="auto" w:fill="auto"/>
                  <w:vAlign w:val="bottom"/>
                </w:tcPr>
                <w:p w:rsidR="00745FEA" w:rsidRPr="00FB553F" w:rsidRDefault="00745FEA" w:rsidP="00745FEA">
                  <w:pPr>
                    <w:pStyle w:val="TableBodyText"/>
                    <w:ind w:right="57"/>
                  </w:pPr>
                  <w:r w:rsidRPr="00627389">
                    <w:t>–</w:t>
                  </w:r>
                </w:p>
              </w:tc>
              <w:tc>
                <w:tcPr>
                  <w:tcW w:w="465" w:type="pct"/>
                  <w:shd w:val="clear" w:color="auto" w:fill="auto"/>
                  <w:vAlign w:val="bottom"/>
                </w:tcPr>
                <w:p w:rsidR="00745FEA" w:rsidRPr="00FB553F" w:rsidRDefault="00745FEA" w:rsidP="00745FEA">
                  <w:pPr>
                    <w:pStyle w:val="TableBodyText"/>
                    <w:ind w:right="57"/>
                  </w:pPr>
                  <w:r w:rsidRPr="00627389">
                    <w:t>–</w:t>
                  </w:r>
                </w:p>
              </w:tc>
            </w:tr>
            <w:tr w:rsidR="00745FEA" w:rsidTr="00745FEA">
              <w:tc>
                <w:tcPr>
                  <w:tcW w:w="2200" w:type="pct"/>
                  <w:shd w:val="clear" w:color="auto" w:fill="auto"/>
                </w:tcPr>
                <w:p w:rsidR="00745FEA" w:rsidRPr="00FB553F" w:rsidRDefault="00745FEA" w:rsidP="00745FEA">
                  <w:pPr>
                    <w:pStyle w:val="TableBodyText"/>
                    <w:spacing w:after="0"/>
                    <w:ind w:left="227" w:right="0"/>
                    <w:jc w:val="left"/>
                  </w:pPr>
                  <w:r w:rsidRPr="00FB553F">
                    <w:t>R&amp;D Tax Incentive - non-refundable tax offset</w:t>
                  </w:r>
                </w:p>
              </w:tc>
              <w:tc>
                <w:tcPr>
                  <w:tcW w:w="467" w:type="pct"/>
                  <w:vAlign w:val="bottom"/>
                </w:tcPr>
                <w:p w:rsidR="00745FEA" w:rsidRPr="00FB553F" w:rsidRDefault="00745FEA" w:rsidP="00745FEA">
                  <w:pPr>
                    <w:pStyle w:val="TableBodyText"/>
                    <w:ind w:right="57"/>
                  </w:pPr>
                  <w:r w:rsidRPr="00627389">
                    <w:t>–</w:t>
                  </w:r>
                </w:p>
              </w:tc>
              <w:tc>
                <w:tcPr>
                  <w:tcW w:w="467" w:type="pct"/>
                  <w:vAlign w:val="bottom"/>
                </w:tcPr>
                <w:p w:rsidR="00745FEA" w:rsidRPr="00FB553F" w:rsidRDefault="00745FEA" w:rsidP="00745FEA">
                  <w:pPr>
                    <w:pStyle w:val="TableBodyText"/>
                    <w:ind w:right="57"/>
                  </w:pPr>
                  <w:r w:rsidRPr="00627389">
                    <w:t>3.3</w:t>
                  </w:r>
                </w:p>
              </w:tc>
              <w:tc>
                <w:tcPr>
                  <w:tcW w:w="467" w:type="pct"/>
                  <w:vAlign w:val="bottom"/>
                </w:tcPr>
                <w:p w:rsidR="00745FEA" w:rsidRPr="00FB553F" w:rsidRDefault="00745FEA" w:rsidP="00745FEA">
                  <w:pPr>
                    <w:pStyle w:val="TableBodyText"/>
                    <w:ind w:right="57"/>
                  </w:pPr>
                  <w:r w:rsidRPr="00627389">
                    <w:t>1.4</w:t>
                  </w:r>
                </w:p>
              </w:tc>
              <w:tc>
                <w:tcPr>
                  <w:tcW w:w="467" w:type="pct"/>
                  <w:vAlign w:val="bottom"/>
                </w:tcPr>
                <w:p w:rsidR="00745FEA" w:rsidRPr="00FB553F" w:rsidRDefault="00745FEA" w:rsidP="00745FEA">
                  <w:pPr>
                    <w:pStyle w:val="TableBodyText"/>
                    <w:ind w:right="57"/>
                  </w:pPr>
                  <w:r w:rsidRPr="00627389">
                    <w:t>0.8</w:t>
                  </w:r>
                </w:p>
              </w:tc>
              <w:tc>
                <w:tcPr>
                  <w:tcW w:w="467" w:type="pct"/>
                  <w:shd w:val="clear" w:color="auto" w:fill="auto"/>
                  <w:vAlign w:val="bottom"/>
                </w:tcPr>
                <w:p w:rsidR="00745FEA" w:rsidRPr="00FB553F" w:rsidRDefault="00745FEA" w:rsidP="00745FEA">
                  <w:pPr>
                    <w:pStyle w:val="TableBodyText"/>
                    <w:ind w:right="57"/>
                  </w:pPr>
                  <w:r w:rsidRPr="00627389">
                    <w:t>0.6</w:t>
                  </w:r>
                </w:p>
              </w:tc>
              <w:tc>
                <w:tcPr>
                  <w:tcW w:w="465" w:type="pct"/>
                  <w:shd w:val="clear" w:color="auto" w:fill="auto"/>
                  <w:vAlign w:val="bottom"/>
                </w:tcPr>
                <w:p w:rsidR="00745FEA" w:rsidRDefault="00745FEA" w:rsidP="00745FEA">
                  <w:pPr>
                    <w:pStyle w:val="TableBodyText"/>
                    <w:ind w:right="57"/>
                  </w:pPr>
                  <w:r w:rsidRPr="00627389">
                    <w:t>0.8</w:t>
                  </w:r>
                </w:p>
              </w:tc>
            </w:tr>
            <w:tr w:rsidR="00745FEA" w:rsidTr="00745FEA">
              <w:tc>
                <w:tcPr>
                  <w:tcW w:w="2200" w:type="pct"/>
                  <w:shd w:val="clear" w:color="auto" w:fill="auto"/>
                </w:tcPr>
                <w:p w:rsidR="00745FEA" w:rsidRPr="00605847" w:rsidRDefault="00745FEA" w:rsidP="00745FEA">
                  <w:pPr>
                    <w:pStyle w:val="TableBodyText"/>
                    <w:spacing w:before="40" w:after="0"/>
                    <w:ind w:left="113"/>
                    <w:jc w:val="left"/>
                    <w:rPr>
                      <w:i/>
                    </w:rPr>
                  </w:pPr>
                  <w:r w:rsidRPr="00605847">
                    <w:rPr>
                      <w:i/>
                    </w:rPr>
                    <w:t>Other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Australian Government Innovation and Investment Fund - Tasmania</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0.2</w:t>
                  </w:r>
                </w:p>
              </w:tc>
              <w:tc>
                <w:tcPr>
                  <w:tcW w:w="467" w:type="pct"/>
                  <w:shd w:val="clear" w:color="auto" w:fill="auto"/>
                  <w:vAlign w:val="bottom"/>
                </w:tcPr>
                <w:p w:rsidR="00745FEA" w:rsidRPr="00BB4863" w:rsidRDefault="00745FEA" w:rsidP="00745FEA">
                  <w:pPr>
                    <w:pStyle w:val="TableBodyText"/>
                    <w:ind w:right="57"/>
                  </w:pPr>
                  <w:r w:rsidRPr="00A219B2">
                    <w:t>0.2</w:t>
                  </w:r>
                </w:p>
              </w:tc>
              <w:tc>
                <w:tcPr>
                  <w:tcW w:w="465" w:type="pct"/>
                  <w:shd w:val="clear" w:color="auto" w:fill="auto"/>
                  <w:vAlign w:val="bottom"/>
                </w:tcPr>
                <w:p w:rsidR="00745FEA" w:rsidRPr="00BB4863" w:rsidRDefault="00745FEA" w:rsidP="00745FEA">
                  <w:pPr>
                    <w:pStyle w:val="TableBodyText"/>
                    <w:ind w:right="57"/>
                  </w:pPr>
                  <w:r w:rsidRPr="00A219B2">
                    <w:t>&lt;0.1</w:t>
                  </w: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Enterprise Connect Innovation Centres</w:t>
                  </w:r>
                </w:p>
              </w:tc>
              <w:tc>
                <w:tcPr>
                  <w:tcW w:w="467" w:type="pct"/>
                  <w:vAlign w:val="bottom"/>
                </w:tcPr>
                <w:p w:rsidR="00745FEA" w:rsidRPr="00BB4863" w:rsidRDefault="00745FEA" w:rsidP="00745FEA">
                  <w:pPr>
                    <w:pStyle w:val="TableBodyText"/>
                    <w:ind w:right="57"/>
                  </w:pPr>
                  <w:r w:rsidRPr="00A219B2">
                    <w:t>&lt;0.1</w:t>
                  </w:r>
                </w:p>
              </w:tc>
              <w:tc>
                <w:tcPr>
                  <w:tcW w:w="467" w:type="pct"/>
                  <w:vAlign w:val="bottom"/>
                </w:tcPr>
                <w:p w:rsidR="00745FEA" w:rsidRPr="00BB4863" w:rsidRDefault="00745FEA" w:rsidP="00745FEA">
                  <w:pPr>
                    <w:pStyle w:val="TableBodyText"/>
                    <w:ind w:right="57"/>
                  </w:pPr>
                  <w:r w:rsidRPr="00A219B2">
                    <w:t>0.3</w:t>
                  </w:r>
                </w:p>
              </w:tc>
              <w:tc>
                <w:tcPr>
                  <w:tcW w:w="467" w:type="pct"/>
                  <w:vAlign w:val="bottom"/>
                </w:tcPr>
                <w:p w:rsidR="00745FEA" w:rsidRPr="00BB4863" w:rsidRDefault="00745FEA" w:rsidP="00745FEA">
                  <w:pPr>
                    <w:pStyle w:val="TableBodyText"/>
                    <w:ind w:right="57"/>
                  </w:pPr>
                  <w:r w:rsidRPr="00A219B2">
                    <w:t>0.3</w:t>
                  </w:r>
                </w:p>
              </w:tc>
              <w:tc>
                <w:tcPr>
                  <w:tcW w:w="467" w:type="pct"/>
                  <w:vAlign w:val="bottom"/>
                </w:tcPr>
                <w:p w:rsidR="00745FEA" w:rsidRPr="00BB4863" w:rsidRDefault="00745FEA" w:rsidP="00745FEA">
                  <w:pPr>
                    <w:pStyle w:val="TableBodyText"/>
                    <w:ind w:right="57"/>
                  </w:pPr>
                  <w:r w:rsidRPr="00A219B2">
                    <w:t>0.2</w:t>
                  </w:r>
                </w:p>
              </w:tc>
              <w:tc>
                <w:tcPr>
                  <w:tcW w:w="467" w:type="pct"/>
                  <w:shd w:val="clear" w:color="auto" w:fill="auto"/>
                  <w:vAlign w:val="bottom"/>
                </w:tcPr>
                <w:p w:rsidR="00745FEA" w:rsidRPr="00BB4863" w:rsidRDefault="00745FEA" w:rsidP="00745FEA">
                  <w:pPr>
                    <w:pStyle w:val="TableBodyText"/>
                    <w:ind w:right="57"/>
                  </w:pPr>
                  <w:r w:rsidRPr="00A219B2">
                    <w:t>&lt;0.1</w:t>
                  </w:r>
                </w:p>
              </w:tc>
              <w:tc>
                <w:tcPr>
                  <w:tcW w:w="465" w:type="pct"/>
                  <w:shd w:val="clear" w:color="auto" w:fill="auto"/>
                  <w:vAlign w:val="bottom"/>
                </w:tcPr>
                <w:p w:rsidR="00745FEA" w:rsidRPr="00BB4863" w:rsidRDefault="00745FEA" w:rsidP="00745FEA">
                  <w:pPr>
                    <w:pStyle w:val="TableBodyText"/>
                    <w:ind w:right="57"/>
                  </w:pPr>
                  <w:r w:rsidRPr="00A219B2">
                    <w:t>–</w:t>
                  </w: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Entrepreneurs’ Infrastructure Programme - Business Management Skills</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&lt;0.1</w:t>
                  </w:r>
                </w:p>
              </w:tc>
              <w:tc>
                <w:tcPr>
                  <w:tcW w:w="467" w:type="pct"/>
                  <w:shd w:val="clear" w:color="auto" w:fill="auto"/>
                  <w:vAlign w:val="bottom"/>
                </w:tcPr>
                <w:p w:rsidR="00745FEA" w:rsidRPr="00BB4863" w:rsidRDefault="00745FEA" w:rsidP="00745FEA">
                  <w:pPr>
                    <w:pStyle w:val="TableBodyText"/>
                    <w:ind w:right="57"/>
                  </w:pPr>
                  <w:r w:rsidRPr="00A219B2">
                    <w:t>0.1</w:t>
                  </w:r>
                </w:p>
              </w:tc>
              <w:tc>
                <w:tcPr>
                  <w:tcW w:w="465" w:type="pct"/>
                  <w:shd w:val="clear" w:color="auto" w:fill="auto"/>
                  <w:vAlign w:val="bottom"/>
                </w:tcPr>
                <w:p w:rsidR="00745FEA" w:rsidRPr="00BB4863" w:rsidRDefault="00745FEA" w:rsidP="00745FEA">
                  <w:pPr>
                    <w:pStyle w:val="TableBodyText"/>
                    <w:ind w:right="57"/>
                  </w:pPr>
                  <w:r w:rsidRPr="00A219B2">
                    <w:t>0.1</w:t>
                  </w: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Tasmanian Jobs and Investment Fund</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vAlign w:val="bottom"/>
                </w:tcPr>
                <w:p w:rsidR="00745FEA" w:rsidRPr="00BB4863" w:rsidRDefault="00745FEA" w:rsidP="00745FEA">
                  <w:pPr>
                    <w:pStyle w:val="TableBodyText"/>
                    <w:ind w:right="57"/>
                  </w:pPr>
                  <w:r w:rsidRPr="00A219B2">
                    <w:t>–</w:t>
                  </w:r>
                </w:p>
              </w:tc>
              <w:tc>
                <w:tcPr>
                  <w:tcW w:w="467" w:type="pct"/>
                  <w:shd w:val="clear" w:color="auto" w:fill="auto"/>
                  <w:vAlign w:val="bottom"/>
                </w:tcPr>
                <w:p w:rsidR="00745FEA" w:rsidRPr="00BB4863" w:rsidRDefault="00745FEA" w:rsidP="00745FEA">
                  <w:pPr>
                    <w:pStyle w:val="TableBodyText"/>
                    <w:ind w:right="57"/>
                  </w:pPr>
                  <w:r w:rsidRPr="00A219B2">
                    <w:t>0.8</w:t>
                  </w:r>
                </w:p>
              </w:tc>
              <w:tc>
                <w:tcPr>
                  <w:tcW w:w="465" w:type="pct"/>
                  <w:shd w:val="clear" w:color="auto" w:fill="auto"/>
                  <w:vAlign w:val="bottom"/>
                </w:tcPr>
                <w:p w:rsidR="00745FEA" w:rsidRPr="00BB4863" w:rsidRDefault="00745FEA" w:rsidP="00745FEA">
                  <w:pPr>
                    <w:pStyle w:val="TableBodyText"/>
                    <w:ind w:right="57"/>
                  </w:pPr>
                  <w:r w:rsidRPr="00A219B2">
                    <w:t>0.3</w:t>
                  </w: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 xml:space="preserve">Small business </w:t>
                  </w:r>
                  <w:r>
                    <w:t>capital gains tax</w:t>
                  </w:r>
                  <w:r w:rsidRPr="00BB4863">
                    <w:t xml:space="preserve"> rollover deferral</w:t>
                  </w:r>
                </w:p>
              </w:tc>
              <w:tc>
                <w:tcPr>
                  <w:tcW w:w="467" w:type="pct"/>
                  <w:vAlign w:val="bottom"/>
                </w:tcPr>
                <w:p w:rsidR="00745FEA" w:rsidRPr="00BB4863" w:rsidRDefault="00745FEA" w:rsidP="00745FEA">
                  <w:pPr>
                    <w:pStyle w:val="TableBodyText"/>
                    <w:ind w:right="57"/>
                  </w:pPr>
                  <w:r w:rsidRPr="00A219B2">
                    <w:t>10.3</w:t>
                  </w:r>
                </w:p>
              </w:tc>
              <w:tc>
                <w:tcPr>
                  <w:tcW w:w="467" w:type="pct"/>
                  <w:vAlign w:val="bottom"/>
                </w:tcPr>
                <w:p w:rsidR="00745FEA" w:rsidRPr="00BB4863" w:rsidRDefault="00745FEA" w:rsidP="00745FEA">
                  <w:pPr>
                    <w:pStyle w:val="TableBodyText"/>
                    <w:ind w:right="57"/>
                  </w:pPr>
                  <w:r w:rsidRPr="00A219B2">
                    <w:t>12.1</w:t>
                  </w:r>
                </w:p>
              </w:tc>
              <w:tc>
                <w:tcPr>
                  <w:tcW w:w="467" w:type="pct"/>
                  <w:vAlign w:val="bottom"/>
                </w:tcPr>
                <w:p w:rsidR="00745FEA" w:rsidRPr="00BB4863" w:rsidRDefault="00745FEA" w:rsidP="00745FEA">
                  <w:pPr>
                    <w:pStyle w:val="TableBodyText"/>
                    <w:ind w:right="57"/>
                  </w:pPr>
                  <w:r w:rsidRPr="00A219B2">
                    <w:t>12.7</w:t>
                  </w:r>
                </w:p>
              </w:tc>
              <w:tc>
                <w:tcPr>
                  <w:tcW w:w="467" w:type="pct"/>
                  <w:vAlign w:val="bottom"/>
                </w:tcPr>
                <w:p w:rsidR="00745FEA" w:rsidRPr="00BB4863" w:rsidRDefault="00745FEA" w:rsidP="00745FEA">
                  <w:pPr>
                    <w:pStyle w:val="TableBodyText"/>
                    <w:ind w:right="57"/>
                  </w:pPr>
                  <w:r w:rsidRPr="00A219B2">
                    <w:t>13.6</w:t>
                  </w:r>
                </w:p>
              </w:tc>
              <w:tc>
                <w:tcPr>
                  <w:tcW w:w="467" w:type="pct"/>
                  <w:shd w:val="clear" w:color="auto" w:fill="auto"/>
                  <w:vAlign w:val="bottom"/>
                </w:tcPr>
                <w:p w:rsidR="00745FEA" w:rsidRPr="00BB4863" w:rsidRDefault="00745FEA" w:rsidP="00745FEA">
                  <w:pPr>
                    <w:pStyle w:val="TableBodyText"/>
                    <w:ind w:right="57"/>
                  </w:pPr>
                  <w:r w:rsidRPr="00A219B2">
                    <w:t>9.2</w:t>
                  </w:r>
                </w:p>
              </w:tc>
              <w:tc>
                <w:tcPr>
                  <w:tcW w:w="465" w:type="pct"/>
                  <w:shd w:val="clear" w:color="auto" w:fill="auto"/>
                  <w:vAlign w:val="bottom"/>
                </w:tcPr>
                <w:p w:rsidR="00745FEA" w:rsidRPr="00BB4863" w:rsidRDefault="00745FEA" w:rsidP="00745FEA">
                  <w:pPr>
                    <w:pStyle w:val="TableBodyText"/>
                    <w:ind w:right="57"/>
                  </w:pPr>
                  <w:r w:rsidRPr="00A219B2">
                    <w:t>12.9</w:t>
                  </w:r>
                </w:p>
              </w:tc>
            </w:tr>
            <w:tr w:rsidR="00745FEA" w:rsidTr="00745FEA">
              <w:tc>
                <w:tcPr>
                  <w:tcW w:w="2200" w:type="pct"/>
                  <w:tcBorders>
                    <w:bottom w:val="single" w:sz="6" w:space="0" w:color="BFBFBF"/>
                  </w:tcBorders>
                  <w:shd w:val="clear" w:color="auto" w:fill="auto"/>
                </w:tcPr>
                <w:p w:rsidR="00745FEA" w:rsidRPr="00BB4863" w:rsidRDefault="00745FEA" w:rsidP="00745FEA">
                  <w:pPr>
                    <w:pStyle w:val="TableBodyText"/>
                    <w:ind w:left="227" w:right="0"/>
                    <w:jc w:val="left"/>
                  </w:pPr>
                  <w:r>
                    <w:t>The Small Business and General Business Tax Break</w:t>
                  </w:r>
                </w:p>
              </w:tc>
              <w:tc>
                <w:tcPr>
                  <w:tcW w:w="467" w:type="pct"/>
                  <w:tcBorders>
                    <w:bottom w:val="single" w:sz="6" w:space="0" w:color="BFBFBF"/>
                  </w:tcBorders>
                  <w:vAlign w:val="bottom"/>
                </w:tcPr>
                <w:p w:rsidR="00745FEA" w:rsidRPr="00BB4863" w:rsidRDefault="00745FEA" w:rsidP="00745FEA">
                  <w:pPr>
                    <w:pStyle w:val="TableBodyText"/>
                    <w:ind w:right="57"/>
                  </w:pPr>
                  <w:r w:rsidRPr="00A219B2">
                    <w:t>4.6</w:t>
                  </w:r>
                </w:p>
              </w:tc>
              <w:tc>
                <w:tcPr>
                  <w:tcW w:w="467" w:type="pct"/>
                  <w:tcBorders>
                    <w:bottom w:val="single" w:sz="6" w:space="0" w:color="BFBFBF"/>
                  </w:tcBorders>
                  <w:vAlign w:val="bottom"/>
                </w:tcPr>
                <w:p w:rsidR="00745FEA" w:rsidRPr="00BB4863" w:rsidRDefault="00745FEA" w:rsidP="00745FEA">
                  <w:pPr>
                    <w:pStyle w:val="TableBodyText"/>
                    <w:ind w:right="57"/>
                  </w:pPr>
                  <w:r w:rsidRPr="00A219B2">
                    <w:t>1.6</w:t>
                  </w:r>
                </w:p>
              </w:tc>
              <w:tc>
                <w:tcPr>
                  <w:tcW w:w="467" w:type="pct"/>
                  <w:tcBorders>
                    <w:bottom w:val="single" w:sz="6" w:space="0" w:color="BFBFBF"/>
                  </w:tcBorders>
                  <w:vAlign w:val="bottom"/>
                </w:tcPr>
                <w:p w:rsidR="00745FEA" w:rsidRPr="00BB4863" w:rsidRDefault="00745FEA" w:rsidP="00745FEA">
                  <w:pPr>
                    <w:pStyle w:val="TableBodyText"/>
                    <w:ind w:right="57"/>
                  </w:pPr>
                  <w:r w:rsidRPr="00A219B2">
                    <w:t>0.2</w:t>
                  </w:r>
                </w:p>
              </w:tc>
              <w:tc>
                <w:tcPr>
                  <w:tcW w:w="467" w:type="pct"/>
                  <w:tcBorders>
                    <w:bottom w:val="single" w:sz="6" w:space="0" w:color="BFBFBF"/>
                  </w:tcBorders>
                  <w:vAlign w:val="bottom"/>
                </w:tcPr>
                <w:p w:rsidR="00745FEA" w:rsidRPr="00BB4863" w:rsidRDefault="00745FEA" w:rsidP="00745FEA">
                  <w:pPr>
                    <w:pStyle w:val="TableBodyText"/>
                    <w:ind w:right="57"/>
                  </w:pPr>
                  <w:r w:rsidRPr="00A219B2">
                    <w:t>–</w:t>
                  </w:r>
                </w:p>
              </w:tc>
              <w:tc>
                <w:tcPr>
                  <w:tcW w:w="467" w:type="pct"/>
                  <w:tcBorders>
                    <w:bottom w:val="single" w:sz="6" w:space="0" w:color="BFBFBF"/>
                  </w:tcBorders>
                  <w:shd w:val="clear" w:color="auto" w:fill="auto"/>
                  <w:vAlign w:val="bottom"/>
                </w:tcPr>
                <w:p w:rsidR="00745FEA" w:rsidRPr="00BB4863" w:rsidRDefault="00745FEA" w:rsidP="00745FEA">
                  <w:pPr>
                    <w:pStyle w:val="TableBodyText"/>
                    <w:ind w:right="57"/>
                  </w:pPr>
                  <w:r w:rsidRPr="00A219B2">
                    <w:t>–</w:t>
                  </w:r>
                </w:p>
              </w:tc>
              <w:tc>
                <w:tcPr>
                  <w:tcW w:w="465" w:type="pct"/>
                  <w:tcBorders>
                    <w:bottom w:val="single" w:sz="6" w:space="0" w:color="BFBFBF"/>
                  </w:tcBorders>
                  <w:shd w:val="clear" w:color="auto" w:fill="auto"/>
                  <w:vAlign w:val="bottom"/>
                </w:tcPr>
                <w:p w:rsidR="00745FEA" w:rsidRDefault="00745FEA" w:rsidP="00745FEA">
                  <w:pPr>
                    <w:pStyle w:val="TableBodyText"/>
                    <w:ind w:right="57"/>
                  </w:pPr>
                  <w:r w:rsidRPr="00A219B2">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795"/>
              <w:gridCol w:w="794"/>
              <w:gridCol w:w="794"/>
              <w:gridCol w:w="794"/>
              <w:gridCol w:w="794"/>
              <w:gridCol w:w="791"/>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shd w:val="clear" w:color="auto" w:fill="auto"/>
                </w:tcPr>
                <w:p w:rsidR="00745FEA" w:rsidRPr="00605847" w:rsidRDefault="00745FEA" w:rsidP="00745FEA">
                  <w:pPr>
                    <w:pStyle w:val="TableBodyText"/>
                    <w:spacing w:before="40" w:after="0"/>
                    <w:ind w:left="113"/>
                    <w:jc w:val="left"/>
                    <w:rPr>
                      <w:i/>
                    </w:rPr>
                  </w:pPr>
                  <w:r w:rsidRPr="00605847">
                    <w:rPr>
                      <w:i/>
                    </w:rPr>
                    <w:t>Other measures</w:t>
                  </w:r>
                  <w:r>
                    <w:rPr>
                      <w:i/>
                    </w:rPr>
                    <w:t xml:space="preserve"> (continued)</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5"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Small Business - Simplified depreciation rules</w:t>
                  </w:r>
                </w:p>
              </w:tc>
              <w:tc>
                <w:tcPr>
                  <w:tcW w:w="467" w:type="pct"/>
                  <w:vAlign w:val="bottom"/>
                </w:tcPr>
                <w:p w:rsidR="00745FEA" w:rsidRPr="003462B9" w:rsidRDefault="00745FEA" w:rsidP="00745FEA">
                  <w:pPr>
                    <w:pStyle w:val="TableBodyText"/>
                    <w:ind w:right="57"/>
                  </w:pPr>
                  <w:r w:rsidRPr="003462B9">
                    <w:t>0.4</w:t>
                  </w:r>
                </w:p>
              </w:tc>
              <w:tc>
                <w:tcPr>
                  <w:tcW w:w="467" w:type="pct"/>
                  <w:vAlign w:val="bottom"/>
                </w:tcPr>
                <w:p w:rsidR="00745FEA" w:rsidRPr="003462B9" w:rsidRDefault="00745FEA" w:rsidP="00745FEA">
                  <w:pPr>
                    <w:pStyle w:val="TableBodyText"/>
                    <w:ind w:right="57"/>
                  </w:pPr>
                  <w:r w:rsidRPr="003462B9">
                    <w:t>-2.1</w:t>
                  </w:r>
                </w:p>
              </w:tc>
              <w:tc>
                <w:tcPr>
                  <w:tcW w:w="467" w:type="pct"/>
                  <w:vAlign w:val="bottom"/>
                </w:tcPr>
                <w:p w:rsidR="00745FEA" w:rsidRPr="003462B9" w:rsidRDefault="00745FEA" w:rsidP="00745FEA">
                  <w:pPr>
                    <w:pStyle w:val="TableBodyText"/>
                    <w:ind w:right="57"/>
                  </w:pPr>
                  <w:r w:rsidRPr="003462B9">
                    <w:t>7.8</w:t>
                  </w:r>
                </w:p>
              </w:tc>
              <w:tc>
                <w:tcPr>
                  <w:tcW w:w="467" w:type="pct"/>
                  <w:vAlign w:val="bottom"/>
                </w:tcPr>
                <w:p w:rsidR="00745FEA" w:rsidRPr="003462B9" w:rsidRDefault="00745FEA" w:rsidP="00745FEA">
                  <w:pPr>
                    <w:pStyle w:val="TableBodyText"/>
                    <w:ind w:right="57"/>
                  </w:pPr>
                  <w:r w:rsidRPr="003462B9">
                    <w:t>-4.0</w:t>
                  </w:r>
                </w:p>
              </w:tc>
              <w:tc>
                <w:tcPr>
                  <w:tcW w:w="467" w:type="pct"/>
                  <w:shd w:val="clear" w:color="auto" w:fill="auto"/>
                  <w:vAlign w:val="bottom"/>
                </w:tcPr>
                <w:p w:rsidR="00745FEA" w:rsidRPr="003462B9" w:rsidRDefault="00745FEA" w:rsidP="00745FEA">
                  <w:pPr>
                    <w:pStyle w:val="TableBodyText"/>
                    <w:ind w:right="57"/>
                  </w:pPr>
                  <w:r w:rsidRPr="003462B9">
                    <w:t>-8.1</w:t>
                  </w:r>
                </w:p>
              </w:tc>
              <w:tc>
                <w:tcPr>
                  <w:tcW w:w="465" w:type="pct"/>
                  <w:shd w:val="clear" w:color="auto" w:fill="auto"/>
                  <w:vAlign w:val="bottom"/>
                </w:tcPr>
                <w:p w:rsidR="00745FEA" w:rsidRPr="003462B9" w:rsidRDefault="00745FEA" w:rsidP="00745FEA">
                  <w:pPr>
                    <w:pStyle w:val="TableBodyText"/>
                    <w:ind w:right="57"/>
                  </w:pPr>
                  <w:r w:rsidRPr="003462B9">
                    <w:t>45.8</w:t>
                  </w:r>
                </w:p>
              </w:tc>
            </w:tr>
            <w:tr w:rsidR="00745FEA" w:rsidTr="00745FEA">
              <w:tc>
                <w:tcPr>
                  <w:tcW w:w="2200" w:type="pct"/>
                  <w:shd w:val="clear" w:color="auto" w:fill="auto"/>
                </w:tcPr>
                <w:p w:rsidR="00745FEA" w:rsidRPr="00BB4863" w:rsidRDefault="00745FEA" w:rsidP="00745FEA">
                  <w:pPr>
                    <w:pStyle w:val="TableBodyText"/>
                    <w:spacing w:after="0"/>
                    <w:ind w:left="227" w:right="0"/>
                    <w:jc w:val="left"/>
                  </w:pPr>
                  <w:r w:rsidRPr="00BB4863">
                    <w:t xml:space="preserve">Small business </w:t>
                  </w:r>
                  <w:r>
                    <w:t>capital gains tax</w:t>
                  </w:r>
                  <w:r w:rsidRPr="00BB4863">
                    <w:t xml:space="preserve"> 15-year asset exemption</w:t>
                  </w:r>
                </w:p>
              </w:tc>
              <w:tc>
                <w:tcPr>
                  <w:tcW w:w="467" w:type="pct"/>
                  <w:vAlign w:val="bottom"/>
                </w:tcPr>
                <w:p w:rsidR="00745FEA" w:rsidRPr="003462B9" w:rsidRDefault="00745FEA" w:rsidP="00745FEA">
                  <w:pPr>
                    <w:pStyle w:val="TableBodyText"/>
                    <w:ind w:right="57"/>
                  </w:pPr>
                  <w:r w:rsidRPr="003462B9">
                    <w:t>0.8</w:t>
                  </w:r>
                </w:p>
              </w:tc>
              <w:tc>
                <w:tcPr>
                  <w:tcW w:w="467" w:type="pct"/>
                  <w:vAlign w:val="bottom"/>
                </w:tcPr>
                <w:p w:rsidR="00745FEA" w:rsidRPr="003462B9" w:rsidRDefault="00745FEA" w:rsidP="00745FEA">
                  <w:pPr>
                    <w:pStyle w:val="TableBodyText"/>
                    <w:ind w:right="57"/>
                  </w:pPr>
                  <w:r w:rsidRPr="003462B9">
                    <w:t>0.9</w:t>
                  </w:r>
                </w:p>
              </w:tc>
              <w:tc>
                <w:tcPr>
                  <w:tcW w:w="467" w:type="pct"/>
                  <w:vAlign w:val="bottom"/>
                </w:tcPr>
                <w:p w:rsidR="00745FEA" w:rsidRPr="003462B9" w:rsidRDefault="00745FEA" w:rsidP="00745FEA">
                  <w:pPr>
                    <w:pStyle w:val="TableBodyText"/>
                    <w:ind w:right="57"/>
                  </w:pPr>
                  <w:r w:rsidRPr="003462B9">
                    <w:t>1.0</w:t>
                  </w:r>
                </w:p>
              </w:tc>
              <w:tc>
                <w:tcPr>
                  <w:tcW w:w="467" w:type="pct"/>
                  <w:vAlign w:val="bottom"/>
                </w:tcPr>
                <w:p w:rsidR="00745FEA" w:rsidRPr="003462B9" w:rsidRDefault="00745FEA" w:rsidP="00745FEA">
                  <w:pPr>
                    <w:pStyle w:val="TableBodyText"/>
                    <w:ind w:right="57"/>
                  </w:pPr>
                  <w:r w:rsidRPr="003462B9">
                    <w:t>9.9</w:t>
                  </w:r>
                </w:p>
              </w:tc>
              <w:tc>
                <w:tcPr>
                  <w:tcW w:w="467" w:type="pct"/>
                  <w:shd w:val="clear" w:color="auto" w:fill="auto"/>
                  <w:vAlign w:val="bottom"/>
                </w:tcPr>
                <w:p w:rsidR="00745FEA" w:rsidRPr="003462B9" w:rsidRDefault="00745FEA" w:rsidP="00745FEA">
                  <w:pPr>
                    <w:pStyle w:val="TableBodyText"/>
                    <w:ind w:right="57"/>
                  </w:pPr>
                  <w:r w:rsidRPr="003462B9">
                    <w:t>8.5</w:t>
                  </w:r>
                </w:p>
              </w:tc>
              <w:tc>
                <w:tcPr>
                  <w:tcW w:w="465" w:type="pct"/>
                  <w:shd w:val="clear" w:color="auto" w:fill="auto"/>
                  <w:vAlign w:val="bottom"/>
                </w:tcPr>
                <w:p w:rsidR="00745FEA" w:rsidRPr="003462B9" w:rsidRDefault="00745FEA" w:rsidP="00745FEA">
                  <w:pPr>
                    <w:pStyle w:val="TableBodyText"/>
                    <w:ind w:right="57"/>
                  </w:pPr>
                  <w:r w:rsidRPr="003462B9">
                    <w:t>5.4</w:t>
                  </w:r>
                </w:p>
              </w:tc>
            </w:tr>
            <w:tr w:rsidR="00745FEA" w:rsidTr="00745FEA">
              <w:tc>
                <w:tcPr>
                  <w:tcW w:w="2200" w:type="pct"/>
                  <w:shd w:val="clear" w:color="auto" w:fill="auto"/>
                </w:tcPr>
                <w:p w:rsidR="00745FEA" w:rsidRPr="00EB126D" w:rsidRDefault="00745FEA" w:rsidP="00745FEA">
                  <w:pPr>
                    <w:pStyle w:val="TableBodyText"/>
                    <w:spacing w:after="0"/>
                    <w:ind w:left="227" w:right="0"/>
                    <w:jc w:val="left"/>
                  </w:pPr>
                  <w:r w:rsidRPr="00EB126D">
                    <w:t xml:space="preserve">Small business </w:t>
                  </w:r>
                  <w:r>
                    <w:t>capital gains tax</w:t>
                  </w:r>
                  <w:r w:rsidRPr="00EB126D">
                    <w:t xml:space="preserve"> retirement exemption</w:t>
                  </w:r>
                </w:p>
              </w:tc>
              <w:tc>
                <w:tcPr>
                  <w:tcW w:w="467" w:type="pct"/>
                  <w:vAlign w:val="bottom"/>
                </w:tcPr>
                <w:p w:rsidR="00745FEA" w:rsidRPr="003462B9" w:rsidRDefault="00745FEA" w:rsidP="00745FEA">
                  <w:pPr>
                    <w:pStyle w:val="TableBodyText"/>
                    <w:ind w:right="57"/>
                  </w:pPr>
                  <w:r w:rsidRPr="003462B9">
                    <w:t>13.0</w:t>
                  </w:r>
                </w:p>
              </w:tc>
              <w:tc>
                <w:tcPr>
                  <w:tcW w:w="467" w:type="pct"/>
                  <w:vAlign w:val="bottom"/>
                </w:tcPr>
                <w:p w:rsidR="00745FEA" w:rsidRPr="003462B9" w:rsidRDefault="00745FEA" w:rsidP="00745FEA">
                  <w:pPr>
                    <w:pStyle w:val="TableBodyText"/>
                    <w:ind w:right="57"/>
                  </w:pPr>
                  <w:r w:rsidRPr="003462B9">
                    <w:t>13.4</w:t>
                  </w:r>
                </w:p>
              </w:tc>
              <w:tc>
                <w:tcPr>
                  <w:tcW w:w="467" w:type="pct"/>
                  <w:vAlign w:val="bottom"/>
                </w:tcPr>
                <w:p w:rsidR="00745FEA" w:rsidRPr="003462B9" w:rsidRDefault="00745FEA" w:rsidP="00745FEA">
                  <w:pPr>
                    <w:pStyle w:val="TableBodyText"/>
                    <w:ind w:right="57"/>
                  </w:pPr>
                  <w:r w:rsidRPr="003462B9">
                    <w:t>13.7</w:t>
                  </w:r>
                </w:p>
              </w:tc>
              <w:tc>
                <w:tcPr>
                  <w:tcW w:w="467" w:type="pct"/>
                  <w:vAlign w:val="bottom"/>
                </w:tcPr>
                <w:p w:rsidR="00745FEA" w:rsidRPr="003462B9" w:rsidRDefault="00745FEA" w:rsidP="00745FEA">
                  <w:pPr>
                    <w:pStyle w:val="TableBodyText"/>
                    <w:ind w:right="57"/>
                  </w:pPr>
                  <w:r w:rsidRPr="003462B9">
                    <w:t>18.7</w:t>
                  </w:r>
                </w:p>
              </w:tc>
              <w:tc>
                <w:tcPr>
                  <w:tcW w:w="467" w:type="pct"/>
                  <w:shd w:val="clear" w:color="auto" w:fill="auto"/>
                  <w:vAlign w:val="bottom"/>
                </w:tcPr>
                <w:p w:rsidR="00745FEA" w:rsidRPr="003462B9" w:rsidRDefault="00745FEA" w:rsidP="00745FEA">
                  <w:pPr>
                    <w:pStyle w:val="TableBodyText"/>
                    <w:ind w:right="57"/>
                  </w:pPr>
                  <w:r w:rsidRPr="003462B9">
                    <w:t>16.8</w:t>
                  </w:r>
                </w:p>
              </w:tc>
              <w:tc>
                <w:tcPr>
                  <w:tcW w:w="465" w:type="pct"/>
                  <w:shd w:val="clear" w:color="auto" w:fill="auto"/>
                  <w:vAlign w:val="bottom"/>
                </w:tcPr>
                <w:p w:rsidR="00745FEA" w:rsidRPr="003462B9" w:rsidRDefault="00745FEA" w:rsidP="00745FEA">
                  <w:pPr>
                    <w:pStyle w:val="TableBodyText"/>
                    <w:ind w:right="57"/>
                  </w:pPr>
                  <w:r w:rsidRPr="003462B9">
                    <w:t>14.1</w:t>
                  </w:r>
                </w:p>
              </w:tc>
            </w:tr>
            <w:tr w:rsidR="00745FEA" w:rsidTr="00745FEA">
              <w:tc>
                <w:tcPr>
                  <w:tcW w:w="2200" w:type="pct"/>
                  <w:shd w:val="clear" w:color="auto" w:fill="auto"/>
                </w:tcPr>
                <w:p w:rsidR="00745FEA" w:rsidRPr="00EB126D" w:rsidRDefault="00745FEA" w:rsidP="00745FEA">
                  <w:pPr>
                    <w:pStyle w:val="TableBodyText"/>
                    <w:spacing w:after="0"/>
                    <w:ind w:left="227" w:right="0"/>
                    <w:jc w:val="left"/>
                  </w:pPr>
                  <w:r w:rsidRPr="00EB126D">
                    <w:t xml:space="preserve">Small business </w:t>
                  </w:r>
                  <w:r>
                    <w:t>capital gains tax</w:t>
                  </w:r>
                  <w:r w:rsidRPr="00EB126D">
                    <w:t xml:space="preserve"> 50 per cent reduction</w:t>
                  </w:r>
                </w:p>
              </w:tc>
              <w:tc>
                <w:tcPr>
                  <w:tcW w:w="467" w:type="pct"/>
                  <w:vAlign w:val="bottom"/>
                </w:tcPr>
                <w:p w:rsidR="00745FEA" w:rsidRPr="003462B9" w:rsidRDefault="00745FEA" w:rsidP="00745FEA">
                  <w:pPr>
                    <w:pStyle w:val="TableBodyText"/>
                    <w:ind w:right="57"/>
                  </w:pPr>
                  <w:r w:rsidRPr="003462B9">
                    <w:t>32.3</w:t>
                  </w:r>
                </w:p>
              </w:tc>
              <w:tc>
                <w:tcPr>
                  <w:tcW w:w="467" w:type="pct"/>
                  <w:vAlign w:val="bottom"/>
                </w:tcPr>
                <w:p w:rsidR="00745FEA" w:rsidRPr="003462B9" w:rsidRDefault="00745FEA" w:rsidP="00745FEA">
                  <w:pPr>
                    <w:pStyle w:val="TableBodyText"/>
                    <w:ind w:right="57"/>
                  </w:pPr>
                  <w:r w:rsidRPr="003462B9">
                    <w:t>34.1</w:t>
                  </w:r>
                </w:p>
              </w:tc>
              <w:tc>
                <w:tcPr>
                  <w:tcW w:w="467" w:type="pct"/>
                  <w:vAlign w:val="bottom"/>
                </w:tcPr>
                <w:p w:rsidR="00745FEA" w:rsidRPr="003462B9" w:rsidRDefault="00745FEA" w:rsidP="00745FEA">
                  <w:pPr>
                    <w:pStyle w:val="TableBodyText"/>
                    <w:ind w:right="57"/>
                  </w:pPr>
                  <w:r w:rsidRPr="003462B9">
                    <w:t>34.1</w:t>
                  </w:r>
                </w:p>
              </w:tc>
              <w:tc>
                <w:tcPr>
                  <w:tcW w:w="467" w:type="pct"/>
                  <w:vAlign w:val="bottom"/>
                </w:tcPr>
                <w:p w:rsidR="00745FEA" w:rsidRPr="003462B9" w:rsidRDefault="00745FEA" w:rsidP="00745FEA">
                  <w:pPr>
                    <w:pStyle w:val="TableBodyText"/>
                    <w:ind w:right="57"/>
                  </w:pPr>
                  <w:r w:rsidRPr="003462B9">
                    <w:t>34.8</w:t>
                  </w:r>
                </w:p>
              </w:tc>
              <w:tc>
                <w:tcPr>
                  <w:tcW w:w="467" w:type="pct"/>
                  <w:shd w:val="clear" w:color="auto" w:fill="auto"/>
                  <w:vAlign w:val="bottom"/>
                </w:tcPr>
                <w:p w:rsidR="00745FEA" w:rsidRPr="003462B9" w:rsidRDefault="00745FEA" w:rsidP="00745FEA">
                  <w:pPr>
                    <w:pStyle w:val="TableBodyText"/>
                    <w:ind w:right="57"/>
                  </w:pPr>
                  <w:r w:rsidRPr="003462B9">
                    <w:t>32.9</w:t>
                  </w:r>
                </w:p>
              </w:tc>
              <w:tc>
                <w:tcPr>
                  <w:tcW w:w="465" w:type="pct"/>
                  <w:shd w:val="clear" w:color="auto" w:fill="auto"/>
                  <w:vAlign w:val="bottom"/>
                </w:tcPr>
                <w:p w:rsidR="00745FEA" w:rsidRPr="003462B9" w:rsidRDefault="00745FEA" w:rsidP="00745FEA">
                  <w:pPr>
                    <w:pStyle w:val="TableBodyText"/>
                    <w:ind w:right="57"/>
                  </w:pPr>
                  <w:r w:rsidRPr="003462B9">
                    <w:t>37.9</w:t>
                  </w:r>
                </w:p>
              </w:tc>
            </w:tr>
            <w:tr w:rsidR="00745FEA" w:rsidTr="00745FEA">
              <w:tc>
                <w:tcPr>
                  <w:tcW w:w="2200" w:type="pct"/>
                  <w:shd w:val="clear" w:color="auto" w:fill="auto"/>
                </w:tcPr>
                <w:p w:rsidR="00745FEA" w:rsidRPr="00EB126D" w:rsidRDefault="00745FEA" w:rsidP="00745FEA">
                  <w:pPr>
                    <w:pStyle w:val="TableBodyText"/>
                    <w:spacing w:after="0"/>
                    <w:ind w:left="227" w:right="0"/>
                    <w:jc w:val="left"/>
                  </w:pPr>
                  <w:r w:rsidRPr="00EB126D">
                    <w:t>25 per cent entrepreneurs' tax offset</w:t>
                  </w:r>
                </w:p>
              </w:tc>
              <w:tc>
                <w:tcPr>
                  <w:tcW w:w="467" w:type="pct"/>
                  <w:vAlign w:val="bottom"/>
                </w:tcPr>
                <w:p w:rsidR="00745FEA" w:rsidRPr="003462B9" w:rsidRDefault="00745FEA" w:rsidP="00745FEA">
                  <w:pPr>
                    <w:pStyle w:val="TableBodyText"/>
                    <w:ind w:right="57"/>
                  </w:pPr>
                  <w:r w:rsidRPr="003462B9">
                    <w:t>1.0</w:t>
                  </w:r>
                </w:p>
              </w:tc>
              <w:tc>
                <w:tcPr>
                  <w:tcW w:w="467" w:type="pct"/>
                  <w:vAlign w:val="bottom"/>
                </w:tcPr>
                <w:p w:rsidR="00745FEA" w:rsidRPr="003462B9" w:rsidRDefault="00745FEA" w:rsidP="00745FEA">
                  <w:pPr>
                    <w:pStyle w:val="TableBodyText"/>
                    <w:ind w:right="57"/>
                  </w:pPr>
                  <w:r w:rsidRPr="003462B9">
                    <w:t>0.8</w:t>
                  </w:r>
                </w:p>
              </w:tc>
              <w:tc>
                <w:tcPr>
                  <w:tcW w:w="467" w:type="pct"/>
                  <w:vAlign w:val="bottom"/>
                </w:tcPr>
                <w:p w:rsidR="00745FEA" w:rsidRPr="003462B9" w:rsidRDefault="00745FEA" w:rsidP="00745FEA">
                  <w:pPr>
                    <w:pStyle w:val="TableBodyText"/>
                    <w:ind w:right="57"/>
                  </w:pPr>
                  <w:r w:rsidRPr="003462B9">
                    <w:t>–</w:t>
                  </w:r>
                </w:p>
              </w:tc>
              <w:tc>
                <w:tcPr>
                  <w:tcW w:w="467" w:type="pct"/>
                  <w:vAlign w:val="bottom"/>
                </w:tcPr>
                <w:p w:rsidR="00745FEA" w:rsidRPr="003462B9" w:rsidRDefault="00745FEA" w:rsidP="00745FEA">
                  <w:pPr>
                    <w:pStyle w:val="TableBodyText"/>
                    <w:ind w:right="57"/>
                  </w:pPr>
                  <w:r w:rsidRPr="003462B9">
                    <w:t>–</w:t>
                  </w:r>
                </w:p>
              </w:tc>
              <w:tc>
                <w:tcPr>
                  <w:tcW w:w="467" w:type="pct"/>
                  <w:shd w:val="clear" w:color="auto" w:fill="auto"/>
                  <w:vAlign w:val="bottom"/>
                </w:tcPr>
                <w:p w:rsidR="00745FEA" w:rsidRPr="003462B9" w:rsidRDefault="00745FEA" w:rsidP="00745FEA">
                  <w:pPr>
                    <w:pStyle w:val="TableBodyText"/>
                    <w:ind w:right="57"/>
                  </w:pPr>
                  <w:r w:rsidRPr="003462B9">
                    <w:t>–</w:t>
                  </w:r>
                </w:p>
              </w:tc>
              <w:tc>
                <w:tcPr>
                  <w:tcW w:w="465" w:type="pct"/>
                  <w:shd w:val="clear" w:color="auto" w:fill="auto"/>
                  <w:vAlign w:val="bottom"/>
                </w:tcPr>
                <w:p w:rsidR="00745FEA" w:rsidRPr="003462B9" w:rsidRDefault="00745FEA" w:rsidP="00745FEA">
                  <w:pPr>
                    <w:pStyle w:val="TableBodyText"/>
                    <w:ind w:right="57"/>
                  </w:pPr>
                  <w:r w:rsidRPr="003462B9">
                    <w:t>–</w:t>
                  </w:r>
                </w:p>
              </w:tc>
            </w:tr>
            <w:tr w:rsidR="00745FEA" w:rsidTr="00745FEA">
              <w:tc>
                <w:tcPr>
                  <w:tcW w:w="2200" w:type="pct"/>
                  <w:shd w:val="clear" w:color="auto" w:fill="auto"/>
                </w:tcPr>
                <w:p w:rsidR="00745FEA" w:rsidRPr="00605847" w:rsidRDefault="00745FEA" w:rsidP="00745FEA">
                  <w:pPr>
                    <w:spacing w:before="20" w:after="20"/>
                    <w:rPr>
                      <w:rFonts w:ascii="Arial" w:hAnsi="Arial" w:cs="Arial"/>
                      <w:i/>
                      <w:sz w:val="18"/>
                      <w:szCs w:val="18"/>
                    </w:rPr>
                  </w:pPr>
                  <w:r w:rsidRPr="00605847">
                    <w:rPr>
                      <w:rFonts w:ascii="Arial" w:hAnsi="Arial" w:cs="Arial"/>
                      <w:i/>
                      <w:sz w:val="18"/>
                      <w:szCs w:val="18"/>
                    </w:rPr>
                    <w:t>Total</w:t>
                  </w:r>
                </w:p>
              </w:tc>
              <w:tc>
                <w:tcPr>
                  <w:tcW w:w="467" w:type="pct"/>
                  <w:vAlign w:val="bottom"/>
                </w:tcPr>
                <w:p w:rsidR="00745FEA" w:rsidRPr="008464F9" w:rsidRDefault="00745FEA" w:rsidP="00745FEA">
                  <w:pPr>
                    <w:pStyle w:val="TableBodyText"/>
                    <w:spacing w:before="20" w:after="20"/>
                    <w:ind w:right="57"/>
                    <w:rPr>
                      <w:i/>
                    </w:rPr>
                  </w:pPr>
                  <w:r>
                    <w:rPr>
                      <w:i/>
                    </w:rPr>
                    <w:t>67.7</w:t>
                  </w:r>
                </w:p>
              </w:tc>
              <w:tc>
                <w:tcPr>
                  <w:tcW w:w="467" w:type="pct"/>
                  <w:vAlign w:val="bottom"/>
                </w:tcPr>
                <w:p w:rsidR="00745FEA" w:rsidRPr="008464F9" w:rsidRDefault="00745FEA" w:rsidP="00745FEA">
                  <w:pPr>
                    <w:pStyle w:val="TableBodyText"/>
                    <w:spacing w:before="20" w:after="20"/>
                    <w:ind w:right="57"/>
                    <w:rPr>
                      <w:i/>
                    </w:rPr>
                  </w:pPr>
                  <w:r>
                    <w:rPr>
                      <w:i/>
                    </w:rPr>
                    <w:t>70.8</w:t>
                  </w:r>
                </w:p>
              </w:tc>
              <w:tc>
                <w:tcPr>
                  <w:tcW w:w="467" w:type="pct"/>
                </w:tcPr>
                <w:p w:rsidR="00745FEA" w:rsidRPr="006938BC" w:rsidRDefault="00745FEA" w:rsidP="00745FEA">
                  <w:pPr>
                    <w:pStyle w:val="TableBodyText"/>
                    <w:spacing w:before="20" w:after="20"/>
                    <w:ind w:right="57"/>
                    <w:rPr>
                      <w:i/>
                    </w:rPr>
                  </w:pPr>
                  <w:r>
                    <w:rPr>
                      <w:i/>
                    </w:rPr>
                    <w:t>76.9</w:t>
                  </w:r>
                </w:p>
              </w:tc>
              <w:tc>
                <w:tcPr>
                  <w:tcW w:w="467" w:type="pct"/>
                </w:tcPr>
                <w:p w:rsidR="00745FEA" w:rsidRPr="006938BC" w:rsidRDefault="00745FEA" w:rsidP="00745FEA">
                  <w:pPr>
                    <w:pStyle w:val="TableBodyText"/>
                    <w:spacing w:before="20" w:after="20"/>
                    <w:ind w:right="57"/>
                    <w:rPr>
                      <w:i/>
                    </w:rPr>
                  </w:pPr>
                  <w:r>
                    <w:rPr>
                      <w:i/>
                    </w:rPr>
                    <w:t>82.2</w:t>
                  </w:r>
                </w:p>
              </w:tc>
              <w:tc>
                <w:tcPr>
                  <w:tcW w:w="467" w:type="pct"/>
                  <w:shd w:val="clear" w:color="auto" w:fill="auto"/>
                </w:tcPr>
                <w:p w:rsidR="00745FEA" w:rsidRPr="006938BC" w:rsidRDefault="00745FEA" w:rsidP="00745FEA">
                  <w:pPr>
                    <w:pStyle w:val="TableBodyText"/>
                    <w:spacing w:before="20" w:after="20"/>
                    <w:ind w:right="57"/>
                    <w:rPr>
                      <w:i/>
                    </w:rPr>
                  </w:pPr>
                  <w:r>
                    <w:rPr>
                      <w:i/>
                    </w:rPr>
                    <w:t>69.0</w:t>
                  </w:r>
                </w:p>
              </w:tc>
              <w:tc>
                <w:tcPr>
                  <w:tcW w:w="465" w:type="pct"/>
                  <w:shd w:val="clear" w:color="auto" w:fill="auto"/>
                </w:tcPr>
                <w:p w:rsidR="00745FEA" w:rsidRPr="006938BC" w:rsidRDefault="00745FEA" w:rsidP="00745FEA">
                  <w:pPr>
                    <w:pStyle w:val="TableBodyText"/>
                    <w:spacing w:before="20" w:after="20"/>
                    <w:ind w:right="57"/>
                    <w:rPr>
                      <w:i/>
                    </w:rPr>
                  </w:pPr>
                  <w:r>
                    <w:rPr>
                      <w:i/>
                    </w:rPr>
                    <w:t>125.4</w:t>
                  </w:r>
                </w:p>
              </w:tc>
            </w:tr>
            <w:tr w:rsidR="00745FEA" w:rsidTr="00745FEA">
              <w:tc>
                <w:tcPr>
                  <w:tcW w:w="2200" w:type="pct"/>
                </w:tcPr>
                <w:p w:rsidR="00745FEA" w:rsidRPr="003C7DF1" w:rsidRDefault="00745FEA" w:rsidP="00745FEA">
                  <w:pPr>
                    <w:pStyle w:val="TableUnitsRow"/>
                    <w:ind w:right="0"/>
                    <w:jc w:val="left"/>
                    <w:rPr>
                      <w:b/>
                    </w:rPr>
                  </w:pPr>
                  <w:r w:rsidRPr="003C7DF1">
                    <w:rPr>
                      <w:b/>
                    </w:rPr>
                    <w:t>Transport, postal and warehousing</w:t>
                  </w:r>
                </w:p>
              </w:tc>
              <w:tc>
                <w:tcPr>
                  <w:tcW w:w="467" w:type="pct"/>
                  <w:vAlign w:val="bottom"/>
                </w:tcPr>
                <w:p w:rsidR="00745FEA" w:rsidRDefault="00745FEA" w:rsidP="00745FEA">
                  <w:pPr>
                    <w:pStyle w:val="TableUnitsRow"/>
                    <w:ind w:right="57"/>
                  </w:pPr>
                </w:p>
              </w:tc>
              <w:tc>
                <w:tcPr>
                  <w:tcW w:w="467" w:type="pct"/>
                  <w:vAlign w:val="bottom"/>
                </w:tcPr>
                <w:p w:rsidR="00745FEA" w:rsidRDefault="00745FEA" w:rsidP="00745FEA">
                  <w:pPr>
                    <w:pStyle w:val="TableUnitsRow"/>
                    <w:ind w:right="57"/>
                  </w:pPr>
                </w:p>
              </w:tc>
              <w:tc>
                <w:tcPr>
                  <w:tcW w:w="467" w:type="pct"/>
                  <w:vAlign w:val="bottom"/>
                </w:tcPr>
                <w:p w:rsidR="00745FEA" w:rsidRDefault="00745FEA" w:rsidP="00745FEA">
                  <w:pPr>
                    <w:pStyle w:val="TableUnitsRow"/>
                    <w:ind w:right="57"/>
                  </w:pPr>
                </w:p>
              </w:tc>
              <w:tc>
                <w:tcPr>
                  <w:tcW w:w="467" w:type="pct"/>
                  <w:vAlign w:val="bottom"/>
                </w:tcPr>
                <w:p w:rsidR="00745FEA" w:rsidRDefault="00745FEA" w:rsidP="00745FEA">
                  <w:pPr>
                    <w:pStyle w:val="TableUnitsRow"/>
                    <w:ind w:right="57"/>
                  </w:pPr>
                </w:p>
              </w:tc>
              <w:tc>
                <w:tcPr>
                  <w:tcW w:w="467" w:type="pct"/>
                  <w:vAlign w:val="bottom"/>
                </w:tcPr>
                <w:p w:rsidR="00745FEA" w:rsidRDefault="00745FEA" w:rsidP="00745FEA">
                  <w:pPr>
                    <w:pStyle w:val="TableUnitsRow"/>
                    <w:ind w:right="57"/>
                  </w:pPr>
                </w:p>
              </w:tc>
              <w:tc>
                <w:tcPr>
                  <w:tcW w:w="465" w:type="pct"/>
                  <w:vAlign w:val="bottom"/>
                </w:tcPr>
                <w:p w:rsidR="00745FEA" w:rsidRDefault="00745FEA" w:rsidP="00745FEA">
                  <w:pPr>
                    <w:pStyle w:val="TableUnitsRow"/>
                    <w:ind w:right="57"/>
                  </w:pPr>
                </w:p>
              </w:tc>
            </w:tr>
            <w:tr w:rsidR="00745FEA" w:rsidTr="00745FEA">
              <w:tc>
                <w:tcPr>
                  <w:tcW w:w="2200" w:type="pct"/>
                </w:tcPr>
                <w:p w:rsidR="00745FEA" w:rsidRPr="00FB51A7" w:rsidRDefault="00745FEA" w:rsidP="00745FEA">
                  <w:pPr>
                    <w:pStyle w:val="TableBodyText"/>
                    <w:spacing w:before="40" w:after="0"/>
                    <w:ind w:left="113"/>
                    <w:jc w:val="left"/>
                    <w:rPr>
                      <w:i/>
                    </w:rPr>
                  </w:pPr>
                  <w:r w:rsidRPr="00FB51A7">
                    <w:rPr>
                      <w:i/>
                    </w:rPr>
                    <w:t>Industry-specific measures</w:t>
                  </w: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5" w:type="pct"/>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AE30BF" w:rsidRDefault="00745FEA" w:rsidP="00745FEA">
                  <w:pPr>
                    <w:pStyle w:val="TableBodyText"/>
                    <w:spacing w:after="0"/>
                    <w:ind w:left="227" w:right="0"/>
                    <w:jc w:val="left"/>
                  </w:pPr>
                  <w:r w:rsidRPr="00AE30BF">
                    <w:t>Payment scheme for Airservices Australia's en route charges</w:t>
                  </w:r>
                </w:p>
              </w:tc>
              <w:tc>
                <w:tcPr>
                  <w:tcW w:w="467" w:type="pct"/>
                  <w:vAlign w:val="bottom"/>
                </w:tcPr>
                <w:p w:rsidR="00745FEA" w:rsidRPr="00AE30BF" w:rsidRDefault="00745FEA" w:rsidP="00745FEA">
                  <w:pPr>
                    <w:pStyle w:val="TableBodyText"/>
                    <w:ind w:right="57"/>
                  </w:pPr>
                  <w:r w:rsidRPr="00640794">
                    <w:t>4.2</w:t>
                  </w:r>
                </w:p>
              </w:tc>
              <w:tc>
                <w:tcPr>
                  <w:tcW w:w="467" w:type="pct"/>
                  <w:vAlign w:val="bottom"/>
                </w:tcPr>
                <w:p w:rsidR="00745FEA" w:rsidRPr="00AE30BF" w:rsidRDefault="00745FEA" w:rsidP="00745FEA">
                  <w:pPr>
                    <w:pStyle w:val="TableBodyText"/>
                    <w:ind w:right="57"/>
                  </w:pPr>
                  <w:r w:rsidRPr="00640794">
                    <w:t>1.0</w:t>
                  </w:r>
                </w:p>
              </w:tc>
              <w:tc>
                <w:tcPr>
                  <w:tcW w:w="467" w:type="pct"/>
                  <w:vAlign w:val="bottom"/>
                </w:tcPr>
                <w:p w:rsidR="00745FEA" w:rsidRPr="00AE30BF" w:rsidRDefault="00745FEA" w:rsidP="00745FEA">
                  <w:pPr>
                    <w:pStyle w:val="TableBodyText"/>
                    <w:ind w:right="57"/>
                  </w:pPr>
                  <w:r w:rsidRPr="00640794">
                    <w:t>1.0</w:t>
                  </w:r>
                </w:p>
              </w:tc>
              <w:tc>
                <w:tcPr>
                  <w:tcW w:w="467" w:type="pct"/>
                  <w:vAlign w:val="bottom"/>
                </w:tcPr>
                <w:p w:rsidR="00745FEA" w:rsidRPr="00AE30BF" w:rsidRDefault="00745FEA" w:rsidP="00745FEA">
                  <w:pPr>
                    <w:pStyle w:val="TableBodyText"/>
                    <w:ind w:right="57"/>
                  </w:pPr>
                  <w:r w:rsidRPr="00640794">
                    <w:t>1.3</w:t>
                  </w:r>
                </w:p>
              </w:tc>
              <w:tc>
                <w:tcPr>
                  <w:tcW w:w="467" w:type="pct"/>
                  <w:shd w:val="clear" w:color="auto" w:fill="auto"/>
                  <w:vAlign w:val="bottom"/>
                </w:tcPr>
                <w:p w:rsidR="00745FEA" w:rsidRPr="00AE30BF" w:rsidRDefault="00745FEA" w:rsidP="00745FEA">
                  <w:pPr>
                    <w:pStyle w:val="TableBodyText"/>
                    <w:ind w:right="57"/>
                  </w:pPr>
                  <w:r w:rsidRPr="00640794">
                    <w:t>1.3</w:t>
                  </w:r>
                </w:p>
              </w:tc>
              <w:tc>
                <w:tcPr>
                  <w:tcW w:w="465" w:type="pct"/>
                  <w:shd w:val="clear" w:color="auto" w:fill="auto"/>
                  <w:vAlign w:val="bottom"/>
                </w:tcPr>
                <w:p w:rsidR="00745FEA" w:rsidRPr="00AE30BF" w:rsidRDefault="00745FEA" w:rsidP="00745FEA">
                  <w:pPr>
                    <w:pStyle w:val="TableBodyText"/>
                    <w:ind w:right="57"/>
                  </w:pPr>
                  <w:r w:rsidRPr="00640794">
                    <w:t>1.5</w:t>
                  </w:r>
                </w:p>
              </w:tc>
            </w:tr>
            <w:tr w:rsidR="00745FEA" w:rsidTr="00745FEA">
              <w:tc>
                <w:tcPr>
                  <w:tcW w:w="2200" w:type="pct"/>
                  <w:shd w:val="clear" w:color="auto" w:fill="auto"/>
                </w:tcPr>
                <w:p w:rsidR="00745FEA" w:rsidRPr="00AE30BF" w:rsidRDefault="00745FEA" w:rsidP="00745FEA">
                  <w:pPr>
                    <w:pStyle w:val="TableBodyText"/>
                    <w:spacing w:after="0"/>
                    <w:ind w:left="227" w:right="0"/>
                    <w:jc w:val="left"/>
                  </w:pPr>
                  <w:r w:rsidRPr="00AE30BF">
                    <w:t>Bass Straight Passenger Vehicle Equalisation</w:t>
                  </w:r>
                </w:p>
              </w:tc>
              <w:tc>
                <w:tcPr>
                  <w:tcW w:w="467" w:type="pct"/>
                  <w:vAlign w:val="bottom"/>
                </w:tcPr>
                <w:p w:rsidR="00745FEA" w:rsidRPr="00AE30BF" w:rsidRDefault="00745FEA" w:rsidP="00745FEA">
                  <w:pPr>
                    <w:pStyle w:val="TableBodyText"/>
                    <w:ind w:right="57"/>
                  </w:pPr>
                  <w:r w:rsidRPr="00640794">
                    <w:t>34.6</w:t>
                  </w:r>
                </w:p>
              </w:tc>
              <w:tc>
                <w:tcPr>
                  <w:tcW w:w="467" w:type="pct"/>
                  <w:vAlign w:val="bottom"/>
                </w:tcPr>
                <w:p w:rsidR="00745FEA" w:rsidRPr="00AE30BF" w:rsidRDefault="00745FEA" w:rsidP="00745FEA">
                  <w:pPr>
                    <w:pStyle w:val="TableBodyText"/>
                    <w:ind w:right="57"/>
                  </w:pPr>
                  <w:r w:rsidRPr="00640794">
                    <w:t>34.5</w:t>
                  </w:r>
                </w:p>
              </w:tc>
              <w:tc>
                <w:tcPr>
                  <w:tcW w:w="467" w:type="pct"/>
                  <w:vAlign w:val="bottom"/>
                </w:tcPr>
                <w:p w:rsidR="00745FEA" w:rsidRPr="00AE30BF" w:rsidRDefault="00745FEA" w:rsidP="00745FEA">
                  <w:pPr>
                    <w:pStyle w:val="TableBodyText"/>
                    <w:ind w:right="57"/>
                  </w:pPr>
                  <w:r w:rsidRPr="00640794">
                    <w:t>37.5</w:t>
                  </w:r>
                </w:p>
              </w:tc>
              <w:tc>
                <w:tcPr>
                  <w:tcW w:w="467" w:type="pct"/>
                  <w:vAlign w:val="bottom"/>
                </w:tcPr>
                <w:p w:rsidR="00745FEA" w:rsidRPr="00AE30BF" w:rsidRDefault="00745FEA" w:rsidP="00745FEA">
                  <w:pPr>
                    <w:pStyle w:val="TableBodyText"/>
                    <w:ind w:right="57"/>
                  </w:pPr>
                  <w:r w:rsidRPr="00640794">
                    <w:t>40.9</w:t>
                  </w:r>
                </w:p>
              </w:tc>
              <w:tc>
                <w:tcPr>
                  <w:tcW w:w="467" w:type="pct"/>
                  <w:shd w:val="clear" w:color="auto" w:fill="auto"/>
                  <w:vAlign w:val="bottom"/>
                </w:tcPr>
                <w:p w:rsidR="00745FEA" w:rsidRPr="00AE30BF" w:rsidRDefault="00745FEA" w:rsidP="00745FEA">
                  <w:pPr>
                    <w:pStyle w:val="TableBodyText"/>
                    <w:ind w:right="57"/>
                  </w:pPr>
                  <w:r w:rsidRPr="00640794">
                    <w:t>44.1</w:t>
                  </w:r>
                </w:p>
              </w:tc>
              <w:tc>
                <w:tcPr>
                  <w:tcW w:w="465" w:type="pct"/>
                  <w:shd w:val="clear" w:color="auto" w:fill="auto"/>
                  <w:vAlign w:val="bottom"/>
                </w:tcPr>
                <w:p w:rsidR="00745FEA" w:rsidRDefault="00745FEA" w:rsidP="00745FEA">
                  <w:pPr>
                    <w:pStyle w:val="TableBodyText"/>
                    <w:ind w:right="57"/>
                  </w:pPr>
                  <w:r w:rsidRPr="00640794">
                    <w:t>47.8</w:t>
                  </w:r>
                </w:p>
              </w:tc>
            </w:tr>
            <w:tr w:rsidR="00745FEA" w:rsidTr="00745FEA">
              <w:tc>
                <w:tcPr>
                  <w:tcW w:w="2200" w:type="pct"/>
                  <w:shd w:val="clear" w:color="auto" w:fill="auto"/>
                </w:tcPr>
                <w:p w:rsidR="00745FEA" w:rsidRPr="00FB51A7" w:rsidRDefault="00745FEA" w:rsidP="00745FEA">
                  <w:pPr>
                    <w:pStyle w:val="TableBodyText"/>
                    <w:spacing w:before="40" w:after="0"/>
                    <w:ind w:left="113"/>
                    <w:jc w:val="left"/>
                    <w:rPr>
                      <w:i/>
                    </w:rPr>
                  </w:pPr>
                  <w:r w:rsidRPr="00FB51A7">
                    <w:rPr>
                      <w:i/>
                    </w:rPr>
                    <w:t>Sector-specific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61450C" w:rsidRDefault="00745FEA" w:rsidP="00745FEA">
                  <w:pPr>
                    <w:pStyle w:val="TableBodyText"/>
                    <w:spacing w:after="0"/>
                    <w:ind w:left="227" w:right="0"/>
                    <w:jc w:val="left"/>
                  </w:pPr>
                  <w:r w:rsidRPr="0061450C">
                    <w:t xml:space="preserve">Exceptional Circumstances - interest rate </w:t>
                  </w:r>
                  <w:r>
                    <w:t>subsidies</w:t>
                  </w:r>
                </w:p>
              </w:tc>
              <w:tc>
                <w:tcPr>
                  <w:tcW w:w="467" w:type="pct"/>
                  <w:vAlign w:val="bottom"/>
                </w:tcPr>
                <w:p w:rsidR="00745FEA" w:rsidRPr="0061450C" w:rsidRDefault="00745FEA" w:rsidP="00745FEA">
                  <w:pPr>
                    <w:pStyle w:val="TableBodyText"/>
                    <w:ind w:right="57"/>
                  </w:pPr>
                  <w:r w:rsidRPr="002F65DC">
                    <w:t>0.3</w:t>
                  </w:r>
                </w:p>
              </w:tc>
              <w:tc>
                <w:tcPr>
                  <w:tcW w:w="467" w:type="pct"/>
                  <w:vAlign w:val="bottom"/>
                </w:tcPr>
                <w:p w:rsidR="00745FEA" w:rsidRPr="0061450C" w:rsidRDefault="00745FEA" w:rsidP="00745FEA">
                  <w:pPr>
                    <w:pStyle w:val="TableBodyText"/>
                    <w:ind w:right="57"/>
                  </w:pPr>
                  <w:r w:rsidRPr="002F65DC">
                    <w:t>–</w:t>
                  </w:r>
                </w:p>
              </w:tc>
              <w:tc>
                <w:tcPr>
                  <w:tcW w:w="467" w:type="pct"/>
                  <w:vAlign w:val="bottom"/>
                </w:tcPr>
                <w:p w:rsidR="00745FEA" w:rsidRPr="0061450C" w:rsidRDefault="00745FEA" w:rsidP="00745FEA">
                  <w:pPr>
                    <w:pStyle w:val="TableBodyText"/>
                    <w:ind w:right="57"/>
                  </w:pPr>
                  <w:r w:rsidRPr="002F65DC">
                    <w:t>–</w:t>
                  </w:r>
                </w:p>
              </w:tc>
              <w:tc>
                <w:tcPr>
                  <w:tcW w:w="467" w:type="pct"/>
                  <w:vAlign w:val="bottom"/>
                </w:tcPr>
                <w:p w:rsidR="00745FEA" w:rsidRPr="0061450C" w:rsidRDefault="00745FEA" w:rsidP="00745FEA">
                  <w:pPr>
                    <w:pStyle w:val="TableBodyText"/>
                    <w:ind w:right="57"/>
                  </w:pPr>
                  <w:r w:rsidRPr="002F65DC">
                    <w:t>–</w:t>
                  </w:r>
                </w:p>
              </w:tc>
              <w:tc>
                <w:tcPr>
                  <w:tcW w:w="467" w:type="pct"/>
                  <w:shd w:val="clear" w:color="auto" w:fill="auto"/>
                  <w:vAlign w:val="bottom"/>
                </w:tcPr>
                <w:p w:rsidR="00745FEA" w:rsidRPr="0061450C" w:rsidRDefault="00745FEA" w:rsidP="00745FEA">
                  <w:pPr>
                    <w:pStyle w:val="TableBodyText"/>
                    <w:ind w:right="57"/>
                  </w:pPr>
                  <w:r w:rsidRPr="002F65DC">
                    <w:t>–</w:t>
                  </w:r>
                </w:p>
              </w:tc>
              <w:tc>
                <w:tcPr>
                  <w:tcW w:w="465" w:type="pct"/>
                  <w:shd w:val="clear" w:color="auto" w:fill="auto"/>
                  <w:vAlign w:val="bottom"/>
                </w:tcPr>
                <w:p w:rsidR="00745FEA" w:rsidRPr="0061450C" w:rsidRDefault="00745FEA" w:rsidP="00745FEA">
                  <w:pPr>
                    <w:pStyle w:val="TableBodyText"/>
                    <w:ind w:right="57"/>
                  </w:pPr>
                  <w:r w:rsidRPr="002F65DC">
                    <w:t>–</w:t>
                  </w:r>
                </w:p>
              </w:tc>
            </w:tr>
            <w:tr w:rsidR="00745FEA" w:rsidTr="00745FEA">
              <w:tc>
                <w:tcPr>
                  <w:tcW w:w="2200" w:type="pct"/>
                  <w:shd w:val="clear" w:color="auto" w:fill="auto"/>
                </w:tcPr>
                <w:p w:rsidR="00745FEA" w:rsidRPr="0061450C" w:rsidRDefault="00745FEA" w:rsidP="00745FEA">
                  <w:pPr>
                    <w:pStyle w:val="TableBodyText"/>
                    <w:spacing w:after="0"/>
                    <w:ind w:left="227" w:right="0"/>
                    <w:jc w:val="left"/>
                  </w:pPr>
                  <w:r w:rsidRPr="0061450C">
                    <w:t>Exceptional Circumstances - relief payments</w:t>
                  </w:r>
                </w:p>
              </w:tc>
              <w:tc>
                <w:tcPr>
                  <w:tcW w:w="467" w:type="pct"/>
                  <w:vAlign w:val="bottom"/>
                </w:tcPr>
                <w:p w:rsidR="00745FEA" w:rsidRPr="0061450C" w:rsidRDefault="00745FEA" w:rsidP="00745FEA">
                  <w:pPr>
                    <w:pStyle w:val="TableBodyText"/>
                    <w:ind w:right="57"/>
                  </w:pPr>
                  <w:r w:rsidRPr="002F65DC">
                    <w:t>&lt;0.1</w:t>
                  </w:r>
                </w:p>
              </w:tc>
              <w:tc>
                <w:tcPr>
                  <w:tcW w:w="467" w:type="pct"/>
                  <w:vAlign w:val="bottom"/>
                </w:tcPr>
                <w:p w:rsidR="00745FEA" w:rsidRPr="0061450C" w:rsidRDefault="00745FEA" w:rsidP="00745FEA">
                  <w:pPr>
                    <w:pStyle w:val="TableBodyText"/>
                    <w:ind w:right="57"/>
                  </w:pPr>
                  <w:r w:rsidRPr="002F65DC">
                    <w:t>–</w:t>
                  </w:r>
                </w:p>
              </w:tc>
              <w:tc>
                <w:tcPr>
                  <w:tcW w:w="467" w:type="pct"/>
                  <w:vAlign w:val="bottom"/>
                </w:tcPr>
                <w:p w:rsidR="00745FEA" w:rsidRPr="0061450C" w:rsidRDefault="00745FEA" w:rsidP="00745FEA">
                  <w:pPr>
                    <w:pStyle w:val="TableBodyText"/>
                    <w:ind w:right="57"/>
                  </w:pPr>
                  <w:r w:rsidRPr="002F65DC">
                    <w:t>–</w:t>
                  </w:r>
                </w:p>
              </w:tc>
              <w:tc>
                <w:tcPr>
                  <w:tcW w:w="467" w:type="pct"/>
                  <w:vAlign w:val="bottom"/>
                </w:tcPr>
                <w:p w:rsidR="00745FEA" w:rsidRPr="0061450C" w:rsidRDefault="00745FEA" w:rsidP="00745FEA">
                  <w:pPr>
                    <w:pStyle w:val="TableBodyText"/>
                    <w:ind w:right="57"/>
                  </w:pPr>
                  <w:r w:rsidRPr="002F65DC">
                    <w:t>–</w:t>
                  </w:r>
                </w:p>
              </w:tc>
              <w:tc>
                <w:tcPr>
                  <w:tcW w:w="467" w:type="pct"/>
                  <w:shd w:val="clear" w:color="auto" w:fill="auto"/>
                  <w:vAlign w:val="bottom"/>
                </w:tcPr>
                <w:p w:rsidR="00745FEA" w:rsidRPr="0061450C" w:rsidRDefault="00745FEA" w:rsidP="00745FEA">
                  <w:pPr>
                    <w:pStyle w:val="TableBodyText"/>
                    <w:ind w:right="57"/>
                  </w:pPr>
                  <w:r w:rsidRPr="002F65DC">
                    <w:t>–</w:t>
                  </w:r>
                </w:p>
              </w:tc>
              <w:tc>
                <w:tcPr>
                  <w:tcW w:w="465" w:type="pct"/>
                  <w:shd w:val="clear" w:color="auto" w:fill="auto"/>
                  <w:vAlign w:val="bottom"/>
                </w:tcPr>
                <w:p w:rsidR="00745FEA" w:rsidRPr="0061450C" w:rsidRDefault="00745FEA" w:rsidP="00745FEA">
                  <w:pPr>
                    <w:pStyle w:val="TableBodyText"/>
                    <w:ind w:right="57"/>
                  </w:pPr>
                  <w:r w:rsidRPr="002F65DC">
                    <w:t>–</w:t>
                  </w:r>
                </w:p>
              </w:tc>
            </w:tr>
            <w:tr w:rsidR="00745FEA" w:rsidTr="00745FEA">
              <w:tc>
                <w:tcPr>
                  <w:tcW w:w="2200" w:type="pct"/>
                  <w:shd w:val="clear" w:color="auto" w:fill="auto"/>
                </w:tcPr>
                <w:p w:rsidR="00745FEA" w:rsidRPr="0061450C" w:rsidRDefault="00745FEA" w:rsidP="00745FEA">
                  <w:pPr>
                    <w:pStyle w:val="TableBodyText"/>
                    <w:spacing w:after="0"/>
                    <w:ind w:left="227" w:right="0"/>
                    <w:jc w:val="left"/>
                  </w:pPr>
                  <w:r w:rsidRPr="0061450C">
                    <w:t>Interim Income Support</w:t>
                  </w:r>
                </w:p>
              </w:tc>
              <w:tc>
                <w:tcPr>
                  <w:tcW w:w="467" w:type="pct"/>
                  <w:vAlign w:val="bottom"/>
                </w:tcPr>
                <w:p w:rsidR="00745FEA" w:rsidRPr="0061450C" w:rsidRDefault="00745FEA" w:rsidP="00745FEA">
                  <w:pPr>
                    <w:pStyle w:val="TableBodyText"/>
                    <w:ind w:right="57"/>
                  </w:pPr>
                  <w:r w:rsidRPr="002F65DC">
                    <w:t>&lt;0.1</w:t>
                  </w:r>
                </w:p>
              </w:tc>
              <w:tc>
                <w:tcPr>
                  <w:tcW w:w="467" w:type="pct"/>
                  <w:vAlign w:val="bottom"/>
                </w:tcPr>
                <w:p w:rsidR="00745FEA" w:rsidRPr="0061450C" w:rsidRDefault="00745FEA" w:rsidP="00745FEA">
                  <w:pPr>
                    <w:pStyle w:val="TableBodyText"/>
                    <w:ind w:right="57"/>
                  </w:pPr>
                  <w:r w:rsidRPr="002F65DC">
                    <w:t>–</w:t>
                  </w:r>
                </w:p>
              </w:tc>
              <w:tc>
                <w:tcPr>
                  <w:tcW w:w="467" w:type="pct"/>
                  <w:vAlign w:val="bottom"/>
                </w:tcPr>
                <w:p w:rsidR="00745FEA" w:rsidRPr="0061450C" w:rsidRDefault="00745FEA" w:rsidP="00745FEA">
                  <w:pPr>
                    <w:pStyle w:val="TableBodyText"/>
                    <w:ind w:right="57"/>
                  </w:pPr>
                  <w:r w:rsidRPr="002F65DC">
                    <w:t>–</w:t>
                  </w:r>
                </w:p>
              </w:tc>
              <w:tc>
                <w:tcPr>
                  <w:tcW w:w="467" w:type="pct"/>
                  <w:vAlign w:val="bottom"/>
                </w:tcPr>
                <w:p w:rsidR="00745FEA" w:rsidRPr="0061450C" w:rsidRDefault="00745FEA" w:rsidP="00745FEA">
                  <w:pPr>
                    <w:pStyle w:val="TableBodyText"/>
                    <w:ind w:right="57"/>
                  </w:pPr>
                  <w:r w:rsidRPr="002F65DC">
                    <w:t>–</w:t>
                  </w:r>
                </w:p>
              </w:tc>
              <w:tc>
                <w:tcPr>
                  <w:tcW w:w="467" w:type="pct"/>
                  <w:shd w:val="clear" w:color="auto" w:fill="auto"/>
                  <w:vAlign w:val="bottom"/>
                </w:tcPr>
                <w:p w:rsidR="00745FEA" w:rsidRPr="0061450C" w:rsidRDefault="00745FEA" w:rsidP="00745FEA">
                  <w:pPr>
                    <w:pStyle w:val="TableBodyText"/>
                    <w:ind w:right="57"/>
                  </w:pPr>
                  <w:r w:rsidRPr="002F65DC">
                    <w:t>–</w:t>
                  </w:r>
                </w:p>
              </w:tc>
              <w:tc>
                <w:tcPr>
                  <w:tcW w:w="465" w:type="pct"/>
                  <w:shd w:val="clear" w:color="auto" w:fill="auto"/>
                  <w:vAlign w:val="bottom"/>
                </w:tcPr>
                <w:p w:rsidR="00745FEA" w:rsidRDefault="00745FEA" w:rsidP="00745FEA">
                  <w:pPr>
                    <w:pStyle w:val="TableBodyText"/>
                    <w:ind w:right="57"/>
                  </w:pPr>
                  <w:r w:rsidRPr="002F65DC">
                    <w:t>–</w:t>
                  </w:r>
                </w:p>
              </w:tc>
            </w:tr>
            <w:tr w:rsidR="00745FEA" w:rsidTr="00745FEA">
              <w:tc>
                <w:tcPr>
                  <w:tcW w:w="2200" w:type="pct"/>
                  <w:shd w:val="clear" w:color="auto" w:fill="auto"/>
                </w:tcPr>
                <w:p w:rsidR="00745FEA" w:rsidRPr="00FB51A7" w:rsidRDefault="00745FEA" w:rsidP="00745FEA">
                  <w:pPr>
                    <w:pStyle w:val="TableBodyText"/>
                    <w:spacing w:before="40" w:after="0"/>
                    <w:ind w:left="113"/>
                    <w:jc w:val="left"/>
                    <w:rPr>
                      <w:i/>
                    </w:rPr>
                  </w:pPr>
                  <w:r w:rsidRPr="00FB51A7">
                    <w:rPr>
                      <w:i/>
                    </w:rPr>
                    <w:t>General export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E12977" w:rsidRDefault="00745FEA" w:rsidP="00745FEA">
                  <w:pPr>
                    <w:pStyle w:val="TableBodyText"/>
                    <w:spacing w:after="0"/>
                    <w:ind w:left="227" w:right="0"/>
                    <w:jc w:val="left"/>
                  </w:pPr>
                  <w:r w:rsidRPr="00E12977">
                    <w:t>Export Market Development Grants Scheme</w:t>
                  </w:r>
                </w:p>
              </w:tc>
              <w:tc>
                <w:tcPr>
                  <w:tcW w:w="467" w:type="pct"/>
                  <w:vAlign w:val="bottom"/>
                </w:tcPr>
                <w:p w:rsidR="00745FEA" w:rsidRPr="00E12977" w:rsidRDefault="00745FEA" w:rsidP="00745FEA">
                  <w:pPr>
                    <w:pStyle w:val="TableBodyText"/>
                    <w:ind w:right="57"/>
                  </w:pPr>
                  <w:r w:rsidRPr="00FC4413">
                    <w:t>2.7</w:t>
                  </w:r>
                </w:p>
              </w:tc>
              <w:tc>
                <w:tcPr>
                  <w:tcW w:w="467" w:type="pct"/>
                  <w:vAlign w:val="bottom"/>
                </w:tcPr>
                <w:p w:rsidR="00745FEA" w:rsidRPr="00E12977" w:rsidRDefault="00745FEA" w:rsidP="00745FEA">
                  <w:pPr>
                    <w:pStyle w:val="TableBodyText"/>
                    <w:ind w:right="57"/>
                  </w:pPr>
                  <w:r w:rsidRPr="00FC4413">
                    <w:t>2.6</w:t>
                  </w:r>
                </w:p>
              </w:tc>
              <w:tc>
                <w:tcPr>
                  <w:tcW w:w="467" w:type="pct"/>
                  <w:vAlign w:val="bottom"/>
                </w:tcPr>
                <w:p w:rsidR="00745FEA" w:rsidRPr="00E12977" w:rsidRDefault="00745FEA" w:rsidP="00745FEA">
                  <w:pPr>
                    <w:pStyle w:val="TableBodyText"/>
                    <w:ind w:right="57"/>
                  </w:pPr>
                  <w:r w:rsidRPr="00FC4413">
                    <w:t>2.1</w:t>
                  </w:r>
                </w:p>
              </w:tc>
              <w:tc>
                <w:tcPr>
                  <w:tcW w:w="467" w:type="pct"/>
                  <w:vAlign w:val="bottom"/>
                </w:tcPr>
                <w:p w:rsidR="00745FEA" w:rsidRPr="00E12977" w:rsidRDefault="00745FEA" w:rsidP="00745FEA">
                  <w:pPr>
                    <w:pStyle w:val="TableBodyText"/>
                    <w:ind w:right="57"/>
                  </w:pPr>
                  <w:r w:rsidRPr="00FC4413">
                    <w:t>3.0</w:t>
                  </w:r>
                </w:p>
              </w:tc>
              <w:tc>
                <w:tcPr>
                  <w:tcW w:w="467" w:type="pct"/>
                  <w:shd w:val="clear" w:color="auto" w:fill="auto"/>
                  <w:vAlign w:val="bottom"/>
                </w:tcPr>
                <w:p w:rsidR="00745FEA" w:rsidRPr="00E12977" w:rsidRDefault="00745FEA" w:rsidP="00745FEA">
                  <w:pPr>
                    <w:pStyle w:val="TableBodyText"/>
                    <w:ind w:right="57"/>
                  </w:pPr>
                  <w:r w:rsidRPr="00FC4413">
                    <w:t>2.3</w:t>
                  </w:r>
                </w:p>
              </w:tc>
              <w:tc>
                <w:tcPr>
                  <w:tcW w:w="465" w:type="pct"/>
                  <w:shd w:val="clear" w:color="auto" w:fill="auto"/>
                  <w:vAlign w:val="bottom"/>
                </w:tcPr>
                <w:p w:rsidR="00745FEA" w:rsidRPr="00E12977" w:rsidRDefault="00745FEA" w:rsidP="00745FEA">
                  <w:pPr>
                    <w:pStyle w:val="TableBodyText"/>
                    <w:ind w:right="57"/>
                  </w:pPr>
                  <w:r w:rsidRPr="00FC4413">
                    <w:t>1.9</w:t>
                  </w:r>
                </w:p>
              </w:tc>
            </w:tr>
            <w:tr w:rsidR="00745FEA" w:rsidTr="00745FEA">
              <w:tc>
                <w:tcPr>
                  <w:tcW w:w="2200" w:type="pct"/>
                  <w:shd w:val="clear" w:color="auto" w:fill="auto"/>
                </w:tcPr>
                <w:p w:rsidR="00745FEA" w:rsidRPr="00E12977" w:rsidRDefault="00745FEA" w:rsidP="00745FEA">
                  <w:pPr>
                    <w:pStyle w:val="TableBodyText"/>
                    <w:spacing w:after="0"/>
                    <w:ind w:left="227" w:right="0"/>
                    <w:jc w:val="left"/>
                  </w:pPr>
                  <w:r w:rsidRPr="00E12977">
                    <w:t>TRADEX</w:t>
                  </w:r>
                </w:p>
              </w:tc>
              <w:tc>
                <w:tcPr>
                  <w:tcW w:w="467" w:type="pct"/>
                  <w:vAlign w:val="bottom"/>
                </w:tcPr>
                <w:p w:rsidR="00745FEA" w:rsidRPr="00E12977" w:rsidRDefault="00745FEA" w:rsidP="00745FEA">
                  <w:pPr>
                    <w:pStyle w:val="TableBodyText"/>
                    <w:ind w:right="57"/>
                  </w:pPr>
                  <w:r w:rsidRPr="00FC4413">
                    <w:t>0.3</w:t>
                  </w:r>
                </w:p>
              </w:tc>
              <w:tc>
                <w:tcPr>
                  <w:tcW w:w="467" w:type="pct"/>
                  <w:vAlign w:val="bottom"/>
                </w:tcPr>
                <w:p w:rsidR="00745FEA" w:rsidRPr="00E12977" w:rsidRDefault="00745FEA" w:rsidP="00745FEA">
                  <w:pPr>
                    <w:pStyle w:val="TableBodyText"/>
                    <w:ind w:right="57"/>
                  </w:pPr>
                  <w:r w:rsidRPr="00FC4413">
                    <w:t>0.3</w:t>
                  </w:r>
                </w:p>
              </w:tc>
              <w:tc>
                <w:tcPr>
                  <w:tcW w:w="467" w:type="pct"/>
                  <w:vAlign w:val="bottom"/>
                </w:tcPr>
                <w:p w:rsidR="00745FEA" w:rsidRPr="00E12977" w:rsidRDefault="00745FEA" w:rsidP="00745FEA">
                  <w:pPr>
                    <w:pStyle w:val="TableBodyText"/>
                    <w:ind w:right="57"/>
                  </w:pPr>
                  <w:r w:rsidRPr="00FC4413">
                    <w:t>0.3</w:t>
                  </w:r>
                </w:p>
              </w:tc>
              <w:tc>
                <w:tcPr>
                  <w:tcW w:w="467" w:type="pct"/>
                  <w:vAlign w:val="bottom"/>
                </w:tcPr>
                <w:p w:rsidR="00745FEA" w:rsidRPr="00E12977" w:rsidRDefault="00745FEA" w:rsidP="00745FEA">
                  <w:pPr>
                    <w:pStyle w:val="TableBodyText"/>
                    <w:ind w:right="57"/>
                  </w:pPr>
                  <w:r w:rsidRPr="00FC4413">
                    <w:t>0.3</w:t>
                  </w:r>
                </w:p>
              </w:tc>
              <w:tc>
                <w:tcPr>
                  <w:tcW w:w="467" w:type="pct"/>
                  <w:shd w:val="clear" w:color="auto" w:fill="auto"/>
                  <w:vAlign w:val="bottom"/>
                </w:tcPr>
                <w:p w:rsidR="00745FEA" w:rsidRPr="00E12977" w:rsidRDefault="00745FEA" w:rsidP="00745FEA">
                  <w:pPr>
                    <w:pStyle w:val="TableBodyText"/>
                    <w:ind w:right="57"/>
                  </w:pPr>
                  <w:r w:rsidRPr="00FC4413">
                    <w:t>0.4</w:t>
                  </w:r>
                </w:p>
              </w:tc>
              <w:tc>
                <w:tcPr>
                  <w:tcW w:w="465" w:type="pct"/>
                  <w:shd w:val="clear" w:color="auto" w:fill="auto"/>
                  <w:vAlign w:val="bottom"/>
                </w:tcPr>
                <w:p w:rsidR="00745FEA" w:rsidRDefault="00745FEA" w:rsidP="00745FEA">
                  <w:pPr>
                    <w:pStyle w:val="TableBodyText"/>
                    <w:ind w:right="57"/>
                  </w:pPr>
                  <w:r w:rsidRPr="00FC4413">
                    <w:t>0.3</w:t>
                  </w:r>
                </w:p>
              </w:tc>
            </w:tr>
            <w:tr w:rsidR="00745FEA" w:rsidTr="00745FEA">
              <w:tc>
                <w:tcPr>
                  <w:tcW w:w="2200" w:type="pct"/>
                  <w:shd w:val="clear" w:color="auto" w:fill="auto"/>
                </w:tcPr>
                <w:p w:rsidR="00745FEA" w:rsidRPr="00FB51A7" w:rsidRDefault="00745FEA" w:rsidP="00745FEA">
                  <w:pPr>
                    <w:pStyle w:val="TableBodyText"/>
                    <w:spacing w:before="40" w:after="0"/>
                    <w:ind w:left="113"/>
                    <w:jc w:val="left"/>
                    <w:rPr>
                      <w:i/>
                    </w:rPr>
                  </w:pPr>
                  <w:r w:rsidRPr="00FB51A7">
                    <w:rPr>
                      <w:i/>
                    </w:rPr>
                    <w:t>General investment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AC215C" w:rsidRDefault="00745FEA" w:rsidP="00745FEA">
                  <w:pPr>
                    <w:pStyle w:val="TableBodyText"/>
                    <w:spacing w:after="0"/>
                    <w:ind w:left="227" w:right="0"/>
                    <w:jc w:val="left"/>
                  </w:pPr>
                  <w:r w:rsidRPr="00AC215C">
                    <w:t>Infrastructure bonds scheme</w:t>
                  </w:r>
                </w:p>
              </w:tc>
              <w:tc>
                <w:tcPr>
                  <w:tcW w:w="467" w:type="pct"/>
                  <w:vAlign w:val="bottom"/>
                </w:tcPr>
                <w:p w:rsidR="00745FEA" w:rsidRPr="00AC215C" w:rsidRDefault="00745FEA" w:rsidP="00745FEA">
                  <w:pPr>
                    <w:pStyle w:val="TableBodyText"/>
                    <w:ind w:right="57"/>
                  </w:pPr>
                  <w:r w:rsidRPr="003A48B6">
                    <w:t>0.2</w:t>
                  </w:r>
                </w:p>
              </w:tc>
              <w:tc>
                <w:tcPr>
                  <w:tcW w:w="467" w:type="pct"/>
                  <w:vAlign w:val="bottom"/>
                </w:tcPr>
                <w:p w:rsidR="00745FEA" w:rsidRPr="00AC215C" w:rsidRDefault="00745FEA" w:rsidP="00745FEA">
                  <w:pPr>
                    <w:pStyle w:val="TableBodyText"/>
                    <w:ind w:right="57"/>
                  </w:pPr>
                  <w:r w:rsidRPr="003A48B6">
                    <w:t>–</w:t>
                  </w:r>
                </w:p>
              </w:tc>
              <w:tc>
                <w:tcPr>
                  <w:tcW w:w="467" w:type="pct"/>
                  <w:vAlign w:val="bottom"/>
                </w:tcPr>
                <w:p w:rsidR="00745FEA" w:rsidRPr="00AC215C" w:rsidRDefault="00745FEA" w:rsidP="00745FEA">
                  <w:pPr>
                    <w:pStyle w:val="TableBodyText"/>
                    <w:ind w:right="57"/>
                  </w:pPr>
                  <w:r w:rsidRPr="003A48B6">
                    <w:t>–</w:t>
                  </w:r>
                </w:p>
              </w:tc>
              <w:tc>
                <w:tcPr>
                  <w:tcW w:w="467" w:type="pct"/>
                  <w:vAlign w:val="bottom"/>
                </w:tcPr>
                <w:p w:rsidR="00745FEA" w:rsidRPr="00AC215C" w:rsidRDefault="00745FEA" w:rsidP="00745FEA">
                  <w:pPr>
                    <w:pStyle w:val="TableBodyText"/>
                    <w:ind w:right="57"/>
                  </w:pPr>
                  <w:r w:rsidRPr="003A48B6">
                    <w:t>–</w:t>
                  </w:r>
                </w:p>
              </w:tc>
              <w:tc>
                <w:tcPr>
                  <w:tcW w:w="467" w:type="pct"/>
                  <w:shd w:val="clear" w:color="auto" w:fill="auto"/>
                  <w:vAlign w:val="bottom"/>
                </w:tcPr>
                <w:p w:rsidR="00745FEA" w:rsidRPr="00AC215C" w:rsidRDefault="00745FEA" w:rsidP="00745FEA">
                  <w:pPr>
                    <w:pStyle w:val="TableBodyText"/>
                    <w:ind w:right="57"/>
                  </w:pPr>
                  <w:r w:rsidRPr="003A48B6">
                    <w:t>–</w:t>
                  </w:r>
                </w:p>
              </w:tc>
              <w:tc>
                <w:tcPr>
                  <w:tcW w:w="465" w:type="pct"/>
                  <w:shd w:val="clear" w:color="auto" w:fill="auto"/>
                  <w:vAlign w:val="bottom"/>
                </w:tcPr>
                <w:p w:rsidR="00745FEA" w:rsidRDefault="00745FEA" w:rsidP="00745FEA">
                  <w:pPr>
                    <w:pStyle w:val="TableBodyText"/>
                    <w:ind w:right="57"/>
                  </w:pPr>
                  <w:r w:rsidRPr="003A48B6">
                    <w:t>–</w:t>
                  </w:r>
                </w:p>
              </w:tc>
            </w:tr>
            <w:tr w:rsidR="00745FEA" w:rsidTr="00745FEA">
              <w:tc>
                <w:tcPr>
                  <w:tcW w:w="2200" w:type="pct"/>
                  <w:shd w:val="clear" w:color="auto" w:fill="auto"/>
                </w:tcPr>
                <w:p w:rsidR="00745FEA" w:rsidRPr="00FB51A7" w:rsidRDefault="00745FEA" w:rsidP="00745FEA">
                  <w:pPr>
                    <w:pStyle w:val="TableBodyText"/>
                    <w:spacing w:before="40" w:after="0"/>
                    <w:ind w:left="227" w:right="0"/>
                    <w:jc w:val="left"/>
                    <w:rPr>
                      <w:i/>
                    </w:rPr>
                  </w:pPr>
                  <w:r w:rsidRPr="00FB51A7">
                    <w:rPr>
                      <w:i/>
                    </w:rPr>
                    <w:t>General R&amp;D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Commercialisation Australia</w:t>
                  </w:r>
                </w:p>
              </w:tc>
              <w:tc>
                <w:tcPr>
                  <w:tcW w:w="467" w:type="pct"/>
                  <w:vAlign w:val="bottom"/>
                </w:tcPr>
                <w:p w:rsidR="00745FEA" w:rsidRPr="00240FFA" w:rsidRDefault="00745FEA" w:rsidP="00745FEA">
                  <w:pPr>
                    <w:pStyle w:val="TableBodyText"/>
                    <w:ind w:right="57"/>
                  </w:pPr>
                  <w:r w:rsidRPr="00E3763A">
                    <w:t>0.7</w:t>
                  </w:r>
                </w:p>
              </w:tc>
              <w:tc>
                <w:tcPr>
                  <w:tcW w:w="467" w:type="pct"/>
                  <w:vAlign w:val="bottom"/>
                </w:tcPr>
                <w:p w:rsidR="00745FEA" w:rsidRPr="00240FFA" w:rsidRDefault="00745FEA" w:rsidP="00745FEA">
                  <w:pPr>
                    <w:pStyle w:val="TableBodyText"/>
                    <w:ind w:right="57"/>
                  </w:pPr>
                  <w:r w:rsidRPr="00E3763A">
                    <w:t>0.6</w:t>
                  </w:r>
                </w:p>
              </w:tc>
              <w:tc>
                <w:tcPr>
                  <w:tcW w:w="467" w:type="pct"/>
                  <w:vAlign w:val="bottom"/>
                </w:tcPr>
                <w:p w:rsidR="00745FEA" w:rsidRPr="00240FFA" w:rsidRDefault="00745FEA" w:rsidP="00745FEA">
                  <w:pPr>
                    <w:pStyle w:val="TableBodyText"/>
                    <w:ind w:right="57"/>
                  </w:pPr>
                  <w:r w:rsidRPr="00E3763A">
                    <w:t>&lt;0.1</w:t>
                  </w:r>
                </w:p>
              </w:tc>
              <w:tc>
                <w:tcPr>
                  <w:tcW w:w="467" w:type="pct"/>
                  <w:vAlign w:val="bottom"/>
                </w:tcPr>
                <w:p w:rsidR="00745FEA" w:rsidRPr="00240FFA" w:rsidRDefault="00745FEA" w:rsidP="00745FEA">
                  <w:pPr>
                    <w:pStyle w:val="TableBodyText"/>
                    <w:ind w:right="57"/>
                  </w:pPr>
                  <w:r w:rsidRPr="00E3763A">
                    <w:t>&lt;0.1</w:t>
                  </w:r>
                </w:p>
              </w:tc>
              <w:tc>
                <w:tcPr>
                  <w:tcW w:w="467" w:type="pct"/>
                  <w:shd w:val="clear" w:color="auto" w:fill="auto"/>
                  <w:vAlign w:val="bottom"/>
                </w:tcPr>
                <w:p w:rsidR="00745FEA" w:rsidRPr="00240FFA" w:rsidRDefault="00745FEA" w:rsidP="00745FEA">
                  <w:pPr>
                    <w:pStyle w:val="TableBodyText"/>
                    <w:ind w:right="57"/>
                  </w:pPr>
                  <w:r w:rsidRPr="00E3763A">
                    <w:t>–</w:t>
                  </w:r>
                </w:p>
              </w:tc>
              <w:tc>
                <w:tcPr>
                  <w:tcW w:w="465" w:type="pct"/>
                  <w:shd w:val="clear" w:color="auto" w:fill="auto"/>
                  <w:vAlign w:val="bottom"/>
                </w:tcPr>
                <w:p w:rsidR="00745FEA" w:rsidRPr="00240FFA" w:rsidRDefault="00745FEA" w:rsidP="00745FEA">
                  <w:pPr>
                    <w:pStyle w:val="TableBodyText"/>
                    <w:ind w:right="57"/>
                  </w:pPr>
                  <w:r w:rsidRPr="00E3763A">
                    <w:t>–</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COMET Program</w:t>
                  </w:r>
                </w:p>
              </w:tc>
              <w:tc>
                <w:tcPr>
                  <w:tcW w:w="467" w:type="pct"/>
                  <w:vAlign w:val="bottom"/>
                </w:tcPr>
                <w:p w:rsidR="00745FEA" w:rsidRPr="00240FFA" w:rsidRDefault="00745FEA" w:rsidP="00745FEA">
                  <w:pPr>
                    <w:pStyle w:val="TableBodyText"/>
                    <w:ind w:right="57"/>
                  </w:pPr>
                  <w:r w:rsidRPr="00E3763A">
                    <w:t>&lt;0.1</w:t>
                  </w:r>
                </w:p>
              </w:tc>
              <w:tc>
                <w:tcPr>
                  <w:tcW w:w="467" w:type="pct"/>
                  <w:vAlign w:val="bottom"/>
                </w:tcPr>
                <w:p w:rsidR="00745FEA" w:rsidRPr="00240FFA" w:rsidRDefault="00745FEA" w:rsidP="00745FEA">
                  <w:pPr>
                    <w:pStyle w:val="TableBodyText"/>
                    <w:ind w:right="57"/>
                  </w:pPr>
                  <w:r w:rsidRPr="00E3763A">
                    <w:t>–</w:t>
                  </w:r>
                </w:p>
              </w:tc>
              <w:tc>
                <w:tcPr>
                  <w:tcW w:w="467" w:type="pct"/>
                  <w:vAlign w:val="bottom"/>
                </w:tcPr>
                <w:p w:rsidR="00745FEA" w:rsidRPr="00240FFA" w:rsidRDefault="00745FEA" w:rsidP="00745FEA">
                  <w:pPr>
                    <w:pStyle w:val="TableBodyText"/>
                    <w:ind w:right="57"/>
                  </w:pPr>
                  <w:r w:rsidRPr="00E3763A">
                    <w:t>–</w:t>
                  </w:r>
                </w:p>
              </w:tc>
              <w:tc>
                <w:tcPr>
                  <w:tcW w:w="467" w:type="pct"/>
                  <w:vAlign w:val="bottom"/>
                </w:tcPr>
                <w:p w:rsidR="00745FEA" w:rsidRPr="00240FFA" w:rsidRDefault="00745FEA" w:rsidP="00745FEA">
                  <w:pPr>
                    <w:pStyle w:val="TableBodyText"/>
                    <w:ind w:right="57"/>
                  </w:pPr>
                  <w:r w:rsidRPr="00E3763A">
                    <w:t>–</w:t>
                  </w:r>
                </w:p>
              </w:tc>
              <w:tc>
                <w:tcPr>
                  <w:tcW w:w="467" w:type="pct"/>
                  <w:shd w:val="clear" w:color="auto" w:fill="auto"/>
                  <w:vAlign w:val="bottom"/>
                </w:tcPr>
                <w:p w:rsidR="00745FEA" w:rsidRPr="00240FFA" w:rsidRDefault="00745FEA" w:rsidP="00745FEA">
                  <w:pPr>
                    <w:pStyle w:val="TableBodyText"/>
                    <w:ind w:right="57"/>
                  </w:pPr>
                  <w:r w:rsidRPr="00E3763A">
                    <w:t>–</w:t>
                  </w:r>
                </w:p>
              </w:tc>
              <w:tc>
                <w:tcPr>
                  <w:tcW w:w="465" w:type="pct"/>
                  <w:shd w:val="clear" w:color="auto" w:fill="auto"/>
                  <w:vAlign w:val="bottom"/>
                </w:tcPr>
                <w:p w:rsidR="00745FEA" w:rsidRPr="00240FFA" w:rsidRDefault="00745FEA" w:rsidP="00745FEA">
                  <w:pPr>
                    <w:pStyle w:val="TableBodyText"/>
                    <w:ind w:right="57"/>
                  </w:pPr>
                  <w:r w:rsidRPr="00E3763A">
                    <w:t>–</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CSIRO</w:t>
                  </w:r>
                </w:p>
              </w:tc>
              <w:tc>
                <w:tcPr>
                  <w:tcW w:w="467" w:type="pct"/>
                  <w:vAlign w:val="bottom"/>
                </w:tcPr>
                <w:p w:rsidR="00745FEA" w:rsidRPr="00240FFA" w:rsidRDefault="00745FEA" w:rsidP="00745FEA">
                  <w:pPr>
                    <w:pStyle w:val="TableBodyText"/>
                    <w:ind w:right="57"/>
                  </w:pPr>
                  <w:r w:rsidRPr="00E3763A">
                    <w:t>5.3</w:t>
                  </w:r>
                </w:p>
              </w:tc>
              <w:tc>
                <w:tcPr>
                  <w:tcW w:w="467" w:type="pct"/>
                  <w:vAlign w:val="bottom"/>
                </w:tcPr>
                <w:p w:rsidR="00745FEA" w:rsidRPr="00240FFA" w:rsidRDefault="00745FEA" w:rsidP="00745FEA">
                  <w:pPr>
                    <w:pStyle w:val="TableBodyText"/>
                    <w:ind w:right="57"/>
                  </w:pPr>
                  <w:r w:rsidRPr="00E3763A">
                    <w:t>1.4</w:t>
                  </w:r>
                </w:p>
              </w:tc>
              <w:tc>
                <w:tcPr>
                  <w:tcW w:w="467" w:type="pct"/>
                  <w:vAlign w:val="bottom"/>
                </w:tcPr>
                <w:p w:rsidR="00745FEA" w:rsidRPr="00240FFA" w:rsidRDefault="00745FEA" w:rsidP="00745FEA">
                  <w:pPr>
                    <w:pStyle w:val="TableBodyText"/>
                    <w:ind w:right="57"/>
                  </w:pPr>
                  <w:r w:rsidRPr="00E3763A">
                    <w:t>3.5</w:t>
                  </w:r>
                </w:p>
              </w:tc>
              <w:tc>
                <w:tcPr>
                  <w:tcW w:w="467" w:type="pct"/>
                  <w:vAlign w:val="bottom"/>
                </w:tcPr>
                <w:p w:rsidR="00745FEA" w:rsidRPr="00240FFA" w:rsidRDefault="00745FEA" w:rsidP="00745FEA">
                  <w:pPr>
                    <w:pStyle w:val="TableBodyText"/>
                    <w:ind w:right="57"/>
                  </w:pPr>
                  <w:r w:rsidRPr="00E3763A">
                    <w:t>4.8</w:t>
                  </w:r>
                </w:p>
              </w:tc>
              <w:tc>
                <w:tcPr>
                  <w:tcW w:w="467" w:type="pct"/>
                  <w:shd w:val="clear" w:color="auto" w:fill="auto"/>
                  <w:vAlign w:val="bottom"/>
                </w:tcPr>
                <w:p w:rsidR="00745FEA" w:rsidRPr="00240FFA" w:rsidRDefault="00745FEA" w:rsidP="00745FEA">
                  <w:pPr>
                    <w:pStyle w:val="TableBodyText"/>
                    <w:ind w:right="57"/>
                  </w:pPr>
                  <w:r w:rsidRPr="00E3763A">
                    <w:t>4.7</w:t>
                  </w:r>
                </w:p>
              </w:tc>
              <w:tc>
                <w:tcPr>
                  <w:tcW w:w="465" w:type="pct"/>
                  <w:shd w:val="clear" w:color="auto" w:fill="auto"/>
                  <w:vAlign w:val="bottom"/>
                </w:tcPr>
                <w:p w:rsidR="00745FEA" w:rsidRPr="00240FFA" w:rsidRDefault="00745FEA" w:rsidP="00745FEA">
                  <w:pPr>
                    <w:pStyle w:val="TableBodyText"/>
                    <w:ind w:right="57"/>
                  </w:pPr>
                  <w:r w:rsidRPr="00E3763A">
                    <w:t>12.6</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R&amp;D Tax Incentive - refundable tax offset</w:t>
                  </w:r>
                </w:p>
              </w:tc>
              <w:tc>
                <w:tcPr>
                  <w:tcW w:w="467" w:type="pct"/>
                  <w:vAlign w:val="bottom"/>
                </w:tcPr>
                <w:p w:rsidR="00745FEA" w:rsidRPr="00240FFA" w:rsidRDefault="00745FEA" w:rsidP="00745FEA">
                  <w:pPr>
                    <w:pStyle w:val="TableBodyText"/>
                    <w:ind w:right="57"/>
                  </w:pPr>
                  <w:r w:rsidRPr="00E3763A">
                    <w:t>–</w:t>
                  </w:r>
                </w:p>
              </w:tc>
              <w:tc>
                <w:tcPr>
                  <w:tcW w:w="467" w:type="pct"/>
                  <w:vAlign w:val="bottom"/>
                </w:tcPr>
                <w:p w:rsidR="00745FEA" w:rsidRPr="00240FFA" w:rsidRDefault="00745FEA" w:rsidP="00745FEA">
                  <w:pPr>
                    <w:pStyle w:val="TableBodyText"/>
                    <w:ind w:right="57"/>
                  </w:pPr>
                  <w:r w:rsidRPr="00E3763A">
                    <w:t>9.2</w:t>
                  </w:r>
                </w:p>
              </w:tc>
              <w:tc>
                <w:tcPr>
                  <w:tcW w:w="467" w:type="pct"/>
                  <w:vAlign w:val="bottom"/>
                </w:tcPr>
                <w:p w:rsidR="00745FEA" w:rsidRPr="00240FFA" w:rsidRDefault="00745FEA" w:rsidP="00745FEA">
                  <w:pPr>
                    <w:pStyle w:val="TableBodyText"/>
                    <w:ind w:right="57"/>
                  </w:pPr>
                  <w:r w:rsidRPr="00E3763A">
                    <w:t>8.9</w:t>
                  </w:r>
                </w:p>
              </w:tc>
              <w:tc>
                <w:tcPr>
                  <w:tcW w:w="467" w:type="pct"/>
                  <w:vAlign w:val="bottom"/>
                </w:tcPr>
                <w:p w:rsidR="00745FEA" w:rsidRPr="00240FFA" w:rsidRDefault="00745FEA" w:rsidP="00745FEA">
                  <w:pPr>
                    <w:pStyle w:val="TableBodyText"/>
                    <w:ind w:right="57"/>
                  </w:pPr>
                  <w:r w:rsidRPr="00E3763A">
                    <w:t>12.0</w:t>
                  </w:r>
                </w:p>
              </w:tc>
              <w:tc>
                <w:tcPr>
                  <w:tcW w:w="467" w:type="pct"/>
                  <w:shd w:val="clear" w:color="auto" w:fill="auto"/>
                  <w:vAlign w:val="bottom"/>
                </w:tcPr>
                <w:p w:rsidR="00745FEA" w:rsidRPr="00240FFA" w:rsidRDefault="00745FEA" w:rsidP="00745FEA">
                  <w:pPr>
                    <w:pStyle w:val="TableBodyText"/>
                    <w:ind w:right="57"/>
                  </w:pPr>
                  <w:r w:rsidRPr="00E3763A">
                    <w:t>12.7</w:t>
                  </w:r>
                </w:p>
              </w:tc>
              <w:tc>
                <w:tcPr>
                  <w:tcW w:w="465" w:type="pct"/>
                  <w:shd w:val="clear" w:color="auto" w:fill="auto"/>
                  <w:vAlign w:val="bottom"/>
                </w:tcPr>
                <w:p w:rsidR="00745FEA" w:rsidRPr="00240FFA" w:rsidRDefault="00745FEA" w:rsidP="00745FEA">
                  <w:pPr>
                    <w:pStyle w:val="TableBodyText"/>
                    <w:ind w:right="57"/>
                  </w:pPr>
                  <w:r w:rsidRPr="00E3763A">
                    <w:t>15.4</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R&amp;D tax offsets - Refundable</w:t>
                  </w:r>
                </w:p>
              </w:tc>
              <w:tc>
                <w:tcPr>
                  <w:tcW w:w="467" w:type="pct"/>
                  <w:vAlign w:val="bottom"/>
                </w:tcPr>
                <w:p w:rsidR="00745FEA" w:rsidRPr="00240FFA" w:rsidRDefault="00745FEA" w:rsidP="00745FEA">
                  <w:pPr>
                    <w:pStyle w:val="TableBodyText"/>
                    <w:ind w:right="57"/>
                  </w:pPr>
                  <w:r w:rsidRPr="00E3763A">
                    <w:t>3.9</w:t>
                  </w:r>
                </w:p>
              </w:tc>
              <w:tc>
                <w:tcPr>
                  <w:tcW w:w="467" w:type="pct"/>
                  <w:vAlign w:val="bottom"/>
                </w:tcPr>
                <w:p w:rsidR="00745FEA" w:rsidRPr="00240FFA" w:rsidRDefault="00745FEA" w:rsidP="00745FEA">
                  <w:pPr>
                    <w:pStyle w:val="TableBodyText"/>
                    <w:ind w:right="57"/>
                  </w:pPr>
                  <w:r w:rsidRPr="00E3763A">
                    <w:t>–</w:t>
                  </w:r>
                </w:p>
              </w:tc>
              <w:tc>
                <w:tcPr>
                  <w:tcW w:w="467" w:type="pct"/>
                  <w:vAlign w:val="bottom"/>
                </w:tcPr>
                <w:p w:rsidR="00745FEA" w:rsidRPr="00240FFA" w:rsidRDefault="00745FEA" w:rsidP="00745FEA">
                  <w:pPr>
                    <w:pStyle w:val="TableBodyText"/>
                    <w:ind w:right="57"/>
                  </w:pPr>
                  <w:r w:rsidRPr="00E3763A">
                    <w:t>–</w:t>
                  </w:r>
                </w:p>
              </w:tc>
              <w:tc>
                <w:tcPr>
                  <w:tcW w:w="467" w:type="pct"/>
                  <w:vAlign w:val="bottom"/>
                </w:tcPr>
                <w:p w:rsidR="00745FEA" w:rsidRPr="00240FFA" w:rsidRDefault="00745FEA" w:rsidP="00745FEA">
                  <w:pPr>
                    <w:pStyle w:val="TableBodyText"/>
                    <w:ind w:right="57"/>
                  </w:pPr>
                  <w:r w:rsidRPr="00E3763A">
                    <w:t>–</w:t>
                  </w:r>
                </w:p>
              </w:tc>
              <w:tc>
                <w:tcPr>
                  <w:tcW w:w="467" w:type="pct"/>
                  <w:shd w:val="clear" w:color="auto" w:fill="auto"/>
                  <w:vAlign w:val="bottom"/>
                </w:tcPr>
                <w:p w:rsidR="00745FEA" w:rsidRPr="00240FFA" w:rsidRDefault="00745FEA" w:rsidP="00745FEA">
                  <w:pPr>
                    <w:pStyle w:val="TableBodyText"/>
                    <w:ind w:right="57"/>
                  </w:pPr>
                  <w:r w:rsidRPr="00E3763A">
                    <w:t>–</w:t>
                  </w:r>
                </w:p>
              </w:tc>
              <w:tc>
                <w:tcPr>
                  <w:tcW w:w="465" w:type="pct"/>
                  <w:shd w:val="clear" w:color="auto" w:fill="auto"/>
                  <w:vAlign w:val="bottom"/>
                </w:tcPr>
                <w:p w:rsidR="00745FEA" w:rsidRPr="00240FFA" w:rsidRDefault="00745FEA" w:rsidP="00745FEA">
                  <w:pPr>
                    <w:pStyle w:val="TableBodyText"/>
                    <w:ind w:right="57"/>
                  </w:pPr>
                  <w:r w:rsidRPr="00E3763A">
                    <w:t>–</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Premium R&amp;D tax concession</w:t>
                  </w:r>
                </w:p>
              </w:tc>
              <w:tc>
                <w:tcPr>
                  <w:tcW w:w="467" w:type="pct"/>
                  <w:vAlign w:val="bottom"/>
                </w:tcPr>
                <w:p w:rsidR="00745FEA" w:rsidRPr="00240FFA" w:rsidRDefault="00745FEA" w:rsidP="00745FEA">
                  <w:pPr>
                    <w:pStyle w:val="TableBodyText"/>
                    <w:ind w:right="57"/>
                  </w:pPr>
                  <w:r w:rsidRPr="00E3763A">
                    <w:t>14.0</w:t>
                  </w:r>
                </w:p>
              </w:tc>
              <w:tc>
                <w:tcPr>
                  <w:tcW w:w="467" w:type="pct"/>
                  <w:vAlign w:val="bottom"/>
                </w:tcPr>
                <w:p w:rsidR="00745FEA" w:rsidRPr="00240FFA" w:rsidRDefault="00745FEA" w:rsidP="00745FEA">
                  <w:pPr>
                    <w:pStyle w:val="TableBodyText"/>
                    <w:ind w:right="57"/>
                  </w:pPr>
                  <w:r w:rsidRPr="00E3763A">
                    <w:t>3.8</w:t>
                  </w:r>
                </w:p>
              </w:tc>
              <w:tc>
                <w:tcPr>
                  <w:tcW w:w="467" w:type="pct"/>
                  <w:vAlign w:val="bottom"/>
                </w:tcPr>
                <w:p w:rsidR="00745FEA" w:rsidRPr="00240FFA" w:rsidRDefault="00745FEA" w:rsidP="00745FEA">
                  <w:pPr>
                    <w:pStyle w:val="TableBodyText"/>
                    <w:ind w:right="57"/>
                  </w:pPr>
                  <w:r w:rsidRPr="00E3763A">
                    <w:t>1.6</w:t>
                  </w:r>
                </w:p>
              </w:tc>
              <w:tc>
                <w:tcPr>
                  <w:tcW w:w="467" w:type="pct"/>
                  <w:vAlign w:val="bottom"/>
                </w:tcPr>
                <w:p w:rsidR="00745FEA" w:rsidRPr="00240FFA" w:rsidRDefault="00745FEA" w:rsidP="00745FEA">
                  <w:pPr>
                    <w:pStyle w:val="TableBodyText"/>
                    <w:ind w:right="57"/>
                  </w:pPr>
                  <w:r w:rsidRPr="00E3763A">
                    <w:t>–</w:t>
                  </w:r>
                </w:p>
              </w:tc>
              <w:tc>
                <w:tcPr>
                  <w:tcW w:w="467" w:type="pct"/>
                  <w:shd w:val="clear" w:color="auto" w:fill="auto"/>
                  <w:vAlign w:val="bottom"/>
                </w:tcPr>
                <w:p w:rsidR="00745FEA" w:rsidRPr="00240FFA" w:rsidRDefault="00745FEA" w:rsidP="00745FEA">
                  <w:pPr>
                    <w:pStyle w:val="TableBodyText"/>
                    <w:ind w:right="57"/>
                  </w:pPr>
                  <w:r w:rsidRPr="00E3763A">
                    <w:t>–</w:t>
                  </w:r>
                </w:p>
              </w:tc>
              <w:tc>
                <w:tcPr>
                  <w:tcW w:w="465" w:type="pct"/>
                  <w:shd w:val="clear" w:color="auto" w:fill="auto"/>
                  <w:vAlign w:val="bottom"/>
                </w:tcPr>
                <w:p w:rsidR="00745FEA" w:rsidRPr="00240FFA" w:rsidRDefault="00745FEA" w:rsidP="00745FEA">
                  <w:pPr>
                    <w:pStyle w:val="TableBodyText"/>
                    <w:ind w:right="57"/>
                  </w:pPr>
                  <w:r w:rsidRPr="00E3763A">
                    <w:t>–</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R&amp;D tax concession</w:t>
                  </w:r>
                </w:p>
              </w:tc>
              <w:tc>
                <w:tcPr>
                  <w:tcW w:w="467" w:type="pct"/>
                  <w:vAlign w:val="bottom"/>
                </w:tcPr>
                <w:p w:rsidR="00745FEA" w:rsidRPr="00240FFA" w:rsidRDefault="00745FEA" w:rsidP="00745FEA">
                  <w:pPr>
                    <w:pStyle w:val="TableBodyText"/>
                    <w:ind w:right="57"/>
                  </w:pPr>
                  <w:r w:rsidRPr="00E3763A">
                    <w:t>22.8</w:t>
                  </w:r>
                </w:p>
              </w:tc>
              <w:tc>
                <w:tcPr>
                  <w:tcW w:w="467" w:type="pct"/>
                  <w:vAlign w:val="bottom"/>
                </w:tcPr>
                <w:p w:rsidR="00745FEA" w:rsidRPr="00240FFA" w:rsidRDefault="00745FEA" w:rsidP="00745FEA">
                  <w:pPr>
                    <w:pStyle w:val="TableBodyText"/>
                    <w:ind w:right="57"/>
                  </w:pPr>
                  <w:r w:rsidRPr="00E3763A">
                    <w:t>10.2</w:t>
                  </w:r>
                </w:p>
              </w:tc>
              <w:tc>
                <w:tcPr>
                  <w:tcW w:w="467" w:type="pct"/>
                  <w:vAlign w:val="bottom"/>
                </w:tcPr>
                <w:p w:rsidR="00745FEA" w:rsidRPr="00240FFA" w:rsidRDefault="00745FEA" w:rsidP="00745FEA">
                  <w:pPr>
                    <w:pStyle w:val="TableBodyText"/>
                    <w:ind w:right="57"/>
                  </w:pPr>
                  <w:r w:rsidRPr="00E3763A">
                    <w:t>3.5</w:t>
                  </w:r>
                </w:p>
              </w:tc>
              <w:tc>
                <w:tcPr>
                  <w:tcW w:w="467" w:type="pct"/>
                  <w:vAlign w:val="bottom"/>
                </w:tcPr>
                <w:p w:rsidR="00745FEA" w:rsidRPr="00240FFA" w:rsidRDefault="00745FEA" w:rsidP="00745FEA">
                  <w:pPr>
                    <w:pStyle w:val="TableBodyText"/>
                    <w:ind w:right="57"/>
                  </w:pPr>
                  <w:r w:rsidRPr="00E3763A">
                    <w:t>0.6</w:t>
                  </w:r>
                </w:p>
              </w:tc>
              <w:tc>
                <w:tcPr>
                  <w:tcW w:w="467" w:type="pct"/>
                  <w:shd w:val="clear" w:color="auto" w:fill="auto"/>
                  <w:vAlign w:val="bottom"/>
                </w:tcPr>
                <w:p w:rsidR="00745FEA" w:rsidRPr="00240FFA" w:rsidRDefault="00745FEA" w:rsidP="00745FEA">
                  <w:pPr>
                    <w:pStyle w:val="TableBodyText"/>
                    <w:ind w:right="57"/>
                  </w:pPr>
                  <w:r w:rsidRPr="00E3763A">
                    <w:t>–</w:t>
                  </w:r>
                </w:p>
              </w:tc>
              <w:tc>
                <w:tcPr>
                  <w:tcW w:w="465" w:type="pct"/>
                  <w:shd w:val="clear" w:color="auto" w:fill="auto"/>
                  <w:vAlign w:val="bottom"/>
                </w:tcPr>
                <w:p w:rsidR="00745FEA" w:rsidRPr="00240FFA" w:rsidRDefault="00745FEA" w:rsidP="00745FEA">
                  <w:pPr>
                    <w:pStyle w:val="TableBodyText"/>
                    <w:ind w:right="57"/>
                  </w:pPr>
                  <w:r w:rsidRPr="00E3763A">
                    <w:t>–</w:t>
                  </w:r>
                </w:p>
              </w:tc>
            </w:tr>
            <w:tr w:rsidR="00745FEA" w:rsidTr="00745FEA">
              <w:tc>
                <w:tcPr>
                  <w:tcW w:w="2200" w:type="pct"/>
                  <w:shd w:val="clear" w:color="auto" w:fill="auto"/>
                </w:tcPr>
                <w:p w:rsidR="00745FEA" w:rsidRPr="00240FFA" w:rsidRDefault="00745FEA" w:rsidP="00745FEA">
                  <w:pPr>
                    <w:pStyle w:val="TableBodyText"/>
                    <w:spacing w:after="0"/>
                    <w:ind w:left="227" w:right="0"/>
                    <w:jc w:val="left"/>
                  </w:pPr>
                  <w:r w:rsidRPr="00240FFA">
                    <w:t>R&amp;D Tax Incentive - non-refundable tax offset</w:t>
                  </w:r>
                </w:p>
              </w:tc>
              <w:tc>
                <w:tcPr>
                  <w:tcW w:w="467" w:type="pct"/>
                  <w:vAlign w:val="bottom"/>
                </w:tcPr>
                <w:p w:rsidR="00745FEA" w:rsidRPr="00240FFA" w:rsidRDefault="00745FEA" w:rsidP="00745FEA">
                  <w:pPr>
                    <w:pStyle w:val="TableBodyText"/>
                    <w:ind w:right="57"/>
                  </w:pPr>
                  <w:r w:rsidRPr="00E3763A">
                    <w:t>–</w:t>
                  </w:r>
                </w:p>
              </w:tc>
              <w:tc>
                <w:tcPr>
                  <w:tcW w:w="467" w:type="pct"/>
                  <w:vAlign w:val="bottom"/>
                </w:tcPr>
                <w:p w:rsidR="00745FEA" w:rsidRPr="00240FFA" w:rsidRDefault="00745FEA" w:rsidP="00745FEA">
                  <w:pPr>
                    <w:pStyle w:val="TableBodyText"/>
                    <w:ind w:right="57"/>
                  </w:pPr>
                  <w:r w:rsidRPr="00E3763A">
                    <w:t>51.7</w:t>
                  </w:r>
                </w:p>
              </w:tc>
              <w:tc>
                <w:tcPr>
                  <w:tcW w:w="467" w:type="pct"/>
                  <w:vAlign w:val="bottom"/>
                </w:tcPr>
                <w:p w:rsidR="00745FEA" w:rsidRPr="00240FFA" w:rsidRDefault="00745FEA" w:rsidP="00745FEA">
                  <w:pPr>
                    <w:pStyle w:val="TableBodyText"/>
                    <w:ind w:right="57"/>
                  </w:pPr>
                  <w:r w:rsidRPr="00E3763A">
                    <w:t>42.5</w:t>
                  </w:r>
                </w:p>
              </w:tc>
              <w:tc>
                <w:tcPr>
                  <w:tcW w:w="467" w:type="pct"/>
                  <w:vAlign w:val="bottom"/>
                </w:tcPr>
                <w:p w:rsidR="00745FEA" w:rsidRPr="00240FFA" w:rsidRDefault="00745FEA" w:rsidP="00745FEA">
                  <w:pPr>
                    <w:pStyle w:val="TableBodyText"/>
                    <w:ind w:right="57"/>
                  </w:pPr>
                  <w:r w:rsidRPr="00E3763A">
                    <w:t>24.5</w:t>
                  </w:r>
                </w:p>
              </w:tc>
              <w:tc>
                <w:tcPr>
                  <w:tcW w:w="467" w:type="pct"/>
                  <w:shd w:val="clear" w:color="auto" w:fill="auto"/>
                  <w:vAlign w:val="bottom"/>
                </w:tcPr>
                <w:p w:rsidR="00745FEA" w:rsidRPr="00240FFA" w:rsidRDefault="00745FEA" w:rsidP="00745FEA">
                  <w:pPr>
                    <w:pStyle w:val="TableBodyText"/>
                    <w:ind w:right="57"/>
                  </w:pPr>
                  <w:r w:rsidRPr="00E3763A">
                    <w:t>18.1</w:t>
                  </w:r>
                </w:p>
              </w:tc>
              <w:tc>
                <w:tcPr>
                  <w:tcW w:w="465" w:type="pct"/>
                  <w:shd w:val="clear" w:color="auto" w:fill="auto"/>
                  <w:vAlign w:val="bottom"/>
                </w:tcPr>
                <w:p w:rsidR="00745FEA" w:rsidRDefault="00745FEA" w:rsidP="00745FEA">
                  <w:pPr>
                    <w:pStyle w:val="TableBodyText"/>
                    <w:ind w:right="57"/>
                  </w:pPr>
                  <w:r w:rsidRPr="00E3763A">
                    <w:t>12.3</w:t>
                  </w:r>
                </w:p>
              </w:tc>
            </w:tr>
            <w:tr w:rsidR="00745FEA" w:rsidTr="00745FEA">
              <w:tc>
                <w:tcPr>
                  <w:tcW w:w="2200" w:type="pct"/>
                  <w:shd w:val="clear" w:color="auto" w:fill="auto"/>
                </w:tcPr>
                <w:p w:rsidR="00745FEA" w:rsidRPr="00A617C6" w:rsidRDefault="00745FEA" w:rsidP="00745FEA">
                  <w:pPr>
                    <w:pStyle w:val="TableBodyText"/>
                    <w:spacing w:before="40" w:after="0"/>
                    <w:ind w:left="113"/>
                    <w:jc w:val="left"/>
                    <w:rPr>
                      <w:i/>
                    </w:rPr>
                  </w:pPr>
                  <w:r w:rsidRPr="00A617C6">
                    <w:rPr>
                      <w:i/>
                    </w:rPr>
                    <w:t>Other measures</w:t>
                  </w: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5"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0477B4" w:rsidRDefault="00745FEA" w:rsidP="00745FEA">
                  <w:pPr>
                    <w:pStyle w:val="TableBodyText"/>
                    <w:spacing w:after="0"/>
                    <w:ind w:left="227" w:right="0"/>
                    <w:jc w:val="left"/>
                  </w:pPr>
                  <w:r w:rsidRPr="000477B4">
                    <w:t>Australian Government Innovation and Investment Fund - Tasmania</w:t>
                  </w:r>
                </w:p>
              </w:tc>
              <w:tc>
                <w:tcPr>
                  <w:tcW w:w="467" w:type="pct"/>
                  <w:vAlign w:val="bottom"/>
                </w:tcPr>
                <w:p w:rsidR="00745FEA" w:rsidRPr="000477B4" w:rsidRDefault="00745FEA" w:rsidP="00745FEA">
                  <w:pPr>
                    <w:pStyle w:val="TableBodyText"/>
                    <w:ind w:right="57"/>
                  </w:pPr>
                  <w:r w:rsidRPr="003A5C59">
                    <w:t>–</w:t>
                  </w:r>
                </w:p>
              </w:tc>
              <w:tc>
                <w:tcPr>
                  <w:tcW w:w="467" w:type="pct"/>
                  <w:vAlign w:val="bottom"/>
                </w:tcPr>
                <w:p w:rsidR="00745FEA" w:rsidRPr="000477B4" w:rsidRDefault="00745FEA" w:rsidP="00745FEA">
                  <w:pPr>
                    <w:pStyle w:val="TableBodyText"/>
                    <w:ind w:right="57"/>
                  </w:pPr>
                  <w:r w:rsidRPr="003A5C59">
                    <w:t>–</w:t>
                  </w:r>
                </w:p>
              </w:tc>
              <w:tc>
                <w:tcPr>
                  <w:tcW w:w="467" w:type="pct"/>
                  <w:vAlign w:val="bottom"/>
                </w:tcPr>
                <w:p w:rsidR="00745FEA" w:rsidRPr="000477B4" w:rsidRDefault="00745FEA" w:rsidP="00745FEA">
                  <w:pPr>
                    <w:pStyle w:val="TableBodyText"/>
                    <w:ind w:right="57"/>
                  </w:pPr>
                  <w:r w:rsidRPr="003A5C59">
                    <w:t>–</w:t>
                  </w:r>
                </w:p>
              </w:tc>
              <w:tc>
                <w:tcPr>
                  <w:tcW w:w="467" w:type="pct"/>
                  <w:vAlign w:val="bottom"/>
                </w:tcPr>
                <w:p w:rsidR="00745FEA" w:rsidRPr="000477B4" w:rsidRDefault="00745FEA" w:rsidP="00745FEA">
                  <w:pPr>
                    <w:pStyle w:val="TableBodyText"/>
                    <w:ind w:right="57"/>
                  </w:pPr>
                  <w:r w:rsidRPr="003A5C59">
                    <w:t>0.3</w:t>
                  </w:r>
                </w:p>
              </w:tc>
              <w:tc>
                <w:tcPr>
                  <w:tcW w:w="467" w:type="pct"/>
                  <w:shd w:val="clear" w:color="auto" w:fill="auto"/>
                  <w:vAlign w:val="bottom"/>
                </w:tcPr>
                <w:p w:rsidR="00745FEA" w:rsidRPr="000477B4" w:rsidRDefault="00745FEA" w:rsidP="00745FEA">
                  <w:pPr>
                    <w:pStyle w:val="TableBodyText"/>
                    <w:ind w:right="57"/>
                  </w:pPr>
                  <w:r w:rsidRPr="003A5C59">
                    <w:t>0.4</w:t>
                  </w:r>
                </w:p>
              </w:tc>
              <w:tc>
                <w:tcPr>
                  <w:tcW w:w="465" w:type="pct"/>
                  <w:shd w:val="clear" w:color="auto" w:fill="auto"/>
                  <w:vAlign w:val="bottom"/>
                </w:tcPr>
                <w:p w:rsidR="00745FEA" w:rsidRPr="000477B4" w:rsidRDefault="00745FEA" w:rsidP="00745FEA">
                  <w:pPr>
                    <w:pStyle w:val="TableBodyText"/>
                    <w:ind w:right="57"/>
                  </w:pPr>
                  <w:r w:rsidRPr="003A5C59">
                    <w:t>–</w:t>
                  </w:r>
                </w:p>
              </w:tc>
            </w:tr>
            <w:tr w:rsidR="00745FEA" w:rsidTr="00745FEA">
              <w:tc>
                <w:tcPr>
                  <w:tcW w:w="2200" w:type="pct"/>
                  <w:shd w:val="clear" w:color="auto" w:fill="auto"/>
                </w:tcPr>
                <w:p w:rsidR="00745FEA" w:rsidRPr="000477B4" w:rsidRDefault="00745FEA" w:rsidP="00745FEA">
                  <w:pPr>
                    <w:pStyle w:val="TableBodyText"/>
                    <w:spacing w:after="0"/>
                    <w:ind w:left="227" w:right="0"/>
                    <w:jc w:val="left"/>
                  </w:pPr>
                  <w:r w:rsidRPr="000477B4">
                    <w:t>Enterprise Connect Innovation Centres</w:t>
                  </w:r>
                </w:p>
              </w:tc>
              <w:tc>
                <w:tcPr>
                  <w:tcW w:w="467" w:type="pct"/>
                  <w:vAlign w:val="bottom"/>
                </w:tcPr>
                <w:p w:rsidR="00745FEA" w:rsidRPr="000477B4" w:rsidRDefault="00745FEA" w:rsidP="00745FEA">
                  <w:pPr>
                    <w:pStyle w:val="TableBodyText"/>
                    <w:ind w:right="57"/>
                  </w:pPr>
                  <w:r w:rsidRPr="003A5C59">
                    <w:t>0.1</w:t>
                  </w:r>
                </w:p>
              </w:tc>
              <w:tc>
                <w:tcPr>
                  <w:tcW w:w="467" w:type="pct"/>
                  <w:vAlign w:val="bottom"/>
                </w:tcPr>
                <w:p w:rsidR="00745FEA" w:rsidRPr="000477B4" w:rsidRDefault="00745FEA" w:rsidP="00745FEA">
                  <w:pPr>
                    <w:pStyle w:val="TableBodyText"/>
                    <w:ind w:right="57"/>
                  </w:pPr>
                  <w:r w:rsidRPr="003A5C59">
                    <w:t>0.1</w:t>
                  </w:r>
                </w:p>
              </w:tc>
              <w:tc>
                <w:tcPr>
                  <w:tcW w:w="467" w:type="pct"/>
                  <w:vAlign w:val="bottom"/>
                </w:tcPr>
                <w:p w:rsidR="00745FEA" w:rsidRPr="000477B4" w:rsidRDefault="00745FEA" w:rsidP="00745FEA">
                  <w:pPr>
                    <w:pStyle w:val="TableBodyText"/>
                    <w:ind w:right="57"/>
                  </w:pPr>
                  <w:r w:rsidRPr="003A5C59">
                    <w:t>0.3</w:t>
                  </w:r>
                </w:p>
              </w:tc>
              <w:tc>
                <w:tcPr>
                  <w:tcW w:w="467" w:type="pct"/>
                  <w:vAlign w:val="bottom"/>
                </w:tcPr>
                <w:p w:rsidR="00745FEA" w:rsidRPr="000477B4" w:rsidRDefault="00745FEA" w:rsidP="00745FEA">
                  <w:pPr>
                    <w:pStyle w:val="TableBodyText"/>
                    <w:ind w:right="57"/>
                  </w:pPr>
                  <w:r w:rsidRPr="003A5C59">
                    <w:t>0.5</w:t>
                  </w:r>
                </w:p>
              </w:tc>
              <w:tc>
                <w:tcPr>
                  <w:tcW w:w="467" w:type="pct"/>
                  <w:shd w:val="clear" w:color="auto" w:fill="auto"/>
                  <w:vAlign w:val="bottom"/>
                </w:tcPr>
                <w:p w:rsidR="00745FEA" w:rsidRPr="000477B4" w:rsidRDefault="00745FEA" w:rsidP="00745FEA">
                  <w:pPr>
                    <w:pStyle w:val="TableBodyText"/>
                    <w:ind w:right="57"/>
                  </w:pPr>
                  <w:r w:rsidRPr="003A5C59">
                    <w:t>0.1</w:t>
                  </w:r>
                </w:p>
              </w:tc>
              <w:tc>
                <w:tcPr>
                  <w:tcW w:w="465" w:type="pct"/>
                  <w:shd w:val="clear" w:color="auto" w:fill="auto"/>
                  <w:vAlign w:val="bottom"/>
                </w:tcPr>
                <w:p w:rsidR="00745FEA" w:rsidRPr="000477B4" w:rsidRDefault="00745FEA" w:rsidP="00745FEA">
                  <w:pPr>
                    <w:pStyle w:val="TableBodyText"/>
                    <w:ind w:right="57"/>
                  </w:pPr>
                  <w:r w:rsidRPr="003A5C59">
                    <w:t>–</w:t>
                  </w:r>
                </w:p>
              </w:tc>
            </w:tr>
            <w:tr w:rsidR="00745FEA" w:rsidTr="00745FEA">
              <w:tc>
                <w:tcPr>
                  <w:tcW w:w="2200" w:type="pct"/>
                  <w:shd w:val="clear" w:color="auto" w:fill="auto"/>
                </w:tcPr>
                <w:p w:rsidR="00745FEA" w:rsidRDefault="00745FEA" w:rsidP="00745FEA">
                  <w:pPr>
                    <w:pStyle w:val="TableBodyText"/>
                    <w:ind w:left="227" w:right="0"/>
                    <w:jc w:val="left"/>
                  </w:pPr>
                  <w:r w:rsidRPr="0038682E">
                    <w:t>Entrepreneurs’ Infrastructure Programme - Accelerating Commercialisation</w:t>
                  </w:r>
                </w:p>
              </w:tc>
              <w:tc>
                <w:tcPr>
                  <w:tcW w:w="467" w:type="pct"/>
                  <w:vAlign w:val="bottom"/>
                </w:tcPr>
                <w:p w:rsidR="00745FEA" w:rsidRPr="000477B4" w:rsidRDefault="00745FEA" w:rsidP="00745FEA">
                  <w:pPr>
                    <w:pStyle w:val="TableBodyText"/>
                    <w:ind w:right="57"/>
                  </w:pPr>
                  <w:r w:rsidRPr="003A5C59">
                    <w:t>–</w:t>
                  </w:r>
                </w:p>
              </w:tc>
              <w:tc>
                <w:tcPr>
                  <w:tcW w:w="467" w:type="pct"/>
                  <w:vAlign w:val="bottom"/>
                </w:tcPr>
                <w:p w:rsidR="00745FEA" w:rsidRPr="000477B4" w:rsidRDefault="00745FEA" w:rsidP="00745FEA">
                  <w:pPr>
                    <w:pStyle w:val="TableBodyText"/>
                    <w:ind w:right="57"/>
                  </w:pPr>
                  <w:r w:rsidRPr="003A5C59">
                    <w:t>–</w:t>
                  </w:r>
                </w:p>
              </w:tc>
              <w:tc>
                <w:tcPr>
                  <w:tcW w:w="467" w:type="pct"/>
                  <w:vAlign w:val="bottom"/>
                </w:tcPr>
                <w:p w:rsidR="00745FEA" w:rsidRPr="000477B4" w:rsidRDefault="00745FEA" w:rsidP="00745FEA">
                  <w:pPr>
                    <w:pStyle w:val="TableBodyText"/>
                    <w:ind w:right="57"/>
                  </w:pPr>
                  <w:r w:rsidRPr="003A5C59">
                    <w:t>–</w:t>
                  </w:r>
                </w:p>
              </w:tc>
              <w:tc>
                <w:tcPr>
                  <w:tcW w:w="467" w:type="pct"/>
                  <w:vAlign w:val="bottom"/>
                </w:tcPr>
                <w:p w:rsidR="00745FEA" w:rsidRPr="000477B4" w:rsidRDefault="00745FEA" w:rsidP="00745FEA">
                  <w:pPr>
                    <w:pStyle w:val="TableBodyText"/>
                    <w:ind w:right="57"/>
                  </w:pPr>
                  <w:r w:rsidRPr="003A5C59">
                    <w:t>–</w:t>
                  </w:r>
                </w:p>
              </w:tc>
              <w:tc>
                <w:tcPr>
                  <w:tcW w:w="467" w:type="pct"/>
                  <w:shd w:val="clear" w:color="auto" w:fill="auto"/>
                  <w:vAlign w:val="bottom"/>
                </w:tcPr>
                <w:p w:rsidR="00745FEA" w:rsidRPr="000477B4" w:rsidRDefault="00745FEA" w:rsidP="00745FEA">
                  <w:pPr>
                    <w:pStyle w:val="TableBodyText"/>
                    <w:ind w:right="57"/>
                  </w:pPr>
                  <w:r w:rsidRPr="003A5C59">
                    <w:t>–</w:t>
                  </w:r>
                </w:p>
              </w:tc>
              <w:tc>
                <w:tcPr>
                  <w:tcW w:w="465" w:type="pct"/>
                  <w:shd w:val="clear" w:color="auto" w:fill="auto"/>
                  <w:vAlign w:val="bottom"/>
                </w:tcPr>
                <w:p w:rsidR="00745FEA" w:rsidRDefault="00745FEA" w:rsidP="00745FEA">
                  <w:pPr>
                    <w:pStyle w:val="TableBodyText"/>
                    <w:ind w:right="57"/>
                  </w:pPr>
                  <w:r w:rsidRPr="003A5C59">
                    <w:t>0.1</w:t>
                  </w:r>
                </w:p>
              </w:tc>
            </w:tr>
            <w:tr w:rsidR="00745FEA" w:rsidTr="00745FEA">
              <w:tc>
                <w:tcPr>
                  <w:tcW w:w="2200" w:type="pct"/>
                  <w:tcBorders>
                    <w:bottom w:val="single" w:sz="6" w:space="0" w:color="BFBFBF"/>
                  </w:tcBorders>
                  <w:shd w:val="clear" w:color="auto" w:fill="auto"/>
                </w:tcPr>
                <w:p w:rsidR="00745FEA" w:rsidRPr="000477B4" w:rsidRDefault="00745FEA" w:rsidP="00745FEA">
                  <w:pPr>
                    <w:pStyle w:val="TableBodyText"/>
                    <w:ind w:left="227" w:right="0"/>
                    <w:jc w:val="left"/>
                  </w:pPr>
                  <w:r>
                    <w:t>Entrepreneurs Infrastructure Programme – Business Management Skills</w:t>
                  </w:r>
                </w:p>
              </w:tc>
              <w:tc>
                <w:tcPr>
                  <w:tcW w:w="467" w:type="pct"/>
                  <w:tcBorders>
                    <w:bottom w:val="single" w:sz="6" w:space="0" w:color="BFBFBF"/>
                  </w:tcBorders>
                  <w:vAlign w:val="bottom"/>
                </w:tcPr>
                <w:p w:rsidR="00745FEA" w:rsidRPr="000477B4" w:rsidRDefault="00745FEA" w:rsidP="00745FEA">
                  <w:pPr>
                    <w:pStyle w:val="TableBodyText"/>
                    <w:ind w:right="57"/>
                  </w:pPr>
                  <w:r w:rsidRPr="003A5C59">
                    <w:t>–</w:t>
                  </w:r>
                </w:p>
              </w:tc>
              <w:tc>
                <w:tcPr>
                  <w:tcW w:w="467" w:type="pct"/>
                  <w:tcBorders>
                    <w:bottom w:val="single" w:sz="6" w:space="0" w:color="BFBFBF"/>
                  </w:tcBorders>
                  <w:vAlign w:val="bottom"/>
                </w:tcPr>
                <w:p w:rsidR="00745FEA" w:rsidRPr="000477B4" w:rsidRDefault="00745FEA" w:rsidP="00745FEA">
                  <w:pPr>
                    <w:pStyle w:val="TableBodyText"/>
                    <w:ind w:right="57"/>
                  </w:pPr>
                  <w:r w:rsidRPr="003A5C59">
                    <w:t>–</w:t>
                  </w:r>
                </w:p>
              </w:tc>
              <w:tc>
                <w:tcPr>
                  <w:tcW w:w="467" w:type="pct"/>
                  <w:tcBorders>
                    <w:bottom w:val="single" w:sz="6" w:space="0" w:color="BFBFBF"/>
                  </w:tcBorders>
                  <w:vAlign w:val="bottom"/>
                </w:tcPr>
                <w:p w:rsidR="00745FEA" w:rsidRPr="000477B4" w:rsidRDefault="00745FEA" w:rsidP="00745FEA">
                  <w:pPr>
                    <w:pStyle w:val="TableBodyText"/>
                    <w:ind w:right="57"/>
                  </w:pPr>
                  <w:r w:rsidRPr="003A5C59">
                    <w:t>–</w:t>
                  </w:r>
                </w:p>
              </w:tc>
              <w:tc>
                <w:tcPr>
                  <w:tcW w:w="467" w:type="pct"/>
                  <w:tcBorders>
                    <w:bottom w:val="single" w:sz="6" w:space="0" w:color="BFBFBF"/>
                  </w:tcBorders>
                  <w:vAlign w:val="bottom"/>
                </w:tcPr>
                <w:p w:rsidR="00745FEA" w:rsidRPr="000477B4" w:rsidRDefault="00745FEA" w:rsidP="00745FEA">
                  <w:pPr>
                    <w:pStyle w:val="TableBodyText"/>
                    <w:ind w:right="57"/>
                  </w:pPr>
                  <w:r w:rsidRPr="003A5C59">
                    <w:t>0.2</w:t>
                  </w:r>
                </w:p>
              </w:tc>
              <w:tc>
                <w:tcPr>
                  <w:tcW w:w="467" w:type="pct"/>
                  <w:tcBorders>
                    <w:bottom w:val="single" w:sz="6" w:space="0" w:color="BFBFBF"/>
                  </w:tcBorders>
                  <w:shd w:val="clear" w:color="auto" w:fill="auto"/>
                  <w:vAlign w:val="bottom"/>
                </w:tcPr>
                <w:p w:rsidR="00745FEA" w:rsidRPr="000477B4" w:rsidRDefault="00745FEA" w:rsidP="00745FEA">
                  <w:pPr>
                    <w:pStyle w:val="TableBodyText"/>
                    <w:ind w:right="57"/>
                  </w:pPr>
                  <w:r w:rsidRPr="003A5C59">
                    <w:t>0.6</w:t>
                  </w:r>
                </w:p>
              </w:tc>
              <w:tc>
                <w:tcPr>
                  <w:tcW w:w="465" w:type="pct"/>
                  <w:tcBorders>
                    <w:bottom w:val="single" w:sz="6" w:space="0" w:color="BFBFBF"/>
                  </w:tcBorders>
                  <w:shd w:val="clear" w:color="auto" w:fill="auto"/>
                  <w:vAlign w:val="bottom"/>
                </w:tcPr>
                <w:p w:rsidR="00745FEA" w:rsidRDefault="00745FEA" w:rsidP="00745FEA">
                  <w:pPr>
                    <w:pStyle w:val="TableBodyText"/>
                    <w:ind w:right="57"/>
                  </w:pPr>
                  <w:r w:rsidRPr="003A5C59">
                    <w:t>0.2</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796"/>
              <w:gridCol w:w="796"/>
              <w:gridCol w:w="794"/>
              <w:gridCol w:w="794"/>
              <w:gridCol w:w="794"/>
              <w:gridCol w:w="788"/>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3"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shd w:val="clear" w:color="auto" w:fill="auto"/>
                </w:tcPr>
                <w:p w:rsidR="00745FEA" w:rsidRPr="00A617C6" w:rsidRDefault="00745FEA" w:rsidP="00745FEA">
                  <w:pPr>
                    <w:pStyle w:val="TableBodyText"/>
                    <w:spacing w:before="40" w:after="0"/>
                    <w:ind w:left="113"/>
                    <w:jc w:val="left"/>
                    <w:rPr>
                      <w:i/>
                    </w:rPr>
                  </w:pPr>
                  <w:r w:rsidRPr="00A617C6">
                    <w:rPr>
                      <w:i/>
                    </w:rPr>
                    <w:t>Other measures</w:t>
                  </w:r>
                  <w:r>
                    <w:rPr>
                      <w:i/>
                    </w:rPr>
                    <w:t xml:space="preserve"> (continued)</w:t>
                  </w:r>
                </w:p>
              </w:tc>
              <w:tc>
                <w:tcPr>
                  <w:tcW w:w="468" w:type="pct"/>
                  <w:vAlign w:val="bottom"/>
                </w:tcPr>
                <w:p w:rsidR="00745FEA" w:rsidRDefault="00745FEA" w:rsidP="00745FEA">
                  <w:pPr>
                    <w:pStyle w:val="TableBodyText"/>
                    <w:spacing w:before="40" w:after="0"/>
                    <w:ind w:left="113" w:right="57"/>
                  </w:pPr>
                </w:p>
              </w:tc>
              <w:tc>
                <w:tcPr>
                  <w:tcW w:w="468"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3"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0477B4" w:rsidRDefault="00745FEA" w:rsidP="00745FEA">
                  <w:pPr>
                    <w:pStyle w:val="TableBodyText"/>
                    <w:spacing w:after="0"/>
                    <w:ind w:left="227" w:right="0"/>
                    <w:jc w:val="left"/>
                  </w:pPr>
                  <w:r w:rsidRPr="000477B4">
                    <w:t>Illawarra Region Innovation and Investment Fund</w:t>
                  </w:r>
                </w:p>
              </w:tc>
              <w:tc>
                <w:tcPr>
                  <w:tcW w:w="468" w:type="pct"/>
                  <w:vAlign w:val="bottom"/>
                </w:tcPr>
                <w:p w:rsidR="00745FEA" w:rsidRPr="004D02B5" w:rsidRDefault="00745FEA" w:rsidP="00745FEA">
                  <w:pPr>
                    <w:pStyle w:val="TableBodyText"/>
                    <w:ind w:right="57"/>
                  </w:pPr>
                  <w:r w:rsidRPr="004D02B5">
                    <w:t>–</w:t>
                  </w:r>
                </w:p>
              </w:tc>
              <w:tc>
                <w:tcPr>
                  <w:tcW w:w="468" w:type="pct"/>
                  <w:vAlign w:val="bottom"/>
                </w:tcPr>
                <w:p w:rsidR="00745FEA" w:rsidRPr="004D02B5" w:rsidRDefault="00745FEA" w:rsidP="00745FEA">
                  <w:pPr>
                    <w:pStyle w:val="TableBodyText"/>
                    <w:ind w:right="57"/>
                  </w:pPr>
                  <w:r w:rsidRPr="004D02B5">
                    <w:t>&lt;0.1</w:t>
                  </w:r>
                </w:p>
              </w:tc>
              <w:tc>
                <w:tcPr>
                  <w:tcW w:w="467"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shd w:val="clear" w:color="auto" w:fill="auto"/>
                  <w:vAlign w:val="bottom"/>
                </w:tcPr>
                <w:p w:rsidR="00745FEA" w:rsidRPr="004D02B5" w:rsidRDefault="00745FEA" w:rsidP="00745FEA">
                  <w:pPr>
                    <w:pStyle w:val="TableBodyText"/>
                    <w:ind w:right="57"/>
                  </w:pPr>
                  <w:r w:rsidRPr="004D02B5">
                    <w:t>–</w:t>
                  </w:r>
                </w:p>
              </w:tc>
              <w:tc>
                <w:tcPr>
                  <w:tcW w:w="463" w:type="pct"/>
                  <w:shd w:val="clear" w:color="auto" w:fill="auto"/>
                  <w:vAlign w:val="bottom"/>
                </w:tcPr>
                <w:p w:rsidR="00745FEA" w:rsidRPr="004D02B5" w:rsidRDefault="00745FEA" w:rsidP="00745FEA">
                  <w:pPr>
                    <w:pStyle w:val="TableBodyText"/>
                    <w:ind w:right="57"/>
                  </w:pPr>
                  <w:r w:rsidRPr="004D02B5">
                    <w:t>–</w:t>
                  </w:r>
                </w:p>
              </w:tc>
            </w:tr>
            <w:tr w:rsidR="00745FEA" w:rsidTr="00745FEA">
              <w:tc>
                <w:tcPr>
                  <w:tcW w:w="2200" w:type="pct"/>
                  <w:shd w:val="clear" w:color="auto" w:fill="auto"/>
                </w:tcPr>
                <w:p w:rsidR="00745FEA" w:rsidRPr="000477B4" w:rsidRDefault="00745FEA" w:rsidP="00745FEA">
                  <w:pPr>
                    <w:pStyle w:val="TableBodyText"/>
                    <w:spacing w:after="0"/>
                    <w:ind w:left="227" w:right="0"/>
                    <w:jc w:val="left"/>
                  </w:pPr>
                  <w:r w:rsidRPr="000477B4">
                    <w:t>Temporary Assistance for Tasmanian Exporters</w:t>
                  </w:r>
                </w:p>
              </w:tc>
              <w:tc>
                <w:tcPr>
                  <w:tcW w:w="468" w:type="pct"/>
                  <w:vAlign w:val="bottom"/>
                </w:tcPr>
                <w:p w:rsidR="00745FEA" w:rsidRPr="004D02B5" w:rsidRDefault="00745FEA" w:rsidP="00745FEA">
                  <w:pPr>
                    <w:pStyle w:val="TableBodyText"/>
                    <w:ind w:right="57"/>
                  </w:pPr>
                  <w:r w:rsidRPr="004D02B5">
                    <w:t>5.9</w:t>
                  </w:r>
                </w:p>
              </w:tc>
              <w:tc>
                <w:tcPr>
                  <w:tcW w:w="468"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shd w:val="clear" w:color="auto" w:fill="auto"/>
                  <w:vAlign w:val="bottom"/>
                </w:tcPr>
                <w:p w:rsidR="00745FEA" w:rsidRPr="004D02B5" w:rsidRDefault="00745FEA" w:rsidP="00745FEA">
                  <w:pPr>
                    <w:pStyle w:val="TableBodyText"/>
                    <w:ind w:right="57"/>
                  </w:pPr>
                  <w:r w:rsidRPr="004D02B5">
                    <w:t>–</w:t>
                  </w:r>
                </w:p>
              </w:tc>
              <w:tc>
                <w:tcPr>
                  <w:tcW w:w="463" w:type="pct"/>
                  <w:shd w:val="clear" w:color="auto" w:fill="auto"/>
                  <w:vAlign w:val="bottom"/>
                </w:tcPr>
                <w:p w:rsidR="00745FEA" w:rsidRPr="004D02B5" w:rsidRDefault="00745FEA" w:rsidP="00745FEA">
                  <w:pPr>
                    <w:pStyle w:val="TableBodyText"/>
                    <w:ind w:right="57"/>
                  </w:pPr>
                  <w:r w:rsidRPr="004D02B5">
                    <w:t>–</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Tasmanian Innovation and Investment Fund</w:t>
                  </w:r>
                </w:p>
              </w:tc>
              <w:tc>
                <w:tcPr>
                  <w:tcW w:w="468" w:type="pct"/>
                  <w:vAlign w:val="bottom"/>
                </w:tcPr>
                <w:p w:rsidR="00745FEA" w:rsidRPr="004D02B5" w:rsidRDefault="00745FEA" w:rsidP="00745FEA">
                  <w:pPr>
                    <w:pStyle w:val="TableBodyText"/>
                    <w:ind w:right="57"/>
                  </w:pPr>
                  <w:r w:rsidRPr="004D02B5">
                    <w:t>0.2</w:t>
                  </w:r>
                </w:p>
              </w:tc>
              <w:tc>
                <w:tcPr>
                  <w:tcW w:w="468" w:type="pct"/>
                  <w:vAlign w:val="bottom"/>
                </w:tcPr>
                <w:p w:rsidR="00745FEA" w:rsidRPr="004D02B5" w:rsidRDefault="00745FEA" w:rsidP="00745FEA">
                  <w:pPr>
                    <w:pStyle w:val="TableBodyText"/>
                    <w:ind w:right="57"/>
                  </w:pPr>
                  <w:r w:rsidRPr="004D02B5">
                    <w:t>0.2</w:t>
                  </w:r>
                </w:p>
              </w:tc>
              <w:tc>
                <w:tcPr>
                  <w:tcW w:w="467" w:type="pct"/>
                  <w:vAlign w:val="bottom"/>
                </w:tcPr>
                <w:p w:rsidR="00745FEA" w:rsidRPr="004D02B5" w:rsidRDefault="00745FEA" w:rsidP="00745FEA">
                  <w:pPr>
                    <w:pStyle w:val="TableBodyText"/>
                    <w:ind w:right="57"/>
                  </w:pPr>
                  <w:r w:rsidRPr="004D02B5">
                    <w:t>&lt;0.1</w:t>
                  </w:r>
                </w:p>
              </w:tc>
              <w:tc>
                <w:tcPr>
                  <w:tcW w:w="467" w:type="pct"/>
                  <w:vAlign w:val="bottom"/>
                </w:tcPr>
                <w:p w:rsidR="00745FEA" w:rsidRPr="004D02B5" w:rsidRDefault="00745FEA" w:rsidP="00745FEA">
                  <w:pPr>
                    <w:pStyle w:val="TableBodyText"/>
                    <w:ind w:right="57"/>
                  </w:pPr>
                  <w:r w:rsidRPr="004D02B5">
                    <w:t>–</w:t>
                  </w:r>
                </w:p>
              </w:tc>
              <w:tc>
                <w:tcPr>
                  <w:tcW w:w="467" w:type="pct"/>
                  <w:shd w:val="clear" w:color="auto" w:fill="auto"/>
                  <w:vAlign w:val="bottom"/>
                </w:tcPr>
                <w:p w:rsidR="00745FEA" w:rsidRPr="004D02B5" w:rsidRDefault="00745FEA" w:rsidP="00745FEA">
                  <w:pPr>
                    <w:pStyle w:val="TableBodyText"/>
                    <w:ind w:right="57"/>
                  </w:pPr>
                  <w:r w:rsidRPr="004D02B5">
                    <w:t>–</w:t>
                  </w:r>
                </w:p>
              </w:tc>
              <w:tc>
                <w:tcPr>
                  <w:tcW w:w="463" w:type="pct"/>
                  <w:shd w:val="clear" w:color="auto" w:fill="auto"/>
                  <w:vAlign w:val="bottom"/>
                </w:tcPr>
                <w:p w:rsidR="00745FEA" w:rsidRPr="004D02B5" w:rsidRDefault="00745FEA" w:rsidP="00745FEA">
                  <w:pPr>
                    <w:pStyle w:val="TableBodyText"/>
                    <w:ind w:right="57"/>
                  </w:pPr>
                  <w:r w:rsidRPr="004D02B5">
                    <w:t>–</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Tasmanian Jobs and Investment Fund</w:t>
                  </w:r>
                </w:p>
              </w:tc>
              <w:tc>
                <w:tcPr>
                  <w:tcW w:w="468" w:type="pct"/>
                  <w:vAlign w:val="bottom"/>
                </w:tcPr>
                <w:p w:rsidR="00745FEA" w:rsidRPr="004D02B5" w:rsidRDefault="00745FEA" w:rsidP="00745FEA">
                  <w:pPr>
                    <w:pStyle w:val="TableBodyText"/>
                    <w:ind w:right="57"/>
                  </w:pPr>
                  <w:r w:rsidRPr="004D02B5">
                    <w:t>–</w:t>
                  </w:r>
                </w:p>
              </w:tc>
              <w:tc>
                <w:tcPr>
                  <w:tcW w:w="468"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shd w:val="clear" w:color="auto" w:fill="auto"/>
                  <w:vAlign w:val="bottom"/>
                </w:tcPr>
                <w:p w:rsidR="00745FEA" w:rsidRPr="004D02B5" w:rsidRDefault="00745FEA" w:rsidP="00745FEA">
                  <w:pPr>
                    <w:pStyle w:val="TableBodyText"/>
                    <w:ind w:right="57"/>
                  </w:pPr>
                  <w:r w:rsidRPr="004D02B5">
                    <w:t>0.3</w:t>
                  </w:r>
                </w:p>
              </w:tc>
              <w:tc>
                <w:tcPr>
                  <w:tcW w:w="463" w:type="pct"/>
                  <w:shd w:val="clear" w:color="auto" w:fill="auto"/>
                  <w:vAlign w:val="bottom"/>
                </w:tcPr>
                <w:p w:rsidR="00745FEA" w:rsidRPr="004D02B5" w:rsidRDefault="00745FEA" w:rsidP="00745FEA">
                  <w:pPr>
                    <w:pStyle w:val="TableBodyText"/>
                    <w:ind w:right="57"/>
                  </w:pPr>
                  <w:r w:rsidRPr="004D02B5">
                    <w:t>0.4</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 xml:space="preserve">Small business </w:t>
                  </w:r>
                  <w:r>
                    <w:t>capital gains tax</w:t>
                  </w:r>
                  <w:r w:rsidRPr="00DE417D">
                    <w:t xml:space="preserve"> rollover deferral</w:t>
                  </w:r>
                </w:p>
              </w:tc>
              <w:tc>
                <w:tcPr>
                  <w:tcW w:w="468" w:type="pct"/>
                  <w:vAlign w:val="bottom"/>
                </w:tcPr>
                <w:p w:rsidR="00745FEA" w:rsidRPr="004D02B5" w:rsidRDefault="00745FEA" w:rsidP="00745FEA">
                  <w:pPr>
                    <w:pStyle w:val="TableBodyText"/>
                    <w:ind w:right="57"/>
                  </w:pPr>
                  <w:r w:rsidRPr="004D02B5">
                    <w:t>–</w:t>
                  </w:r>
                </w:p>
              </w:tc>
              <w:tc>
                <w:tcPr>
                  <w:tcW w:w="468"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3.3</w:t>
                  </w:r>
                </w:p>
              </w:tc>
              <w:tc>
                <w:tcPr>
                  <w:tcW w:w="467" w:type="pct"/>
                  <w:shd w:val="clear" w:color="auto" w:fill="auto"/>
                  <w:vAlign w:val="bottom"/>
                </w:tcPr>
                <w:p w:rsidR="00745FEA" w:rsidRPr="004D02B5" w:rsidRDefault="00745FEA" w:rsidP="00745FEA">
                  <w:pPr>
                    <w:pStyle w:val="TableBodyText"/>
                    <w:ind w:right="57"/>
                  </w:pPr>
                  <w:r w:rsidRPr="004D02B5">
                    <w:t>2.5</w:t>
                  </w:r>
                </w:p>
              </w:tc>
              <w:tc>
                <w:tcPr>
                  <w:tcW w:w="463" w:type="pct"/>
                  <w:shd w:val="clear" w:color="auto" w:fill="auto"/>
                  <w:vAlign w:val="bottom"/>
                </w:tcPr>
                <w:p w:rsidR="00745FEA" w:rsidRPr="004D02B5" w:rsidRDefault="00745FEA" w:rsidP="00745FEA">
                  <w:pPr>
                    <w:pStyle w:val="TableBodyText"/>
                    <w:ind w:right="57"/>
                  </w:pPr>
                  <w:r w:rsidRPr="004D02B5">
                    <w:t>2.2</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The Small Business and General Business Tax Break</w:t>
                  </w:r>
                </w:p>
              </w:tc>
              <w:tc>
                <w:tcPr>
                  <w:tcW w:w="468" w:type="pct"/>
                  <w:vAlign w:val="bottom"/>
                </w:tcPr>
                <w:p w:rsidR="00745FEA" w:rsidRPr="004D02B5" w:rsidRDefault="00745FEA" w:rsidP="00745FEA">
                  <w:pPr>
                    <w:pStyle w:val="TableBodyText"/>
                    <w:ind w:right="57"/>
                  </w:pPr>
                  <w:r w:rsidRPr="004D02B5">
                    <w:t>126.4</w:t>
                  </w:r>
                </w:p>
              </w:tc>
              <w:tc>
                <w:tcPr>
                  <w:tcW w:w="468" w:type="pct"/>
                  <w:vAlign w:val="bottom"/>
                </w:tcPr>
                <w:p w:rsidR="00745FEA" w:rsidRPr="004D02B5" w:rsidRDefault="00745FEA" w:rsidP="00745FEA">
                  <w:pPr>
                    <w:pStyle w:val="TableBodyText"/>
                    <w:ind w:right="57"/>
                  </w:pPr>
                  <w:r w:rsidRPr="004D02B5">
                    <w:t>43.9</w:t>
                  </w:r>
                </w:p>
              </w:tc>
              <w:tc>
                <w:tcPr>
                  <w:tcW w:w="467" w:type="pct"/>
                  <w:vAlign w:val="bottom"/>
                </w:tcPr>
                <w:p w:rsidR="00745FEA" w:rsidRPr="004D02B5" w:rsidRDefault="00745FEA" w:rsidP="00745FEA">
                  <w:pPr>
                    <w:pStyle w:val="TableBodyText"/>
                    <w:ind w:right="57"/>
                  </w:pPr>
                  <w:r w:rsidRPr="004D02B5">
                    <w:t>5.3</w:t>
                  </w:r>
                </w:p>
              </w:tc>
              <w:tc>
                <w:tcPr>
                  <w:tcW w:w="467" w:type="pct"/>
                  <w:vAlign w:val="bottom"/>
                </w:tcPr>
                <w:p w:rsidR="00745FEA" w:rsidRPr="004D02B5" w:rsidRDefault="00745FEA" w:rsidP="00745FEA">
                  <w:pPr>
                    <w:pStyle w:val="TableBodyText"/>
                    <w:ind w:right="57"/>
                  </w:pPr>
                  <w:r w:rsidRPr="004D02B5">
                    <w:t>–</w:t>
                  </w:r>
                </w:p>
              </w:tc>
              <w:tc>
                <w:tcPr>
                  <w:tcW w:w="467" w:type="pct"/>
                  <w:shd w:val="clear" w:color="auto" w:fill="auto"/>
                  <w:vAlign w:val="bottom"/>
                </w:tcPr>
                <w:p w:rsidR="00745FEA" w:rsidRPr="004D02B5" w:rsidRDefault="00745FEA" w:rsidP="00745FEA">
                  <w:pPr>
                    <w:pStyle w:val="TableBodyText"/>
                    <w:ind w:right="57"/>
                  </w:pPr>
                  <w:r w:rsidRPr="004D02B5">
                    <w:t>–</w:t>
                  </w:r>
                </w:p>
              </w:tc>
              <w:tc>
                <w:tcPr>
                  <w:tcW w:w="463" w:type="pct"/>
                  <w:shd w:val="clear" w:color="auto" w:fill="auto"/>
                  <w:vAlign w:val="bottom"/>
                </w:tcPr>
                <w:p w:rsidR="00745FEA" w:rsidRPr="004D02B5" w:rsidRDefault="00745FEA" w:rsidP="00745FEA">
                  <w:pPr>
                    <w:pStyle w:val="TableBodyText"/>
                    <w:ind w:right="57"/>
                  </w:pPr>
                  <w:r w:rsidRPr="004D02B5">
                    <w:t>–</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Small Business - Simplified depreciation rules</w:t>
                  </w:r>
                </w:p>
              </w:tc>
              <w:tc>
                <w:tcPr>
                  <w:tcW w:w="468" w:type="pct"/>
                  <w:vAlign w:val="bottom"/>
                </w:tcPr>
                <w:p w:rsidR="00745FEA" w:rsidRPr="004D02B5" w:rsidRDefault="00745FEA" w:rsidP="00745FEA">
                  <w:pPr>
                    <w:pStyle w:val="TableBodyText"/>
                    <w:ind w:right="57"/>
                  </w:pPr>
                  <w:r w:rsidRPr="004D02B5">
                    <w:t>0.6</w:t>
                  </w:r>
                </w:p>
              </w:tc>
              <w:tc>
                <w:tcPr>
                  <w:tcW w:w="468" w:type="pct"/>
                  <w:vAlign w:val="bottom"/>
                </w:tcPr>
                <w:p w:rsidR="00745FEA" w:rsidRPr="004D02B5" w:rsidRDefault="00745FEA" w:rsidP="00745FEA">
                  <w:pPr>
                    <w:pStyle w:val="TableBodyText"/>
                    <w:ind w:right="57"/>
                  </w:pPr>
                  <w:r w:rsidRPr="004D02B5">
                    <w:t>-3.4</w:t>
                  </w:r>
                </w:p>
              </w:tc>
              <w:tc>
                <w:tcPr>
                  <w:tcW w:w="467" w:type="pct"/>
                  <w:vAlign w:val="bottom"/>
                </w:tcPr>
                <w:p w:rsidR="00745FEA" w:rsidRPr="004D02B5" w:rsidRDefault="00745FEA" w:rsidP="00745FEA">
                  <w:pPr>
                    <w:pStyle w:val="TableBodyText"/>
                    <w:ind w:right="57"/>
                  </w:pPr>
                  <w:r w:rsidRPr="004D02B5">
                    <w:t>12.3</w:t>
                  </w:r>
                </w:p>
              </w:tc>
              <w:tc>
                <w:tcPr>
                  <w:tcW w:w="467" w:type="pct"/>
                  <w:vAlign w:val="bottom"/>
                </w:tcPr>
                <w:p w:rsidR="00745FEA" w:rsidRPr="004D02B5" w:rsidRDefault="00745FEA" w:rsidP="00745FEA">
                  <w:pPr>
                    <w:pStyle w:val="TableBodyText"/>
                    <w:ind w:right="57"/>
                  </w:pPr>
                  <w:r w:rsidRPr="004D02B5">
                    <w:t>-6.2</w:t>
                  </w:r>
                </w:p>
              </w:tc>
              <w:tc>
                <w:tcPr>
                  <w:tcW w:w="467" w:type="pct"/>
                  <w:shd w:val="clear" w:color="auto" w:fill="auto"/>
                  <w:vAlign w:val="bottom"/>
                </w:tcPr>
                <w:p w:rsidR="00745FEA" w:rsidRPr="004D02B5" w:rsidRDefault="00745FEA" w:rsidP="00745FEA">
                  <w:pPr>
                    <w:pStyle w:val="TableBodyText"/>
                    <w:ind w:right="57"/>
                  </w:pPr>
                  <w:r w:rsidRPr="004D02B5">
                    <w:t>-12.4</w:t>
                  </w:r>
                </w:p>
              </w:tc>
              <w:tc>
                <w:tcPr>
                  <w:tcW w:w="463" w:type="pct"/>
                  <w:shd w:val="clear" w:color="auto" w:fill="auto"/>
                  <w:vAlign w:val="bottom"/>
                </w:tcPr>
                <w:p w:rsidR="00745FEA" w:rsidRPr="004D02B5" w:rsidRDefault="00745FEA" w:rsidP="00745FEA">
                  <w:pPr>
                    <w:pStyle w:val="TableBodyText"/>
                    <w:ind w:right="57"/>
                  </w:pPr>
                  <w:r w:rsidRPr="004D02B5">
                    <w:t>70.9</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 xml:space="preserve">Small business </w:t>
                  </w:r>
                  <w:r>
                    <w:t>capital gains tax</w:t>
                  </w:r>
                  <w:r w:rsidRPr="00DE417D">
                    <w:t xml:space="preserve"> 15-year asset exemption</w:t>
                  </w:r>
                </w:p>
              </w:tc>
              <w:tc>
                <w:tcPr>
                  <w:tcW w:w="468" w:type="pct"/>
                  <w:vAlign w:val="bottom"/>
                </w:tcPr>
                <w:p w:rsidR="00745FEA" w:rsidRPr="004D02B5" w:rsidRDefault="00745FEA" w:rsidP="00745FEA">
                  <w:pPr>
                    <w:pStyle w:val="TableBodyText"/>
                    <w:ind w:right="57"/>
                  </w:pPr>
                  <w:r w:rsidRPr="004D02B5">
                    <w:t>1.9</w:t>
                  </w:r>
                </w:p>
              </w:tc>
              <w:tc>
                <w:tcPr>
                  <w:tcW w:w="468" w:type="pct"/>
                  <w:vAlign w:val="bottom"/>
                </w:tcPr>
                <w:p w:rsidR="00745FEA" w:rsidRPr="004D02B5" w:rsidRDefault="00745FEA" w:rsidP="00745FEA">
                  <w:pPr>
                    <w:pStyle w:val="TableBodyText"/>
                    <w:ind w:right="57"/>
                  </w:pPr>
                  <w:r w:rsidRPr="004D02B5">
                    <w:t>1.9</w:t>
                  </w:r>
                </w:p>
              </w:tc>
              <w:tc>
                <w:tcPr>
                  <w:tcW w:w="467" w:type="pct"/>
                  <w:vAlign w:val="bottom"/>
                </w:tcPr>
                <w:p w:rsidR="00745FEA" w:rsidRPr="004D02B5" w:rsidRDefault="00745FEA" w:rsidP="00745FEA">
                  <w:pPr>
                    <w:pStyle w:val="TableBodyText"/>
                    <w:ind w:right="57"/>
                  </w:pPr>
                  <w:r w:rsidRPr="004D02B5">
                    <w:t>2.2</w:t>
                  </w:r>
                </w:p>
              </w:tc>
              <w:tc>
                <w:tcPr>
                  <w:tcW w:w="467" w:type="pct"/>
                  <w:vAlign w:val="bottom"/>
                </w:tcPr>
                <w:p w:rsidR="00745FEA" w:rsidRPr="004D02B5" w:rsidRDefault="00745FEA" w:rsidP="00745FEA">
                  <w:pPr>
                    <w:pStyle w:val="TableBodyText"/>
                    <w:ind w:right="57"/>
                  </w:pPr>
                  <w:r w:rsidRPr="004D02B5">
                    <w:t>3.4</w:t>
                  </w:r>
                </w:p>
              </w:tc>
              <w:tc>
                <w:tcPr>
                  <w:tcW w:w="467" w:type="pct"/>
                  <w:shd w:val="clear" w:color="auto" w:fill="auto"/>
                  <w:vAlign w:val="bottom"/>
                </w:tcPr>
                <w:p w:rsidR="00745FEA" w:rsidRPr="004D02B5" w:rsidRDefault="00745FEA" w:rsidP="00745FEA">
                  <w:pPr>
                    <w:pStyle w:val="TableBodyText"/>
                    <w:ind w:right="57"/>
                  </w:pPr>
                  <w:r w:rsidRPr="004D02B5">
                    <w:t>5.6</w:t>
                  </w:r>
                </w:p>
              </w:tc>
              <w:tc>
                <w:tcPr>
                  <w:tcW w:w="463" w:type="pct"/>
                  <w:shd w:val="clear" w:color="auto" w:fill="auto"/>
                  <w:vAlign w:val="bottom"/>
                </w:tcPr>
                <w:p w:rsidR="00745FEA" w:rsidRPr="004D02B5" w:rsidRDefault="00745FEA" w:rsidP="00745FEA">
                  <w:pPr>
                    <w:pStyle w:val="TableBodyText"/>
                    <w:ind w:right="57"/>
                  </w:pPr>
                  <w:r w:rsidRPr="004D02B5">
                    <w:t>4.9</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 xml:space="preserve">Small business </w:t>
                  </w:r>
                  <w:r>
                    <w:t>capital gains tax</w:t>
                  </w:r>
                  <w:r w:rsidRPr="00DE417D">
                    <w:t xml:space="preserve"> retirement exemption</w:t>
                  </w:r>
                </w:p>
              </w:tc>
              <w:tc>
                <w:tcPr>
                  <w:tcW w:w="468" w:type="pct"/>
                  <w:vAlign w:val="bottom"/>
                </w:tcPr>
                <w:p w:rsidR="00745FEA" w:rsidRPr="004D02B5" w:rsidRDefault="00745FEA" w:rsidP="00745FEA">
                  <w:pPr>
                    <w:pStyle w:val="TableBodyText"/>
                    <w:ind w:right="57"/>
                  </w:pPr>
                  <w:r w:rsidRPr="004D02B5">
                    <w:t>1.3</w:t>
                  </w:r>
                </w:p>
              </w:tc>
              <w:tc>
                <w:tcPr>
                  <w:tcW w:w="468" w:type="pct"/>
                  <w:vAlign w:val="bottom"/>
                </w:tcPr>
                <w:p w:rsidR="00745FEA" w:rsidRPr="004D02B5" w:rsidRDefault="00745FEA" w:rsidP="00745FEA">
                  <w:pPr>
                    <w:pStyle w:val="TableBodyText"/>
                    <w:ind w:right="57"/>
                  </w:pPr>
                  <w:r w:rsidRPr="004D02B5">
                    <w:t>1.4</w:t>
                  </w:r>
                </w:p>
              </w:tc>
              <w:tc>
                <w:tcPr>
                  <w:tcW w:w="467" w:type="pct"/>
                  <w:vAlign w:val="bottom"/>
                </w:tcPr>
                <w:p w:rsidR="00745FEA" w:rsidRPr="004D02B5" w:rsidRDefault="00745FEA" w:rsidP="00745FEA">
                  <w:pPr>
                    <w:pStyle w:val="TableBodyText"/>
                    <w:ind w:right="57"/>
                  </w:pPr>
                  <w:r w:rsidRPr="004D02B5">
                    <w:t>1.4</w:t>
                  </w:r>
                </w:p>
              </w:tc>
              <w:tc>
                <w:tcPr>
                  <w:tcW w:w="467" w:type="pct"/>
                  <w:vAlign w:val="bottom"/>
                </w:tcPr>
                <w:p w:rsidR="00745FEA" w:rsidRPr="004D02B5" w:rsidRDefault="00745FEA" w:rsidP="00745FEA">
                  <w:pPr>
                    <w:pStyle w:val="TableBodyText"/>
                    <w:ind w:right="57"/>
                  </w:pPr>
                  <w:r w:rsidRPr="004D02B5">
                    <w:t>7.0</w:t>
                  </w:r>
                </w:p>
              </w:tc>
              <w:tc>
                <w:tcPr>
                  <w:tcW w:w="467" w:type="pct"/>
                  <w:shd w:val="clear" w:color="auto" w:fill="auto"/>
                  <w:vAlign w:val="bottom"/>
                </w:tcPr>
                <w:p w:rsidR="00745FEA" w:rsidRPr="004D02B5" w:rsidRDefault="00745FEA" w:rsidP="00745FEA">
                  <w:pPr>
                    <w:pStyle w:val="TableBodyText"/>
                    <w:ind w:right="57"/>
                  </w:pPr>
                  <w:r w:rsidRPr="004D02B5">
                    <w:t>6.0</w:t>
                  </w:r>
                </w:p>
              </w:tc>
              <w:tc>
                <w:tcPr>
                  <w:tcW w:w="463" w:type="pct"/>
                  <w:shd w:val="clear" w:color="auto" w:fill="auto"/>
                  <w:vAlign w:val="bottom"/>
                </w:tcPr>
                <w:p w:rsidR="00745FEA" w:rsidRPr="004D02B5" w:rsidRDefault="00745FEA" w:rsidP="00745FEA">
                  <w:pPr>
                    <w:pStyle w:val="TableBodyText"/>
                    <w:ind w:right="57"/>
                  </w:pPr>
                  <w:r w:rsidRPr="004D02B5">
                    <w:t>6.9</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 xml:space="preserve">Small business </w:t>
                  </w:r>
                  <w:r>
                    <w:t>capital gains tax</w:t>
                  </w:r>
                  <w:r w:rsidRPr="00DE417D">
                    <w:t xml:space="preserve"> 50 per cent reduction</w:t>
                  </w:r>
                </w:p>
              </w:tc>
              <w:tc>
                <w:tcPr>
                  <w:tcW w:w="468" w:type="pct"/>
                  <w:vAlign w:val="bottom"/>
                </w:tcPr>
                <w:p w:rsidR="00745FEA" w:rsidRPr="004D02B5" w:rsidRDefault="00745FEA" w:rsidP="00745FEA">
                  <w:pPr>
                    <w:pStyle w:val="TableBodyText"/>
                    <w:ind w:right="57"/>
                  </w:pPr>
                  <w:r w:rsidRPr="004D02B5">
                    <w:t>7.9</w:t>
                  </w:r>
                </w:p>
              </w:tc>
              <w:tc>
                <w:tcPr>
                  <w:tcW w:w="468" w:type="pct"/>
                  <w:vAlign w:val="bottom"/>
                </w:tcPr>
                <w:p w:rsidR="00745FEA" w:rsidRPr="004D02B5" w:rsidRDefault="00745FEA" w:rsidP="00745FEA">
                  <w:pPr>
                    <w:pStyle w:val="TableBodyText"/>
                    <w:ind w:right="57"/>
                  </w:pPr>
                  <w:r w:rsidRPr="004D02B5">
                    <w:t>8.3</w:t>
                  </w:r>
                </w:p>
              </w:tc>
              <w:tc>
                <w:tcPr>
                  <w:tcW w:w="467" w:type="pct"/>
                  <w:vAlign w:val="bottom"/>
                </w:tcPr>
                <w:p w:rsidR="00745FEA" w:rsidRPr="004D02B5" w:rsidRDefault="00745FEA" w:rsidP="00745FEA">
                  <w:pPr>
                    <w:pStyle w:val="TableBodyText"/>
                    <w:ind w:right="57"/>
                  </w:pPr>
                  <w:r w:rsidRPr="004D02B5">
                    <w:t>8.3</w:t>
                  </w:r>
                </w:p>
              </w:tc>
              <w:tc>
                <w:tcPr>
                  <w:tcW w:w="467" w:type="pct"/>
                  <w:vAlign w:val="bottom"/>
                </w:tcPr>
                <w:p w:rsidR="00745FEA" w:rsidRPr="004D02B5" w:rsidRDefault="00745FEA" w:rsidP="00745FEA">
                  <w:pPr>
                    <w:pStyle w:val="TableBodyText"/>
                    <w:ind w:right="57"/>
                  </w:pPr>
                  <w:r w:rsidRPr="004D02B5">
                    <w:t>9.6</w:t>
                  </w:r>
                </w:p>
              </w:tc>
              <w:tc>
                <w:tcPr>
                  <w:tcW w:w="467" w:type="pct"/>
                  <w:shd w:val="clear" w:color="auto" w:fill="auto"/>
                  <w:vAlign w:val="bottom"/>
                </w:tcPr>
                <w:p w:rsidR="00745FEA" w:rsidRPr="004D02B5" w:rsidRDefault="00745FEA" w:rsidP="00745FEA">
                  <w:pPr>
                    <w:pStyle w:val="TableBodyText"/>
                    <w:ind w:right="57"/>
                  </w:pPr>
                  <w:r w:rsidRPr="004D02B5">
                    <w:t>9.3</w:t>
                  </w:r>
                </w:p>
              </w:tc>
              <w:tc>
                <w:tcPr>
                  <w:tcW w:w="463" w:type="pct"/>
                  <w:shd w:val="clear" w:color="auto" w:fill="auto"/>
                  <w:vAlign w:val="bottom"/>
                </w:tcPr>
                <w:p w:rsidR="00745FEA" w:rsidRPr="004D02B5" w:rsidRDefault="00745FEA" w:rsidP="00745FEA">
                  <w:pPr>
                    <w:pStyle w:val="TableBodyText"/>
                    <w:ind w:right="57"/>
                  </w:pPr>
                  <w:r w:rsidRPr="004D02B5">
                    <w:t>11.2</w:t>
                  </w:r>
                </w:p>
              </w:tc>
            </w:tr>
            <w:tr w:rsidR="00745FEA" w:rsidTr="00745FEA">
              <w:tc>
                <w:tcPr>
                  <w:tcW w:w="2200" w:type="pct"/>
                  <w:shd w:val="clear" w:color="auto" w:fill="auto"/>
                </w:tcPr>
                <w:p w:rsidR="00745FEA" w:rsidRPr="00DE417D" w:rsidRDefault="00745FEA" w:rsidP="00745FEA">
                  <w:pPr>
                    <w:pStyle w:val="TableBodyText"/>
                    <w:spacing w:after="0"/>
                    <w:ind w:left="227" w:right="0"/>
                    <w:jc w:val="left"/>
                  </w:pPr>
                  <w:r w:rsidRPr="00DE417D">
                    <w:t>25 per cent entrepreneurs' tax offset</w:t>
                  </w:r>
                </w:p>
              </w:tc>
              <w:tc>
                <w:tcPr>
                  <w:tcW w:w="468" w:type="pct"/>
                  <w:vAlign w:val="bottom"/>
                </w:tcPr>
                <w:p w:rsidR="00745FEA" w:rsidRPr="004D02B5" w:rsidRDefault="00745FEA" w:rsidP="00745FEA">
                  <w:pPr>
                    <w:pStyle w:val="TableBodyText"/>
                    <w:ind w:right="57"/>
                  </w:pPr>
                  <w:r w:rsidRPr="004D02B5">
                    <w:t>12.3</w:t>
                  </w:r>
                </w:p>
              </w:tc>
              <w:tc>
                <w:tcPr>
                  <w:tcW w:w="468" w:type="pct"/>
                  <w:vAlign w:val="bottom"/>
                </w:tcPr>
                <w:p w:rsidR="00745FEA" w:rsidRPr="004D02B5" w:rsidRDefault="00745FEA" w:rsidP="00745FEA">
                  <w:pPr>
                    <w:pStyle w:val="TableBodyText"/>
                    <w:ind w:right="57"/>
                  </w:pPr>
                  <w:r w:rsidRPr="004D02B5">
                    <w:t>13.3</w:t>
                  </w:r>
                </w:p>
              </w:tc>
              <w:tc>
                <w:tcPr>
                  <w:tcW w:w="467" w:type="pct"/>
                  <w:vAlign w:val="bottom"/>
                </w:tcPr>
                <w:p w:rsidR="00745FEA" w:rsidRPr="004D02B5" w:rsidRDefault="00745FEA" w:rsidP="00745FEA">
                  <w:pPr>
                    <w:pStyle w:val="TableBodyText"/>
                    <w:ind w:right="57"/>
                  </w:pPr>
                  <w:r w:rsidRPr="004D02B5">
                    <w:t>–</w:t>
                  </w:r>
                </w:p>
              </w:tc>
              <w:tc>
                <w:tcPr>
                  <w:tcW w:w="467" w:type="pct"/>
                  <w:vAlign w:val="bottom"/>
                </w:tcPr>
                <w:p w:rsidR="00745FEA" w:rsidRPr="004D02B5" w:rsidRDefault="00745FEA" w:rsidP="00745FEA">
                  <w:pPr>
                    <w:pStyle w:val="TableBodyText"/>
                    <w:ind w:right="57"/>
                  </w:pPr>
                  <w:r w:rsidRPr="004D02B5">
                    <w:t>–</w:t>
                  </w:r>
                </w:p>
              </w:tc>
              <w:tc>
                <w:tcPr>
                  <w:tcW w:w="467" w:type="pct"/>
                  <w:shd w:val="clear" w:color="auto" w:fill="auto"/>
                  <w:vAlign w:val="bottom"/>
                </w:tcPr>
                <w:p w:rsidR="00745FEA" w:rsidRPr="004D02B5" w:rsidRDefault="00745FEA" w:rsidP="00745FEA">
                  <w:pPr>
                    <w:pStyle w:val="TableBodyText"/>
                    <w:ind w:right="57"/>
                  </w:pPr>
                  <w:r w:rsidRPr="004D02B5">
                    <w:t>–</w:t>
                  </w:r>
                </w:p>
              </w:tc>
              <w:tc>
                <w:tcPr>
                  <w:tcW w:w="463" w:type="pct"/>
                  <w:shd w:val="clear" w:color="auto" w:fill="auto"/>
                  <w:vAlign w:val="bottom"/>
                </w:tcPr>
                <w:p w:rsidR="00745FEA" w:rsidRPr="004D02B5" w:rsidRDefault="00745FEA" w:rsidP="00745FEA">
                  <w:pPr>
                    <w:pStyle w:val="TableBodyText"/>
                    <w:ind w:right="57"/>
                  </w:pPr>
                  <w:r w:rsidRPr="004D02B5">
                    <w:t>–</w:t>
                  </w:r>
                </w:p>
              </w:tc>
            </w:tr>
            <w:tr w:rsidR="00745FEA" w:rsidTr="00745FEA">
              <w:tc>
                <w:tcPr>
                  <w:tcW w:w="2200" w:type="pct"/>
                  <w:shd w:val="clear" w:color="auto" w:fill="auto"/>
                  <w:vAlign w:val="bottom"/>
                </w:tcPr>
                <w:p w:rsidR="00745FEA" w:rsidRPr="0068119B" w:rsidRDefault="00745FEA" w:rsidP="00745FEA">
                  <w:pPr>
                    <w:spacing w:before="20" w:after="20"/>
                    <w:rPr>
                      <w:rFonts w:ascii="Arial" w:hAnsi="Arial" w:cs="Arial"/>
                      <w:i/>
                      <w:color w:val="000000"/>
                      <w:sz w:val="18"/>
                      <w:szCs w:val="18"/>
                    </w:rPr>
                  </w:pPr>
                  <w:r w:rsidRPr="0068119B">
                    <w:rPr>
                      <w:rFonts w:ascii="Arial" w:hAnsi="Arial" w:cs="Arial"/>
                      <w:i/>
                      <w:color w:val="000000"/>
                      <w:sz w:val="18"/>
                      <w:szCs w:val="18"/>
                    </w:rPr>
                    <w:t>Total</w:t>
                  </w:r>
                </w:p>
              </w:tc>
              <w:tc>
                <w:tcPr>
                  <w:tcW w:w="468" w:type="pct"/>
                  <w:vAlign w:val="bottom"/>
                </w:tcPr>
                <w:p w:rsidR="00745FEA" w:rsidRPr="00AE2156" w:rsidRDefault="00745FEA" w:rsidP="00745FEA">
                  <w:pPr>
                    <w:pStyle w:val="TableBodyText"/>
                    <w:spacing w:before="20" w:after="20"/>
                    <w:ind w:right="57"/>
                    <w:rPr>
                      <w:i/>
                    </w:rPr>
                  </w:pPr>
                  <w:r>
                    <w:rPr>
                      <w:i/>
                    </w:rPr>
                    <w:t>245.7</w:t>
                  </w:r>
                </w:p>
              </w:tc>
              <w:tc>
                <w:tcPr>
                  <w:tcW w:w="468" w:type="pct"/>
                  <w:vAlign w:val="bottom"/>
                </w:tcPr>
                <w:p w:rsidR="00745FEA" w:rsidRPr="00AE2156" w:rsidRDefault="00745FEA" w:rsidP="00745FEA">
                  <w:pPr>
                    <w:pStyle w:val="TableBodyText"/>
                    <w:spacing w:before="20" w:after="20"/>
                    <w:ind w:right="57"/>
                    <w:rPr>
                      <w:i/>
                    </w:rPr>
                  </w:pPr>
                  <w:r>
                    <w:rPr>
                      <w:i/>
                    </w:rPr>
                    <w:t>181.0</w:t>
                  </w:r>
                </w:p>
              </w:tc>
              <w:tc>
                <w:tcPr>
                  <w:tcW w:w="467" w:type="pct"/>
                </w:tcPr>
                <w:p w:rsidR="00745FEA" w:rsidRPr="00AC2494" w:rsidRDefault="00745FEA" w:rsidP="00745FEA">
                  <w:pPr>
                    <w:pStyle w:val="TableBodyText"/>
                    <w:spacing w:before="20" w:after="20"/>
                    <w:ind w:right="57"/>
                    <w:rPr>
                      <w:i/>
                    </w:rPr>
                  </w:pPr>
                  <w:r>
                    <w:rPr>
                      <w:i/>
                    </w:rPr>
                    <w:t>130.7</w:t>
                  </w:r>
                </w:p>
              </w:tc>
              <w:tc>
                <w:tcPr>
                  <w:tcW w:w="467" w:type="pct"/>
                </w:tcPr>
                <w:p w:rsidR="00745FEA" w:rsidRPr="00AC2494" w:rsidRDefault="00745FEA" w:rsidP="00745FEA">
                  <w:pPr>
                    <w:pStyle w:val="TableBodyText"/>
                    <w:spacing w:before="20" w:after="20"/>
                    <w:ind w:right="57"/>
                    <w:rPr>
                      <w:i/>
                    </w:rPr>
                  </w:pPr>
                  <w:r>
                    <w:rPr>
                      <w:i/>
                    </w:rPr>
                    <w:t>105.6</w:t>
                  </w:r>
                </w:p>
              </w:tc>
              <w:tc>
                <w:tcPr>
                  <w:tcW w:w="467" w:type="pct"/>
                  <w:shd w:val="clear" w:color="auto" w:fill="auto"/>
                </w:tcPr>
                <w:p w:rsidR="00745FEA" w:rsidRPr="00AC2494" w:rsidRDefault="00745FEA" w:rsidP="00745FEA">
                  <w:pPr>
                    <w:pStyle w:val="TableBodyText"/>
                    <w:spacing w:before="20" w:after="20"/>
                    <w:ind w:right="57"/>
                    <w:rPr>
                      <w:i/>
                    </w:rPr>
                  </w:pPr>
                  <w:r>
                    <w:rPr>
                      <w:i/>
                    </w:rPr>
                    <w:t>95.9</w:t>
                  </w:r>
                </w:p>
              </w:tc>
              <w:tc>
                <w:tcPr>
                  <w:tcW w:w="463" w:type="pct"/>
                  <w:shd w:val="clear" w:color="auto" w:fill="auto"/>
                </w:tcPr>
                <w:p w:rsidR="00745FEA" w:rsidRPr="00AC2494" w:rsidRDefault="00745FEA" w:rsidP="00745FEA">
                  <w:pPr>
                    <w:pStyle w:val="TableBodyText"/>
                    <w:spacing w:before="20" w:after="20"/>
                    <w:ind w:right="57"/>
                    <w:rPr>
                      <w:i/>
                    </w:rPr>
                  </w:pPr>
                  <w:r>
                    <w:rPr>
                      <w:i/>
                    </w:rPr>
                    <w:t>188.5</w:t>
                  </w:r>
                </w:p>
              </w:tc>
            </w:tr>
            <w:tr w:rsidR="00745FEA" w:rsidTr="00745FEA">
              <w:tc>
                <w:tcPr>
                  <w:tcW w:w="2668" w:type="pct"/>
                  <w:gridSpan w:val="2"/>
                  <w:vAlign w:val="center"/>
                </w:tcPr>
                <w:p w:rsidR="00745FEA" w:rsidRDefault="00745FEA" w:rsidP="00745FEA">
                  <w:pPr>
                    <w:pStyle w:val="TableUnitsRow"/>
                    <w:jc w:val="left"/>
                  </w:pPr>
                  <w:r w:rsidRPr="00182856">
                    <w:rPr>
                      <w:b/>
                    </w:rPr>
                    <w:t>Information, media and telecommunications</w:t>
                  </w:r>
                </w:p>
              </w:tc>
              <w:tc>
                <w:tcPr>
                  <w:tcW w:w="468" w:type="pct"/>
                </w:tcPr>
                <w:p w:rsidR="00745FEA" w:rsidRDefault="00745FEA" w:rsidP="00745FEA">
                  <w:pPr>
                    <w:pStyle w:val="TableUnitsRow"/>
                    <w:ind w:left="0" w:right="57"/>
                  </w:pPr>
                </w:p>
              </w:tc>
              <w:tc>
                <w:tcPr>
                  <w:tcW w:w="467" w:type="pct"/>
                </w:tcPr>
                <w:p w:rsidR="00745FEA" w:rsidRDefault="00745FEA" w:rsidP="00745FEA">
                  <w:pPr>
                    <w:pStyle w:val="TableUnitsRow"/>
                    <w:ind w:left="0" w:right="57"/>
                  </w:pPr>
                </w:p>
              </w:tc>
              <w:tc>
                <w:tcPr>
                  <w:tcW w:w="467" w:type="pct"/>
                </w:tcPr>
                <w:p w:rsidR="00745FEA" w:rsidRDefault="00745FEA" w:rsidP="00745FEA">
                  <w:pPr>
                    <w:pStyle w:val="TableUnitsRow"/>
                    <w:ind w:left="0" w:right="57"/>
                  </w:pPr>
                </w:p>
              </w:tc>
              <w:tc>
                <w:tcPr>
                  <w:tcW w:w="467" w:type="pct"/>
                </w:tcPr>
                <w:p w:rsidR="00745FEA" w:rsidRDefault="00745FEA" w:rsidP="00745FEA">
                  <w:pPr>
                    <w:pStyle w:val="TableUnitsRow"/>
                    <w:ind w:left="0" w:right="57"/>
                  </w:pPr>
                </w:p>
              </w:tc>
              <w:tc>
                <w:tcPr>
                  <w:tcW w:w="463" w:type="pct"/>
                </w:tcPr>
                <w:p w:rsidR="00745FEA" w:rsidRDefault="00745FEA" w:rsidP="00745FEA">
                  <w:pPr>
                    <w:pStyle w:val="TableUnitsRow"/>
                    <w:ind w:left="0" w:right="57"/>
                  </w:pPr>
                </w:p>
              </w:tc>
            </w:tr>
            <w:tr w:rsidR="00745FEA" w:rsidTr="00745FEA">
              <w:tc>
                <w:tcPr>
                  <w:tcW w:w="2200" w:type="pct"/>
                </w:tcPr>
                <w:p w:rsidR="00745FEA" w:rsidRPr="00817CA5" w:rsidRDefault="00745FEA" w:rsidP="00745FEA">
                  <w:pPr>
                    <w:pStyle w:val="TableBodyText"/>
                    <w:spacing w:before="40" w:after="0"/>
                    <w:ind w:left="113"/>
                    <w:jc w:val="left"/>
                    <w:rPr>
                      <w:i/>
                    </w:rPr>
                  </w:pPr>
                  <w:r w:rsidRPr="00817CA5">
                    <w:rPr>
                      <w:i/>
                    </w:rPr>
                    <w:t>Industry-specific measures</w:t>
                  </w:r>
                </w:p>
              </w:tc>
              <w:tc>
                <w:tcPr>
                  <w:tcW w:w="468" w:type="pct"/>
                  <w:vAlign w:val="bottom"/>
                </w:tcPr>
                <w:p w:rsidR="00745FEA" w:rsidRDefault="00745FEA" w:rsidP="00745FEA">
                  <w:pPr>
                    <w:pStyle w:val="TableBodyText"/>
                    <w:spacing w:before="40" w:after="0"/>
                    <w:ind w:left="113" w:right="57"/>
                  </w:pPr>
                </w:p>
              </w:tc>
              <w:tc>
                <w:tcPr>
                  <w:tcW w:w="468"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3" w:type="pct"/>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341BD0" w:rsidRDefault="00745FEA" w:rsidP="00745FEA">
                  <w:pPr>
                    <w:pStyle w:val="TableBodyText"/>
                    <w:spacing w:after="0"/>
                    <w:ind w:left="227" w:right="0"/>
                    <w:jc w:val="left"/>
                  </w:pPr>
                  <w:r w:rsidRPr="00341BD0">
                    <w:t>Community Broadcasting Program</w:t>
                  </w:r>
                </w:p>
              </w:tc>
              <w:tc>
                <w:tcPr>
                  <w:tcW w:w="468" w:type="pct"/>
                  <w:vAlign w:val="bottom"/>
                </w:tcPr>
                <w:p w:rsidR="00745FEA" w:rsidRPr="00341BD0" w:rsidRDefault="00745FEA" w:rsidP="00745FEA">
                  <w:pPr>
                    <w:pStyle w:val="TableBodyText"/>
                    <w:ind w:right="57"/>
                  </w:pPr>
                  <w:r w:rsidRPr="00287C9B">
                    <w:t>&lt;0.1</w:t>
                  </w:r>
                </w:p>
              </w:tc>
              <w:tc>
                <w:tcPr>
                  <w:tcW w:w="468" w:type="pct"/>
                  <w:vAlign w:val="bottom"/>
                </w:tcPr>
                <w:p w:rsidR="00745FEA" w:rsidRPr="00341BD0" w:rsidRDefault="00745FEA" w:rsidP="00745FEA">
                  <w:pPr>
                    <w:pStyle w:val="TableBodyText"/>
                    <w:ind w:right="57"/>
                  </w:pPr>
                  <w:r w:rsidRPr="00287C9B">
                    <w:t>14.9</w:t>
                  </w:r>
                </w:p>
              </w:tc>
              <w:tc>
                <w:tcPr>
                  <w:tcW w:w="467" w:type="pct"/>
                  <w:vAlign w:val="bottom"/>
                </w:tcPr>
                <w:p w:rsidR="00745FEA" w:rsidRPr="00341BD0" w:rsidRDefault="00745FEA" w:rsidP="00745FEA">
                  <w:pPr>
                    <w:pStyle w:val="TableBodyText"/>
                    <w:ind w:right="57"/>
                  </w:pPr>
                  <w:r w:rsidRPr="00287C9B">
                    <w:t>18.2</w:t>
                  </w:r>
                </w:p>
              </w:tc>
              <w:tc>
                <w:tcPr>
                  <w:tcW w:w="467" w:type="pct"/>
                  <w:vAlign w:val="bottom"/>
                </w:tcPr>
                <w:p w:rsidR="00745FEA" w:rsidRPr="00341BD0" w:rsidRDefault="00745FEA" w:rsidP="00745FEA">
                  <w:pPr>
                    <w:pStyle w:val="TableBodyText"/>
                    <w:ind w:right="57"/>
                  </w:pPr>
                  <w:r w:rsidRPr="00287C9B">
                    <w:t>29.1</w:t>
                  </w:r>
                </w:p>
              </w:tc>
              <w:tc>
                <w:tcPr>
                  <w:tcW w:w="467" w:type="pct"/>
                  <w:shd w:val="clear" w:color="auto" w:fill="auto"/>
                  <w:vAlign w:val="bottom"/>
                </w:tcPr>
                <w:p w:rsidR="00745FEA" w:rsidRPr="00341BD0" w:rsidRDefault="00745FEA" w:rsidP="00745FEA">
                  <w:pPr>
                    <w:pStyle w:val="TableBodyText"/>
                    <w:ind w:right="57"/>
                  </w:pPr>
                  <w:r w:rsidRPr="00287C9B">
                    <w:t>16.7</w:t>
                  </w:r>
                </w:p>
              </w:tc>
              <w:tc>
                <w:tcPr>
                  <w:tcW w:w="463" w:type="pct"/>
                  <w:shd w:val="clear" w:color="auto" w:fill="auto"/>
                  <w:vAlign w:val="bottom"/>
                </w:tcPr>
                <w:p w:rsidR="00745FEA" w:rsidRPr="00341BD0" w:rsidRDefault="00745FEA" w:rsidP="00745FEA">
                  <w:pPr>
                    <w:pStyle w:val="TableBodyText"/>
                    <w:ind w:right="57"/>
                  </w:pPr>
                  <w:r w:rsidRPr="00287C9B">
                    <w:t>15.5</w:t>
                  </w:r>
                </w:p>
              </w:tc>
            </w:tr>
            <w:tr w:rsidR="00745FEA" w:rsidTr="00745FEA">
              <w:tc>
                <w:tcPr>
                  <w:tcW w:w="2200" w:type="pct"/>
                  <w:shd w:val="clear" w:color="auto" w:fill="auto"/>
                </w:tcPr>
                <w:p w:rsidR="00745FEA" w:rsidRPr="00341BD0" w:rsidRDefault="00745FEA" w:rsidP="00745FEA">
                  <w:pPr>
                    <w:pStyle w:val="TableBodyText"/>
                    <w:spacing w:after="0"/>
                    <w:ind w:left="227" w:right="0"/>
                    <w:jc w:val="left"/>
                  </w:pPr>
                  <w:r w:rsidRPr="001A73C0">
                    <w:t>Data Retention Industry Grants Programme</w:t>
                  </w:r>
                </w:p>
              </w:tc>
              <w:tc>
                <w:tcPr>
                  <w:tcW w:w="468" w:type="pct"/>
                  <w:vAlign w:val="bottom"/>
                </w:tcPr>
                <w:p w:rsidR="00745FEA" w:rsidRPr="00341BD0" w:rsidRDefault="00745FEA" w:rsidP="00745FEA">
                  <w:pPr>
                    <w:pStyle w:val="TableBodyText"/>
                    <w:ind w:right="57"/>
                  </w:pPr>
                  <w:r w:rsidRPr="00287C9B">
                    <w:t>–</w:t>
                  </w:r>
                </w:p>
              </w:tc>
              <w:tc>
                <w:tcPr>
                  <w:tcW w:w="468" w:type="pct"/>
                  <w:vAlign w:val="bottom"/>
                </w:tcPr>
                <w:p w:rsidR="00745FEA" w:rsidRPr="00341BD0" w:rsidRDefault="00745FEA" w:rsidP="00745FEA">
                  <w:pPr>
                    <w:pStyle w:val="TableBodyText"/>
                    <w:ind w:right="57"/>
                  </w:pPr>
                  <w:r w:rsidRPr="00287C9B">
                    <w:t>–</w:t>
                  </w:r>
                </w:p>
              </w:tc>
              <w:tc>
                <w:tcPr>
                  <w:tcW w:w="467" w:type="pct"/>
                  <w:vAlign w:val="bottom"/>
                </w:tcPr>
                <w:p w:rsidR="00745FEA" w:rsidRPr="00341BD0" w:rsidRDefault="00745FEA" w:rsidP="00745FEA">
                  <w:pPr>
                    <w:pStyle w:val="TableBodyText"/>
                    <w:ind w:right="57"/>
                  </w:pPr>
                  <w:r w:rsidRPr="00287C9B">
                    <w:t>–</w:t>
                  </w:r>
                </w:p>
              </w:tc>
              <w:tc>
                <w:tcPr>
                  <w:tcW w:w="467" w:type="pct"/>
                  <w:vAlign w:val="bottom"/>
                </w:tcPr>
                <w:p w:rsidR="00745FEA" w:rsidRPr="00341BD0" w:rsidRDefault="00745FEA" w:rsidP="00745FEA">
                  <w:pPr>
                    <w:pStyle w:val="TableBodyText"/>
                    <w:ind w:right="57"/>
                  </w:pPr>
                  <w:r w:rsidRPr="00287C9B">
                    <w:t>–</w:t>
                  </w:r>
                </w:p>
              </w:tc>
              <w:tc>
                <w:tcPr>
                  <w:tcW w:w="467" w:type="pct"/>
                  <w:shd w:val="clear" w:color="auto" w:fill="auto"/>
                  <w:vAlign w:val="bottom"/>
                </w:tcPr>
                <w:p w:rsidR="00745FEA" w:rsidRPr="00341BD0" w:rsidRDefault="00745FEA" w:rsidP="00745FEA">
                  <w:pPr>
                    <w:pStyle w:val="TableBodyText"/>
                    <w:ind w:right="57"/>
                  </w:pPr>
                  <w:r w:rsidRPr="00287C9B">
                    <w:t>–</w:t>
                  </w:r>
                </w:p>
              </w:tc>
              <w:tc>
                <w:tcPr>
                  <w:tcW w:w="463" w:type="pct"/>
                  <w:shd w:val="clear" w:color="auto" w:fill="auto"/>
                  <w:vAlign w:val="bottom"/>
                </w:tcPr>
                <w:p w:rsidR="00745FEA" w:rsidRPr="00341BD0" w:rsidRDefault="00745FEA" w:rsidP="00745FEA">
                  <w:pPr>
                    <w:pStyle w:val="TableBodyText"/>
                    <w:ind w:right="57"/>
                  </w:pPr>
                  <w:r w:rsidRPr="00287C9B">
                    <w:t>120.1</w:t>
                  </w:r>
                </w:p>
              </w:tc>
            </w:tr>
            <w:tr w:rsidR="00745FEA" w:rsidTr="00745FEA">
              <w:tc>
                <w:tcPr>
                  <w:tcW w:w="2200" w:type="pct"/>
                  <w:shd w:val="clear" w:color="auto" w:fill="auto"/>
                </w:tcPr>
                <w:p w:rsidR="00745FEA" w:rsidRPr="00341BD0" w:rsidRDefault="00745FEA" w:rsidP="00745FEA">
                  <w:pPr>
                    <w:pStyle w:val="TableBodyText"/>
                    <w:spacing w:after="0"/>
                    <w:ind w:left="227" w:right="0"/>
                    <w:jc w:val="left"/>
                  </w:pPr>
                  <w:r w:rsidRPr="00341BD0">
                    <w:t>Vodafone Hutchison Australia - Tasmania Call Centre Expansion</w:t>
                  </w:r>
                </w:p>
              </w:tc>
              <w:tc>
                <w:tcPr>
                  <w:tcW w:w="468" w:type="pct"/>
                  <w:vAlign w:val="bottom"/>
                </w:tcPr>
                <w:p w:rsidR="00745FEA" w:rsidRPr="00341BD0" w:rsidRDefault="00745FEA" w:rsidP="00745FEA">
                  <w:pPr>
                    <w:pStyle w:val="TableBodyText"/>
                    <w:ind w:right="57"/>
                  </w:pPr>
                  <w:r w:rsidRPr="00287C9B">
                    <w:t>–</w:t>
                  </w:r>
                </w:p>
              </w:tc>
              <w:tc>
                <w:tcPr>
                  <w:tcW w:w="468" w:type="pct"/>
                  <w:vAlign w:val="bottom"/>
                </w:tcPr>
                <w:p w:rsidR="00745FEA" w:rsidRPr="00341BD0" w:rsidRDefault="00745FEA" w:rsidP="00745FEA">
                  <w:pPr>
                    <w:pStyle w:val="TableBodyText"/>
                    <w:ind w:right="57"/>
                  </w:pPr>
                  <w:r w:rsidRPr="00287C9B">
                    <w:t>4.0</w:t>
                  </w:r>
                </w:p>
              </w:tc>
              <w:tc>
                <w:tcPr>
                  <w:tcW w:w="467" w:type="pct"/>
                  <w:vAlign w:val="bottom"/>
                </w:tcPr>
                <w:p w:rsidR="00745FEA" w:rsidRPr="00341BD0" w:rsidRDefault="00745FEA" w:rsidP="00745FEA">
                  <w:pPr>
                    <w:pStyle w:val="TableBodyText"/>
                    <w:ind w:right="57"/>
                  </w:pPr>
                  <w:r w:rsidRPr="00287C9B">
                    <w:t>–</w:t>
                  </w:r>
                </w:p>
              </w:tc>
              <w:tc>
                <w:tcPr>
                  <w:tcW w:w="467" w:type="pct"/>
                  <w:vAlign w:val="bottom"/>
                </w:tcPr>
                <w:p w:rsidR="00745FEA" w:rsidRPr="00341BD0" w:rsidRDefault="00745FEA" w:rsidP="00745FEA">
                  <w:pPr>
                    <w:pStyle w:val="TableBodyText"/>
                    <w:ind w:right="57"/>
                  </w:pPr>
                  <w:r w:rsidRPr="00287C9B">
                    <w:t>–</w:t>
                  </w:r>
                </w:p>
              </w:tc>
              <w:tc>
                <w:tcPr>
                  <w:tcW w:w="467" w:type="pct"/>
                  <w:shd w:val="clear" w:color="auto" w:fill="auto"/>
                  <w:vAlign w:val="bottom"/>
                </w:tcPr>
                <w:p w:rsidR="00745FEA" w:rsidRPr="00341BD0" w:rsidRDefault="00745FEA" w:rsidP="00745FEA">
                  <w:pPr>
                    <w:pStyle w:val="TableBodyText"/>
                    <w:ind w:right="57"/>
                  </w:pPr>
                  <w:r w:rsidRPr="00287C9B">
                    <w:t>–</w:t>
                  </w:r>
                </w:p>
              </w:tc>
              <w:tc>
                <w:tcPr>
                  <w:tcW w:w="463" w:type="pct"/>
                  <w:shd w:val="clear" w:color="auto" w:fill="auto"/>
                  <w:vAlign w:val="bottom"/>
                </w:tcPr>
                <w:p w:rsidR="00745FEA" w:rsidRPr="00341BD0" w:rsidRDefault="00745FEA" w:rsidP="00745FEA">
                  <w:pPr>
                    <w:pStyle w:val="TableBodyText"/>
                    <w:ind w:right="57"/>
                  </w:pPr>
                  <w:r w:rsidRPr="00287C9B">
                    <w:t>–</w:t>
                  </w:r>
                </w:p>
              </w:tc>
            </w:tr>
            <w:tr w:rsidR="00745FEA" w:rsidTr="00745FEA">
              <w:tc>
                <w:tcPr>
                  <w:tcW w:w="2200" w:type="pct"/>
                  <w:shd w:val="clear" w:color="auto" w:fill="auto"/>
                </w:tcPr>
                <w:p w:rsidR="00745FEA" w:rsidRPr="00341BD0" w:rsidRDefault="00745FEA" w:rsidP="00745FEA">
                  <w:pPr>
                    <w:pStyle w:val="TableBodyText"/>
                    <w:spacing w:after="0"/>
                    <w:ind w:left="227" w:right="0"/>
                    <w:jc w:val="left"/>
                  </w:pPr>
                  <w:r w:rsidRPr="00341BD0">
                    <w:t>Rebate for broadcasting licence fees</w:t>
                  </w:r>
                </w:p>
              </w:tc>
              <w:tc>
                <w:tcPr>
                  <w:tcW w:w="468" w:type="pct"/>
                  <w:vAlign w:val="bottom"/>
                </w:tcPr>
                <w:p w:rsidR="00745FEA" w:rsidRPr="00341BD0" w:rsidRDefault="00745FEA" w:rsidP="00745FEA">
                  <w:pPr>
                    <w:pStyle w:val="TableBodyText"/>
                    <w:ind w:right="57"/>
                  </w:pPr>
                  <w:r w:rsidRPr="00287C9B">
                    <w:t>130.0</w:t>
                  </w:r>
                </w:p>
              </w:tc>
              <w:tc>
                <w:tcPr>
                  <w:tcW w:w="468" w:type="pct"/>
                  <w:vAlign w:val="bottom"/>
                </w:tcPr>
                <w:p w:rsidR="00745FEA" w:rsidRPr="00341BD0" w:rsidRDefault="00745FEA" w:rsidP="00745FEA">
                  <w:pPr>
                    <w:pStyle w:val="TableBodyText"/>
                    <w:ind w:right="57"/>
                  </w:pPr>
                  <w:r w:rsidRPr="00287C9B">
                    <w:t>155.0</w:t>
                  </w:r>
                </w:p>
              </w:tc>
              <w:tc>
                <w:tcPr>
                  <w:tcW w:w="467" w:type="pct"/>
                  <w:vAlign w:val="bottom"/>
                </w:tcPr>
                <w:p w:rsidR="00745FEA" w:rsidRPr="00341BD0" w:rsidRDefault="00745FEA" w:rsidP="00745FEA">
                  <w:pPr>
                    <w:pStyle w:val="TableBodyText"/>
                    <w:ind w:right="57"/>
                  </w:pPr>
                  <w:r w:rsidRPr="00287C9B">
                    <w:t>–</w:t>
                  </w:r>
                </w:p>
              </w:tc>
              <w:tc>
                <w:tcPr>
                  <w:tcW w:w="467" w:type="pct"/>
                  <w:vAlign w:val="bottom"/>
                </w:tcPr>
                <w:p w:rsidR="00745FEA" w:rsidRPr="00341BD0" w:rsidRDefault="00745FEA" w:rsidP="00745FEA">
                  <w:pPr>
                    <w:pStyle w:val="TableBodyText"/>
                    <w:ind w:right="57"/>
                  </w:pPr>
                  <w:r w:rsidRPr="00287C9B">
                    <w:t>–</w:t>
                  </w:r>
                </w:p>
              </w:tc>
              <w:tc>
                <w:tcPr>
                  <w:tcW w:w="467" w:type="pct"/>
                  <w:shd w:val="clear" w:color="auto" w:fill="auto"/>
                  <w:vAlign w:val="bottom"/>
                </w:tcPr>
                <w:p w:rsidR="00745FEA" w:rsidRPr="00341BD0" w:rsidRDefault="00745FEA" w:rsidP="00745FEA">
                  <w:pPr>
                    <w:pStyle w:val="TableBodyText"/>
                    <w:ind w:right="57"/>
                  </w:pPr>
                  <w:r w:rsidRPr="00287C9B">
                    <w:t>–</w:t>
                  </w:r>
                </w:p>
              </w:tc>
              <w:tc>
                <w:tcPr>
                  <w:tcW w:w="463" w:type="pct"/>
                  <w:shd w:val="clear" w:color="auto" w:fill="auto"/>
                  <w:vAlign w:val="bottom"/>
                </w:tcPr>
                <w:p w:rsidR="00745FEA" w:rsidRPr="00341BD0" w:rsidRDefault="00745FEA" w:rsidP="00745FEA">
                  <w:pPr>
                    <w:pStyle w:val="TableBodyText"/>
                    <w:ind w:right="57"/>
                  </w:pPr>
                  <w:r w:rsidRPr="00287C9B">
                    <w:t>–</w:t>
                  </w:r>
                </w:p>
              </w:tc>
            </w:tr>
            <w:tr w:rsidR="00745FEA" w:rsidTr="00745FEA">
              <w:tc>
                <w:tcPr>
                  <w:tcW w:w="2200" w:type="pct"/>
                  <w:shd w:val="clear" w:color="auto" w:fill="auto"/>
                </w:tcPr>
                <w:p w:rsidR="00745FEA" w:rsidRPr="00341BD0" w:rsidRDefault="00745FEA" w:rsidP="00745FEA">
                  <w:pPr>
                    <w:pStyle w:val="TableBodyText"/>
                    <w:spacing w:after="0"/>
                    <w:ind w:left="227" w:right="0"/>
                    <w:jc w:val="left"/>
                  </w:pPr>
                  <w:r w:rsidRPr="00341BD0">
                    <w:t>Regional Equalisation Plan</w:t>
                  </w:r>
                </w:p>
              </w:tc>
              <w:tc>
                <w:tcPr>
                  <w:tcW w:w="468" w:type="pct"/>
                  <w:vAlign w:val="bottom"/>
                </w:tcPr>
                <w:p w:rsidR="00745FEA" w:rsidRPr="00341BD0" w:rsidRDefault="00745FEA" w:rsidP="00745FEA">
                  <w:pPr>
                    <w:pStyle w:val="TableBodyText"/>
                    <w:ind w:right="57"/>
                  </w:pPr>
                  <w:r w:rsidRPr="00287C9B">
                    <w:t>1.1</w:t>
                  </w:r>
                </w:p>
              </w:tc>
              <w:tc>
                <w:tcPr>
                  <w:tcW w:w="468" w:type="pct"/>
                  <w:vAlign w:val="bottom"/>
                </w:tcPr>
                <w:p w:rsidR="00745FEA" w:rsidRPr="00341BD0" w:rsidRDefault="00745FEA" w:rsidP="00745FEA">
                  <w:pPr>
                    <w:pStyle w:val="TableBodyText"/>
                    <w:ind w:right="57"/>
                  </w:pPr>
                  <w:r w:rsidRPr="00287C9B">
                    <w:t>1.0</w:t>
                  </w:r>
                </w:p>
              </w:tc>
              <w:tc>
                <w:tcPr>
                  <w:tcW w:w="467" w:type="pct"/>
                  <w:vAlign w:val="bottom"/>
                </w:tcPr>
                <w:p w:rsidR="00745FEA" w:rsidRPr="00341BD0" w:rsidRDefault="00745FEA" w:rsidP="00745FEA">
                  <w:pPr>
                    <w:pStyle w:val="TableBodyText"/>
                    <w:ind w:right="57"/>
                  </w:pPr>
                  <w:r w:rsidRPr="00287C9B">
                    <w:t>4.7</w:t>
                  </w:r>
                </w:p>
              </w:tc>
              <w:tc>
                <w:tcPr>
                  <w:tcW w:w="467" w:type="pct"/>
                  <w:vAlign w:val="bottom"/>
                </w:tcPr>
                <w:p w:rsidR="00745FEA" w:rsidRPr="00341BD0" w:rsidRDefault="00745FEA" w:rsidP="00745FEA">
                  <w:pPr>
                    <w:pStyle w:val="TableBodyText"/>
                    <w:ind w:right="57"/>
                  </w:pPr>
                  <w:r w:rsidRPr="00287C9B">
                    <w:t>4.6</w:t>
                  </w:r>
                </w:p>
              </w:tc>
              <w:tc>
                <w:tcPr>
                  <w:tcW w:w="467" w:type="pct"/>
                  <w:shd w:val="clear" w:color="auto" w:fill="auto"/>
                  <w:vAlign w:val="bottom"/>
                </w:tcPr>
                <w:p w:rsidR="00745FEA" w:rsidRPr="00341BD0" w:rsidRDefault="00745FEA" w:rsidP="00745FEA">
                  <w:pPr>
                    <w:pStyle w:val="TableBodyText"/>
                    <w:ind w:right="57"/>
                  </w:pPr>
                  <w:r w:rsidRPr="00287C9B">
                    <w:t>1.0</w:t>
                  </w:r>
                </w:p>
              </w:tc>
              <w:tc>
                <w:tcPr>
                  <w:tcW w:w="463" w:type="pct"/>
                  <w:shd w:val="clear" w:color="auto" w:fill="auto"/>
                  <w:vAlign w:val="bottom"/>
                </w:tcPr>
                <w:p w:rsidR="00745FEA" w:rsidRDefault="00745FEA" w:rsidP="00745FEA">
                  <w:pPr>
                    <w:pStyle w:val="TableBodyText"/>
                    <w:ind w:right="57"/>
                  </w:pPr>
                  <w:r w:rsidRPr="00287C9B">
                    <w:t>1.0</w:t>
                  </w:r>
                </w:p>
              </w:tc>
            </w:tr>
            <w:tr w:rsidR="00745FEA" w:rsidTr="00745FEA">
              <w:tc>
                <w:tcPr>
                  <w:tcW w:w="2200" w:type="pct"/>
                  <w:shd w:val="clear" w:color="auto" w:fill="auto"/>
                </w:tcPr>
                <w:p w:rsidR="00745FEA" w:rsidRPr="00FB51A7" w:rsidRDefault="00745FEA" w:rsidP="00745FEA">
                  <w:pPr>
                    <w:pStyle w:val="TableBodyText"/>
                    <w:spacing w:before="40" w:after="0"/>
                    <w:ind w:left="113"/>
                    <w:jc w:val="left"/>
                    <w:rPr>
                      <w:i/>
                    </w:rPr>
                  </w:pPr>
                  <w:r w:rsidRPr="00FB51A7">
                    <w:rPr>
                      <w:i/>
                    </w:rPr>
                    <w:t>Sector-specific measures</w:t>
                  </w:r>
                </w:p>
              </w:tc>
              <w:tc>
                <w:tcPr>
                  <w:tcW w:w="468" w:type="pct"/>
                  <w:vAlign w:val="bottom"/>
                </w:tcPr>
                <w:p w:rsidR="00745FEA" w:rsidRDefault="00745FEA" w:rsidP="00745FEA">
                  <w:pPr>
                    <w:pStyle w:val="TableBodyText"/>
                    <w:ind w:right="57"/>
                  </w:pP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61450C" w:rsidRDefault="00745FEA" w:rsidP="00745FEA">
                  <w:pPr>
                    <w:pStyle w:val="TableBodyText"/>
                    <w:spacing w:after="0"/>
                    <w:ind w:left="227" w:right="0"/>
                    <w:jc w:val="left"/>
                  </w:pPr>
                  <w:r w:rsidRPr="001A73C0">
                    <w:t>Industry Growth Centres</w:t>
                  </w:r>
                </w:p>
              </w:tc>
              <w:tc>
                <w:tcPr>
                  <w:tcW w:w="468" w:type="pct"/>
                  <w:vAlign w:val="bottom"/>
                </w:tcPr>
                <w:p w:rsidR="00745FEA" w:rsidRPr="0061450C" w:rsidRDefault="00745FEA" w:rsidP="00745FEA">
                  <w:pPr>
                    <w:pStyle w:val="TableBodyText"/>
                    <w:ind w:right="57"/>
                  </w:pPr>
                  <w:r w:rsidRPr="0067608B">
                    <w:t>–</w:t>
                  </w:r>
                </w:p>
              </w:tc>
              <w:tc>
                <w:tcPr>
                  <w:tcW w:w="468" w:type="pct"/>
                  <w:vAlign w:val="bottom"/>
                </w:tcPr>
                <w:p w:rsidR="00745FEA" w:rsidRPr="0061450C" w:rsidRDefault="00745FEA" w:rsidP="00745FEA">
                  <w:pPr>
                    <w:pStyle w:val="TableBodyText"/>
                    <w:ind w:right="57"/>
                  </w:pPr>
                  <w:r w:rsidRPr="0067608B">
                    <w:t>–</w:t>
                  </w:r>
                </w:p>
              </w:tc>
              <w:tc>
                <w:tcPr>
                  <w:tcW w:w="467" w:type="pct"/>
                  <w:vAlign w:val="bottom"/>
                </w:tcPr>
                <w:p w:rsidR="00745FEA" w:rsidRPr="0061450C" w:rsidRDefault="00745FEA" w:rsidP="00745FEA">
                  <w:pPr>
                    <w:pStyle w:val="TableBodyText"/>
                    <w:ind w:right="57"/>
                  </w:pPr>
                  <w:r w:rsidRPr="0067608B">
                    <w:t>–</w:t>
                  </w:r>
                </w:p>
              </w:tc>
              <w:tc>
                <w:tcPr>
                  <w:tcW w:w="467" w:type="pct"/>
                  <w:vAlign w:val="bottom"/>
                </w:tcPr>
                <w:p w:rsidR="00745FEA" w:rsidRPr="0061450C" w:rsidRDefault="00745FEA" w:rsidP="00745FEA">
                  <w:pPr>
                    <w:pStyle w:val="TableBodyText"/>
                    <w:ind w:right="57"/>
                  </w:pPr>
                  <w:r w:rsidRPr="0067608B">
                    <w:t>–</w:t>
                  </w:r>
                </w:p>
              </w:tc>
              <w:tc>
                <w:tcPr>
                  <w:tcW w:w="467" w:type="pct"/>
                  <w:shd w:val="clear" w:color="auto" w:fill="auto"/>
                  <w:vAlign w:val="bottom"/>
                </w:tcPr>
                <w:p w:rsidR="00745FEA" w:rsidRPr="0061450C" w:rsidRDefault="00745FEA" w:rsidP="00745FEA">
                  <w:pPr>
                    <w:pStyle w:val="TableBodyText"/>
                    <w:ind w:right="57"/>
                  </w:pPr>
                  <w:r w:rsidRPr="0067608B">
                    <w:t>–</w:t>
                  </w:r>
                </w:p>
              </w:tc>
              <w:tc>
                <w:tcPr>
                  <w:tcW w:w="463" w:type="pct"/>
                  <w:shd w:val="clear" w:color="auto" w:fill="auto"/>
                  <w:vAlign w:val="bottom"/>
                </w:tcPr>
                <w:p w:rsidR="00745FEA" w:rsidRPr="0061450C" w:rsidRDefault="00745FEA" w:rsidP="00745FEA">
                  <w:pPr>
                    <w:pStyle w:val="TableBodyText"/>
                    <w:ind w:right="57"/>
                  </w:pPr>
                  <w:r w:rsidRPr="0067608B">
                    <w:t>4.2</w:t>
                  </w:r>
                </w:p>
              </w:tc>
            </w:tr>
            <w:tr w:rsidR="00745FEA" w:rsidTr="00745FEA">
              <w:tc>
                <w:tcPr>
                  <w:tcW w:w="2200" w:type="pct"/>
                  <w:shd w:val="clear" w:color="auto" w:fill="auto"/>
                </w:tcPr>
                <w:p w:rsidR="00745FEA" w:rsidRPr="00817CA5" w:rsidRDefault="00745FEA" w:rsidP="00745FEA">
                  <w:pPr>
                    <w:pStyle w:val="TableBodyText"/>
                    <w:spacing w:before="40" w:after="0"/>
                    <w:ind w:left="113"/>
                    <w:jc w:val="left"/>
                    <w:rPr>
                      <w:i/>
                    </w:rPr>
                  </w:pPr>
                  <w:r w:rsidRPr="00817CA5">
                    <w:rPr>
                      <w:i/>
                    </w:rPr>
                    <w:t>General export measures</w:t>
                  </w:r>
                </w:p>
              </w:tc>
              <w:tc>
                <w:tcPr>
                  <w:tcW w:w="468" w:type="pct"/>
                  <w:vAlign w:val="bottom"/>
                </w:tcPr>
                <w:p w:rsidR="00745FEA" w:rsidRDefault="00745FEA" w:rsidP="00745FEA">
                  <w:pPr>
                    <w:pStyle w:val="TableBodyText"/>
                    <w:ind w:right="57"/>
                  </w:pP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9B6778" w:rsidRDefault="00745FEA" w:rsidP="00745FEA">
                  <w:pPr>
                    <w:pStyle w:val="TableBodyText"/>
                    <w:spacing w:after="0"/>
                    <w:ind w:left="227" w:right="0"/>
                    <w:jc w:val="left"/>
                  </w:pPr>
                  <w:r w:rsidRPr="009B6778">
                    <w:t>Export Market Development Grants Scheme</w:t>
                  </w:r>
                </w:p>
              </w:tc>
              <w:tc>
                <w:tcPr>
                  <w:tcW w:w="468" w:type="pct"/>
                  <w:vAlign w:val="bottom"/>
                </w:tcPr>
                <w:p w:rsidR="00745FEA" w:rsidRPr="009B6778" w:rsidRDefault="00745FEA" w:rsidP="00745FEA">
                  <w:pPr>
                    <w:pStyle w:val="TableBodyText"/>
                    <w:ind w:right="57"/>
                  </w:pPr>
                  <w:r w:rsidRPr="001052B8">
                    <w:t>19.2</w:t>
                  </w:r>
                </w:p>
              </w:tc>
              <w:tc>
                <w:tcPr>
                  <w:tcW w:w="468" w:type="pct"/>
                  <w:vAlign w:val="bottom"/>
                </w:tcPr>
                <w:p w:rsidR="00745FEA" w:rsidRPr="009B6778" w:rsidRDefault="00745FEA" w:rsidP="00745FEA">
                  <w:pPr>
                    <w:pStyle w:val="TableBodyText"/>
                    <w:ind w:right="57"/>
                  </w:pPr>
                  <w:r w:rsidRPr="001052B8">
                    <w:t>18.2</w:t>
                  </w:r>
                </w:p>
              </w:tc>
              <w:tc>
                <w:tcPr>
                  <w:tcW w:w="467" w:type="pct"/>
                  <w:vAlign w:val="bottom"/>
                </w:tcPr>
                <w:p w:rsidR="00745FEA" w:rsidRPr="009B6778" w:rsidRDefault="00745FEA" w:rsidP="00745FEA">
                  <w:pPr>
                    <w:pStyle w:val="TableBodyText"/>
                    <w:ind w:right="57"/>
                  </w:pPr>
                  <w:r w:rsidRPr="001052B8">
                    <w:t>17.0</w:t>
                  </w:r>
                </w:p>
              </w:tc>
              <w:tc>
                <w:tcPr>
                  <w:tcW w:w="467" w:type="pct"/>
                  <w:vAlign w:val="bottom"/>
                </w:tcPr>
                <w:p w:rsidR="00745FEA" w:rsidRPr="009B6778" w:rsidRDefault="00745FEA" w:rsidP="00745FEA">
                  <w:pPr>
                    <w:pStyle w:val="TableBodyText"/>
                    <w:ind w:right="57"/>
                  </w:pPr>
                  <w:r w:rsidRPr="001052B8">
                    <w:t>17.3</w:t>
                  </w:r>
                </w:p>
              </w:tc>
              <w:tc>
                <w:tcPr>
                  <w:tcW w:w="467" w:type="pct"/>
                  <w:shd w:val="clear" w:color="auto" w:fill="auto"/>
                  <w:vAlign w:val="bottom"/>
                </w:tcPr>
                <w:p w:rsidR="00745FEA" w:rsidRPr="009B6778" w:rsidRDefault="00745FEA" w:rsidP="00745FEA">
                  <w:pPr>
                    <w:pStyle w:val="TableBodyText"/>
                    <w:ind w:right="57"/>
                  </w:pPr>
                  <w:r w:rsidRPr="001052B8">
                    <w:t>18.5</w:t>
                  </w:r>
                </w:p>
              </w:tc>
              <w:tc>
                <w:tcPr>
                  <w:tcW w:w="463" w:type="pct"/>
                  <w:shd w:val="clear" w:color="auto" w:fill="auto"/>
                  <w:vAlign w:val="bottom"/>
                </w:tcPr>
                <w:p w:rsidR="00745FEA" w:rsidRDefault="00745FEA" w:rsidP="00745FEA">
                  <w:pPr>
                    <w:pStyle w:val="TableBodyText"/>
                    <w:ind w:right="57"/>
                  </w:pPr>
                  <w:r w:rsidRPr="001052B8">
                    <w:t>17.0</w:t>
                  </w:r>
                </w:p>
              </w:tc>
            </w:tr>
            <w:tr w:rsidR="00745FEA" w:rsidTr="00745FEA">
              <w:tc>
                <w:tcPr>
                  <w:tcW w:w="2200" w:type="pct"/>
                  <w:shd w:val="clear" w:color="auto" w:fill="auto"/>
                </w:tcPr>
                <w:p w:rsidR="00745FEA" w:rsidRPr="00817CA5" w:rsidRDefault="00745FEA" w:rsidP="00745FEA">
                  <w:pPr>
                    <w:pStyle w:val="TableBodyText"/>
                    <w:spacing w:before="40" w:after="0"/>
                    <w:ind w:left="113"/>
                    <w:jc w:val="left"/>
                    <w:rPr>
                      <w:i/>
                    </w:rPr>
                  </w:pPr>
                  <w:r w:rsidRPr="00817CA5">
                    <w:rPr>
                      <w:i/>
                    </w:rPr>
                    <w:t>General R&amp;D measures</w:t>
                  </w:r>
                </w:p>
              </w:tc>
              <w:tc>
                <w:tcPr>
                  <w:tcW w:w="468" w:type="pct"/>
                  <w:vAlign w:val="bottom"/>
                </w:tcPr>
                <w:p w:rsidR="00745FEA" w:rsidRDefault="00745FEA" w:rsidP="00745FEA">
                  <w:pPr>
                    <w:pStyle w:val="TableBodyText"/>
                    <w:ind w:right="57"/>
                  </w:pP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Commercialisation Australia</w:t>
                  </w:r>
                </w:p>
              </w:tc>
              <w:tc>
                <w:tcPr>
                  <w:tcW w:w="468" w:type="pct"/>
                  <w:vAlign w:val="bottom"/>
                </w:tcPr>
                <w:p w:rsidR="00745FEA" w:rsidRPr="00A00E51" w:rsidRDefault="00745FEA" w:rsidP="00745FEA">
                  <w:pPr>
                    <w:pStyle w:val="TableBodyText"/>
                    <w:ind w:right="57"/>
                  </w:pPr>
                  <w:r w:rsidRPr="00C82D9D">
                    <w:t>8.1</w:t>
                  </w:r>
                </w:p>
              </w:tc>
              <w:tc>
                <w:tcPr>
                  <w:tcW w:w="468" w:type="pct"/>
                  <w:vAlign w:val="bottom"/>
                </w:tcPr>
                <w:p w:rsidR="00745FEA" w:rsidRPr="00A00E51" w:rsidRDefault="00745FEA" w:rsidP="00745FEA">
                  <w:pPr>
                    <w:pStyle w:val="TableBodyText"/>
                    <w:ind w:right="57"/>
                  </w:pPr>
                  <w:r w:rsidRPr="00C82D9D">
                    <w:t>9.3</w:t>
                  </w:r>
                </w:p>
              </w:tc>
              <w:tc>
                <w:tcPr>
                  <w:tcW w:w="467" w:type="pct"/>
                  <w:vAlign w:val="bottom"/>
                </w:tcPr>
                <w:p w:rsidR="00745FEA" w:rsidRPr="00A00E51" w:rsidRDefault="00745FEA" w:rsidP="00745FEA">
                  <w:pPr>
                    <w:pStyle w:val="TableBodyText"/>
                    <w:ind w:right="57"/>
                  </w:pPr>
                  <w:r w:rsidRPr="00C82D9D">
                    <w:t>11.1</w:t>
                  </w:r>
                </w:p>
              </w:tc>
              <w:tc>
                <w:tcPr>
                  <w:tcW w:w="467" w:type="pct"/>
                  <w:vAlign w:val="bottom"/>
                </w:tcPr>
                <w:p w:rsidR="00745FEA" w:rsidRPr="00A00E51" w:rsidRDefault="00745FEA" w:rsidP="00745FEA">
                  <w:pPr>
                    <w:pStyle w:val="TableBodyText"/>
                    <w:ind w:right="57"/>
                  </w:pPr>
                  <w:r w:rsidRPr="00C82D9D">
                    <w:t>8.2</w:t>
                  </w:r>
                </w:p>
              </w:tc>
              <w:tc>
                <w:tcPr>
                  <w:tcW w:w="467" w:type="pct"/>
                  <w:shd w:val="clear" w:color="auto" w:fill="auto"/>
                  <w:vAlign w:val="bottom"/>
                </w:tcPr>
                <w:p w:rsidR="00745FEA" w:rsidRPr="00A00E51" w:rsidRDefault="00745FEA" w:rsidP="00745FEA">
                  <w:pPr>
                    <w:pStyle w:val="TableBodyText"/>
                    <w:ind w:right="57"/>
                  </w:pPr>
                  <w:r w:rsidRPr="00C82D9D">
                    <w:t>1.0</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COMET Program</w:t>
                  </w:r>
                </w:p>
              </w:tc>
              <w:tc>
                <w:tcPr>
                  <w:tcW w:w="468" w:type="pct"/>
                  <w:vAlign w:val="bottom"/>
                </w:tcPr>
                <w:p w:rsidR="00745FEA" w:rsidRPr="00A00E51" w:rsidRDefault="00745FEA" w:rsidP="00745FEA">
                  <w:pPr>
                    <w:pStyle w:val="TableBodyText"/>
                    <w:ind w:right="57"/>
                  </w:pPr>
                  <w:r w:rsidRPr="00C82D9D">
                    <w:t>&lt;0.1</w:t>
                  </w:r>
                </w:p>
              </w:tc>
              <w:tc>
                <w:tcPr>
                  <w:tcW w:w="468" w:type="pct"/>
                  <w:vAlign w:val="bottom"/>
                </w:tcPr>
                <w:p w:rsidR="00745FEA" w:rsidRPr="00A00E51" w:rsidRDefault="00745FEA" w:rsidP="00745FEA">
                  <w:pPr>
                    <w:pStyle w:val="TableBodyText"/>
                    <w:ind w:right="57"/>
                  </w:pPr>
                  <w:r w:rsidRPr="00C82D9D">
                    <w:t>–</w:t>
                  </w:r>
                </w:p>
              </w:tc>
              <w:tc>
                <w:tcPr>
                  <w:tcW w:w="467" w:type="pct"/>
                  <w:vAlign w:val="bottom"/>
                </w:tcPr>
                <w:p w:rsidR="00745FEA" w:rsidRPr="00A00E51" w:rsidRDefault="00745FEA" w:rsidP="00745FEA">
                  <w:pPr>
                    <w:pStyle w:val="TableBodyText"/>
                    <w:ind w:right="57"/>
                  </w:pPr>
                  <w:r w:rsidRPr="00C82D9D">
                    <w:t>–</w:t>
                  </w:r>
                </w:p>
              </w:tc>
              <w:tc>
                <w:tcPr>
                  <w:tcW w:w="467" w:type="pct"/>
                  <w:vAlign w:val="bottom"/>
                </w:tcPr>
                <w:p w:rsidR="00745FEA" w:rsidRPr="00A00E51" w:rsidRDefault="00745FEA" w:rsidP="00745FEA">
                  <w:pPr>
                    <w:pStyle w:val="TableBodyText"/>
                    <w:ind w:right="57"/>
                  </w:pPr>
                  <w:r w:rsidRPr="00C82D9D">
                    <w:t>–</w:t>
                  </w:r>
                </w:p>
              </w:tc>
              <w:tc>
                <w:tcPr>
                  <w:tcW w:w="467" w:type="pct"/>
                  <w:shd w:val="clear" w:color="auto" w:fill="auto"/>
                  <w:vAlign w:val="bottom"/>
                </w:tcPr>
                <w:p w:rsidR="00745FEA" w:rsidRPr="00A00E51" w:rsidRDefault="00745FEA" w:rsidP="00745FEA">
                  <w:pPr>
                    <w:pStyle w:val="TableBodyText"/>
                    <w:ind w:right="57"/>
                  </w:pPr>
                  <w:r w:rsidRPr="00C82D9D">
                    <w:t>–</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Cooperative Research Centres</w:t>
                  </w:r>
                </w:p>
              </w:tc>
              <w:tc>
                <w:tcPr>
                  <w:tcW w:w="468" w:type="pct"/>
                  <w:vAlign w:val="bottom"/>
                </w:tcPr>
                <w:p w:rsidR="00745FEA" w:rsidRPr="00A00E51" w:rsidRDefault="00745FEA" w:rsidP="00745FEA">
                  <w:pPr>
                    <w:pStyle w:val="TableBodyText"/>
                    <w:ind w:right="57"/>
                  </w:pPr>
                  <w:r w:rsidRPr="00C82D9D">
                    <w:t>4.4</w:t>
                  </w:r>
                </w:p>
              </w:tc>
              <w:tc>
                <w:tcPr>
                  <w:tcW w:w="468" w:type="pct"/>
                  <w:vAlign w:val="bottom"/>
                </w:tcPr>
                <w:p w:rsidR="00745FEA" w:rsidRPr="00A00E51" w:rsidRDefault="00745FEA" w:rsidP="00745FEA">
                  <w:pPr>
                    <w:pStyle w:val="TableBodyText"/>
                    <w:ind w:right="57"/>
                  </w:pPr>
                  <w:r w:rsidRPr="00C82D9D">
                    <w:t>4.4</w:t>
                  </w:r>
                </w:p>
              </w:tc>
              <w:tc>
                <w:tcPr>
                  <w:tcW w:w="467" w:type="pct"/>
                  <w:vAlign w:val="bottom"/>
                </w:tcPr>
                <w:p w:rsidR="00745FEA" w:rsidRPr="00A00E51" w:rsidRDefault="00745FEA" w:rsidP="00745FEA">
                  <w:pPr>
                    <w:pStyle w:val="TableBodyText"/>
                    <w:ind w:right="57"/>
                  </w:pPr>
                  <w:r w:rsidRPr="00C82D9D">
                    <w:t>4.4</w:t>
                  </w:r>
                </w:p>
              </w:tc>
              <w:tc>
                <w:tcPr>
                  <w:tcW w:w="467" w:type="pct"/>
                  <w:vAlign w:val="bottom"/>
                </w:tcPr>
                <w:p w:rsidR="00745FEA" w:rsidRPr="00A00E51" w:rsidRDefault="00745FEA" w:rsidP="00745FEA">
                  <w:pPr>
                    <w:pStyle w:val="TableBodyText"/>
                    <w:ind w:right="57"/>
                  </w:pPr>
                  <w:r w:rsidRPr="00C82D9D">
                    <w:t>–</w:t>
                  </w:r>
                </w:p>
              </w:tc>
              <w:tc>
                <w:tcPr>
                  <w:tcW w:w="467" w:type="pct"/>
                  <w:shd w:val="clear" w:color="auto" w:fill="auto"/>
                  <w:vAlign w:val="bottom"/>
                </w:tcPr>
                <w:p w:rsidR="00745FEA" w:rsidRPr="00A00E51" w:rsidRDefault="00745FEA" w:rsidP="00745FEA">
                  <w:pPr>
                    <w:pStyle w:val="TableBodyText"/>
                    <w:ind w:right="57"/>
                  </w:pPr>
                  <w:r w:rsidRPr="00C82D9D">
                    <w:t>–</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CSIRO</w:t>
                  </w:r>
                </w:p>
              </w:tc>
              <w:tc>
                <w:tcPr>
                  <w:tcW w:w="468" w:type="pct"/>
                  <w:vAlign w:val="bottom"/>
                </w:tcPr>
                <w:p w:rsidR="00745FEA" w:rsidRPr="00A00E51" w:rsidRDefault="00745FEA" w:rsidP="00745FEA">
                  <w:pPr>
                    <w:pStyle w:val="TableBodyText"/>
                    <w:ind w:right="57"/>
                  </w:pPr>
                  <w:r w:rsidRPr="00C82D9D">
                    <w:t>12.1</w:t>
                  </w:r>
                </w:p>
              </w:tc>
              <w:tc>
                <w:tcPr>
                  <w:tcW w:w="468" w:type="pct"/>
                  <w:vAlign w:val="bottom"/>
                </w:tcPr>
                <w:p w:rsidR="00745FEA" w:rsidRPr="00A00E51" w:rsidRDefault="00745FEA" w:rsidP="00745FEA">
                  <w:pPr>
                    <w:pStyle w:val="TableBodyText"/>
                    <w:ind w:right="57"/>
                  </w:pPr>
                  <w:r w:rsidRPr="00C82D9D">
                    <w:t>17.0</w:t>
                  </w:r>
                </w:p>
              </w:tc>
              <w:tc>
                <w:tcPr>
                  <w:tcW w:w="467" w:type="pct"/>
                  <w:vAlign w:val="bottom"/>
                </w:tcPr>
                <w:p w:rsidR="00745FEA" w:rsidRPr="00A00E51" w:rsidRDefault="00745FEA" w:rsidP="00745FEA">
                  <w:pPr>
                    <w:pStyle w:val="TableBodyText"/>
                    <w:ind w:right="57"/>
                  </w:pPr>
                  <w:r w:rsidRPr="00C82D9D">
                    <w:t>21.9</w:t>
                  </w:r>
                </w:p>
              </w:tc>
              <w:tc>
                <w:tcPr>
                  <w:tcW w:w="467" w:type="pct"/>
                  <w:vAlign w:val="bottom"/>
                </w:tcPr>
                <w:p w:rsidR="00745FEA" w:rsidRPr="00A00E51" w:rsidRDefault="00745FEA" w:rsidP="00745FEA">
                  <w:pPr>
                    <w:pStyle w:val="TableBodyText"/>
                    <w:ind w:right="57"/>
                  </w:pPr>
                  <w:r w:rsidRPr="00C82D9D">
                    <w:t>23.1</w:t>
                  </w:r>
                </w:p>
              </w:tc>
              <w:tc>
                <w:tcPr>
                  <w:tcW w:w="467" w:type="pct"/>
                  <w:shd w:val="clear" w:color="auto" w:fill="auto"/>
                  <w:vAlign w:val="bottom"/>
                </w:tcPr>
                <w:p w:rsidR="00745FEA" w:rsidRPr="00A00E51" w:rsidRDefault="00745FEA" w:rsidP="00745FEA">
                  <w:pPr>
                    <w:pStyle w:val="TableBodyText"/>
                    <w:ind w:right="57"/>
                  </w:pPr>
                  <w:r w:rsidRPr="00C82D9D">
                    <w:t>24.9</w:t>
                  </w:r>
                </w:p>
              </w:tc>
              <w:tc>
                <w:tcPr>
                  <w:tcW w:w="463" w:type="pct"/>
                  <w:shd w:val="clear" w:color="auto" w:fill="auto"/>
                  <w:vAlign w:val="bottom"/>
                </w:tcPr>
                <w:p w:rsidR="00745FEA" w:rsidRPr="00A00E51" w:rsidRDefault="00745FEA" w:rsidP="00745FEA">
                  <w:pPr>
                    <w:pStyle w:val="TableBodyText"/>
                    <w:ind w:right="57"/>
                  </w:pPr>
                  <w:r w:rsidRPr="00C82D9D">
                    <w:t>56.0</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Clean Technology Innovation Program</w:t>
                  </w:r>
                </w:p>
              </w:tc>
              <w:tc>
                <w:tcPr>
                  <w:tcW w:w="468" w:type="pct"/>
                  <w:vAlign w:val="bottom"/>
                </w:tcPr>
                <w:p w:rsidR="00745FEA" w:rsidRPr="00A00E51" w:rsidRDefault="00745FEA" w:rsidP="00745FEA">
                  <w:pPr>
                    <w:pStyle w:val="TableBodyText"/>
                    <w:ind w:right="57"/>
                  </w:pPr>
                  <w:r w:rsidRPr="00C82D9D">
                    <w:t>–</w:t>
                  </w:r>
                </w:p>
              </w:tc>
              <w:tc>
                <w:tcPr>
                  <w:tcW w:w="468" w:type="pct"/>
                  <w:vAlign w:val="bottom"/>
                </w:tcPr>
                <w:p w:rsidR="00745FEA" w:rsidRPr="00A00E51" w:rsidRDefault="00745FEA" w:rsidP="00745FEA">
                  <w:pPr>
                    <w:pStyle w:val="TableBodyText"/>
                    <w:ind w:right="57"/>
                  </w:pPr>
                  <w:r w:rsidRPr="00C82D9D">
                    <w:t>0.8</w:t>
                  </w:r>
                </w:p>
              </w:tc>
              <w:tc>
                <w:tcPr>
                  <w:tcW w:w="467" w:type="pct"/>
                  <w:vAlign w:val="bottom"/>
                </w:tcPr>
                <w:p w:rsidR="00745FEA" w:rsidRPr="00A00E51" w:rsidRDefault="00745FEA" w:rsidP="00745FEA">
                  <w:pPr>
                    <w:pStyle w:val="TableBodyText"/>
                    <w:ind w:right="57"/>
                  </w:pPr>
                  <w:r w:rsidRPr="00C82D9D">
                    <w:t>1.1</w:t>
                  </w:r>
                </w:p>
              </w:tc>
              <w:tc>
                <w:tcPr>
                  <w:tcW w:w="467" w:type="pct"/>
                  <w:vAlign w:val="bottom"/>
                </w:tcPr>
                <w:p w:rsidR="00745FEA" w:rsidRPr="00A00E51" w:rsidRDefault="00745FEA" w:rsidP="00745FEA">
                  <w:pPr>
                    <w:pStyle w:val="TableBodyText"/>
                    <w:ind w:right="57"/>
                  </w:pPr>
                  <w:r w:rsidRPr="00C82D9D">
                    <w:t>0.1</w:t>
                  </w:r>
                </w:p>
              </w:tc>
              <w:tc>
                <w:tcPr>
                  <w:tcW w:w="467" w:type="pct"/>
                  <w:shd w:val="clear" w:color="auto" w:fill="auto"/>
                  <w:vAlign w:val="bottom"/>
                </w:tcPr>
                <w:p w:rsidR="00745FEA" w:rsidRPr="00A00E51" w:rsidRDefault="00745FEA" w:rsidP="00745FEA">
                  <w:pPr>
                    <w:pStyle w:val="TableBodyText"/>
                    <w:ind w:right="57"/>
                  </w:pPr>
                  <w:r w:rsidRPr="00C82D9D">
                    <w:t>–</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ICT centre of excellence</w:t>
                  </w:r>
                </w:p>
              </w:tc>
              <w:tc>
                <w:tcPr>
                  <w:tcW w:w="468" w:type="pct"/>
                  <w:vAlign w:val="bottom"/>
                </w:tcPr>
                <w:p w:rsidR="00745FEA" w:rsidRPr="00A00E51" w:rsidRDefault="00745FEA" w:rsidP="00745FEA">
                  <w:pPr>
                    <w:pStyle w:val="TableBodyText"/>
                    <w:ind w:right="57"/>
                  </w:pPr>
                  <w:r w:rsidRPr="00C82D9D">
                    <w:t>25.0</w:t>
                  </w:r>
                </w:p>
              </w:tc>
              <w:tc>
                <w:tcPr>
                  <w:tcW w:w="468" w:type="pct"/>
                  <w:vAlign w:val="bottom"/>
                </w:tcPr>
                <w:p w:rsidR="00745FEA" w:rsidRPr="00A00E51" w:rsidRDefault="00745FEA" w:rsidP="00745FEA">
                  <w:pPr>
                    <w:pStyle w:val="TableBodyText"/>
                    <w:ind w:right="57"/>
                  </w:pPr>
                  <w:r w:rsidRPr="00C82D9D">
                    <w:t>23.8</w:t>
                  </w:r>
                </w:p>
              </w:tc>
              <w:tc>
                <w:tcPr>
                  <w:tcW w:w="467" w:type="pct"/>
                  <w:vAlign w:val="bottom"/>
                </w:tcPr>
                <w:p w:rsidR="00745FEA" w:rsidRPr="00A00E51" w:rsidRDefault="00745FEA" w:rsidP="00745FEA">
                  <w:pPr>
                    <w:pStyle w:val="TableBodyText"/>
                    <w:ind w:right="57"/>
                  </w:pPr>
                  <w:r w:rsidRPr="00C82D9D">
                    <w:t>22.5</w:t>
                  </w:r>
                </w:p>
              </w:tc>
              <w:tc>
                <w:tcPr>
                  <w:tcW w:w="467" w:type="pct"/>
                  <w:vAlign w:val="bottom"/>
                </w:tcPr>
                <w:p w:rsidR="00745FEA" w:rsidRPr="00A00E51" w:rsidRDefault="00745FEA" w:rsidP="00745FEA">
                  <w:pPr>
                    <w:pStyle w:val="TableBodyText"/>
                    <w:ind w:right="57"/>
                  </w:pPr>
                  <w:r w:rsidRPr="00C82D9D">
                    <w:t>21.4</w:t>
                  </w:r>
                </w:p>
              </w:tc>
              <w:tc>
                <w:tcPr>
                  <w:tcW w:w="467" w:type="pct"/>
                  <w:shd w:val="clear" w:color="auto" w:fill="auto"/>
                  <w:vAlign w:val="bottom"/>
                </w:tcPr>
                <w:p w:rsidR="00745FEA" w:rsidRPr="00A00E51" w:rsidRDefault="00745FEA" w:rsidP="00745FEA">
                  <w:pPr>
                    <w:pStyle w:val="TableBodyText"/>
                    <w:ind w:right="57"/>
                  </w:pPr>
                  <w:r w:rsidRPr="00C82D9D">
                    <w:t>21.0</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Innovation Investment Fund</w:t>
                  </w:r>
                </w:p>
              </w:tc>
              <w:tc>
                <w:tcPr>
                  <w:tcW w:w="468" w:type="pct"/>
                  <w:vAlign w:val="bottom"/>
                </w:tcPr>
                <w:p w:rsidR="00745FEA" w:rsidRPr="00A00E51" w:rsidRDefault="00745FEA" w:rsidP="00745FEA">
                  <w:pPr>
                    <w:pStyle w:val="TableBodyText"/>
                    <w:ind w:right="57"/>
                  </w:pPr>
                  <w:r w:rsidRPr="00C82D9D">
                    <w:t>0.1</w:t>
                  </w:r>
                </w:p>
              </w:tc>
              <w:tc>
                <w:tcPr>
                  <w:tcW w:w="468" w:type="pct"/>
                  <w:vAlign w:val="bottom"/>
                </w:tcPr>
                <w:p w:rsidR="00745FEA" w:rsidRPr="00A00E51" w:rsidRDefault="00745FEA" w:rsidP="00745FEA">
                  <w:pPr>
                    <w:pStyle w:val="TableBodyText"/>
                    <w:ind w:right="57"/>
                  </w:pPr>
                  <w:r w:rsidRPr="00C82D9D">
                    <w:t>0.1</w:t>
                  </w:r>
                </w:p>
              </w:tc>
              <w:tc>
                <w:tcPr>
                  <w:tcW w:w="467" w:type="pct"/>
                  <w:vAlign w:val="bottom"/>
                </w:tcPr>
                <w:p w:rsidR="00745FEA" w:rsidRPr="00A00E51" w:rsidRDefault="00745FEA" w:rsidP="00745FEA">
                  <w:pPr>
                    <w:pStyle w:val="TableBodyText"/>
                    <w:ind w:right="57"/>
                  </w:pPr>
                  <w:r w:rsidRPr="00C82D9D">
                    <w:t>0.2</w:t>
                  </w:r>
                </w:p>
              </w:tc>
              <w:tc>
                <w:tcPr>
                  <w:tcW w:w="467" w:type="pct"/>
                  <w:vAlign w:val="bottom"/>
                </w:tcPr>
                <w:p w:rsidR="00745FEA" w:rsidRPr="00A00E51" w:rsidRDefault="00745FEA" w:rsidP="00745FEA">
                  <w:pPr>
                    <w:pStyle w:val="TableBodyText"/>
                    <w:ind w:right="57"/>
                  </w:pPr>
                  <w:r w:rsidRPr="00C82D9D">
                    <w:t>0.1</w:t>
                  </w:r>
                </w:p>
              </w:tc>
              <w:tc>
                <w:tcPr>
                  <w:tcW w:w="467" w:type="pct"/>
                  <w:shd w:val="clear" w:color="auto" w:fill="auto"/>
                  <w:vAlign w:val="bottom"/>
                </w:tcPr>
                <w:p w:rsidR="00745FEA" w:rsidRPr="00A00E51" w:rsidRDefault="00745FEA" w:rsidP="00745FEA">
                  <w:pPr>
                    <w:pStyle w:val="TableBodyText"/>
                    <w:ind w:right="57"/>
                  </w:pPr>
                  <w:r w:rsidRPr="00C82D9D">
                    <w:t>0.3</w:t>
                  </w:r>
                </w:p>
              </w:tc>
              <w:tc>
                <w:tcPr>
                  <w:tcW w:w="463" w:type="pct"/>
                  <w:shd w:val="clear" w:color="auto" w:fill="auto"/>
                  <w:vAlign w:val="bottom"/>
                </w:tcPr>
                <w:p w:rsidR="00745FEA" w:rsidRPr="00A00E51" w:rsidRDefault="00745FEA" w:rsidP="00745FEA">
                  <w:pPr>
                    <w:pStyle w:val="TableBodyText"/>
                    <w:ind w:right="57"/>
                  </w:pPr>
                  <w:r w:rsidRPr="00C82D9D">
                    <w:t>0.2</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R&amp;D Tax Incentive - refundable tax offset</w:t>
                  </w:r>
                </w:p>
              </w:tc>
              <w:tc>
                <w:tcPr>
                  <w:tcW w:w="468" w:type="pct"/>
                  <w:vAlign w:val="bottom"/>
                </w:tcPr>
                <w:p w:rsidR="00745FEA" w:rsidRPr="00A00E51" w:rsidRDefault="00745FEA" w:rsidP="00745FEA">
                  <w:pPr>
                    <w:pStyle w:val="TableBodyText"/>
                    <w:ind w:right="57"/>
                  </w:pPr>
                  <w:r w:rsidRPr="00C82D9D">
                    <w:t>–</w:t>
                  </w:r>
                </w:p>
              </w:tc>
              <w:tc>
                <w:tcPr>
                  <w:tcW w:w="468" w:type="pct"/>
                  <w:vAlign w:val="bottom"/>
                </w:tcPr>
                <w:p w:rsidR="00745FEA" w:rsidRPr="00A00E51" w:rsidRDefault="00745FEA" w:rsidP="00745FEA">
                  <w:pPr>
                    <w:pStyle w:val="TableBodyText"/>
                    <w:ind w:right="57"/>
                  </w:pPr>
                  <w:r w:rsidRPr="00C82D9D">
                    <w:t>79.3</w:t>
                  </w:r>
                </w:p>
              </w:tc>
              <w:tc>
                <w:tcPr>
                  <w:tcW w:w="467" w:type="pct"/>
                  <w:vAlign w:val="bottom"/>
                </w:tcPr>
                <w:p w:rsidR="00745FEA" w:rsidRPr="00A00E51" w:rsidRDefault="00745FEA" w:rsidP="00745FEA">
                  <w:pPr>
                    <w:pStyle w:val="TableBodyText"/>
                    <w:ind w:right="57"/>
                  </w:pPr>
                  <w:r w:rsidRPr="00C82D9D">
                    <w:t>76.8</w:t>
                  </w:r>
                </w:p>
              </w:tc>
              <w:tc>
                <w:tcPr>
                  <w:tcW w:w="467" w:type="pct"/>
                  <w:vAlign w:val="bottom"/>
                </w:tcPr>
                <w:p w:rsidR="00745FEA" w:rsidRPr="00A00E51" w:rsidRDefault="00745FEA" w:rsidP="00745FEA">
                  <w:pPr>
                    <w:pStyle w:val="TableBodyText"/>
                    <w:ind w:right="57"/>
                  </w:pPr>
                  <w:r w:rsidRPr="00C82D9D">
                    <w:t>102.7</w:t>
                  </w:r>
                </w:p>
              </w:tc>
              <w:tc>
                <w:tcPr>
                  <w:tcW w:w="467" w:type="pct"/>
                  <w:shd w:val="clear" w:color="auto" w:fill="auto"/>
                  <w:vAlign w:val="bottom"/>
                </w:tcPr>
                <w:p w:rsidR="00745FEA" w:rsidRPr="00A00E51" w:rsidRDefault="00745FEA" w:rsidP="00745FEA">
                  <w:pPr>
                    <w:pStyle w:val="TableBodyText"/>
                    <w:ind w:right="57"/>
                  </w:pPr>
                  <w:r w:rsidRPr="00C82D9D">
                    <w:t>109.2</w:t>
                  </w:r>
                </w:p>
              </w:tc>
              <w:tc>
                <w:tcPr>
                  <w:tcW w:w="463" w:type="pct"/>
                  <w:shd w:val="clear" w:color="auto" w:fill="auto"/>
                  <w:vAlign w:val="bottom"/>
                </w:tcPr>
                <w:p w:rsidR="00745FEA" w:rsidRPr="00A00E51" w:rsidRDefault="00745FEA" w:rsidP="00745FEA">
                  <w:pPr>
                    <w:pStyle w:val="TableBodyText"/>
                    <w:ind w:right="57"/>
                  </w:pPr>
                  <w:r w:rsidRPr="00C82D9D">
                    <w:t>132.2</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R&amp;D tax offsets - Refundable</w:t>
                  </w:r>
                </w:p>
              </w:tc>
              <w:tc>
                <w:tcPr>
                  <w:tcW w:w="468" w:type="pct"/>
                  <w:vAlign w:val="bottom"/>
                </w:tcPr>
                <w:p w:rsidR="00745FEA" w:rsidRPr="00A00E51" w:rsidRDefault="00745FEA" w:rsidP="00745FEA">
                  <w:pPr>
                    <w:pStyle w:val="TableBodyText"/>
                    <w:ind w:right="57"/>
                  </w:pPr>
                  <w:r w:rsidRPr="00C82D9D">
                    <w:t>18.9</w:t>
                  </w:r>
                </w:p>
              </w:tc>
              <w:tc>
                <w:tcPr>
                  <w:tcW w:w="468" w:type="pct"/>
                  <w:vAlign w:val="bottom"/>
                </w:tcPr>
                <w:p w:rsidR="00745FEA" w:rsidRPr="00A00E51" w:rsidRDefault="00745FEA" w:rsidP="00745FEA">
                  <w:pPr>
                    <w:pStyle w:val="TableBodyText"/>
                    <w:ind w:right="57"/>
                  </w:pPr>
                  <w:r w:rsidRPr="00C82D9D">
                    <w:t>–</w:t>
                  </w:r>
                </w:p>
              </w:tc>
              <w:tc>
                <w:tcPr>
                  <w:tcW w:w="467" w:type="pct"/>
                  <w:vAlign w:val="bottom"/>
                </w:tcPr>
                <w:p w:rsidR="00745FEA" w:rsidRPr="00A00E51" w:rsidRDefault="00745FEA" w:rsidP="00745FEA">
                  <w:pPr>
                    <w:pStyle w:val="TableBodyText"/>
                    <w:ind w:right="57"/>
                  </w:pPr>
                  <w:r w:rsidRPr="00C82D9D">
                    <w:t>–</w:t>
                  </w:r>
                </w:p>
              </w:tc>
              <w:tc>
                <w:tcPr>
                  <w:tcW w:w="467" w:type="pct"/>
                  <w:vAlign w:val="bottom"/>
                </w:tcPr>
                <w:p w:rsidR="00745FEA" w:rsidRPr="00A00E51" w:rsidRDefault="00745FEA" w:rsidP="00745FEA">
                  <w:pPr>
                    <w:pStyle w:val="TableBodyText"/>
                    <w:ind w:right="57"/>
                  </w:pPr>
                  <w:r w:rsidRPr="00C82D9D">
                    <w:t>–</w:t>
                  </w:r>
                </w:p>
              </w:tc>
              <w:tc>
                <w:tcPr>
                  <w:tcW w:w="467" w:type="pct"/>
                  <w:shd w:val="clear" w:color="auto" w:fill="auto"/>
                  <w:vAlign w:val="bottom"/>
                </w:tcPr>
                <w:p w:rsidR="00745FEA" w:rsidRPr="00A00E51" w:rsidRDefault="00745FEA" w:rsidP="00745FEA">
                  <w:pPr>
                    <w:pStyle w:val="TableBodyText"/>
                    <w:ind w:right="57"/>
                  </w:pPr>
                  <w:r w:rsidRPr="00C82D9D">
                    <w:t>–</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shd w:val="clear" w:color="auto" w:fill="auto"/>
                </w:tcPr>
                <w:p w:rsidR="00745FEA" w:rsidRPr="00A00E51" w:rsidRDefault="00745FEA" w:rsidP="00745FEA">
                  <w:pPr>
                    <w:pStyle w:val="TableBodyText"/>
                    <w:spacing w:after="0"/>
                    <w:ind w:left="227" w:right="0"/>
                    <w:jc w:val="left"/>
                  </w:pPr>
                  <w:r w:rsidRPr="00A00E51">
                    <w:t>Premium R&amp;D tax concession</w:t>
                  </w:r>
                </w:p>
              </w:tc>
              <w:tc>
                <w:tcPr>
                  <w:tcW w:w="468" w:type="pct"/>
                  <w:vAlign w:val="bottom"/>
                </w:tcPr>
                <w:p w:rsidR="00745FEA" w:rsidRPr="00A00E51" w:rsidRDefault="00745FEA" w:rsidP="00745FEA">
                  <w:pPr>
                    <w:pStyle w:val="TableBodyText"/>
                    <w:ind w:right="57"/>
                  </w:pPr>
                  <w:r w:rsidRPr="00C82D9D">
                    <w:t>28.9</w:t>
                  </w:r>
                </w:p>
              </w:tc>
              <w:tc>
                <w:tcPr>
                  <w:tcW w:w="468" w:type="pct"/>
                  <w:vAlign w:val="bottom"/>
                </w:tcPr>
                <w:p w:rsidR="00745FEA" w:rsidRPr="00A00E51" w:rsidRDefault="00745FEA" w:rsidP="00745FEA">
                  <w:pPr>
                    <w:pStyle w:val="TableBodyText"/>
                    <w:ind w:right="57"/>
                  </w:pPr>
                  <w:r w:rsidRPr="00C82D9D">
                    <w:t>7.9</w:t>
                  </w:r>
                </w:p>
              </w:tc>
              <w:tc>
                <w:tcPr>
                  <w:tcW w:w="467" w:type="pct"/>
                  <w:vAlign w:val="bottom"/>
                </w:tcPr>
                <w:p w:rsidR="00745FEA" w:rsidRPr="00A00E51" w:rsidRDefault="00745FEA" w:rsidP="00745FEA">
                  <w:pPr>
                    <w:pStyle w:val="TableBodyText"/>
                    <w:ind w:right="57"/>
                  </w:pPr>
                  <w:r w:rsidRPr="00C82D9D">
                    <w:t>3.3</w:t>
                  </w:r>
                </w:p>
              </w:tc>
              <w:tc>
                <w:tcPr>
                  <w:tcW w:w="467" w:type="pct"/>
                  <w:vAlign w:val="bottom"/>
                </w:tcPr>
                <w:p w:rsidR="00745FEA" w:rsidRPr="00A00E51" w:rsidRDefault="00745FEA" w:rsidP="00745FEA">
                  <w:pPr>
                    <w:pStyle w:val="TableBodyText"/>
                    <w:ind w:right="57"/>
                  </w:pPr>
                  <w:r w:rsidRPr="00C82D9D">
                    <w:t>–</w:t>
                  </w:r>
                </w:p>
              </w:tc>
              <w:tc>
                <w:tcPr>
                  <w:tcW w:w="467" w:type="pct"/>
                  <w:shd w:val="clear" w:color="auto" w:fill="auto"/>
                  <w:vAlign w:val="bottom"/>
                </w:tcPr>
                <w:p w:rsidR="00745FEA" w:rsidRPr="00A00E51" w:rsidRDefault="00745FEA" w:rsidP="00745FEA">
                  <w:pPr>
                    <w:pStyle w:val="TableBodyText"/>
                    <w:ind w:right="57"/>
                  </w:pPr>
                  <w:r w:rsidRPr="00C82D9D">
                    <w:t>–</w:t>
                  </w:r>
                </w:p>
              </w:tc>
              <w:tc>
                <w:tcPr>
                  <w:tcW w:w="463" w:type="pct"/>
                  <w:shd w:val="clear" w:color="auto" w:fill="auto"/>
                  <w:vAlign w:val="bottom"/>
                </w:tcPr>
                <w:p w:rsidR="00745FEA" w:rsidRPr="00A00E51" w:rsidRDefault="00745FEA" w:rsidP="00745FEA">
                  <w:pPr>
                    <w:pStyle w:val="TableBodyText"/>
                    <w:ind w:right="57"/>
                  </w:pPr>
                  <w:r w:rsidRPr="00C82D9D">
                    <w:t>–</w:t>
                  </w:r>
                </w:p>
              </w:tc>
            </w:tr>
            <w:tr w:rsidR="00745FEA" w:rsidTr="00745FEA">
              <w:tc>
                <w:tcPr>
                  <w:tcW w:w="2200" w:type="pct"/>
                  <w:tcBorders>
                    <w:bottom w:val="single" w:sz="6" w:space="0" w:color="BFBFBF"/>
                  </w:tcBorders>
                  <w:shd w:val="clear" w:color="auto" w:fill="auto"/>
                </w:tcPr>
                <w:p w:rsidR="00745FEA" w:rsidRPr="00A00E51" w:rsidRDefault="00745FEA" w:rsidP="00745FEA">
                  <w:pPr>
                    <w:pStyle w:val="TableBodyText"/>
                    <w:ind w:left="227" w:right="0"/>
                    <w:jc w:val="left"/>
                  </w:pPr>
                  <w:r w:rsidRPr="00A00E51">
                    <w:t>R&amp;D tax concession</w:t>
                  </w:r>
                </w:p>
              </w:tc>
              <w:tc>
                <w:tcPr>
                  <w:tcW w:w="468" w:type="pct"/>
                  <w:tcBorders>
                    <w:bottom w:val="single" w:sz="6" w:space="0" w:color="BFBFBF"/>
                  </w:tcBorders>
                  <w:vAlign w:val="bottom"/>
                </w:tcPr>
                <w:p w:rsidR="00745FEA" w:rsidRPr="00A00E51" w:rsidRDefault="00745FEA" w:rsidP="00745FEA">
                  <w:pPr>
                    <w:pStyle w:val="TableBodyText"/>
                    <w:ind w:right="57"/>
                  </w:pPr>
                  <w:r w:rsidRPr="00C82D9D">
                    <w:t>39.2</w:t>
                  </w:r>
                </w:p>
              </w:tc>
              <w:tc>
                <w:tcPr>
                  <w:tcW w:w="468" w:type="pct"/>
                  <w:tcBorders>
                    <w:bottom w:val="single" w:sz="6" w:space="0" w:color="BFBFBF"/>
                  </w:tcBorders>
                  <w:vAlign w:val="bottom"/>
                </w:tcPr>
                <w:p w:rsidR="00745FEA" w:rsidRPr="00A00E51" w:rsidRDefault="00745FEA" w:rsidP="00745FEA">
                  <w:pPr>
                    <w:pStyle w:val="TableBodyText"/>
                    <w:ind w:right="57"/>
                  </w:pPr>
                  <w:r w:rsidRPr="00C82D9D">
                    <w:t>17.5</w:t>
                  </w:r>
                </w:p>
              </w:tc>
              <w:tc>
                <w:tcPr>
                  <w:tcW w:w="467" w:type="pct"/>
                  <w:tcBorders>
                    <w:bottom w:val="single" w:sz="6" w:space="0" w:color="BFBFBF"/>
                  </w:tcBorders>
                  <w:vAlign w:val="bottom"/>
                </w:tcPr>
                <w:p w:rsidR="00745FEA" w:rsidRPr="00A00E51" w:rsidRDefault="00745FEA" w:rsidP="00745FEA">
                  <w:pPr>
                    <w:pStyle w:val="TableBodyText"/>
                    <w:ind w:right="57"/>
                  </w:pPr>
                  <w:r w:rsidRPr="00C82D9D">
                    <w:t>5.9</w:t>
                  </w:r>
                </w:p>
              </w:tc>
              <w:tc>
                <w:tcPr>
                  <w:tcW w:w="467" w:type="pct"/>
                  <w:tcBorders>
                    <w:bottom w:val="single" w:sz="6" w:space="0" w:color="BFBFBF"/>
                  </w:tcBorders>
                  <w:vAlign w:val="bottom"/>
                </w:tcPr>
                <w:p w:rsidR="00745FEA" w:rsidRPr="00A00E51" w:rsidRDefault="00745FEA" w:rsidP="00745FEA">
                  <w:pPr>
                    <w:pStyle w:val="TableBodyText"/>
                    <w:ind w:right="57"/>
                  </w:pPr>
                  <w:r w:rsidRPr="00C82D9D">
                    <w:t>1.0</w:t>
                  </w:r>
                </w:p>
              </w:tc>
              <w:tc>
                <w:tcPr>
                  <w:tcW w:w="467" w:type="pct"/>
                  <w:tcBorders>
                    <w:bottom w:val="single" w:sz="6" w:space="0" w:color="BFBFBF"/>
                  </w:tcBorders>
                  <w:shd w:val="clear" w:color="auto" w:fill="auto"/>
                  <w:vAlign w:val="bottom"/>
                </w:tcPr>
                <w:p w:rsidR="00745FEA" w:rsidRPr="00A00E51" w:rsidRDefault="00745FEA" w:rsidP="00745FEA">
                  <w:pPr>
                    <w:pStyle w:val="TableBodyText"/>
                    <w:ind w:right="57"/>
                  </w:pPr>
                  <w:r w:rsidRPr="00C82D9D">
                    <w:t>–</w:t>
                  </w:r>
                </w:p>
              </w:tc>
              <w:tc>
                <w:tcPr>
                  <w:tcW w:w="463" w:type="pct"/>
                  <w:tcBorders>
                    <w:bottom w:val="single" w:sz="6" w:space="0" w:color="BFBFBF"/>
                  </w:tcBorders>
                  <w:shd w:val="clear" w:color="auto" w:fill="auto"/>
                  <w:vAlign w:val="bottom"/>
                </w:tcPr>
                <w:p w:rsidR="00745FEA" w:rsidRDefault="00745FEA" w:rsidP="00745FEA">
                  <w:pPr>
                    <w:pStyle w:val="TableBodyText"/>
                    <w:ind w:right="57"/>
                  </w:pPr>
                  <w:r w:rsidRPr="00C82D9D">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640"/>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3798"/>
              <w:gridCol w:w="796"/>
              <w:gridCol w:w="796"/>
              <w:gridCol w:w="794"/>
              <w:gridCol w:w="794"/>
              <w:gridCol w:w="794"/>
              <w:gridCol w:w="788"/>
            </w:tblGrid>
            <w:tr w:rsidR="00745FEA" w:rsidTr="00C719FB">
              <w:trPr>
                <w:tblHeader/>
              </w:trPr>
              <w:tc>
                <w:tcPr>
                  <w:tcW w:w="22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5"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0"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shd w:val="clear" w:color="auto" w:fill="auto"/>
                </w:tcPr>
                <w:p w:rsidR="00745FEA" w:rsidRPr="00817CA5" w:rsidRDefault="00745FEA" w:rsidP="00745FEA">
                  <w:pPr>
                    <w:pStyle w:val="TableBodyText"/>
                    <w:spacing w:before="40" w:after="0"/>
                    <w:ind w:left="113"/>
                    <w:jc w:val="left"/>
                    <w:rPr>
                      <w:i/>
                    </w:rPr>
                  </w:pPr>
                  <w:r w:rsidRPr="00817CA5">
                    <w:rPr>
                      <w:i/>
                    </w:rPr>
                    <w:t>General R&amp;D measures</w:t>
                  </w:r>
                  <w:r>
                    <w:rPr>
                      <w:i/>
                    </w:rPr>
                    <w:t xml:space="preserve"> (continued)</w:t>
                  </w:r>
                </w:p>
              </w:tc>
              <w:tc>
                <w:tcPr>
                  <w:tcW w:w="465" w:type="pct"/>
                  <w:vAlign w:val="bottom"/>
                </w:tcPr>
                <w:p w:rsidR="00745FEA" w:rsidRDefault="00745FEA" w:rsidP="00745FEA">
                  <w:pPr>
                    <w:pStyle w:val="TableBodyText"/>
                    <w:spacing w:before="40" w:after="0"/>
                    <w:ind w:left="113" w:right="57"/>
                  </w:pP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0" w:type="pct"/>
                  <w:shd w:val="clear" w:color="auto" w:fill="auto"/>
                  <w:vAlign w:val="bottom"/>
                </w:tcPr>
                <w:p w:rsidR="00745FEA" w:rsidRDefault="00745FEA" w:rsidP="00745FEA">
                  <w:pPr>
                    <w:pStyle w:val="TableBodyText"/>
                    <w:spacing w:before="40" w:after="0"/>
                    <w:ind w:left="113" w:right="57"/>
                  </w:pPr>
                </w:p>
              </w:tc>
            </w:tr>
            <w:tr w:rsidR="00745FEA" w:rsidTr="00745FEA">
              <w:tc>
                <w:tcPr>
                  <w:tcW w:w="2218" w:type="pct"/>
                  <w:shd w:val="clear" w:color="auto" w:fill="auto"/>
                </w:tcPr>
                <w:p w:rsidR="00745FEA" w:rsidRDefault="00745FEA" w:rsidP="00745FEA">
                  <w:pPr>
                    <w:pStyle w:val="TableBodyText"/>
                    <w:spacing w:after="0"/>
                    <w:ind w:left="227" w:right="0"/>
                    <w:jc w:val="left"/>
                  </w:pPr>
                  <w:r w:rsidRPr="00A00E51">
                    <w:t>R&amp;D Tax Incentive - non-refundable tax offset</w:t>
                  </w:r>
                </w:p>
              </w:tc>
              <w:tc>
                <w:tcPr>
                  <w:tcW w:w="465" w:type="pct"/>
                  <w:vAlign w:val="bottom"/>
                </w:tcPr>
                <w:p w:rsidR="00745FEA" w:rsidRPr="008C546C" w:rsidRDefault="00745FEA" w:rsidP="00745FEA">
                  <w:pPr>
                    <w:pStyle w:val="TableBodyText"/>
                    <w:ind w:right="57"/>
                  </w:pPr>
                  <w:r w:rsidRPr="00C82D9D">
                    <w:t>–</w:t>
                  </w:r>
                </w:p>
              </w:tc>
              <w:tc>
                <w:tcPr>
                  <w:tcW w:w="465" w:type="pct"/>
                  <w:vAlign w:val="bottom"/>
                </w:tcPr>
                <w:p w:rsidR="00745FEA" w:rsidRPr="008C546C" w:rsidRDefault="00745FEA" w:rsidP="00745FEA">
                  <w:pPr>
                    <w:pStyle w:val="TableBodyText"/>
                    <w:ind w:right="57"/>
                  </w:pPr>
                  <w:r w:rsidRPr="00C82D9D">
                    <w:t>32.3</w:t>
                  </w:r>
                </w:p>
              </w:tc>
              <w:tc>
                <w:tcPr>
                  <w:tcW w:w="464" w:type="pct"/>
                  <w:vAlign w:val="bottom"/>
                </w:tcPr>
                <w:p w:rsidR="00745FEA" w:rsidRPr="008C546C" w:rsidRDefault="00745FEA" w:rsidP="00745FEA">
                  <w:pPr>
                    <w:pStyle w:val="TableBodyText"/>
                    <w:ind w:right="57"/>
                  </w:pPr>
                  <w:r w:rsidRPr="00C82D9D">
                    <w:t>42.3</w:t>
                  </w:r>
                </w:p>
              </w:tc>
              <w:tc>
                <w:tcPr>
                  <w:tcW w:w="464" w:type="pct"/>
                  <w:vAlign w:val="bottom"/>
                </w:tcPr>
                <w:p w:rsidR="00745FEA" w:rsidRPr="008C546C" w:rsidRDefault="00745FEA" w:rsidP="00745FEA">
                  <w:pPr>
                    <w:pStyle w:val="TableBodyText"/>
                    <w:ind w:right="57"/>
                  </w:pPr>
                  <w:r w:rsidRPr="00C82D9D">
                    <w:t>22.4</w:t>
                  </w:r>
                </w:p>
              </w:tc>
              <w:tc>
                <w:tcPr>
                  <w:tcW w:w="464" w:type="pct"/>
                  <w:shd w:val="clear" w:color="auto" w:fill="auto"/>
                  <w:vAlign w:val="bottom"/>
                </w:tcPr>
                <w:p w:rsidR="00745FEA" w:rsidRPr="008C546C" w:rsidRDefault="00745FEA" w:rsidP="00745FEA">
                  <w:pPr>
                    <w:pStyle w:val="TableBodyText"/>
                    <w:ind w:right="57"/>
                  </w:pPr>
                  <w:r w:rsidRPr="00C82D9D">
                    <w:t>28.5</w:t>
                  </w:r>
                </w:p>
              </w:tc>
              <w:tc>
                <w:tcPr>
                  <w:tcW w:w="460" w:type="pct"/>
                  <w:shd w:val="clear" w:color="auto" w:fill="auto"/>
                  <w:vAlign w:val="bottom"/>
                </w:tcPr>
                <w:p w:rsidR="00745FEA" w:rsidRDefault="00745FEA" w:rsidP="00745FEA">
                  <w:pPr>
                    <w:pStyle w:val="TableBodyText"/>
                    <w:ind w:right="57"/>
                  </w:pPr>
                  <w:r w:rsidRPr="00C82D9D">
                    <w:t>33.6</w:t>
                  </w:r>
                </w:p>
              </w:tc>
            </w:tr>
            <w:tr w:rsidR="00745FEA" w:rsidTr="00745FEA">
              <w:tc>
                <w:tcPr>
                  <w:tcW w:w="2218" w:type="pct"/>
                  <w:shd w:val="clear" w:color="auto" w:fill="auto"/>
                </w:tcPr>
                <w:p w:rsidR="00745FEA" w:rsidRPr="00817CA5" w:rsidRDefault="00745FEA" w:rsidP="00745FEA">
                  <w:pPr>
                    <w:pStyle w:val="TableBodyText"/>
                    <w:spacing w:before="40" w:after="0"/>
                    <w:ind w:left="113"/>
                    <w:jc w:val="left"/>
                    <w:rPr>
                      <w:i/>
                    </w:rPr>
                  </w:pPr>
                  <w:r w:rsidRPr="00817CA5">
                    <w:rPr>
                      <w:i/>
                    </w:rPr>
                    <w:t>Other measures</w:t>
                  </w:r>
                </w:p>
              </w:tc>
              <w:tc>
                <w:tcPr>
                  <w:tcW w:w="465" w:type="pct"/>
                  <w:vAlign w:val="bottom"/>
                </w:tcPr>
                <w:p w:rsidR="00745FEA" w:rsidRDefault="00745FEA" w:rsidP="00745FEA">
                  <w:pPr>
                    <w:pStyle w:val="TableBodyText"/>
                    <w:spacing w:before="40" w:after="0"/>
                    <w:ind w:left="113" w:right="57"/>
                  </w:pPr>
                </w:p>
              </w:tc>
              <w:tc>
                <w:tcPr>
                  <w:tcW w:w="465"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shd w:val="clear" w:color="auto" w:fill="auto"/>
                  <w:vAlign w:val="bottom"/>
                </w:tcPr>
                <w:p w:rsidR="00745FEA" w:rsidRDefault="00745FEA" w:rsidP="00745FEA">
                  <w:pPr>
                    <w:pStyle w:val="TableBodyText"/>
                    <w:spacing w:before="40" w:after="0"/>
                    <w:ind w:left="113" w:right="57"/>
                  </w:pPr>
                </w:p>
              </w:tc>
              <w:tc>
                <w:tcPr>
                  <w:tcW w:w="460" w:type="pct"/>
                  <w:shd w:val="clear" w:color="auto" w:fill="auto"/>
                  <w:vAlign w:val="bottom"/>
                </w:tcPr>
                <w:p w:rsidR="00745FEA" w:rsidRDefault="00745FEA" w:rsidP="00745FEA">
                  <w:pPr>
                    <w:pStyle w:val="TableBodyText"/>
                    <w:spacing w:before="40" w:after="0"/>
                    <w:ind w:left="113" w:right="57"/>
                  </w:pP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Enterprise Connect Innovation Centres</w:t>
                  </w:r>
                </w:p>
              </w:tc>
              <w:tc>
                <w:tcPr>
                  <w:tcW w:w="465" w:type="pct"/>
                  <w:vAlign w:val="bottom"/>
                </w:tcPr>
                <w:p w:rsidR="00745FEA" w:rsidRPr="008C546C" w:rsidRDefault="00745FEA" w:rsidP="00745FEA">
                  <w:pPr>
                    <w:pStyle w:val="TableBodyText"/>
                    <w:ind w:right="57"/>
                  </w:pPr>
                  <w:r w:rsidRPr="008C546C">
                    <w:t>0.1</w:t>
                  </w:r>
                </w:p>
              </w:tc>
              <w:tc>
                <w:tcPr>
                  <w:tcW w:w="465" w:type="pct"/>
                  <w:vAlign w:val="bottom"/>
                </w:tcPr>
                <w:p w:rsidR="00745FEA" w:rsidRPr="008C546C" w:rsidRDefault="00745FEA" w:rsidP="00745FEA">
                  <w:pPr>
                    <w:pStyle w:val="TableBodyText"/>
                    <w:ind w:right="57"/>
                  </w:pPr>
                  <w:r w:rsidRPr="008C546C">
                    <w:t>0.1</w:t>
                  </w:r>
                </w:p>
              </w:tc>
              <w:tc>
                <w:tcPr>
                  <w:tcW w:w="464" w:type="pct"/>
                  <w:vAlign w:val="bottom"/>
                </w:tcPr>
                <w:p w:rsidR="00745FEA" w:rsidRPr="008C546C" w:rsidRDefault="00745FEA" w:rsidP="00745FEA">
                  <w:pPr>
                    <w:pStyle w:val="TableBodyText"/>
                    <w:ind w:right="57"/>
                  </w:pPr>
                  <w:r w:rsidRPr="008C546C">
                    <w:t>0.1</w:t>
                  </w:r>
                </w:p>
              </w:tc>
              <w:tc>
                <w:tcPr>
                  <w:tcW w:w="464" w:type="pct"/>
                  <w:vAlign w:val="bottom"/>
                </w:tcPr>
                <w:p w:rsidR="00745FEA" w:rsidRPr="008C546C" w:rsidRDefault="00745FEA" w:rsidP="00745FEA">
                  <w:pPr>
                    <w:pStyle w:val="TableBodyText"/>
                    <w:ind w:right="57"/>
                  </w:pPr>
                  <w:r w:rsidRPr="008C546C">
                    <w:t>0.2</w:t>
                  </w:r>
                </w:p>
              </w:tc>
              <w:tc>
                <w:tcPr>
                  <w:tcW w:w="464" w:type="pct"/>
                  <w:shd w:val="clear" w:color="auto" w:fill="auto"/>
                  <w:vAlign w:val="bottom"/>
                </w:tcPr>
                <w:p w:rsidR="00745FEA" w:rsidRPr="008C546C" w:rsidRDefault="00745FEA" w:rsidP="00745FEA">
                  <w:pPr>
                    <w:pStyle w:val="TableBodyText"/>
                    <w:ind w:right="57"/>
                  </w:pPr>
                  <w:r w:rsidRPr="008C546C">
                    <w:t>&lt;0.1</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Entrepreneurs’ Infrastructure Programme - Accelerating Commercialisation</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0.6</w:t>
                  </w:r>
                </w:p>
              </w:tc>
              <w:tc>
                <w:tcPr>
                  <w:tcW w:w="464" w:type="pct"/>
                  <w:shd w:val="clear" w:color="auto" w:fill="auto"/>
                  <w:vAlign w:val="bottom"/>
                </w:tcPr>
                <w:p w:rsidR="00745FEA" w:rsidRPr="008C546C" w:rsidRDefault="00745FEA" w:rsidP="00745FEA">
                  <w:pPr>
                    <w:pStyle w:val="TableBodyText"/>
                    <w:ind w:right="57"/>
                  </w:pPr>
                  <w:r w:rsidRPr="008C546C">
                    <w:t>5.8</w:t>
                  </w:r>
                </w:p>
              </w:tc>
              <w:tc>
                <w:tcPr>
                  <w:tcW w:w="460" w:type="pct"/>
                  <w:shd w:val="clear" w:color="auto" w:fill="auto"/>
                  <w:vAlign w:val="bottom"/>
                </w:tcPr>
                <w:p w:rsidR="00745FEA" w:rsidRPr="008C546C" w:rsidRDefault="00745FEA" w:rsidP="00745FEA">
                  <w:pPr>
                    <w:pStyle w:val="TableBodyText"/>
                    <w:ind w:right="57"/>
                  </w:pPr>
                  <w:r w:rsidRPr="008C546C">
                    <w:t>5.6</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Entrepreneurs’ Infrastructure Programme - Business Management Skills</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0.1</w:t>
                  </w:r>
                </w:p>
              </w:tc>
              <w:tc>
                <w:tcPr>
                  <w:tcW w:w="464" w:type="pct"/>
                  <w:shd w:val="clear" w:color="auto" w:fill="auto"/>
                  <w:vAlign w:val="bottom"/>
                </w:tcPr>
                <w:p w:rsidR="00745FEA" w:rsidRPr="008C546C" w:rsidRDefault="00745FEA" w:rsidP="00745FEA">
                  <w:pPr>
                    <w:pStyle w:val="TableBodyText"/>
                    <w:ind w:right="57"/>
                  </w:pPr>
                  <w:r w:rsidRPr="008C546C">
                    <w:t>0.4</w:t>
                  </w:r>
                </w:p>
              </w:tc>
              <w:tc>
                <w:tcPr>
                  <w:tcW w:w="460" w:type="pct"/>
                  <w:shd w:val="clear" w:color="auto" w:fill="auto"/>
                  <w:vAlign w:val="bottom"/>
                </w:tcPr>
                <w:p w:rsidR="00745FEA" w:rsidRPr="008C546C" w:rsidRDefault="00745FEA" w:rsidP="00745FEA">
                  <w:pPr>
                    <w:pStyle w:val="TableBodyText"/>
                    <w:ind w:right="57"/>
                  </w:pPr>
                  <w:r w:rsidRPr="008C546C">
                    <w:t>&lt;0.1</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Illawarra Region Innovation and Investment Fund</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0.1</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Tasmanian Economic Diversification Projects - OfficeMax</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0.6</w:t>
                  </w:r>
                </w:p>
              </w:tc>
              <w:tc>
                <w:tcPr>
                  <w:tcW w:w="464" w:type="pct"/>
                  <w:vAlign w:val="bottom"/>
                </w:tcPr>
                <w:p w:rsidR="00745FEA" w:rsidRPr="008C546C" w:rsidRDefault="00745FEA" w:rsidP="00745FEA">
                  <w:pPr>
                    <w:pStyle w:val="TableBodyText"/>
                    <w:ind w:right="57"/>
                  </w:pPr>
                  <w:r w:rsidRPr="008C546C">
                    <w:t>–</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 xml:space="preserve">Small business </w:t>
                  </w:r>
                  <w:r>
                    <w:t>capital gains tax</w:t>
                  </w:r>
                  <w:r w:rsidRPr="009233E4">
                    <w:t xml:space="preserve"> rollover deferral</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0.4</w:t>
                  </w:r>
                </w:p>
              </w:tc>
              <w:tc>
                <w:tcPr>
                  <w:tcW w:w="464" w:type="pct"/>
                  <w:shd w:val="clear" w:color="auto" w:fill="auto"/>
                  <w:vAlign w:val="bottom"/>
                </w:tcPr>
                <w:p w:rsidR="00745FEA" w:rsidRPr="008C546C" w:rsidRDefault="00745FEA" w:rsidP="00745FEA">
                  <w:pPr>
                    <w:pStyle w:val="TableBodyText"/>
                    <w:ind w:right="57"/>
                  </w:pPr>
                  <w:r w:rsidRPr="008C546C">
                    <w:t>1.3</w:t>
                  </w:r>
                </w:p>
              </w:tc>
              <w:tc>
                <w:tcPr>
                  <w:tcW w:w="460" w:type="pct"/>
                  <w:shd w:val="clear" w:color="auto" w:fill="auto"/>
                  <w:vAlign w:val="bottom"/>
                </w:tcPr>
                <w:p w:rsidR="00745FEA" w:rsidRPr="008C546C" w:rsidRDefault="00745FEA" w:rsidP="00745FEA">
                  <w:pPr>
                    <w:pStyle w:val="TableBodyText"/>
                    <w:ind w:right="57"/>
                  </w:pPr>
                  <w:r w:rsidRPr="008C546C">
                    <w:t>1.7</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The Small Business and General Business Tax Break</w:t>
                  </w:r>
                </w:p>
              </w:tc>
              <w:tc>
                <w:tcPr>
                  <w:tcW w:w="465" w:type="pct"/>
                  <w:vAlign w:val="bottom"/>
                </w:tcPr>
                <w:p w:rsidR="00745FEA" w:rsidRPr="008C546C" w:rsidRDefault="00745FEA" w:rsidP="00745FEA">
                  <w:pPr>
                    <w:pStyle w:val="TableBodyText"/>
                    <w:ind w:right="57"/>
                  </w:pPr>
                  <w:r w:rsidRPr="008C546C">
                    <w:t>3.5</w:t>
                  </w:r>
                </w:p>
              </w:tc>
              <w:tc>
                <w:tcPr>
                  <w:tcW w:w="465" w:type="pct"/>
                  <w:vAlign w:val="bottom"/>
                </w:tcPr>
                <w:p w:rsidR="00745FEA" w:rsidRPr="008C546C" w:rsidRDefault="00745FEA" w:rsidP="00745FEA">
                  <w:pPr>
                    <w:pStyle w:val="TableBodyText"/>
                    <w:ind w:right="57"/>
                  </w:pPr>
                  <w:r w:rsidRPr="008C546C">
                    <w:t>1.2</w:t>
                  </w:r>
                </w:p>
              </w:tc>
              <w:tc>
                <w:tcPr>
                  <w:tcW w:w="464" w:type="pct"/>
                  <w:vAlign w:val="bottom"/>
                </w:tcPr>
                <w:p w:rsidR="00745FEA" w:rsidRPr="008C546C" w:rsidRDefault="00745FEA" w:rsidP="00745FEA">
                  <w:pPr>
                    <w:pStyle w:val="TableBodyText"/>
                    <w:ind w:right="57"/>
                  </w:pPr>
                  <w:r w:rsidRPr="008C546C">
                    <w:t>0.1</w:t>
                  </w:r>
                </w:p>
              </w:tc>
              <w:tc>
                <w:tcPr>
                  <w:tcW w:w="464" w:type="pct"/>
                  <w:vAlign w:val="bottom"/>
                </w:tcPr>
                <w:p w:rsidR="00745FEA" w:rsidRPr="008C546C" w:rsidRDefault="00745FEA" w:rsidP="00745FEA">
                  <w:pPr>
                    <w:pStyle w:val="TableBodyText"/>
                    <w:ind w:right="57"/>
                  </w:pPr>
                  <w:r w:rsidRPr="008C546C">
                    <w:t>–</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Small Business - Simplified depreciation rules</w:t>
                  </w:r>
                </w:p>
              </w:tc>
              <w:tc>
                <w:tcPr>
                  <w:tcW w:w="465" w:type="pct"/>
                  <w:vAlign w:val="bottom"/>
                </w:tcPr>
                <w:p w:rsidR="00745FEA" w:rsidRPr="008C546C" w:rsidRDefault="00745FEA" w:rsidP="00745FEA">
                  <w:pPr>
                    <w:pStyle w:val="TableBodyText"/>
                    <w:ind w:right="57"/>
                  </w:pPr>
                  <w:r w:rsidRPr="008C546C">
                    <w:t>0.1</w:t>
                  </w:r>
                </w:p>
              </w:tc>
              <w:tc>
                <w:tcPr>
                  <w:tcW w:w="465" w:type="pct"/>
                  <w:vAlign w:val="bottom"/>
                </w:tcPr>
                <w:p w:rsidR="00745FEA" w:rsidRPr="008C546C" w:rsidRDefault="00745FEA" w:rsidP="00745FEA">
                  <w:pPr>
                    <w:pStyle w:val="TableBodyText"/>
                    <w:ind w:right="57"/>
                  </w:pPr>
                  <w:r w:rsidRPr="008C546C">
                    <w:t>-0.5</w:t>
                  </w:r>
                </w:p>
              </w:tc>
              <w:tc>
                <w:tcPr>
                  <w:tcW w:w="464" w:type="pct"/>
                  <w:vAlign w:val="bottom"/>
                </w:tcPr>
                <w:p w:rsidR="00745FEA" w:rsidRPr="008C546C" w:rsidRDefault="00745FEA" w:rsidP="00745FEA">
                  <w:pPr>
                    <w:pStyle w:val="TableBodyText"/>
                    <w:ind w:right="57"/>
                  </w:pPr>
                  <w:r w:rsidRPr="008C546C">
                    <w:t>1.8</w:t>
                  </w:r>
                </w:p>
              </w:tc>
              <w:tc>
                <w:tcPr>
                  <w:tcW w:w="464" w:type="pct"/>
                  <w:vAlign w:val="bottom"/>
                </w:tcPr>
                <w:p w:rsidR="00745FEA" w:rsidRPr="008C546C" w:rsidRDefault="00745FEA" w:rsidP="00745FEA">
                  <w:pPr>
                    <w:pStyle w:val="TableBodyText"/>
                    <w:ind w:right="57"/>
                  </w:pPr>
                  <w:r w:rsidRPr="008C546C">
                    <w:t>-0.9</w:t>
                  </w:r>
                </w:p>
              </w:tc>
              <w:tc>
                <w:tcPr>
                  <w:tcW w:w="464" w:type="pct"/>
                  <w:shd w:val="clear" w:color="auto" w:fill="auto"/>
                  <w:vAlign w:val="bottom"/>
                </w:tcPr>
                <w:p w:rsidR="00745FEA" w:rsidRPr="008C546C" w:rsidRDefault="00745FEA" w:rsidP="00745FEA">
                  <w:pPr>
                    <w:pStyle w:val="TableBodyText"/>
                    <w:ind w:right="57"/>
                  </w:pPr>
                  <w:r w:rsidRPr="008C546C">
                    <w:t>-1.8</w:t>
                  </w:r>
                </w:p>
              </w:tc>
              <w:tc>
                <w:tcPr>
                  <w:tcW w:w="460" w:type="pct"/>
                  <w:shd w:val="clear" w:color="auto" w:fill="auto"/>
                  <w:vAlign w:val="bottom"/>
                </w:tcPr>
                <w:p w:rsidR="00745FEA" w:rsidRPr="008C546C" w:rsidRDefault="00745FEA" w:rsidP="00745FEA">
                  <w:pPr>
                    <w:pStyle w:val="TableBodyText"/>
                    <w:ind w:right="57"/>
                  </w:pPr>
                  <w:r w:rsidRPr="008C546C">
                    <w:t>10.2</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 xml:space="preserve">Small business </w:t>
                  </w:r>
                  <w:r>
                    <w:t>capital gains tax</w:t>
                  </w:r>
                  <w:r w:rsidRPr="009233E4">
                    <w:t xml:space="preserve"> 15-year asset exemption</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0.1</w:t>
                  </w:r>
                </w:p>
              </w:tc>
              <w:tc>
                <w:tcPr>
                  <w:tcW w:w="464" w:type="pct"/>
                  <w:shd w:val="clear" w:color="auto" w:fill="auto"/>
                  <w:vAlign w:val="bottom"/>
                </w:tcPr>
                <w:p w:rsidR="00745FEA" w:rsidRPr="008C546C" w:rsidRDefault="00745FEA" w:rsidP="00745FEA">
                  <w:pPr>
                    <w:pStyle w:val="TableBodyText"/>
                    <w:ind w:right="57"/>
                  </w:pPr>
                  <w:r w:rsidRPr="008C546C">
                    <w:t>0.9</w:t>
                  </w:r>
                </w:p>
              </w:tc>
              <w:tc>
                <w:tcPr>
                  <w:tcW w:w="460" w:type="pct"/>
                  <w:shd w:val="clear" w:color="auto" w:fill="auto"/>
                  <w:vAlign w:val="bottom"/>
                </w:tcPr>
                <w:p w:rsidR="00745FEA" w:rsidRPr="008C546C" w:rsidRDefault="00745FEA" w:rsidP="00745FEA">
                  <w:pPr>
                    <w:pStyle w:val="TableBodyText"/>
                    <w:ind w:right="57"/>
                  </w:pPr>
                  <w:r w:rsidRPr="008C546C">
                    <w:t>0.2</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 xml:space="preserve">Small business </w:t>
                  </w:r>
                  <w:r>
                    <w:t>capital gains tax</w:t>
                  </w:r>
                  <w:r w:rsidRPr="009233E4">
                    <w:t xml:space="preserve"> retirement exemption</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0.8</w:t>
                  </w:r>
                </w:p>
              </w:tc>
              <w:tc>
                <w:tcPr>
                  <w:tcW w:w="464" w:type="pct"/>
                  <w:shd w:val="clear" w:color="auto" w:fill="auto"/>
                  <w:vAlign w:val="bottom"/>
                </w:tcPr>
                <w:p w:rsidR="00745FEA" w:rsidRPr="008C546C" w:rsidRDefault="00745FEA" w:rsidP="00745FEA">
                  <w:pPr>
                    <w:pStyle w:val="TableBodyText"/>
                    <w:ind w:right="57"/>
                  </w:pPr>
                  <w:r w:rsidRPr="008C546C">
                    <w:t>1.1</w:t>
                  </w:r>
                </w:p>
              </w:tc>
              <w:tc>
                <w:tcPr>
                  <w:tcW w:w="460" w:type="pct"/>
                  <w:shd w:val="clear" w:color="auto" w:fill="auto"/>
                  <w:vAlign w:val="bottom"/>
                </w:tcPr>
                <w:p w:rsidR="00745FEA" w:rsidRPr="008C546C" w:rsidRDefault="00745FEA" w:rsidP="00745FEA">
                  <w:pPr>
                    <w:pStyle w:val="TableBodyText"/>
                    <w:ind w:right="57"/>
                  </w:pPr>
                  <w:r w:rsidRPr="008C546C">
                    <w:t>1.1</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 xml:space="preserve">Small business </w:t>
                  </w:r>
                  <w:r>
                    <w:t>capital gains tax</w:t>
                  </w:r>
                  <w:r w:rsidRPr="009233E4">
                    <w:t xml:space="preserve"> 50 per cent reduction</w:t>
                  </w:r>
                </w:p>
              </w:tc>
              <w:tc>
                <w:tcPr>
                  <w:tcW w:w="465" w:type="pct"/>
                  <w:vAlign w:val="bottom"/>
                </w:tcPr>
                <w:p w:rsidR="00745FEA" w:rsidRPr="008C546C" w:rsidRDefault="00745FEA" w:rsidP="00745FEA">
                  <w:pPr>
                    <w:pStyle w:val="TableBodyText"/>
                    <w:ind w:right="57"/>
                  </w:pPr>
                  <w:r w:rsidRPr="008C546C">
                    <w:t>1.4</w:t>
                  </w:r>
                </w:p>
              </w:tc>
              <w:tc>
                <w:tcPr>
                  <w:tcW w:w="465" w:type="pct"/>
                  <w:vAlign w:val="bottom"/>
                </w:tcPr>
                <w:p w:rsidR="00745FEA" w:rsidRPr="008C546C" w:rsidRDefault="00745FEA" w:rsidP="00745FEA">
                  <w:pPr>
                    <w:pStyle w:val="TableBodyText"/>
                    <w:ind w:right="57"/>
                  </w:pPr>
                  <w:r w:rsidRPr="008C546C">
                    <w:t>1.5</w:t>
                  </w:r>
                </w:p>
              </w:tc>
              <w:tc>
                <w:tcPr>
                  <w:tcW w:w="464" w:type="pct"/>
                  <w:vAlign w:val="bottom"/>
                </w:tcPr>
                <w:p w:rsidR="00745FEA" w:rsidRPr="008C546C" w:rsidRDefault="00745FEA" w:rsidP="00745FEA">
                  <w:pPr>
                    <w:pStyle w:val="TableBodyText"/>
                    <w:ind w:right="57"/>
                  </w:pPr>
                  <w:r w:rsidRPr="008C546C">
                    <w:t>1.5</w:t>
                  </w:r>
                </w:p>
              </w:tc>
              <w:tc>
                <w:tcPr>
                  <w:tcW w:w="464" w:type="pct"/>
                  <w:vAlign w:val="bottom"/>
                </w:tcPr>
                <w:p w:rsidR="00745FEA" w:rsidRPr="008C546C" w:rsidRDefault="00745FEA" w:rsidP="00745FEA">
                  <w:pPr>
                    <w:pStyle w:val="TableBodyText"/>
                    <w:ind w:right="57"/>
                  </w:pPr>
                  <w:r w:rsidRPr="008C546C">
                    <w:t>1.9</w:t>
                  </w:r>
                </w:p>
              </w:tc>
              <w:tc>
                <w:tcPr>
                  <w:tcW w:w="464" w:type="pct"/>
                  <w:shd w:val="clear" w:color="auto" w:fill="auto"/>
                  <w:vAlign w:val="bottom"/>
                </w:tcPr>
                <w:p w:rsidR="00745FEA" w:rsidRPr="008C546C" w:rsidRDefault="00745FEA" w:rsidP="00745FEA">
                  <w:pPr>
                    <w:pStyle w:val="TableBodyText"/>
                    <w:ind w:right="57"/>
                  </w:pPr>
                  <w:r w:rsidRPr="008C546C">
                    <w:t>3.8</w:t>
                  </w:r>
                </w:p>
              </w:tc>
              <w:tc>
                <w:tcPr>
                  <w:tcW w:w="460" w:type="pct"/>
                  <w:shd w:val="clear" w:color="auto" w:fill="auto"/>
                  <w:vAlign w:val="bottom"/>
                </w:tcPr>
                <w:p w:rsidR="00745FEA" w:rsidRPr="008C546C" w:rsidRDefault="00745FEA" w:rsidP="00745FEA">
                  <w:pPr>
                    <w:pStyle w:val="TableBodyText"/>
                    <w:ind w:right="57"/>
                  </w:pPr>
                  <w:r w:rsidRPr="008C546C">
                    <w:t>5.0</w:t>
                  </w:r>
                </w:p>
              </w:tc>
            </w:tr>
            <w:tr w:rsidR="00745FEA" w:rsidTr="00745FEA">
              <w:tc>
                <w:tcPr>
                  <w:tcW w:w="2218" w:type="pct"/>
                  <w:shd w:val="clear" w:color="auto" w:fill="auto"/>
                </w:tcPr>
                <w:p w:rsidR="00745FEA" w:rsidRPr="009233E4" w:rsidRDefault="00745FEA" w:rsidP="00745FEA">
                  <w:pPr>
                    <w:pStyle w:val="TableBodyText"/>
                    <w:spacing w:after="0"/>
                    <w:ind w:left="227" w:right="0"/>
                    <w:jc w:val="left"/>
                  </w:pPr>
                  <w:r w:rsidRPr="009233E4">
                    <w:t>25 per cent entrepreneurs' tax offset</w:t>
                  </w:r>
                </w:p>
              </w:tc>
              <w:tc>
                <w:tcPr>
                  <w:tcW w:w="465" w:type="pct"/>
                  <w:vAlign w:val="bottom"/>
                </w:tcPr>
                <w:p w:rsidR="00745FEA" w:rsidRPr="008C546C" w:rsidRDefault="00745FEA" w:rsidP="00745FEA">
                  <w:pPr>
                    <w:pStyle w:val="TableBodyText"/>
                    <w:ind w:right="57"/>
                  </w:pPr>
                  <w:r w:rsidRPr="008C546C">
                    <w:t>1.4</w:t>
                  </w:r>
                </w:p>
              </w:tc>
              <w:tc>
                <w:tcPr>
                  <w:tcW w:w="465" w:type="pct"/>
                  <w:vAlign w:val="bottom"/>
                </w:tcPr>
                <w:p w:rsidR="00745FEA" w:rsidRPr="008C546C" w:rsidRDefault="00745FEA" w:rsidP="00745FEA">
                  <w:pPr>
                    <w:pStyle w:val="TableBodyText"/>
                    <w:ind w:right="57"/>
                  </w:pPr>
                  <w:r w:rsidRPr="008C546C">
                    <w:t>3.0</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817CA5" w:rsidRDefault="00745FEA" w:rsidP="00745FEA">
                  <w:pPr>
                    <w:pStyle w:val="TableBodyText"/>
                    <w:spacing w:before="20" w:after="20"/>
                    <w:jc w:val="left"/>
                    <w:rPr>
                      <w:i/>
                    </w:rPr>
                  </w:pPr>
                  <w:r w:rsidRPr="00817CA5">
                    <w:rPr>
                      <w:i/>
                    </w:rPr>
                    <w:t>Total</w:t>
                  </w:r>
                </w:p>
              </w:tc>
              <w:tc>
                <w:tcPr>
                  <w:tcW w:w="465" w:type="pct"/>
                  <w:vAlign w:val="bottom"/>
                </w:tcPr>
                <w:p w:rsidR="00745FEA" w:rsidRPr="00AE2156" w:rsidRDefault="00745FEA" w:rsidP="00745FEA">
                  <w:pPr>
                    <w:pStyle w:val="TableBodyText"/>
                    <w:spacing w:before="20" w:after="20"/>
                    <w:ind w:right="57"/>
                    <w:rPr>
                      <w:i/>
                    </w:rPr>
                  </w:pPr>
                  <w:r>
                    <w:rPr>
                      <w:i/>
                    </w:rPr>
                    <w:t>293.6</w:t>
                  </w:r>
                </w:p>
              </w:tc>
              <w:tc>
                <w:tcPr>
                  <w:tcW w:w="465" w:type="pct"/>
                  <w:vAlign w:val="bottom"/>
                </w:tcPr>
                <w:p w:rsidR="00745FEA" w:rsidRPr="00AE2156" w:rsidRDefault="00745FEA" w:rsidP="00745FEA">
                  <w:pPr>
                    <w:pStyle w:val="TableBodyText"/>
                    <w:spacing w:before="20" w:after="20"/>
                    <w:ind w:right="57"/>
                    <w:rPr>
                      <w:i/>
                    </w:rPr>
                  </w:pPr>
                  <w:r>
                    <w:rPr>
                      <w:i/>
                    </w:rPr>
                    <w:t>390.8</w:t>
                  </w:r>
                </w:p>
              </w:tc>
              <w:tc>
                <w:tcPr>
                  <w:tcW w:w="464" w:type="pct"/>
                </w:tcPr>
                <w:p w:rsidR="00745FEA" w:rsidRPr="00AC2494" w:rsidRDefault="00745FEA" w:rsidP="00745FEA">
                  <w:pPr>
                    <w:pStyle w:val="TableBodyText"/>
                    <w:spacing w:before="20" w:after="20"/>
                    <w:ind w:right="57"/>
                    <w:rPr>
                      <w:i/>
                    </w:rPr>
                  </w:pPr>
                  <w:r>
                    <w:rPr>
                      <w:i/>
                    </w:rPr>
                    <w:t>233.5</w:t>
                  </w:r>
                </w:p>
              </w:tc>
              <w:tc>
                <w:tcPr>
                  <w:tcW w:w="464" w:type="pct"/>
                </w:tcPr>
                <w:p w:rsidR="00745FEA" w:rsidRPr="00AC2494" w:rsidRDefault="00745FEA" w:rsidP="00745FEA">
                  <w:pPr>
                    <w:pStyle w:val="TableBodyText"/>
                    <w:spacing w:before="20" w:after="20"/>
                    <w:ind w:right="57"/>
                    <w:rPr>
                      <w:i/>
                    </w:rPr>
                  </w:pPr>
                  <w:r>
                    <w:rPr>
                      <w:i/>
                    </w:rPr>
                    <w:t>233.4</w:t>
                  </w:r>
                </w:p>
              </w:tc>
              <w:tc>
                <w:tcPr>
                  <w:tcW w:w="464" w:type="pct"/>
                  <w:shd w:val="clear" w:color="auto" w:fill="auto"/>
                </w:tcPr>
                <w:p w:rsidR="00745FEA" w:rsidRPr="00AC2494" w:rsidRDefault="00745FEA" w:rsidP="00745FEA">
                  <w:pPr>
                    <w:pStyle w:val="TableBodyText"/>
                    <w:spacing w:before="20" w:after="20"/>
                    <w:ind w:right="57"/>
                    <w:rPr>
                      <w:i/>
                    </w:rPr>
                  </w:pPr>
                  <w:r>
                    <w:rPr>
                      <w:i/>
                    </w:rPr>
                    <w:t>232.4</w:t>
                  </w:r>
                </w:p>
              </w:tc>
              <w:tc>
                <w:tcPr>
                  <w:tcW w:w="460" w:type="pct"/>
                  <w:shd w:val="clear" w:color="auto" w:fill="auto"/>
                </w:tcPr>
                <w:p w:rsidR="00745FEA" w:rsidRPr="00AC2494" w:rsidRDefault="00745FEA" w:rsidP="00745FEA">
                  <w:pPr>
                    <w:pStyle w:val="TableBodyText"/>
                    <w:spacing w:before="20" w:after="20"/>
                    <w:ind w:right="57"/>
                    <w:rPr>
                      <w:i/>
                    </w:rPr>
                  </w:pPr>
                  <w:r>
                    <w:rPr>
                      <w:i/>
                    </w:rPr>
                    <w:t>403.8</w:t>
                  </w:r>
                </w:p>
              </w:tc>
            </w:tr>
            <w:tr w:rsidR="00745FEA" w:rsidTr="00745FEA">
              <w:tc>
                <w:tcPr>
                  <w:tcW w:w="2218" w:type="pct"/>
                </w:tcPr>
                <w:p w:rsidR="00745FEA" w:rsidRPr="00D63BAC" w:rsidRDefault="00745FEA" w:rsidP="00745FEA">
                  <w:pPr>
                    <w:pStyle w:val="TableUnitsRow"/>
                    <w:jc w:val="left"/>
                    <w:rPr>
                      <w:b/>
                    </w:rPr>
                  </w:pPr>
                  <w:r w:rsidRPr="00D63BAC">
                    <w:rPr>
                      <w:b/>
                    </w:rPr>
                    <w:t>Financial and insurance services</w:t>
                  </w:r>
                </w:p>
              </w:tc>
              <w:tc>
                <w:tcPr>
                  <w:tcW w:w="465" w:type="pct"/>
                  <w:vAlign w:val="bottom"/>
                </w:tcPr>
                <w:p w:rsidR="00745FEA" w:rsidRDefault="00745FEA" w:rsidP="00745FEA">
                  <w:pPr>
                    <w:pStyle w:val="TableUnitsRow"/>
                    <w:ind w:right="57"/>
                  </w:pPr>
                </w:p>
              </w:tc>
              <w:tc>
                <w:tcPr>
                  <w:tcW w:w="465"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0" w:type="pct"/>
                  <w:vAlign w:val="bottom"/>
                </w:tcPr>
                <w:p w:rsidR="00745FEA" w:rsidRDefault="00745FEA" w:rsidP="00745FEA">
                  <w:pPr>
                    <w:pStyle w:val="TableUnitsRow"/>
                    <w:ind w:right="57"/>
                  </w:pPr>
                </w:p>
              </w:tc>
            </w:tr>
            <w:tr w:rsidR="00745FEA" w:rsidTr="00745FEA">
              <w:tc>
                <w:tcPr>
                  <w:tcW w:w="2218" w:type="pct"/>
                </w:tcPr>
                <w:p w:rsidR="00745FEA" w:rsidRPr="00D63BAC" w:rsidRDefault="00745FEA" w:rsidP="00745FEA">
                  <w:pPr>
                    <w:pStyle w:val="TableBodyText"/>
                    <w:spacing w:before="40" w:after="0"/>
                    <w:ind w:left="113"/>
                    <w:jc w:val="left"/>
                    <w:rPr>
                      <w:i/>
                    </w:rPr>
                  </w:pPr>
                  <w:r w:rsidRPr="00D63BAC">
                    <w:rPr>
                      <w:i/>
                    </w:rPr>
                    <w:t>Industry-specific measures</w:t>
                  </w:r>
                </w:p>
              </w:tc>
              <w:tc>
                <w:tcPr>
                  <w:tcW w:w="465" w:type="pct"/>
                  <w:vAlign w:val="bottom"/>
                </w:tcPr>
                <w:p w:rsidR="00745FEA" w:rsidRDefault="00745FEA" w:rsidP="00745FEA">
                  <w:pPr>
                    <w:spacing w:before="40"/>
                    <w:ind w:left="113" w:right="57"/>
                    <w:jc w:val="right"/>
                    <w:rPr>
                      <w:rFonts w:ascii="Arial" w:hAnsi="Arial" w:cs="Arial"/>
                      <w:sz w:val="18"/>
                      <w:szCs w:val="18"/>
                    </w:rPr>
                  </w:pPr>
                </w:p>
              </w:tc>
              <w:tc>
                <w:tcPr>
                  <w:tcW w:w="465"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4" w:type="pct"/>
                  <w:vAlign w:val="bottom"/>
                </w:tcPr>
                <w:p w:rsidR="00745FEA" w:rsidRDefault="00745FEA" w:rsidP="00745FEA">
                  <w:pPr>
                    <w:spacing w:before="40"/>
                    <w:ind w:left="113" w:right="57"/>
                    <w:jc w:val="right"/>
                    <w:rPr>
                      <w:rFonts w:ascii="Arial" w:hAnsi="Arial" w:cs="Arial"/>
                      <w:sz w:val="18"/>
                      <w:szCs w:val="18"/>
                    </w:rPr>
                  </w:pPr>
                </w:p>
              </w:tc>
              <w:tc>
                <w:tcPr>
                  <w:tcW w:w="460" w:type="pct"/>
                  <w:vAlign w:val="bottom"/>
                </w:tcPr>
                <w:p w:rsidR="00745FEA" w:rsidRDefault="00745FEA" w:rsidP="00745FEA">
                  <w:pPr>
                    <w:spacing w:before="40"/>
                    <w:ind w:left="113" w:right="57"/>
                    <w:jc w:val="right"/>
                    <w:rPr>
                      <w:rFonts w:ascii="Arial" w:hAnsi="Arial" w:cs="Arial"/>
                      <w:sz w:val="18"/>
                      <w:szCs w:val="18"/>
                    </w:rPr>
                  </w:pPr>
                </w:p>
              </w:tc>
            </w:tr>
            <w:tr w:rsidR="00745FEA" w:rsidTr="00745FEA">
              <w:tc>
                <w:tcPr>
                  <w:tcW w:w="2218" w:type="pct"/>
                  <w:shd w:val="clear" w:color="auto" w:fill="auto"/>
                </w:tcPr>
                <w:p w:rsidR="00745FEA" w:rsidRPr="00281AF7" w:rsidRDefault="00745FEA" w:rsidP="00745FEA">
                  <w:pPr>
                    <w:pStyle w:val="TableBodyText"/>
                    <w:spacing w:after="0"/>
                    <w:ind w:left="227" w:right="0"/>
                    <w:jc w:val="left"/>
                  </w:pPr>
                  <w:r w:rsidRPr="00281AF7">
                    <w:t>High Costs Claims Scheme</w:t>
                  </w:r>
                </w:p>
              </w:tc>
              <w:tc>
                <w:tcPr>
                  <w:tcW w:w="465" w:type="pct"/>
                  <w:vAlign w:val="bottom"/>
                </w:tcPr>
                <w:p w:rsidR="00745FEA" w:rsidRPr="008C546C" w:rsidRDefault="00745FEA" w:rsidP="00745FEA">
                  <w:pPr>
                    <w:pStyle w:val="TableBodyText"/>
                    <w:ind w:right="57"/>
                  </w:pPr>
                  <w:r w:rsidRPr="008C546C">
                    <w:t>20.3</w:t>
                  </w:r>
                </w:p>
              </w:tc>
              <w:tc>
                <w:tcPr>
                  <w:tcW w:w="465" w:type="pct"/>
                  <w:vAlign w:val="bottom"/>
                </w:tcPr>
                <w:p w:rsidR="00745FEA" w:rsidRPr="008C546C" w:rsidRDefault="00745FEA" w:rsidP="00745FEA">
                  <w:pPr>
                    <w:pStyle w:val="TableBodyText"/>
                    <w:ind w:right="57"/>
                  </w:pPr>
                  <w:r w:rsidRPr="008C546C">
                    <w:t>33.4</w:t>
                  </w:r>
                </w:p>
              </w:tc>
              <w:tc>
                <w:tcPr>
                  <w:tcW w:w="464" w:type="pct"/>
                  <w:vAlign w:val="bottom"/>
                </w:tcPr>
                <w:p w:rsidR="00745FEA" w:rsidRPr="008C546C" w:rsidRDefault="00745FEA" w:rsidP="00745FEA">
                  <w:pPr>
                    <w:pStyle w:val="TableBodyText"/>
                    <w:ind w:right="57"/>
                  </w:pPr>
                  <w:r w:rsidRPr="008C546C">
                    <w:t>30.1</w:t>
                  </w:r>
                </w:p>
              </w:tc>
              <w:tc>
                <w:tcPr>
                  <w:tcW w:w="464" w:type="pct"/>
                  <w:vAlign w:val="bottom"/>
                </w:tcPr>
                <w:p w:rsidR="00745FEA" w:rsidRPr="008C546C" w:rsidRDefault="00745FEA" w:rsidP="00745FEA">
                  <w:pPr>
                    <w:pStyle w:val="TableBodyText"/>
                    <w:ind w:right="57"/>
                  </w:pPr>
                  <w:r w:rsidRPr="008C546C">
                    <w:t>47.2</w:t>
                  </w:r>
                </w:p>
              </w:tc>
              <w:tc>
                <w:tcPr>
                  <w:tcW w:w="464" w:type="pct"/>
                  <w:shd w:val="clear" w:color="auto" w:fill="auto"/>
                  <w:vAlign w:val="bottom"/>
                </w:tcPr>
                <w:p w:rsidR="00745FEA" w:rsidRPr="008C546C" w:rsidRDefault="00745FEA" w:rsidP="00745FEA">
                  <w:pPr>
                    <w:pStyle w:val="TableBodyText"/>
                    <w:ind w:right="57"/>
                  </w:pPr>
                  <w:r w:rsidRPr="008C546C">
                    <w:t>49.9</w:t>
                  </w:r>
                </w:p>
              </w:tc>
              <w:tc>
                <w:tcPr>
                  <w:tcW w:w="460" w:type="pct"/>
                  <w:shd w:val="clear" w:color="auto" w:fill="auto"/>
                  <w:vAlign w:val="bottom"/>
                </w:tcPr>
                <w:p w:rsidR="00745FEA" w:rsidRPr="008C546C" w:rsidRDefault="00745FEA" w:rsidP="00745FEA">
                  <w:pPr>
                    <w:pStyle w:val="TableBodyText"/>
                    <w:ind w:right="57"/>
                  </w:pPr>
                  <w:r w:rsidRPr="008C546C">
                    <w:t>47.7</w:t>
                  </w:r>
                </w:p>
              </w:tc>
            </w:tr>
            <w:tr w:rsidR="00745FEA" w:rsidTr="00745FEA">
              <w:tc>
                <w:tcPr>
                  <w:tcW w:w="2218" w:type="pct"/>
                  <w:shd w:val="clear" w:color="auto" w:fill="auto"/>
                </w:tcPr>
                <w:p w:rsidR="00745FEA" w:rsidRPr="00281AF7" w:rsidRDefault="00745FEA" w:rsidP="00745FEA">
                  <w:pPr>
                    <w:pStyle w:val="TableBodyText"/>
                    <w:spacing w:after="0"/>
                    <w:ind w:left="227" w:right="0"/>
                    <w:jc w:val="left"/>
                  </w:pPr>
                  <w:r w:rsidRPr="00281AF7">
                    <w:t>Offshore banking unit tax concession</w:t>
                  </w:r>
                </w:p>
              </w:tc>
              <w:tc>
                <w:tcPr>
                  <w:tcW w:w="465" w:type="pct"/>
                  <w:vAlign w:val="bottom"/>
                </w:tcPr>
                <w:p w:rsidR="00745FEA" w:rsidRPr="008C546C" w:rsidRDefault="00745FEA" w:rsidP="00745FEA">
                  <w:pPr>
                    <w:pStyle w:val="TableBodyText"/>
                    <w:ind w:right="57"/>
                  </w:pPr>
                  <w:r w:rsidRPr="008C546C">
                    <w:t>140.0</w:t>
                  </w:r>
                </w:p>
              </w:tc>
              <w:tc>
                <w:tcPr>
                  <w:tcW w:w="465" w:type="pct"/>
                  <w:vAlign w:val="bottom"/>
                </w:tcPr>
                <w:p w:rsidR="00745FEA" w:rsidRPr="008C546C" w:rsidRDefault="00745FEA" w:rsidP="00745FEA">
                  <w:pPr>
                    <w:pStyle w:val="TableBodyText"/>
                    <w:ind w:right="57"/>
                  </w:pPr>
                  <w:r w:rsidRPr="008C546C">
                    <w:t>185.0</w:t>
                  </w:r>
                </w:p>
              </w:tc>
              <w:tc>
                <w:tcPr>
                  <w:tcW w:w="464" w:type="pct"/>
                  <w:vAlign w:val="bottom"/>
                </w:tcPr>
                <w:p w:rsidR="00745FEA" w:rsidRPr="008C546C" w:rsidRDefault="00745FEA" w:rsidP="00745FEA">
                  <w:pPr>
                    <w:pStyle w:val="TableBodyText"/>
                    <w:ind w:right="57"/>
                  </w:pPr>
                  <w:r w:rsidRPr="008C546C">
                    <w:t>200.0</w:t>
                  </w:r>
                </w:p>
              </w:tc>
              <w:tc>
                <w:tcPr>
                  <w:tcW w:w="464" w:type="pct"/>
                  <w:vAlign w:val="bottom"/>
                </w:tcPr>
                <w:p w:rsidR="00745FEA" w:rsidRPr="008C546C" w:rsidRDefault="00745FEA" w:rsidP="00745FEA">
                  <w:pPr>
                    <w:pStyle w:val="TableBodyText"/>
                    <w:ind w:right="57"/>
                  </w:pPr>
                  <w:r w:rsidRPr="008C546C">
                    <w:t>250.0</w:t>
                  </w:r>
                </w:p>
              </w:tc>
              <w:tc>
                <w:tcPr>
                  <w:tcW w:w="464" w:type="pct"/>
                  <w:shd w:val="clear" w:color="auto" w:fill="auto"/>
                  <w:vAlign w:val="bottom"/>
                </w:tcPr>
                <w:p w:rsidR="00745FEA" w:rsidRPr="008C546C" w:rsidRDefault="00745FEA" w:rsidP="00745FEA">
                  <w:pPr>
                    <w:pStyle w:val="TableBodyText"/>
                    <w:ind w:right="57"/>
                  </w:pPr>
                  <w:r w:rsidRPr="008C546C">
                    <w:t>295.0</w:t>
                  </w:r>
                </w:p>
              </w:tc>
              <w:tc>
                <w:tcPr>
                  <w:tcW w:w="460" w:type="pct"/>
                  <w:shd w:val="clear" w:color="auto" w:fill="auto"/>
                  <w:vAlign w:val="bottom"/>
                </w:tcPr>
                <w:p w:rsidR="00745FEA" w:rsidRPr="008C546C" w:rsidRDefault="00745FEA" w:rsidP="00745FEA">
                  <w:pPr>
                    <w:pStyle w:val="TableBodyText"/>
                    <w:ind w:right="57"/>
                  </w:pPr>
                  <w:r w:rsidRPr="008C546C">
                    <w:t>325.0</w:t>
                  </w:r>
                </w:p>
              </w:tc>
            </w:tr>
            <w:tr w:rsidR="00745FEA" w:rsidTr="00745FEA">
              <w:tc>
                <w:tcPr>
                  <w:tcW w:w="2218" w:type="pct"/>
                  <w:shd w:val="clear" w:color="auto" w:fill="auto"/>
                </w:tcPr>
                <w:p w:rsidR="00745FEA" w:rsidRPr="00281AF7" w:rsidRDefault="00745FEA" w:rsidP="00745FEA">
                  <w:pPr>
                    <w:pStyle w:val="TableBodyText"/>
                    <w:spacing w:after="0"/>
                    <w:ind w:left="227" w:right="0"/>
                    <w:jc w:val="left"/>
                  </w:pPr>
                  <w:r w:rsidRPr="00281AF7">
                    <w:t>Venture capital limited partnerships</w:t>
                  </w:r>
                </w:p>
              </w:tc>
              <w:tc>
                <w:tcPr>
                  <w:tcW w:w="465" w:type="pct"/>
                  <w:vAlign w:val="bottom"/>
                </w:tcPr>
                <w:p w:rsidR="00745FEA" w:rsidRPr="008C546C" w:rsidRDefault="00745FEA" w:rsidP="00745FEA">
                  <w:pPr>
                    <w:pStyle w:val="TableBodyText"/>
                    <w:ind w:right="57"/>
                  </w:pPr>
                  <w:r w:rsidRPr="008C546C">
                    <w:t>11.5</w:t>
                  </w:r>
                </w:p>
              </w:tc>
              <w:tc>
                <w:tcPr>
                  <w:tcW w:w="465" w:type="pct"/>
                  <w:vAlign w:val="bottom"/>
                </w:tcPr>
                <w:p w:rsidR="00745FEA" w:rsidRPr="008C546C" w:rsidRDefault="00745FEA" w:rsidP="00745FEA">
                  <w:pPr>
                    <w:pStyle w:val="TableBodyText"/>
                    <w:ind w:right="57"/>
                  </w:pPr>
                  <w:r w:rsidRPr="008C546C">
                    <w:t>11.5</w:t>
                  </w:r>
                </w:p>
              </w:tc>
              <w:tc>
                <w:tcPr>
                  <w:tcW w:w="464" w:type="pct"/>
                  <w:vAlign w:val="bottom"/>
                </w:tcPr>
                <w:p w:rsidR="00745FEA" w:rsidRPr="008C546C" w:rsidRDefault="00745FEA" w:rsidP="00745FEA">
                  <w:pPr>
                    <w:pStyle w:val="TableBodyText"/>
                    <w:ind w:right="57"/>
                  </w:pPr>
                  <w:r w:rsidRPr="008C546C">
                    <w:t>11.5</w:t>
                  </w:r>
                </w:p>
              </w:tc>
              <w:tc>
                <w:tcPr>
                  <w:tcW w:w="464" w:type="pct"/>
                  <w:vAlign w:val="bottom"/>
                </w:tcPr>
                <w:p w:rsidR="00745FEA" w:rsidRPr="008C546C" w:rsidRDefault="00745FEA" w:rsidP="00745FEA">
                  <w:pPr>
                    <w:pStyle w:val="TableBodyText"/>
                    <w:ind w:right="57"/>
                  </w:pPr>
                  <w:r w:rsidRPr="008C546C">
                    <w:t>11.5</w:t>
                  </w:r>
                </w:p>
              </w:tc>
              <w:tc>
                <w:tcPr>
                  <w:tcW w:w="464" w:type="pct"/>
                  <w:shd w:val="clear" w:color="auto" w:fill="auto"/>
                  <w:vAlign w:val="bottom"/>
                </w:tcPr>
                <w:p w:rsidR="00745FEA" w:rsidRPr="008C546C" w:rsidRDefault="00745FEA" w:rsidP="00745FEA">
                  <w:pPr>
                    <w:pStyle w:val="TableBodyText"/>
                    <w:ind w:right="57"/>
                  </w:pPr>
                  <w:r w:rsidRPr="008C546C">
                    <w:t>11.5</w:t>
                  </w:r>
                </w:p>
              </w:tc>
              <w:tc>
                <w:tcPr>
                  <w:tcW w:w="460" w:type="pct"/>
                  <w:shd w:val="clear" w:color="auto" w:fill="auto"/>
                  <w:vAlign w:val="bottom"/>
                </w:tcPr>
                <w:p w:rsidR="00745FEA" w:rsidRPr="008C546C" w:rsidRDefault="00745FEA" w:rsidP="00745FEA">
                  <w:pPr>
                    <w:pStyle w:val="TableBodyText"/>
                    <w:ind w:right="57"/>
                  </w:pPr>
                  <w:r w:rsidRPr="008C546C">
                    <w:t>11.5</w:t>
                  </w:r>
                </w:p>
              </w:tc>
            </w:tr>
            <w:tr w:rsidR="00745FEA" w:rsidTr="00745FEA">
              <w:tc>
                <w:tcPr>
                  <w:tcW w:w="2218" w:type="pct"/>
                  <w:shd w:val="clear" w:color="auto" w:fill="auto"/>
                </w:tcPr>
                <w:p w:rsidR="00745FEA" w:rsidRPr="00D63BAC" w:rsidRDefault="00745FEA" w:rsidP="00745FEA">
                  <w:pPr>
                    <w:pStyle w:val="TableBodyText"/>
                    <w:spacing w:before="40" w:after="0"/>
                    <w:ind w:left="113"/>
                    <w:jc w:val="left"/>
                    <w:rPr>
                      <w:i/>
                    </w:rPr>
                  </w:pPr>
                  <w:r w:rsidRPr="00D63BAC">
                    <w:rPr>
                      <w:i/>
                    </w:rPr>
                    <w:t>General export measures</w:t>
                  </w:r>
                </w:p>
              </w:tc>
              <w:tc>
                <w:tcPr>
                  <w:tcW w:w="465" w:type="pct"/>
                  <w:vAlign w:val="bottom"/>
                </w:tcPr>
                <w:p w:rsidR="00745FEA" w:rsidRPr="008C546C" w:rsidRDefault="00745FEA" w:rsidP="00745FEA">
                  <w:pPr>
                    <w:pStyle w:val="TableBodyText"/>
                    <w:ind w:right="57"/>
                  </w:pPr>
                </w:p>
              </w:tc>
              <w:tc>
                <w:tcPr>
                  <w:tcW w:w="465" w:type="pct"/>
                  <w:vAlign w:val="bottom"/>
                </w:tcPr>
                <w:p w:rsidR="00745FEA" w:rsidRPr="008C546C" w:rsidRDefault="00745FEA" w:rsidP="00745FEA">
                  <w:pPr>
                    <w:pStyle w:val="TableBodyText"/>
                    <w:ind w:right="57"/>
                  </w:pPr>
                </w:p>
              </w:tc>
              <w:tc>
                <w:tcPr>
                  <w:tcW w:w="464" w:type="pct"/>
                  <w:vAlign w:val="bottom"/>
                </w:tcPr>
                <w:p w:rsidR="00745FEA" w:rsidRPr="008C546C" w:rsidRDefault="00745FEA" w:rsidP="00745FEA">
                  <w:pPr>
                    <w:pStyle w:val="TableBodyText"/>
                    <w:ind w:right="57"/>
                  </w:pPr>
                </w:p>
              </w:tc>
              <w:tc>
                <w:tcPr>
                  <w:tcW w:w="464" w:type="pct"/>
                  <w:vAlign w:val="bottom"/>
                </w:tcPr>
                <w:p w:rsidR="00745FEA" w:rsidRPr="008C546C" w:rsidRDefault="00745FEA" w:rsidP="00745FEA">
                  <w:pPr>
                    <w:pStyle w:val="TableBodyText"/>
                    <w:ind w:right="57"/>
                  </w:pPr>
                </w:p>
              </w:tc>
              <w:tc>
                <w:tcPr>
                  <w:tcW w:w="464" w:type="pct"/>
                  <w:shd w:val="clear" w:color="auto" w:fill="auto"/>
                  <w:vAlign w:val="bottom"/>
                </w:tcPr>
                <w:p w:rsidR="00745FEA" w:rsidRPr="008C546C" w:rsidRDefault="00745FEA" w:rsidP="00745FEA">
                  <w:pPr>
                    <w:pStyle w:val="TableBodyText"/>
                    <w:ind w:right="57"/>
                  </w:pPr>
                </w:p>
              </w:tc>
              <w:tc>
                <w:tcPr>
                  <w:tcW w:w="460" w:type="pct"/>
                  <w:shd w:val="clear" w:color="auto" w:fill="auto"/>
                  <w:vAlign w:val="bottom"/>
                </w:tcPr>
                <w:p w:rsidR="00745FEA" w:rsidRPr="008C546C" w:rsidRDefault="00745FEA" w:rsidP="00745FEA">
                  <w:pPr>
                    <w:pStyle w:val="TableBodyText"/>
                    <w:ind w:right="57"/>
                  </w:pPr>
                </w:p>
              </w:tc>
            </w:tr>
            <w:tr w:rsidR="00745FEA" w:rsidTr="00745FEA">
              <w:tc>
                <w:tcPr>
                  <w:tcW w:w="2218" w:type="pct"/>
                  <w:shd w:val="clear" w:color="auto" w:fill="auto"/>
                </w:tcPr>
                <w:p w:rsidR="00745FEA" w:rsidRPr="0058417A" w:rsidRDefault="00745FEA" w:rsidP="00745FEA">
                  <w:pPr>
                    <w:pStyle w:val="TableBodyText"/>
                    <w:spacing w:after="0"/>
                    <w:ind w:left="227" w:right="0"/>
                    <w:jc w:val="left"/>
                  </w:pPr>
                  <w:r w:rsidRPr="0058417A">
                    <w:t>Export Market Development Grants Scheme</w:t>
                  </w:r>
                </w:p>
              </w:tc>
              <w:tc>
                <w:tcPr>
                  <w:tcW w:w="465" w:type="pct"/>
                  <w:vAlign w:val="bottom"/>
                </w:tcPr>
                <w:p w:rsidR="00745FEA" w:rsidRPr="008C546C" w:rsidRDefault="00745FEA" w:rsidP="00745FEA">
                  <w:pPr>
                    <w:pStyle w:val="TableBodyText"/>
                    <w:ind w:right="57"/>
                  </w:pPr>
                  <w:r w:rsidRPr="008C546C">
                    <w:t>0.2</w:t>
                  </w:r>
                </w:p>
              </w:tc>
              <w:tc>
                <w:tcPr>
                  <w:tcW w:w="465" w:type="pct"/>
                  <w:vAlign w:val="bottom"/>
                </w:tcPr>
                <w:p w:rsidR="00745FEA" w:rsidRPr="008C546C" w:rsidRDefault="00745FEA" w:rsidP="00745FEA">
                  <w:pPr>
                    <w:pStyle w:val="TableBodyText"/>
                    <w:ind w:right="57"/>
                  </w:pPr>
                  <w:r w:rsidRPr="008C546C">
                    <w:t>0.8</w:t>
                  </w:r>
                </w:p>
              </w:tc>
              <w:tc>
                <w:tcPr>
                  <w:tcW w:w="464" w:type="pct"/>
                  <w:vAlign w:val="bottom"/>
                </w:tcPr>
                <w:p w:rsidR="00745FEA" w:rsidRPr="008C546C" w:rsidRDefault="00745FEA" w:rsidP="00745FEA">
                  <w:pPr>
                    <w:pStyle w:val="TableBodyText"/>
                    <w:ind w:right="57"/>
                  </w:pPr>
                  <w:r w:rsidRPr="008C546C">
                    <w:t>1.1</w:t>
                  </w:r>
                </w:p>
              </w:tc>
              <w:tc>
                <w:tcPr>
                  <w:tcW w:w="464" w:type="pct"/>
                  <w:vAlign w:val="bottom"/>
                </w:tcPr>
                <w:p w:rsidR="00745FEA" w:rsidRPr="008C546C" w:rsidRDefault="00745FEA" w:rsidP="00745FEA">
                  <w:pPr>
                    <w:pStyle w:val="TableBodyText"/>
                    <w:ind w:right="57"/>
                  </w:pPr>
                  <w:r w:rsidRPr="008C546C">
                    <w:t>1.2</w:t>
                  </w:r>
                </w:p>
              </w:tc>
              <w:tc>
                <w:tcPr>
                  <w:tcW w:w="464" w:type="pct"/>
                  <w:shd w:val="clear" w:color="auto" w:fill="auto"/>
                  <w:vAlign w:val="bottom"/>
                </w:tcPr>
                <w:p w:rsidR="00745FEA" w:rsidRPr="008C546C" w:rsidRDefault="00745FEA" w:rsidP="00745FEA">
                  <w:pPr>
                    <w:pStyle w:val="TableBodyText"/>
                    <w:ind w:right="57"/>
                  </w:pPr>
                  <w:r w:rsidRPr="008C546C">
                    <w:t>1.0</w:t>
                  </w:r>
                </w:p>
              </w:tc>
              <w:tc>
                <w:tcPr>
                  <w:tcW w:w="460" w:type="pct"/>
                  <w:shd w:val="clear" w:color="auto" w:fill="auto"/>
                  <w:vAlign w:val="bottom"/>
                </w:tcPr>
                <w:p w:rsidR="00745FEA" w:rsidRPr="008C546C" w:rsidRDefault="00745FEA" w:rsidP="00745FEA">
                  <w:pPr>
                    <w:pStyle w:val="TableBodyText"/>
                    <w:ind w:right="57"/>
                  </w:pPr>
                  <w:r w:rsidRPr="008C546C">
                    <w:t>1.2</w:t>
                  </w:r>
                </w:p>
              </w:tc>
            </w:tr>
            <w:tr w:rsidR="00745FEA" w:rsidTr="00745FEA">
              <w:tc>
                <w:tcPr>
                  <w:tcW w:w="2218" w:type="pct"/>
                  <w:shd w:val="clear" w:color="auto" w:fill="auto"/>
                </w:tcPr>
                <w:p w:rsidR="00745FEA" w:rsidRPr="0058417A" w:rsidRDefault="00745FEA" w:rsidP="00745FEA">
                  <w:pPr>
                    <w:pStyle w:val="TableBodyText"/>
                    <w:spacing w:after="0"/>
                    <w:ind w:left="227" w:right="0"/>
                    <w:jc w:val="left"/>
                  </w:pPr>
                  <w:r w:rsidRPr="0058417A">
                    <w:t>TRADEX</w:t>
                  </w:r>
                </w:p>
              </w:tc>
              <w:tc>
                <w:tcPr>
                  <w:tcW w:w="465" w:type="pct"/>
                  <w:vAlign w:val="bottom"/>
                </w:tcPr>
                <w:p w:rsidR="00745FEA" w:rsidRPr="008C546C" w:rsidRDefault="00745FEA" w:rsidP="00745FEA">
                  <w:pPr>
                    <w:pStyle w:val="TableBodyText"/>
                    <w:ind w:right="57"/>
                  </w:pPr>
                  <w:r w:rsidRPr="008C546C">
                    <w:t>&lt;0.1</w:t>
                  </w:r>
                </w:p>
              </w:tc>
              <w:tc>
                <w:tcPr>
                  <w:tcW w:w="465" w:type="pct"/>
                  <w:vAlign w:val="bottom"/>
                </w:tcPr>
                <w:p w:rsidR="00745FEA" w:rsidRPr="008C546C" w:rsidRDefault="00745FEA" w:rsidP="00745FEA">
                  <w:pPr>
                    <w:pStyle w:val="TableBodyText"/>
                    <w:ind w:right="57"/>
                  </w:pPr>
                  <w:r w:rsidRPr="008C546C">
                    <w:t>&lt;0.1</w:t>
                  </w:r>
                </w:p>
              </w:tc>
              <w:tc>
                <w:tcPr>
                  <w:tcW w:w="464" w:type="pct"/>
                  <w:vAlign w:val="bottom"/>
                </w:tcPr>
                <w:p w:rsidR="00745FEA" w:rsidRPr="008C546C" w:rsidRDefault="00745FEA" w:rsidP="00745FEA">
                  <w:pPr>
                    <w:pStyle w:val="TableBodyText"/>
                    <w:ind w:right="57"/>
                  </w:pPr>
                  <w:r w:rsidRPr="008C546C">
                    <w:t>&lt;0.1</w:t>
                  </w:r>
                </w:p>
              </w:tc>
              <w:tc>
                <w:tcPr>
                  <w:tcW w:w="464" w:type="pct"/>
                  <w:vAlign w:val="bottom"/>
                </w:tcPr>
                <w:p w:rsidR="00745FEA" w:rsidRPr="008C546C" w:rsidRDefault="00745FEA" w:rsidP="00745FEA">
                  <w:pPr>
                    <w:pStyle w:val="TableBodyText"/>
                    <w:ind w:right="57"/>
                  </w:pPr>
                  <w:r w:rsidRPr="008C546C">
                    <w:t>&lt;0.1</w:t>
                  </w:r>
                </w:p>
              </w:tc>
              <w:tc>
                <w:tcPr>
                  <w:tcW w:w="464" w:type="pct"/>
                  <w:shd w:val="clear" w:color="auto" w:fill="auto"/>
                  <w:vAlign w:val="bottom"/>
                </w:tcPr>
                <w:p w:rsidR="00745FEA" w:rsidRPr="008C546C" w:rsidRDefault="00745FEA" w:rsidP="00745FEA">
                  <w:pPr>
                    <w:pStyle w:val="TableBodyText"/>
                    <w:ind w:right="57"/>
                  </w:pPr>
                  <w:r w:rsidRPr="008C546C">
                    <w:t>&lt;0.1</w:t>
                  </w:r>
                </w:p>
              </w:tc>
              <w:tc>
                <w:tcPr>
                  <w:tcW w:w="460" w:type="pct"/>
                  <w:shd w:val="clear" w:color="auto" w:fill="auto"/>
                  <w:vAlign w:val="bottom"/>
                </w:tcPr>
                <w:p w:rsidR="00745FEA" w:rsidRPr="008C546C" w:rsidRDefault="00745FEA" w:rsidP="00745FEA">
                  <w:pPr>
                    <w:pStyle w:val="TableBodyText"/>
                    <w:ind w:right="57"/>
                  </w:pPr>
                  <w:r w:rsidRPr="008C546C">
                    <w:t>&lt;0.1</w:t>
                  </w:r>
                </w:p>
              </w:tc>
            </w:tr>
            <w:tr w:rsidR="00745FEA" w:rsidTr="00745FEA">
              <w:tc>
                <w:tcPr>
                  <w:tcW w:w="2218" w:type="pct"/>
                  <w:shd w:val="clear" w:color="auto" w:fill="auto"/>
                </w:tcPr>
                <w:p w:rsidR="00745FEA" w:rsidRPr="00D63BAC" w:rsidRDefault="00745FEA" w:rsidP="00745FEA">
                  <w:pPr>
                    <w:pStyle w:val="TableBodyText"/>
                    <w:spacing w:before="40" w:after="0"/>
                    <w:ind w:left="113"/>
                    <w:jc w:val="left"/>
                    <w:rPr>
                      <w:i/>
                    </w:rPr>
                  </w:pPr>
                  <w:r w:rsidRPr="00D63BAC">
                    <w:rPr>
                      <w:i/>
                    </w:rPr>
                    <w:t>General R&amp;D measures</w:t>
                  </w:r>
                </w:p>
              </w:tc>
              <w:tc>
                <w:tcPr>
                  <w:tcW w:w="465" w:type="pct"/>
                  <w:vAlign w:val="bottom"/>
                </w:tcPr>
                <w:p w:rsidR="00745FEA" w:rsidRPr="008C546C" w:rsidRDefault="00745FEA" w:rsidP="00745FEA">
                  <w:pPr>
                    <w:pStyle w:val="TableBodyText"/>
                    <w:ind w:right="57"/>
                  </w:pPr>
                </w:p>
              </w:tc>
              <w:tc>
                <w:tcPr>
                  <w:tcW w:w="465" w:type="pct"/>
                  <w:vAlign w:val="bottom"/>
                </w:tcPr>
                <w:p w:rsidR="00745FEA" w:rsidRPr="008C546C" w:rsidRDefault="00745FEA" w:rsidP="00745FEA">
                  <w:pPr>
                    <w:pStyle w:val="TableBodyText"/>
                    <w:ind w:right="57"/>
                  </w:pPr>
                </w:p>
              </w:tc>
              <w:tc>
                <w:tcPr>
                  <w:tcW w:w="464" w:type="pct"/>
                  <w:vAlign w:val="bottom"/>
                </w:tcPr>
                <w:p w:rsidR="00745FEA" w:rsidRPr="008C546C" w:rsidRDefault="00745FEA" w:rsidP="00745FEA">
                  <w:pPr>
                    <w:pStyle w:val="TableBodyText"/>
                    <w:ind w:right="57"/>
                  </w:pPr>
                </w:p>
              </w:tc>
              <w:tc>
                <w:tcPr>
                  <w:tcW w:w="464" w:type="pct"/>
                  <w:vAlign w:val="bottom"/>
                </w:tcPr>
                <w:p w:rsidR="00745FEA" w:rsidRPr="008C546C" w:rsidRDefault="00745FEA" w:rsidP="00745FEA">
                  <w:pPr>
                    <w:pStyle w:val="TableBodyText"/>
                    <w:ind w:right="57"/>
                  </w:pPr>
                </w:p>
              </w:tc>
              <w:tc>
                <w:tcPr>
                  <w:tcW w:w="464" w:type="pct"/>
                  <w:shd w:val="clear" w:color="auto" w:fill="auto"/>
                  <w:vAlign w:val="bottom"/>
                </w:tcPr>
                <w:p w:rsidR="00745FEA" w:rsidRPr="008C546C" w:rsidRDefault="00745FEA" w:rsidP="00745FEA">
                  <w:pPr>
                    <w:pStyle w:val="TableBodyText"/>
                    <w:ind w:right="57"/>
                  </w:pPr>
                </w:p>
              </w:tc>
              <w:tc>
                <w:tcPr>
                  <w:tcW w:w="460" w:type="pct"/>
                  <w:shd w:val="clear" w:color="auto" w:fill="auto"/>
                  <w:vAlign w:val="bottom"/>
                </w:tcPr>
                <w:p w:rsidR="00745FEA" w:rsidRPr="008C546C" w:rsidRDefault="00745FEA" w:rsidP="00745FEA">
                  <w:pPr>
                    <w:pStyle w:val="TableBodyText"/>
                    <w:ind w:right="57"/>
                  </w:pP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Commercialisation Australia</w:t>
                  </w:r>
                </w:p>
              </w:tc>
              <w:tc>
                <w:tcPr>
                  <w:tcW w:w="465" w:type="pct"/>
                  <w:vAlign w:val="bottom"/>
                </w:tcPr>
                <w:p w:rsidR="00745FEA" w:rsidRPr="008C546C" w:rsidRDefault="00745FEA" w:rsidP="00745FEA">
                  <w:pPr>
                    <w:pStyle w:val="TableBodyText"/>
                    <w:ind w:right="57"/>
                  </w:pPr>
                  <w:r w:rsidRPr="008C546C">
                    <w:t>0.9</w:t>
                  </w:r>
                </w:p>
              </w:tc>
              <w:tc>
                <w:tcPr>
                  <w:tcW w:w="465" w:type="pct"/>
                  <w:vAlign w:val="bottom"/>
                </w:tcPr>
                <w:p w:rsidR="00745FEA" w:rsidRPr="008C546C" w:rsidRDefault="00745FEA" w:rsidP="00745FEA">
                  <w:pPr>
                    <w:pStyle w:val="TableBodyText"/>
                    <w:ind w:right="57"/>
                  </w:pPr>
                  <w:r w:rsidRPr="008C546C">
                    <w:t>1.1</w:t>
                  </w:r>
                </w:p>
              </w:tc>
              <w:tc>
                <w:tcPr>
                  <w:tcW w:w="464" w:type="pct"/>
                  <w:vAlign w:val="bottom"/>
                </w:tcPr>
                <w:p w:rsidR="00745FEA" w:rsidRPr="008C546C" w:rsidRDefault="00745FEA" w:rsidP="00745FEA">
                  <w:pPr>
                    <w:pStyle w:val="TableBodyText"/>
                    <w:ind w:right="57"/>
                  </w:pPr>
                  <w:r w:rsidRPr="008C546C">
                    <w:t>1.2</w:t>
                  </w:r>
                </w:p>
              </w:tc>
              <w:tc>
                <w:tcPr>
                  <w:tcW w:w="464" w:type="pct"/>
                  <w:vAlign w:val="bottom"/>
                </w:tcPr>
                <w:p w:rsidR="00745FEA" w:rsidRPr="008C546C" w:rsidRDefault="00745FEA" w:rsidP="00745FEA">
                  <w:pPr>
                    <w:pStyle w:val="TableBodyText"/>
                    <w:ind w:right="57"/>
                  </w:pPr>
                  <w:r w:rsidRPr="008C546C">
                    <w:t>0.5</w:t>
                  </w:r>
                </w:p>
              </w:tc>
              <w:tc>
                <w:tcPr>
                  <w:tcW w:w="464" w:type="pct"/>
                  <w:shd w:val="clear" w:color="auto" w:fill="auto"/>
                  <w:vAlign w:val="bottom"/>
                </w:tcPr>
                <w:p w:rsidR="00745FEA" w:rsidRPr="008C546C" w:rsidRDefault="00745FEA" w:rsidP="00745FEA">
                  <w:pPr>
                    <w:pStyle w:val="TableBodyText"/>
                    <w:ind w:right="57"/>
                  </w:pPr>
                  <w:r w:rsidRPr="008C546C">
                    <w:t>0.1</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CSIRO</w:t>
                  </w:r>
                </w:p>
              </w:tc>
              <w:tc>
                <w:tcPr>
                  <w:tcW w:w="465" w:type="pct"/>
                  <w:vAlign w:val="bottom"/>
                </w:tcPr>
                <w:p w:rsidR="00745FEA" w:rsidRPr="008C546C" w:rsidRDefault="00745FEA" w:rsidP="00745FEA">
                  <w:pPr>
                    <w:pStyle w:val="TableBodyText"/>
                    <w:ind w:right="57"/>
                  </w:pPr>
                  <w:r w:rsidRPr="008C546C">
                    <w:t>2.2</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2.3</w:t>
                  </w:r>
                </w:p>
              </w:tc>
              <w:tc>
                <w:tcPr>
                  <w:tcW w:w="464" w:type="pct"/>
                  <w:vAlign w:val="bottom"/>
                </w:tcPr>
                <w:p w:rsidR="00745FEA" w:rsidRPr="008C546C" w:rsidRDefault="00745FEA" w:rsidP="00745FEA">
                  <w:pPr>
                    <w:pStyle w:val="TableBodyText"/>
                    <w:ind w:right="57"/>
                  </w:pPr>
                  <w:r w:rsidRPr="008C546C">
                    <w:t>1.8</w:t>
                  </w:r>
                </w:p>
              </w:tc>
              <w:tc>
                <w:tcPr>
                  <w:tcW w:w="464" w:type="pct"/>
                  <w:shd w:val="clear" w:color="auto" w:fill="auto"/>
                  <w:vAlign w:val="bottom"/>
                </w:tcPr>
                <w:p w:rsidR="00745FEA" w:rsidRPr="008C546C" w:rsidRDefault="00745FEA" w:rsidP="00745FEA">
                  <w:pPr>
                    <w:pStyle w:val="TableBodyText"/>
                    <w:ind w:right="57"/>
                  </w:pPr>
                  <w:r w:rsidRPr="008C546C">
                    <w:t>1.8</w:t>
                  </w:r>
                </w:p>
              </w:tc>
              <w:tc>
                <w:tcPr>
                  <w:tcW w:w="460" w:type="pct"/>
                  <w:shd w:val="clear" w:color="auto" w:fill="auto"/>
                  <w:vAlign w:val="bottom"/>
                </w:tcPr>
                <w:p w:rsidR="00745FEA" w:rsidRPr="008C546C" w:rsidRDefault="00745FEA" w:rsidP="00745FEA">
                  <w:pPr>
                    <w:pStyle w:val="TableBodyText"/>
                    <w:ind w:right="57"/>
                  </w:pPr>
                  <w:r w:rsidRPr="008C546C">
                    <w:t>3.1</w:t>
                  </w: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Innovation Investment Fund</w:t>
                  </w:r>
                </w:p>
              </w:tc>
              <w:tc>
                <w:tcPr>
                  <w:tcW w:w="465" w:type="pct"/>
                  <w:vAlign w:val="bottom"/>
                </w:tcPr>
                <w:p w:rsidR="00745FEA" w:rsidRPr="008C546C" w:rsidRDefault="00745FEA" w:rsidP="00745FEA">
                  <w:pPr>
                    <w:pStyle w:val="TableBodyText"/>
                    <w:ind w:right="57"/>
                  </w:pPr>
                  <w:r w:rsidRPr="008C546C">
                    <w:t>6.9</w:t>
                  </w:r>
                </w:p>
              </w:tc>
              <w:tc>
                <w:tcPr>
                  <w:tcW w:w="465" w:type="pct"/>
                  <w:vAlign w:val="bottom"/>
                </w:tcPr>
                <w:p w:rsidR="00745FEA" w:rsidRPr="008C546C" w:rsidRDefault="00745FEA" w:rsidP="00745FEA">
                  <w:pPr>
                    <w:pStyle w:val="TableBodyText"/>
                    <w:ind w:right="57"/>
                  </w:pPr>
                  <w:r w:rsidRPr="008C546C">
                    <w:t>8.1</w:t>
                  </w:r>
                </w:p>
              </w:tc>
              <w:tc>
                <w:tcPr>
                  <w:tcW w:w="464" w:type="pct"/>
                  <w:vAlign w:val="bottom"/>
                </w:tcPr>
                <w:p w:rsidR="00745FEA" w:rsidRPr="008C546C" w:rsidRDefault="00745FEA" w:rsidP="00745FEA">
                  <w:pPr>
                    <w:pStyle w:val="TableBodyText"/>
                    <w:ind w:right="57"/>
                  </w:pPr>
                  <w:r w:rsidRPr="008C546C">
                    <w:t>9.5</w:t>
                  </w:r>
                </w:p>
              </w:tc>
              <w:tc>
                <w:tcPr>
                  <w:tcW w:w="464" w:type="pct"/>
                  <w:vAlign w:val="bottom"/>
                </w:tcPr>
                <w:p w:rsidR="00745FEA" w:rsidRPr="008C546C" w:rsidRDefault="00745FEA" w:rsidP="00745FEA">
                  <w:pPr>
                    <w:pStyle w:val="TableBodyText"/>
                    <w:ind w:right="57"/>
                  </w:pPr>
                  <w:r w:rsidRPr="008C546C">
                    <w:t>9.2</w:t>
                  </w:r>
                </w:p>
              </w:tc>
              <w:tc>
                <w:tcPr>
                  <w:tcW w:w="464" w:type="pct"/>
                  <w:shd w:val="clear" w:color="auto" w:fill="auto"/>
                  <w:vAlign w:val="bottom"/>
                </w:tcPr>
                <w:p w:rsidR="00745FEA" w:rsidRPr="008C546C" w:rsidRDefault="00745FEA" w:rsidP="00745FEA">
                  <w:pPr>
                    <w:pStyle w:val="TableBodyText"/>
                    <w:ind w:right="57"/>
                  </w:pPr>
                  <w:r w:rsidRPr="008C546C">
                    <w:t>18.8</w:t>
                  </w:r>
                </w:p>
              </w:tc>
              <w:tc>
                <w:tcPr>
                  <w:tcW w:w="460" w:type="pct"/>
                  <w:shd w:val="clear" w:color="auto" w:fill="auto"/>
                  <w:vAlign w:val="bottom"/>
                </w:tcPr>
                <w:p w:rsidR="00745FEA" w:rsidRPr="008C546C" w:rsidRDefault="00745FEA" w:rsidP="00745FEA">
                  <w:pPr>
                    <w:pStyle w:val="TableBodyText"/>
                    <w:ind w:right="57"/>
                  </w:pPr>
                  <w:r w:rsidRPr="008C546C">
                    <w:t>13.2</w:t>
                  </w: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R&amp;D Tax Incentive - refundable tax offset</w:t>
                  </w:r>
                </w:p>
              </w:tc>
              <w:tc>
                <w:tcPr>
                  <w:tcW w:w="465" w:type="pct"/>
                  <w:vAlign w:val="bottom"/>
                </w:tcPr>
                <w:p w:rsidR="00745FEA" w:rsidRPr="008C546C" w:rsidRDefault="00745FEA" w:rsidP="00745FEA">
                  <w:pPr>
                    <w:pStyle w:val="TableBodyText"/>
                    <w:ind w:right="57"/>
                  </w:pPr>
                  <w:r w:rsidRPr="008C546C">
                    <w:t>–</w:t>
                  </w:r>
                </w:p>
              </w:tc>
              <w:tc>
                <w:tcPr>
                  <w:tcW w:w="465" w:type="pct"/>
                  <w:vAlign w:val="bottom"/>
                </w:tcPr>
                <w:p w:rsidR="00745FEA" w:rsidRPr="008C546C" w:rsidRDefault="00745FEA" w:rsidP="00745FEA">
                  <w:pPr>
                    <w:pStyle w:val="TableBodyText"/>
                    <w:ind w:right="57"/>
                  </w:pPr>
                  <w:r w:rsidRPr="008C546C">
                    <w:t>41.7</w:t>
                  </w:r>
                </w:p>
              </w:tc>
              <w:tc>
                <w:tcPr>
                  <w:tcW w:w="464" w:type="pct"/>
                  <w:vAlign w:val="bottom"/>
                </w:tcPr>
                <w:p w:rsidR="00745FEA" w:rsidRPr="008C546C" w:rsidRDefault="00745FEA" w:rsidP="00745FEA">
                  <w:pPr>
                    <w:pStyle w:val="TableBodyText"/>
                    <w:ind w:right="57"/>
                  </w:pPr>
                  <w:r w:rsidRPr="008C546C">
                    <w:t>40.3</w:t>
                  </w:r>
                </w:p>
              </w:tc>
              <w:tc>
                <w:tcPr>
                  <w:tcW w:w="464" w:type="pct"/>
                  <w:vAlign w:val="bottom"/>
                </w:tcPr>
                <w:p w:rsidR="00745FEA" w:rsidRPr="008C546C" w:rsidRDefault="00745FEA" w:rsidP="00745FEA">
                  <w:pPr>
                    <w:pStyle w:val="TableBodyText"/>
                    <w:ind w:right="57"/>
                  </w:pPr>
                  <w:r w:rsidRPr="008C546C">
                    <w:t>53.9</w:t>
                  </w:r>
                </w:p>
              </w:tc>
              <w:tc>
                <w:tcPr>
                  <w:tcW w:w="464" w:type="pct"/>
                  <w:shd w:val="clear" w:color="auto" w:fill="auto"/>
                  <w:vAlign w:val="bottom"/>
                </w:tcPr>
                <w:p w:rsidR="00745FEA" w:rsidRPr="008C546C" w:rsidRDefault="00745FEA" w:rsidP="00745FEA">
                  <w:pPr>
                    <w:pStyle w:val="TableBodyText"/>
                    <w:ind w:right="57"/>
                  </w:pPr>
                  <w:r w:rsidRPr="008C546C">
                    <w:t>57.4</w:t>
                  </w:r>
                </w:p>
              </w:tc>
              <w:tc>
                <w:tcPr>
                  <w:tcW w:w="460" w:type="pct"/>
                  <w:shd w:val="clear" w:color="auto" w:fill="auto"/>
                  <w:vAlign w:val="bottom"/>
                </w:tcPr>
                <w:p w:rsidR="00745FEA" w:rsidRPr="008C546C" w:rsidRDefault="00745FEA" w:rsidP="00745FEA">
                  <w:pPr>
                    <w:pStyle w:val="TableBodyText"/>
                    <w:ind w:right="57"/>
                  </w:pPr>
                  <w:r w:rsidRPr="008C546C">
                    <w:t>69.4</w:t>
                  </w: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R&amp;D tax offsets - Refundable</w:t>
                  </w:r>
                </w:p>
              </w:tc>
              <w:tc>
                <w:tcPr>
                  <w:tcW w:w="465" w:type="pct"/>
                  <w:vAlign w:val="bottom"/>
                </w:tcPr>
                <w:p w:rsidR="00745FEA" w:rsidRPr="008C546C" w:rsidRDefault="00745FEA" w:rsidP="00745FEA">
                  <w:pPr>
                    <w:pStyle w:val="TableBodyText"/>
                    <w:ind w:right="57"/>
                  </w:pPr>
                  <w:r w:rsidRPr="008C546C">
                    <w:t>106.7</w:t>
                  </w:r>
                </w:p>
              </w:tc>
              <w:tc>
                <w:tcPr>
                  <w:tcW w:w="465"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vAlign w:val="bottom"/>
                </w:tcPr>
                <w:p w:rsidR="00745FEA" w:rsidRPr="008C546C" w:rsidRDefault="00745FEA" w:rsidP="00745FEA">
                  <w:pPr>
                    <w:pStyle w:val="TableBodyText"/>
                    <w:ind w:right="57"/>
                  </w:pPr>
                  <w:r w:rsidRPr="008C546C">
                    <w:t>–</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Premium R&amp;D tax concession</w:t>
                  </w:r>
                </w:p>
              </w:tc>
              <w:tc>
                <w:tcPr>
                  <w:tcW w:w="465" w:type="pct"/>
                  <w:vAlign w:val="bottom"/>
                </w:tcPr>
                <w:p w:rsidR="00745FEA" w:rsidRPr="008C546C" w:rsidRDefault="00745FEA" w:rsidP="00745FEA">
                  <w:pPr>
                    <w:pStyle w:val="TableBodyText"/>
                    <w:ind w:right="57"/>
                  </w:pPr>
                  <w:r w:rsidRPr="008C546C">
                    <w:t>71.7</w:t>
                  </w:r>
                </w:p>
              </w:tc>
              <w:tc>
                <w:tcPr>
                  <w:tcW w:w="465" w:type="pct"/>
                  <w:vAlign w:val="bottom"/>
                </w:tcPr>
                <w:p w:rsidR="00745FEA" w:rsidRPr="008C546C" w:rsidRDefault="00745FEA" w:rsidP="00745FEA">
                  <w:pPr>
                    <w:pStyle w:val="TableBodyText"/>
                    <w:ind w:right="57"/>
                  </w:pPr>
                  <w:r w:rsidRPr="008C546C">
                    <w:t>19.6</w:t>
                  </w:r>
                </w:p>
              </w:tc>
              <w:tc>
                <w:tcPr>
                  <w:tcW w:w="464" w:type="pct"/>
                  <w:vAlign w:val="bottom"/>
                </w:tcPr>
                <w:p w:rsidR="00745FEA" w:rsidRPr="008C546C" w:rsidRDefault="00745FEA" w:rsidP="00745FEA">
                  <w:pPr>
                    <w:pStyle w:val="TableBodyText"/>
                    <w:ind w:right="57"/>
                  </w:pPr>
                  <w:r w:rsidRPr="008C546C">
                    <w:t>8.2</w:t>
                  </w:r>
                </w:p>
              </w:tc>
              <w:tc>
                <w:tcPr>
                  <w:tcW w:w="464" w:type="pct"/>
                  <w:vAlign w:val="bottom"/>
                </w:tcPr>
                <w:p w:rsidR="00745FEA" w:rsidRPr="008C546C" w:rsidRDefault="00745FEA" w:rsidP="00745FEA">
                  <w:pPr>
                    <w:pStyle w:val="TableBodyText"/>
                    <w:ind w:right="57"/>
                  </w:pPr>
                  <w:r w:rsidRPr="008C546C">
                    <w:t>–</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shd w:val="clear" w:color="auto" w:fill="auto"/>
                </w:tcPr>
                <w:p w:rsidR="00745FEA" w:rsidRPr="00A16A5C" w:rsidRDefault="00745FEA" w:rsidP="00745FEA">
                  <w:pPr>
                    <w:pStyle w:val="TableBodyText"/>
                    <w:spacing w:after="0"/>
                    <w:ind w:left="227" w:right="0"/>
                    <w:jc w:val="left"/>
                  </w:pPr>
                  <w:r w:rsidRPr="00A16A5C">
                    <w:t>R&amp;D tax concession</w:t>
                  </w:r>
                </w:p>
              </w:tc>
              <w:tc>
                <w:tcPr>
                  <w:tcW w:w="465" w:type="pct"/>
                  <w:vAlign w:val="bottom"/>
                </w:tcPr>
                <w:p w:rsidR="00745FEA" w:rsidRPr="008C546C" w:rsidRDefault="00745FEA" w:rsidP="00745FEA">
                  <w:pPr>
                    <w:pStyle w:val="TableBodyText"/>
                    <w:ind w:right="57"/>
                  </w:pPr>
                  <w:r w:rsidRPr="008C546C">
                    <w:t>182.5</w:t>
                  </w:r>
                </w:p>
              </w:tc>
              <w:tc>
                <w:tcPr>
                  <w:tcW w:w="465" w:type="pct"/>
                  <w:vAlign w:val="bottom"/>
                </w:tcPr>
                <w:p w:rsidR="00745FEA" w:rsidRPr="008C546C" w:rsidRDefault="00745FEA" w:rsidP="00745FEA">
                  <w:pPr>
                    <w:pStyle w:val="TableBodyText"/>
                    <w:ind w:right="57"/>
                  </w:pPr>
                  <w:r w:rsidRPr="008C546C">
                    <w:t>81.5</w:t>
                  </w:r>
                </w:p>
              </w:tc>
              <w:tc>
                <w:tcPr>
                  <w:tcW w:w="464" w:type="pct"/>
                  <w:vAlign w:val="bottom"/>
                </w:tcPr>
                <w:p w:rsidR="00745FEA" w:rsidRPr="008C546C" w:rsidRDefault="00745FEA" w:rsidP="00745FEA">
                  <w:pPr>
                    <w:pStyle w:val="TableBodyText"/>
                    <w:ind w:right="57"/>
                  </w:pPr>
                  <w:r w:rsidRPr="008C546C">
                    <w:t>27.9</w:t>
                  </w:r>
                </w:p>
              </w:tc>
              <w:tc>
                <w:tcPr>
                  <w:tcW w:w="464" w:type="pct"/>
                  <w:vAlign w:val="bottom"/>
                </w:tcPr>
                <w:p w:rsidR="00745FEA" w:rsidRPr="008C546C" w:rsidRDefault="00745FEA" w:rsidP="00745FEA">
                  <w:pPr>
                    <w:pStyle w:val="TableBodyText"/>
                    <w:ind w:right="57"/>
                  </w:pPr>
                  <w:r w:rsidRPr="008C546C">
                    <w:t>4.9</w:t>
                  </w:r>
                </w:p>
              </w:tc>
              <w:tc>
                <w:tcPr>
                  <w:tcW w:w="464" w:type="pct"/>
                  <w:shd w:val="clear" w:color="auto" w:fill="auto"/>
                  <w:vAlign w:val="bottom"/>
                </w:tcPr>
                <w:p w:rsidR="00745FEA" w:rsidRPr="008C546C" w:rsidRDefault="00745FEA" w:rsidP="00745FEA">
                  <w:pPr>
                    <w:pStyle w:val="TableBodyText"/>
                    <w:ind w:right="57"/>
                  </w:pPr>
                  <w:r w:rsidRPr="008C546C">
                    <w:t>–</w:t>
                  </w:r>
                </w:p>
              </w:tc>
              <w:tc>
                <w:tcPr>
                  <w:tcW w:w="460"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18" w:type="pct"/>
                  <w:tcBorders>
                    <w:bottom w:val="single" w:sz="6" w:space="0" w:color="BFBFBF"/>
                  </w:tcBorders>
                  <w:shd w:val="clear" w:color="auto" w:fill="auto"/>
                </w:tcPr>
                <w:p w:rsidR="00745FEA" w:rsidRPr="00A16A5C" w:rsidRDefault="00745FEA" w:rsidP="00745FEA">
                  <w:pPr>
                    <w:pStyle w:val="TableBodyText"/>
                    <w:ind w:left="227" w:right="0"/>
                    <w:jc w:val="left"/>
                  </w:pPr>
                  <w:r w:rsidRPr="00A16A5C">
                    <w:t>R&amp;D Tax Incentive - non-refundable tax offset</w:t>
                  </w:r>
                </w:p>
              </w:tc>
              <w:tc>
                <w:tcPr>
                  <w:tcW w:w="465" w:type="pct"/>
                  <w:tcBorders>
                    <w:bottom w:val="single" w:sz="6" w:space="0" w:color="BFBFBF"/>
                  </w:tcBorders>
                  <w:vAlign w:val="bottom"/>
                </w:tcPr>
                <w:p w:rsidR="00745FEA" w:rsidRPr="008C546C" w:rsidRDefault="00745FEA" w:rsidP="00745FEA">
                  <w:pPr>
                    <w:pStyle w:val="TableBodyText"/>
                    <w:ind w:right="57"/>
                  </w:pPr>
                  <w:r w:rsidRPr="008C546C">
                    <w:t>–</w:t>
                  </w:r>
                </w:p>
              </w:tc>
              <w:tc>
                <w:tcPr>
                  <w:tcW w:w="465" w:type="pct"/>
                  <w:tcBorders>
                    <w:bottom w:val="single" w:sz="6" w:space="0" w:color="BFBFBF"/>
                  </w:tcBorders>
                  <w:vAlign w:val="bottom"/>
                </w:tcPr>
                <w:p w:rsidR="00745FEA" w:rsidRPr="008C546C" w:rsidRDefault="00745FEA" w:rsidP="00745FEA">
                  <w:pPr>
                    <w:pStyle w:val="TableBodyText"/>
                    <w:ind w:right="57"/>
                  </w:pPr>
                  <w:r w:rsidRPr="008C546C">
                    <w:t>177.6</w:t>
                  </w:r>
                </w:p>
              </w:tc>
              <w:tc>
                <w:tcPr>
                  <w:tcW w:w="464" w:type="pct"/>
                  <w:tcBorders>
                    <w:bottom w:val="single" w:sz="6" w:space="0" w:color="BFBFBF"/>
                  </w:tcBorders>
                  <w:vAlign w:val="bottom"/>
                </w:tcPr>
                <w:p w:rsidR="00745FEA" w:rsidRPr="008C546C" w:rsidRDefault="00745FEA" w:rsidP="00745FEA">
                  <w:pPr>
                    <w:pStyle w:val="TableBodyText"/>
                    <w:ind w:right="57"/>
                  </w:pPr>
                  <w:r w:rsidRPr="008C546C">
                    <w:t>192.1</w:t>
                  </w:r>
                </w:p>
              </w:tc>
              <w:tc>
                <w:tcPr>
                  <w:tcW w:w="464" w:type="pct"/>
                  <w:tcBorders>
                    <w:bottom w:val="single" w:sz="6" w:space="0" w:color="BFBFBF"/>
                  </w:tcBorders>
                  <w:vAlign w:val="bottom"/>
                </w:tcPr>
                <w:p w:rsidR="00745FEA" w:rsidRPr="008C546C" w:rsidRDefault="00745FEA" w:rsidP="00745FEA">
                  <w:pPr>
                    <w:pStyle w:val="TableBodyText"/>
                    <w:ind w:right="57"/>
                  </w:pPr>
                  <w:r w:rsidRPr="008C546C">
                    <w:t>120.9</w:t>
                  </w:r>
                </w:p>
              </w:tc>
              <w:tc>
                <w:tcPr>
                  <w:tcW w:w="464" w:type="pct"/>
                  <w:tcBorders>
                    <w:bottom w:val="single" w:sz="6" w:space="0" w:color="BFBFBF"/>
                  </w:tcBorders>
                  <w:shd w:val="clear" w:color="auto" w:fill="auto"/>
                  <w:vAlign w:val="bottom"/>
                </w:tcPr>
                <w:p w:rsidR="00745FEA" w:rsidRPr="008C546C" w:rsidRDefault="00745FEA" w:rsidP="00745FEA">
                  <w:pPr>
                    <w:pStyle w:val="TableBodyText"/>
                    <w:ind w:right="57"/>
                  </w:pPr>
                  <w:r w:rsidRPr="008C546C">
                    <w:t>64.1</w:t>
                  </w:r>
                </w:p>
              </w:tc>
              <w:tc>
                <w:tcPr>
                  <w:tcW w:w="460" w:type="pct"/>
                  <w:tcBorders>
                    <w:bottom w:val="single" w:sz="6" w:space="0" w:color="BFBFBF"/>
                  </w:tcBorders>
                  <w:shd w:val="clear" w:color="auto" w:fill="auto"/>
                  <w:vAlign w:val="bottom"/>
                </w:tcPr>
                <w:p w:rsidR="00745FEA" w:rsidRPr="008C546C" w:rsidRDefault="00745FEA" w:rsidP="00745FEA">
                  <w:pPr>
                    <w:pStyle w:val="TableBodyText"/>
                    <w:ind w:right="57"/>
                  </w:pPr>
                  <w:r w:rsidRPr="008C546C">
                    <w:t>42.8</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640"/>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2"/>
              <w:gridCol w:w="796"/>
              <w:gridCol w:w="796"/>
              <w:gridCol w:w="794"/>
              <w:gridCol w:w="794"/>
              <w:gridCol w:w="6"/>
              <w:gridCol w:w="801"/>
              <w:gridCol w:w="776"/>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74"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shd w:val="clear" w:color="auto" w:fill="auto"/>
                </w:tcPr>
                <w:p w:rsidR="00745FEA" w:rsidRPr="00D63BAC" w:rsidRDefault="00745FEA" w:rsidP="00745FEA">
                  <w:pPr>
                    <w:pStyle w:val="TableBodyText"/>
                    <w:spacing w:before="40" w:after="0"/>
                    <w:ind w:left="113"/>
                    <w:jc w:val="left"/>
                    <w:rPr>
                      <w:i/>
                    </w:rPr>
                  </w:pPr>
                  <w:r w:rsidRPr="00D63BAC">
                    <w:rPr>
                      <w:i/>
                    </w:rPr>
                    <w:t>Other measures</w:t>
                  </w:r>
                </w:p>
              </w:tc>
              <w:tc>
                <w:tcPr>
                  <w:tcW w:w="468" w:type="pct"/>
                  <w:vAlign w:val="bottom"/>
                </w:tcPr>
                <w:p w:rsidR="00745FEA" w:rsidRDefault="00745FEA" w:rsidP="00745FEA">
                  <w:pPr>
                    <w:pStyle w:val="TableBodyText"/>
                    <w:spacing w:before="40" w:after="0"/>
                    <w:ind w:left="113" w:right="57"/>
                  </w:pPr>
                </w:p>
              </w:tc>
              <w:tc>
                <w:tcPr>
                  <w:tcW w:w="468"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74" w:type="pct"/>
                  <w:gridSpan w:val="2"/>
                  <w:shd w:val="clear" w:color="auto" w:fill="auto"/>
                  <w:vAlign w:val="bottom"/>
                </w:tcPr>
                <w:p w:rsidR="00745FEA" w:rsidRDefault="00745FEA" w:rsidP="00745FEA">
                  <w:pPr>
                    <w:pStyle w:val="TableBodyText"/>
                    <w:spacing w:before="40" w:after="0"/>
                    <w:ind w:left="113" w:right="57"/>
                  </w:pPr>
                </w:p>
              </w:tc>
              <w:tc>
                <w:tcPr>
                  <w:tcW w:w="456"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Enterprise Connect Innovation Centres</w:t>
                  </w:r>
                </w:p>
              </w:tc>
              <w:tc>
                <w:tcPr>
                  <w:tcW w:w="468" w:type="pct"/>
                  <w:vAlign w:val="bottom"/>
                </w:tcPr>
                <w:p w:rsidR="00745FEA" w:rsidRPr="008C546C" w:rsidRDefault="00745FEA" w:rsidP="00745FEA">
                  <w:pPr>
                    <w:pStyle w:val="TableBodyText"/>
                    <w:ind w:right="57"/>
                  </w:pPr>
                  <w:r w:rsidRPr="008C546C">
                    <w:t>–</w:t>
                  </w:r>
                </w:p>
              </w:tc>
              <w:tc>
                <w:tcPr>
                  <w:tcW w:w="468" w:type="pct"/>
                  <w:vAlign w:val="bottom"/>
                </w:tcPr>
                <w:p w:rsidR="00745FEA" w:rsidRPr="008C546C" w:rsidRDefault="00745FEA" w:rsidP="00745FEA">
                  <w:pPr>
                    <w:pStyle w:val="TableBodyText"/>
                    <w:ind w:right="57"/>
                  </w:pPr>
                  <w:r w:rsidRPr="008C546C">
                    <w:t>&lt;0.1</w:t>
                  </w:r>
                </w:p>
              </w:tc>
              <w:tc>
                <w:tcPr>
                  <w:tcW w:w="467" w:type="pct"/>
                  <w:vAlign w:val="bottom"/>
                </w:tcPr>
                <w:p w:rsidR="00745FEA" w:rsidRPr="008C546C" w:rsidRDefault="00745FEA" w:rsidP="00745FEA">
                  <w:pPr>
                    <w:pStyle w:val="TableBodyText"/>
                    <w:ind w:right="57"/>
                  </w:pPr>
                  <w:r w:rsidRPr="008C546C">
                    <w:t>–</w:t>
                  </w:r>
                </w:p>
              </w:tc>
              <w:tc>
                <w:tcPr>
                  <w:tcW w:w="470" w:type="pct"/>
                  <w:gridSpan w:val="2"/>
                  <w:vAlign w:val="bottom"/>
                </w:tcPr>
                <w:p w:rsidR="00745FEA" w:rsidRPr="008C546C" w:rsidRDefault="00745FEA" w:rsidP="00745FEA">
                  <w:pPr>
                    <w:pStyle w:val="TableBodyText"/>
                    <w:ind w:right="57"/>
                  </w:pPr>
                  <w:r w:rsidRPr="008C546C">
                    <w:t>&lt;0.1</w:t>
                  </w:r>
                </w:p>
              </w:tc>
              <w:tc>
                <w:tcPr>
                  <w:tcW w:w="471" w:type="pct"/>
                  <w:shd w:val="clear" w:color="auto" w:fill="auto"/>
                  <w:vAlign w:val="bottom"/>
                </w:tcPr>
                <w:p w:rsidR="00745FEA" w:rsidRPr="008C546C" w:rsidRDefault="00745FEA" w:rsidP="00745FEA">
                  <w:pPr>
                    <w:pStyle w:val="TableBodyText"/>
                    <w:ind w:right="57"/>
                  </w:pPr>
                  <w:r w:rsidRPr="008C546C">
                    <w:t>–</w:t>
                  </w:r>
                </w:p>
              </w:tc>
              <w:tc>
                <w:tcPr>
                  <w:tcW w:w="456"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Entrepreneurs’ Infrastructure Programme - Accelerating Commercialisation</w:t>
                  </w:r>
                </w:p>
              </w:tc>
              <w:tc>
                <w:tcPr>
                  <w:tcW w:w="468" w:type="pct"/>
                  <w:vAlign w:val="bottom"/>
                </w:tcPr>
                <w:p w:rsidR="00745FEA" w:rsidRPr="008C546C" w:rsidRDefault="00745FEA" w:rsidP="00745FEA">
                  <w:pPr>
                    <w:pStyle w:val="TableBodyText"/>
                    <w:ind w:right="57"/>
                  </w:pPr>
                  <w:r w:rsidRPr="008C546C">
                    <w:t>–</w:t>
                  </w:r>
                </w:p>
              </w:tc>
              <w:tc>
                <w:tcPr>
                  <w:tcW w:w="468" w:type="pct"/>
                  <w:vAlign w:val="bottom"/>
                </w:tcPr>
                <w:p w:rsidR="00745FEA" w:rsidRPr="008C546C" w:rsidRDefault="00745FEA" w:rsidP="00745FEA">
                  <w:pPr>
                    <w:pStyle w:val="TableBodyText"/>
                    <w:ind w:right="57"/>
                  </w:pPr>
                  <w:r w:rsidRPr="008C546C">
                    <w:t>–</w:t>
                  </w:r>
                </w:p>
              </w:tc>
              <w:tc>
                <w:tcPr>
                  <w:tcW w:w="467" w:type="pct"/>
                  <w:vAlign w:val="bottom"/>
                </w:tcPr>
                <w:p w:rsidR="00745FEA" w:rsidRPr="008C546C" w:rsidRDefault="00745FEA" w:rsidP="00745FEA">
                  <w:pPr>
                    <w:pStyle w:val="TableBodyText"/>
                    <w:ind w:right="57"/>
                  </w:pPr>
                  <w:r w:rsidRPr="008C546C">
                    <w:t>–</w:t>
                  </w:r>
                </w:p>
              </w:tc>
              <w:tc>
                <w:tcPr>
                  <w:tcW w:w="470" w:type="pct"/>
                  <w:gridSpan w:val="2"/>
                  <w:vAlign w:val="bottom"/>
                </w:tcPr>
                <w:p w:rsidR="00745FEA" w:rsidRPr="008C546C" w:rsidRDefault="00745FEA" w:rsidP="00745FEA">
                  <w:pPr>
                    <w:pStyle w:val="TableBodyText"/>
                    <w:ind w:right="57"/>
                  </w:pPr>
                  <w:r w:rsidRPr="008C546C">
                    <w:t>&lt;0.1</w:t>
                  </w:r>
                </w:p>
              </w:tc>
              <w:tc>
                <w:tcPr>
                  <w:tcW w:w="471" w:type="pct"/>
                  <w:shd w:val="clear" w:color="auto" w:fill="auto"/>
                  <w:vAlign w:val="bottom"/>
                </w:tcPr>
                <w:p w:rsidR="00745FEA" w:rsidRPr="008C546C" w:rsidRDefault="00745FEA" w:rsidP="00745FEA">
                  <w:pPr>
                    <w:pStyle w:val="TableBodyText"/>
                    <w:ind w:right="57"/>
                  </w:pPr>
                  <w:r w:rsidRPr="008C546C">
                    <w:t>0.4</w:t>
                  </w:r>
                </w:p>
              </w:tc>
              <w:tc>
                <w:tcPr>
                  <w:tcW w:w="456" w:type="pct"/>
                  <w:shd w:val="clear" w:color="auto" w:fill="auto"/>
                  <w:vAlign w:val="bottom"/>
                </w:tcPr>
                <w:p w:rsidR="00745FEA" w:rsidRPr="008C546C" w:rsidRDefault="00745FEA" w:rsidP="00745FEA">
                  <w:pPr>
                    <w:pStyle w:val="TableBodyText"/>
                    <w:ind w:right="57"/>
                  </w:pPr>
                  <w:r w:rsidRPr="008C546C">
                    <w:t>0.3</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Entrepreneurs’ Infrastructure Programme - Business Management Skills</w:t>
                  </w:r>
                </w:p>
              </w:tc>
              <w:tc>
                <w:tcPr>
                  <w:tcW w:w="468" w:type="pct"/>
                  <w:vAlign w:val="bottom"/>
                </w:tcPr>
                <w:p w:rsidR="00745FEA" w:rsidRPr="008C546C" w:rsidRDefault="00745FEA" w:rsidP="00745FEA">
                  <w:pPr>
                    <w:pStyle w:val="TableBodyText"/>
                    <w:ind w:right="57"/>
                  </w:pPr>
                  <w:r w:rsidRPr="008C546C">
                    <w:t>–</w:t>
                  </w:r>
                </w:p>
              </w:tc>
              <w:tc>
                <w:tcPr>
                  <w:tcW w:w="468" w:type="pct"/>
                  <w:vAlign w:val="bottom"/>
                </w:tcPr>
                <w:p w:rsidR="00745FEA" w:rsidRPr="008C546C" w:rsidRDefault="00745FEA" w:rsidP="00745FEA">
                  <w:pPr>
                    <w:pStyle w:val="TableBodyText"/>
                    <w:ind w:right="57"/>
                  </w:pPr>
                  <w:r w:rsidRPr="008C546C">
                    <w:t>–</w:t>
                  </w:r>
                </w:p>
              </w:tc>
              <w:tc>
                <w:tcPr>
                  <w:tcW w:w="467" w:type="pct"/>
                  <w:vAlign w:val="bottom"/>
                </w:tcPr>
                <w:p w:rsidR="00745FEA" w:rsidRPr="008C546C" w:rsidRDefault="00745FEA" w:rsidP="00745FEA">
                  <w:pPr>
                    <w:pStyle w:val="TableBodyText"/>
                    <w:ind w:right="57"/>
                  </w:pPr>
                  <w:r w:rsidRPr="008C546C">
                    <w:t>–</w:t>
                  </w:r>
                </w:p>
              </w:tc>
              <w:tc>
                <w:tcPr>
                  <w:tcW w:w="470" w:type="pct"/>
                  <w:gridSpan w:val="2"/>
                  <w:vAlign w:val="bottom"/>
                </w:tcPr>
                <w:p w:rsidR="00745FEA" w:rsidRPr="008C546C" w:rsidRDefault="00745FEA" w:rsidP="00745FEA">
                  <w:pPr>
                    <w:pStyle w:val="TableBodyText"/>
                    <w:ind w:right="57"/>
                  </w:pPr>
                  <w:r w:rsidRPr="008C546C">
                    <w:t>&lt;0.1</w:t>
                  </w:r>
                </w:p>
              </w:tc>
              <w:tc>
                <w:tcPr>
                  <w:tcW w:w="471" w:type="pct"/>
                  <w:shd w:val="clear" w:color="auto" w:fill="auto"/>
                  <w:vAlign w:val="bottom"/>
                </w:tcPr>
                <w:p w:rsidR="00745FEA" w:rsidRPr="008C546C" w:rsidRDefault="00745FEA" w:rsidP="00745FEA">
                  <w:pPr>
                    <w:pStyle w:val="TableBodyText"/>
                    <w:ind w:right="57"/>
                  </w:pPr>
                  <w:r w:rsidRPr="008C546C">
                    <w:t>&lt;0.1</w:t>
                  </w:r>
                </w:p>
              </w:tc>
              <w:tc>
                <w:tcPr>
                  <w:tcW w:w="456" w:type="pct"/>
                  <w:shd w:val="clear" w:color="auto" w:fill="auto"/>
                  <w:vAlign w:val="bottom"/>
                </w:tcPr>
                <w:p w:rsidR="00745FEA" w:rsidRPr="008C546C" w:rsidRDefault="00745FEA" w:rsidP="00745FEA">
                  <w:pPr>
                    <w:pStyle w:val="TableBodyText"/>
                    <w:ind w:right="57"/>
                  </w:pPr>
                  <w:r w:rsidRPr="008C546C">
                    <w:t>0.1</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C546C">
                    <w:t>Tasmanian Jobs and Investment Fund</w:t>
                  </w:r>
                </w:p>
              </w:tc>
              <w:tc>
                <w:tcPr>
                  <w:tcW w:w="468" w:type="pct"/>
                  <w:vAlign w:val="bottom"/>
                </w:tcPr>
                <w:p w:rsidR="00745FEA" w:rsidRPr="008C546C" w:rsidRDefault="00745FEA" w:rsidP="00745FEA">
                  <w:pPr>
                    <w:pStyle w:val="TableBodyText"/>
                    <w:ind w:right="57"/>
                  </w:pPr>
                  <w:r w:rsidRPr="008C546C">
                    <w:t>–</w:t>
                  </w:r>
                </w:p>
              </w:tc>
              <w:tc>
                <w:tcPr>
                  <w:tcW w:w="468" w:type="pct"/>
                  <w:vAlign w:val="bottom"/>
                </w:tcPr>
                <w:p w:rsidR="00745FEA" w:rsidRPr="008C546C" w:rsidRDefault="00745FEA" w:rsidP="00745FEA">
                  <w:pPr>
                    <w:pStyle w:val="TableBodyText"/>
                    <w:ind w:right="57"/>
                  </w:pPr>
                  <w:r w:rsidRPr="008C546C">
                    <w:t>–</w:t>
                  </w:r>
                </w:p>
              </w:tc>
              <w:tc>
                <w:tcPr>
                  <w:tcW w:w="467" w:type="pct"/>
                  <w:vAlign w:val="bottom"/>
                </w:tcPr>
                <w:p w:rsidR="00745FEA" w:rsidRPr="008C546C" w:rsidRDefault="00745FEA" w:rsidP="00745FEA">
                  <w:pPr>
                    <w:pStyle w:val="TableBodyText"/>
                    <w:ind w:right="57"/>
                  </w:pPr>
                  <w:r w:rsidRPr="008C546C">
                    <w:t>–</w:t>
                  </w:r>
                </w:p>
              </w:tc>
              <w:tc>
                <w:tcPr>
                  <w:tcW w:w="470" w:type="pct"/>
                  <w:gridSpan w:val="2"/>
                  <w:vAlign w:val="bottom"/>
                </w:tcPr>
                <w:p w:rsidR="00745FEA" w:rsidRPr="008C546C" w:rsidRDefault="00745FEA" w:rsidP="00745FEA">
                  <w:pPr>
                    <w:pStyle w:val="TableBodyText"/>
                    <w:ind w:right="57"/>
                  </w:pPr>
                  <w:r w:rsidRPr="008C546C">
                    <w:t>–</w:t>
                  </w:r>
                </w:p>
              </w:tc>
              <w:tc>
                <w:tcPr>
                  <w:tcW w:w="471" w:type="pct"/>
                  <w:shd w:val="clear" w:color="auto" w:fill="auto"/>
                  <w:vAlign w:val="bottom"/>
                </w:tcPr>
                <w:p w:rsidR="00745FEA" w:rsidRPr="008C546C" w:rsidRDefault="00745FEA" w:rsidP="00745FEA">
                  <w:pPr>
                    <w:pStyle w:val="TableBodyText"/>
                    <w:ind w:right="57"/>
                  </w:pPr>
                  <w:r w:rsidRPr="008C546C">
                    <w:t>–</w:t>
                  </w:r>
                </w:p>
              </w:tc>
              <w:tc>
                <w:tcPr>
                  <w:tcW w:w="456" w:type="pct"/>
                  <w:shd w:val="clear" w:color="auto" w:fill="auto"/>
                  <w:vAlign w:val="bottom"/>
                </w:tcPr>
                <w:p w:rsidR="00745FEA" w:rsidRPr="008C546C" w:rsidRDefault="00745FEA" w:rsidP="00745FEA">
                  <w:pPr>
                    <w:pStyle w:val="TableBodyText"/>
                    <w:ind w:right="57"/>
                  </w:pPr>
                  <w:r w:rsidRPr="008C546C">
                    <w:t>0.4</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Concessional rate of withholding tax</w:t>
                  </w:r>
                </w:p>
              </w:tc>
              <w:tc>
                <w:tcPr>
                  <w:tcW w:w="468" w:type="pct"/>
                  <w:vAlign w:val="bottom"/>
                </w:tcPr>
                <w:p w:rsidR="00745FEA" w:rsidRPr="008C546C" w:rsidRDefault="00745FEA" w:rsidP="00745FEA">
                  <w:pPr>
                    <w:pStyle w:val="TableBodyText"/>
                    <w:ind w:right="57"/>
                  </w:pPr>
                  <w:r w:rsidRPr="008C546C">
                    <w:t>195.0</w:t>
                  </w:r>
                </w:p>
              </w:tc>
              <w:tc>
                <w:tcPr>
                  <w:tcW w:w="468" w:type="pct"/>
                  <w:vAlign w:val="bottom"/>
                </w:tcPr>
                <w:p w:rsidR="00745FEA" w:rsidRPr="008C546C" w:rsidRDefault="00745FEA" w:rsidP="00745FEA">
                  <w:pPr>
                    <w:pStyle w:val="TableBodyText"/>
                    <w:ind w:right="57"/>
                  </w:pPr>
                  <w:r w:rsidRPr="008C546C">
                    <w:t>140.0</w:t>
                  </w:r>
                </w:p>
              </w:tc>
              <w:tc>
                <w:tcPr>
                  <w:tcW w:w="467" w:type="pct"/>
                  <w:vAlign w:val="bottom"/>
                </w:tcPr>
                <w:p w:rsidR="00745FEA" w:rsidRPr="008C546C" w:rsidRDefault="00745FEA" w:rsidP="00745FEA">
                  <w:pPr>
                    <w:pStyle w:val="TableBodyText"/>
                    <w:ind w:right="57"/>
                  </w:pPr>
                  <w:r w:rsidRPr="008C546C">
                    <w:t>295.0</w:t>
                  </w:r>
                </w:p>
              </w:tc>
              <w:tc>
                <w:tcPr>
                  <w:tcW w:w="470" w:type="pct"/>
                  <w:gridSpan w:val="2"/>
                  <w:vAlign w:val="bottom"/>
                </w:tcPr>
                <w:p w:rsidR="00745FEA" w:rsidRPr="008C546C" w:rsidRDefault="00745FEA" w:rsidP="00745FEA">
                  <w:pPr>
                    <w:pStyle w:val="TableBodyText"/>
                    <w:ind w:right="57"/>
                  </w:pPr>
                  <w:r w:rsidRPr="008C546C">
                    <w:t>220.0</w:t>
                  </w:r>
                </w:p>
              </w:tc>
              <w:tc>
                <w:tcPr>
                  <w:tcW w:w="471" w:type="pct"/>
                  <w:shd w:val="clear" w:color="auto" w:fill="auto"/>
                  <w:vAlign w:val="bottom"/>
                </w:tcPr>
                <w:p w:rsidR="00745FEA" w:rsidRPr="008C546C" w:rsidRDefault="00745FEA" w:rsidP="00745FEA">
                  <w:pPr>
                    <w:pStyle w:val="TableBodyText"/>
                    <w:ind w:right="57"/>
                  </w:pPr>
                  <w:r w:rsidRPr="008C546C">
                    <w:t>300.0</w:t>
                  </w:r>
                </w:p>
              </w:tc>
              <w:tc>
                <w:tcPr>
                  <w:tcW w:w="456" w:type="pct"/>
                  <w:shd w:val="clear" w:color="auto" w:fill="auto"/>
                  <w:vAlign w:val="bottom"/>
                </w:tcPr>
                <w:p w:rsidR="00745FEA" w:rsidRPr="008C546C" w:rsidRDefault="00745FEA" w:rsidP="00745FEA">
                  <w:pPr>
                    <w:pStyle w:val="TableBodyText"/>
                    <w:ind w:right="57"/>
                  </w:pPr>
                  <w:r w:rsidRPr="008C546C">
                    <w:t>255.0</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Pooled development funds</w:t>
                  </w:r>
                </w:p>
              </w:tc>
              <w:tc>
                <w:tcPr>
                  <w:tcW w:w="468" w:type="pct"/>
                  <w:vAlign w:val="bottom"/>
                </w:tcPr>
                <w:p w:rsidR="00745FEA" w:rsidRPr="008C546C" w:rsidRDefault="00745FEA" w:rsidP="00745FEA">
                  <w:pPr>
                    <w:pStyle w:val="TableBodyText"/>
                    <w:ind w:right="57"/>
                  </w:pPr>
                  <w:r w:rsidRPr="008C546C">
                    <w:t>40.0</w:t>
                  </w:r>
                </w:p>
              </w:tc>
              <w:tc>
                <w:tcPr>
                  <w:tcW w:w="468" w:type="pct"/>
                  <w:vAlign w:val="bottom"/>
                </w:tcPr>
                <w:p w:rsidR="00745FEA" w:rsidRPr="008C546C" w:rsidRDefault="00745FEA" w:rsidP="00745FEA">
                  <w:pPr>
                    <w:pStyle w:val="TableBodyText"/>
                    <w:ind w:right="57"/>
                  </w:pPr>
                  <w:r w:rsidRPr="008C546C">
                    <w:t>0.5</w:t>
                  </w:r>
                </w:p>
              </w:tc>
              <w:tc>
                <w:tcPr>
                  <w:tcW w:w="467" w:type="pct"/>
                  <w:vAlign w:val="bottom"/>
                </w:tcPr>
                <w:p w:rsidR="00745FEA" w:rsidRPr="008C546C" w:rsidRDefault="00745FEA" w:rsidP="00745FEA">
                  <w:pPr>
                    <w:pStyle w:val="TableBodyText"/>
                    <w:ind w:right="57"/>
                  </w:pPr>
                  <w:r w:rsidRPr="008C546C">
                    <w:t>–</w:t>
                  </w:r>
                </w:p>
              </w:tc>
              <w:tc>
                <w:tcPr>
                  <w:tcW w:w="470" w:type="pct"/>
                  <w:gridSpan w:val="2"/>
                  <w:vAlign w:val="bottom"/>
                </w:tcPr>
                <w:p w:rsidR="00745FEA" w:rsidRPr="008C546C" w:rsidRDefault="00745FEA" w:rsidP="00745FEA">
                  <w:pPr>
                    <w:pStyle w:val="TableBodyText"/>
                    <w:ind w:right="57"/>
                  </w:pPr>
                  <w:r w:rsidRPr="008C546C">
                    <w:t>–</w:t>
                  </w:r>
                </w:p>
              </w:tc>
              <w:tc>
                <w:tcPr>
                  <w:tcW w:w="471" w:type="pct"/>
                  <w:shd w:val="clear" w:color="auto" w:fill="auto"/>
                  <w:vAlign w:val="bottom"/>
                </w:tcPr>
                <w:p w:rsidR="00745FEA" w:rsidRPr="008C546C" w:rsidRDefault="00745FEA" w:rsidP="00745FEA">
                  <w:pPr>
                    <w:pStyle w:val="TableBodyText"/>
                    <w:ind w:right="57"/>
                  </w:pPr>
                  <w:r w:rsidRPr="008C546C">
                    <w:t>–</w:t>
                  </w:r>
                </w:p>
              </w:tc>
              <w:tc>
                <w:tcPr>
                  <w:tcW w:w="456"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 xml:space="preserve">Small business </w:t>
                  </w:r>
                  <w:r>
                    <w:t>capital gains tax</w:t>
                  </w:r>
                  <w:r w:rsidRPr="00860EC4">
                    <w:t xml:space="preserve"> rollover deferral</w:t>
                  </w:r>
                </w:p>
              </w:tc>
              <w:tc>
                <w:tcPr>
                  <w:tcW w:w="468" w:type="pct"/>
                  <w:vAlign w:val="bottom"/>
                </w:tcPr>
                <w:p w:rsidR="00745FEA" w:rsidRPr="008C546C" w:rsidRDefault="00745FEA" w:rsidP="00745FEA">
                  <w:pPr>
                    <w:pStyle w:val="TableBodyText"/>
                    <w:ind w:right="57"/>
                  </w:pPr>
                  <w:r w:rsidRPr="008C546C">
                    <w:t>11.2</w:t>
                  </w:r>
                </w:p>
              </w:tc>
              <w:tc>
                <w:tcPr>
                  <w:tcW w:w="468" w:type="pct"/>
                  <w:vAlign w:val="bottom"/>
                </w:tcPr>
                <w:p w:rsidR="00745FEA" w:rsidRPr="008C546C" w:rsidRDefault="00745FEA" w:rsidP="00745FEA">
                  <w:pPr>
                    <w:pStyle w:val="TableBodyText"/>
                    <w:ind w:right="57"/>
                  </w:pPr>
                  <w:r w:rsidRPr="008C546C">
                    <w:t>13.1</w:t>
                  </w:r>
                </w:p>
              </w:tc>
              <w:tc>
                <w:tcPr>
                  <w:tcW w:w="467" w:type="pct"/>
                  <w:vAlign w:val="bottom"/>
                </w:tcPr>
                <w:p w:rsidR="00745FEA" w:rsidRPr="008C546C" w:rsidRDefault="00745FEA" w:rsidP="00745FEA">
                  <w:pPr>
                    <w:pStyle w:val="TableBodyText"/>
                    <w:ind w:right="57"/>
                  </w:pPr>
                  <w:r w:rsidRPr="008C546C">
                    <w:t>13.8</w:t>
                  </w:r>
                </w:p>
              </w:tc>
              <w:tc>
                <w:tcPr>
                  <w:tcW w:w="470" w:type="pct"/>
                  <w:gridSpan w:val="2"/>
                  <w:vAlign w:val="bottom"/>
                </w:tcPr>
                <w:p w:rsidR="00745FEA" w:rsidRPr="008C546C" w:rsidRDefault="00745FEA" w:rsidP="00745FEA">
                  <w:pPr>
                    <w:pStyle w:val="TableBodyText"/>
                    <w:ind w:right="57"/>
                  </w:pPr>
                  <w:r w:rsidRPr="008C546C">
                    <w:t>31.5</w:t>
                  </w:r>
                </w:p>
              </w:tc>
              <w:tc>
                <w:tcPr>
                  <w:tcW w:w="471" w:type="pct"/>
                  <w:shd w:val="clear" w:color="auto" w:fill="auto"/>
                  <w:vAlign w:val="bottom"/>
                </w:tcPr>
                <w:p w:rsidR="00745FEA" w:rsidRPr="008C546C" w:rsidRDefault="00745FEA" w:rsidP="00745FEA">
                  <w:pPr>
                    <w:pStyle w:val="TableBodyText"/>
                    <w:ind w:right="57"/>
                  </w:pPr>
                  <w:r w:rsidRPr="008C546C">
                    <w:t>19.1</w:t>
                  </w:r>
                </w:p>
              </w:tc>
              <w:tc>
                <w:tcPr>
                  <w:tcW w:w="456" w:type="pct"/>
                  <w:shd w:val="clear" w:color="auto" w:fill="auto"/>
                  <w:vAlign w:val="bottom"/>
                </w:tcPr>
                <w:p w:rsidR="00745FEA" w:rsidRPr="008C546C" w:rsidRDefault="00745FEA" w:rsidP="00745FEA">
                  <w:pPr>
                    <w:pStyle w:val="TableBodyText"/>
                    <w:ind w:right="57"/>
                  </w:pPr>
                  <w:r w:rsidRPr="008C546C">
                    <w:t>14.8</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The Small Business and General Business Tax Break</w:t>
                  </w:r>
                </w:p>
              </w:tc>
              <w:tc>
                <w:tcPr>
                  <w:tcW w:w="468" w:type="pct"/>
                  <w:vAlign w:val="bottom"/>
                </w:tcPr>
                <w:p w:rsidR="00745FEA" w:rsidRPr="008C546C" w:rsidRDefault="00745FEA" w:rsidP="00745FEA">
                  <w:pPr>
                    <w:pStyle w:val="TableBodyText"/>
                    <w:ind w:right="57"/>
                  </w:pPr>
                  <w:r w:rsidRPr="008C546C">
                    <w:t>182.6</w:t>
                  </w:r>
                </w:p>
              </w:tc>
              <w:tc>
                <w:tcPr>
                  <w:tcW w:w="468" w:type="pct"/>
                  <w:vAlign w:val="bottom"/>
                </w:tcPr>
                <w:p w:rsidR="00745FEA" w:rsidRPr="008C546C" w:rsidRDefault="00745FEA" w:rsidP="00745FEA">
                  <w:pPr>
                    <w:pStyle w:val="TableBodyText"/>
                    <w:ind w:right="57"/>
                  </w:pPr>
                  <w:r w:rsidRPr="008C546C">
                    <w:t>63.4</w:t>
                  </w:r>
                </w:p>
              </w:tc>
              <w:tc>
                <w:tcPr>
                  <w:tcW w:w="467" w:type="pct"/>
                  <w:vAlign w:val="bottom"/>
                </w:tcPr>
                <w:p w:rsidR="00745FEA" w:rsidRPr="008C546C" w:rsidRDefault="00745FEA" w:rsidP="00745FEA">
                  <w:pPr>
                    <w:pStyle w:val="TableBodyText"/>
                    <w:ind w:right="57"/>
                  </w:pPr>
                  <w:r w:rsidRPr="008C546C">
                    <w:t>7.6</w:t>
                  </w:r>
                </w:p>
              </w:tc>
              <w:tc>
                <w:tcPr>
                  <w:tcW w:w="470" w:type="pct"/>
                  <w:gridSpan w:val="2"/>
                  <w:vAlign w:val="bottom"/>
                </w:tcPr>
                <w:p w:rsidR="00745FEA" w:rsidRPr="008C546C" w:rsidRDefault="00745FEA" w:rsidP="00745FEA">
                  <w:pPr>
                    <w:pStyle w:val="TableBodyText"/>
                    <w:ind w:right="57"/>
                  </w:pPr>
                  <w:r w:rsidRPr="008C546C">
                    <w:t>–</w:t>
                  </w:r>
                </w:p>
              </w:tc>
              <w:tc>
                <w:tcPr>
                  <w:tcW w:w="471" w:type="pct"/>
                  <w:shd w:val="clear" w:color="auto" w:fill="auto"/>
                  <w:vAlign w:val="bottom"/>
                </w:tcPr>
                <w:p w:rsidR="00745FEA" w:rsidRPr="008C546C" w:rsidRDefault="00745FEA" w:rsidP="00745FEA">
                  <w:pPr>
                    <w:pStyle w:val="TableBodyText"/>
                    <w:ind w:right="57"/>
                  </w:pPr>
                  <w:r w:rsidRPr="008C546C">
                    <w:t>–</w:t>
                  </w:r>
                </w:p>
              </w:tc>
              <w:tc>
                <w:tcPr>
                  <w:tcW w:w="456"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Small Business - Simplified depreciation rules</w:t>
                  </w:r>
                </w:p>
              </w:tc>
              <w:tc>
                <w:tcPr>
                  <w:tcW w:w="468" w:type="pct"/>
                  <w:vAlign w:val="bottom"/>
                </w:tcPr>
                <w:p w:rsidR="00745FEA" w:rsidRPr="008C546C" w:rsidRDefault="00745FEA" w:rsidP="00745FEA">
                  <w:pPr>
                    <w:pStyle w:val="TableBodyText"/>
                    <w:ind w:right="57"/>
                  </w:pPr>
                  <w:r w:rsidRPr="008C546C">
                    <w:t>0.8</w:t>
                  </w:r>
                </w:p>
              </w:tc>
              <w:tc>
                <w:tcPr>
                  <w:tcW w:w="468" w:type="pct"/>
                  <w:vAlign w:val="bottom"/>
                </w:tcPr>
                <w:p w:rsidR="00745FEA" w:rsidRPr="008C546C" w:rsidRDefault="00745FEA" w:rsidP="00745FEA">
                  <w:pPr>
                    <w:pStyle w:val="TableBodyText"/>
                    <w:ind w:right="57"/>
                  </w:pPr>
                  <w:r w:rsidRPr="008C546C">
                    <w:t>-4.5</w:t>
                  </w:r>
                </w:p>
              </w:tc>
              <w:tc>
                <w:tcPr>
                  <w:tcW w:w="467" w:type="pct"/>
                  <w:vAlign w:val="bottom"/>
                </w:tcPr>
                <w:p w:rsidR="00745FEA" w:rsidRPr="008C546C" w:rsidRDefault="00745FEA" w:rsidP="00745FEA">
                  <w:pPr>
                    <w:pStyle w:val="TableBodyText"/>
                    <w:ind w:right="57"/>
                  </w:pPr>
                  <w:r w:rsidRPr="008C546C">
                    <w:t>16.9</w:t>
                  </w:r>
                </w:p>
              </w:tc>
              <w:tc>
                <w:tcPr>
                  <w:tcW w:w="470" w:type="pct"/>
                  <w:gridSpan w:val="2"/>
                  <w:vAlign w:val="bottom"/>
                </w:tcPr>
                <w:p w:rsidR="00745FEA" w:rsidRPr="008C546C" w:rsidRDefault="00745FEA" w:rsidP="00745FEA">
                  <w:pPr>
                    <w:pStyle w:val="TableBodyText"/>
                    <w:ind w:right="57"/>
                  </w:pPr>
                  <w:r w:rsidRPr="008C546C">
                    <w:t>-8.8</w:t>
                  </w:r>
                </w:p>
              </w:tc>
              <w:tc>
                <w:tcPr>
                  <w:tcW w:w="471" w:type="pct"/>
                  <w:shd w:val="clear" w:color="auto" w:fill="auto"/>
                  <w:vAlign w:val="bottom"/>
                </w:tcPr>
                <w:p w:rsidR="00745FEA" w:rsidRPr="008C546C" w:rsidRDefault="00745FEA" w:rsidP="00745FEA">
                  <w:pPr>
                    <w:pStyle w:val="TableBodyText"/>
                    <w:ind w:right="57"/>
                  </w:pPr>
                  <w:r w:rsidRPr="008C546C">
                    <w:t>-18.1</w:t>
                  </w:r>
                </w:p>
              </w:tc>
              <w:tc>
                <w:tcPr>
                  <w:tcW w:w="456" w:type="pct"/>
                  <w:shd w:val="clear" w:color="auto" w:fill="auto"/>
                  <w:vAlign w:val="bottom"/>
                </w:tcPr>
                <w:p w:rsidR="00745FEA" w:rsidRPr="008C546C" w:rsidRDefault="00745FEA" w:rsidP="00745FEA">
                  <w:pPr>
                    <w:pStyle w:val="TableBodyText"/>
                    <w:ind w:right="57"/>
                  </w:pPr>
                  <w:r w:rsidRPr="008C546C">
                    <w:t>98.8</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 xml:space="preserve">Small business </w:t>
                  </w:r>
                  <w:r>
                    <w:t>capital gains tax</w:t>
                  </w:r>
                  <w:r w:rsidRPr="00860EC4">
                    <w:t xml:space="preserve"> 15-year asset exemption</w:t>
                  </w:r>
                </w:p>
              </w:tc>
              <w:tc>
                <w:tcPr>
                  <w:tcW w:w="468" w:type="pct"/>
                  <w:vAlign w:val="bottom"/>
                </w:tcPr>
                <w:p w:rsidR="00745FEA" w:rsidRPr="008C546C" w:rsidRDefault="00745FEA" w:rsidP="00745FEA">
                  <w:pPr>
                    <w:pStyle w:val="TableBodyText"/>
                    <w:ind w:right="57"/>
                  </w:pPr>
                  <w:r w:rsidRPr="008C546C">
                    <w:t>5.6</w:t>
                  </w:r>
                </w:p>
              </w:tc>
              <w:tc>
                <w:tcPr>
                  <w:tcW w:w="468" w:type="pct"/>
                  <w:vAlign w:val="bottom"/>
                </w:tcPr>
                <w:p w:rsidR="00745FEA" w:rsidRPr="008C546C" w:rsidRDefault="00745FEA" w:rsidP="00745FEA">
                  <w:pPr>
                    <w:pStyle w:val="TableBodyText"/>
                    <w:ind w:right="57"/>
                  </w:pPr>
                  <w:r w:rsidRPr="008C546C">
                    <w:t>5.8</w:t>
                  </w:r>
                </w:p>
              </w:tc>
              <w:tc>
                <w:tcPr>
                  <w:tcW w:w="467" w:type="pct"/>
                  <w:vAlign w:val="bottom"/>
                </w:tcPr>
                <w:p w:rsidR="00745FEA" w:rsidRPr="008C546C" w:rsidRDefault="00745FEA" w:rsidP="00745FEA">
                  <w:pPr>
                    <w:pStyle w:val="TableBodyText"/>
                    <w:ind w:right="57"/>
                  </w:pPr>
                  <w:r w:rsidRPr="008C546C">
                    <w:t>6.7</w:t>
                  </w:r>
                </w:p>
              </w:tc>
              <w:tc>
                <w:tcPr>
                  <w:tcW w:w="470" w:type="pct"/>
                  <w:gridSpan w:val="2"/>
                  <w:vAlign w:val="bottom"/>
                </w:tcPr>
                <w:p w:rsidR="00745FEA" w:rsidRPr="008C546C" w:rsidRDefault="00745FEA" w:rsidP="00745FEA">
                  <w:pPr>
                    <w:pStyle w:val="TableBodyText"/>
                    <w:ind w:right="57"/>
                  </w:pPr>
                  <w:r w:rsidRPr="008C546C">
                    <w:t>35.4</w:t>
                  </w:r>
                </w:p>
              </w:tc>
              <w:tc>
                <w:tcPr>
                  <w:tcW w:w="471" w:type="pct"/>
                  <w:shd w:val="clear" w:color="auto" w:fill="auto"/>
                  <w:vAlign w:val="bottom"/>
                </w:tcPr>
                <w:p w:rsidR="00745FEA" w:rsidRPr="008C546C" w:rsidRDefault="00745FEA" w:rsidP="00745FEA">
                  <w:pPr>
                    <w:pStyle w:val="TableBodyText"/>
                    <w:ind w:right="57"/>
                  </w:pPr>
                  <w:r w:rsidRPr="008C546C">
                    <w:t>70.1</w:t>
                  </w:r>
                </w:p>
              </w:tc>
              <w:tc>
                <w:tcPr>
                  <w:tcW w:w="456" w:type="pct"/>
                  <w:shd w:val="clear" w:color="auto" w:fill="auto"/>
                  <w:vAlign w:val="bottom"/>
                </w:tcPr>
                <w:p w:rsidR="00745FEA" w:rsidRPr="008C546C" w:rsidRDefault="00745FEA" w:rsidP="00745FEA">
                  <w:pPr>
                    <w:pStyle w:val="TableBodyText"/>
                    <w:ind w:right="57"/>
                  </w:pPr>
                  <w:r w:rsidRPr="008C546C">
                    <w:t>10.9</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 xml:space="preserve">Small business </w:t>
                  </w:r>
                  <w:r>
                    <w:t>capital gains tax</w:t>
                  </w:r>
                  <w:r w:rsidRPr="00860EC4">
                    <w:t xml:space="preserve"> retirement exemption</w:t>
                  </w:r>
                </w:p>
              </w:tc>
              <w:tc>
                <w:tcPr>
                  <w:tcW w:w="468" w:type="pct"/>
                  <w:vAlign w:val="bottom"/>
                </w:tcPr>
                <w:p w:rsidR="00745FEA" w:rsidRPr="008C546C" w:rsidRDefault="00745FEA" w:rsidP="00745FEA">
                  <w:pPr>
                    <w:pStyle w:val="TableBodyText"/>
                    <w:ind w:right="57"/>
                  </w:pPr>
                  <w:r w:rsidRPr="008C546C">
                    <w:t>27.7</w:t>
                  </w:r>
                </w:p>
              </w:tc>
              <w:tc>
                <w:tcPr>
                  <w:tcW w:w="468" w:type="pct"/>
                  <w:vAlign w:val="bottom"/>
                </w:tcPr>
                <w:p w:rsidR="00745FEA" w:rsidRPr="008C546C" w:rsidRDefault="00745FEA" w:rsidP="00745FEA">
                  <w:pPr>
                    <w:pStyle w:val="TableBodyText"/>
                    <w:ind w:right="57"/>
                  </w:pPr>
                  <w:r w:rsidRPr="008C546C">
                    <w:t>28.4</w:t>
                  </w:r>
                </w:p>
              </w:tc>
              <w:tc>
                <w:tcPr>
                  <w:tcW w:w="467" w:type="pct"/>
                  <w:vAlign w:val="bottom"/>
                </w:tcPr>
                <w:p w:rsidR="00745FEA" w:rsidRPr="008C546C" w:rsidRDefault="00745FEA" w:rsidP="00745FEA">
                  <w:pPr>
                    <w:pStyle w:val="TableBodyText"/>
                    <w:ind w:right="57"/>
                  </w:pPr>
                  <w:r w:rsidRPr="008C546C">
                    <w:t>29.2</w:t>
                  </w:r>
                </w:p>
              </w:tc>
              <w:tc>
                <w:tcPr>
                  <w:tcW w:w="467" w:type="pct"/>
                  <w:vAlign w:val="bottom"/>
                </w:tcPr>
                <w:p w:rsidR="00745FEA" w:rsidRPr="008C546C" w:rsidRDefault="00745FEA" w:rsidP="00745FEA">
                  <w:pPr>
                    <w:pStyle w:val="TableBodyText"/>
                    <w:ind w:right="57"/>
                  </w:pPr>
                  <w:r w:rsidRPr="008C546C">
                    <w:t>76.3</w:t>
                  </w:r>
                </w:p>
              </w:tc>
              <w:tc>
                <w:tcPr>
                  <w:tcW w:w="474" w:type="pct"/>
                  <w:gridSpan w:val="2"/>
                  <w:shd w:val="clear" w:color="auto" w:fill="auto"/>
                  <w:vAlign w:val="bottom"/>
                </w:tcPr>
                <w:p w:rsidR="00745FEA" w:rsidRPr="008C546C" w:rsidRDefault="00745FEA" w:rsidP="00745FEA">
                  <w:pPr>
                    <w:pStyle w:val="TableBodyText"/>
                    <w:ind w:right="57"/>
                  </w:pPr>
                  <w:r w:rsidRPr="008C546C">
                    <w:t>90.5</w:t>
                  </w:r>
                </w:p>
              </w:tc>
              <w:tc>
                <w:tcPr>
                  <w:tcW w:w="456" w:type="pct"/>
                  <w:shd w:val="clear" w:color="auto" w:fill="auto"/>
                  <w:vAlign w:val="bottom"/>
                </w:tcPr>
                <w:p w:rsidR="00745FEA" w:rsidRPr="008C546C" w:rsidRDefault="00745FEA" w:rsidP="00745FEA">
                  <w:pPr>
                    <w:pStyle w:val="TableBodyText"/>
                    <w:ind w:right="57"/>
                  </w:pPr>
                  <w:r w:rsidRPr="008C546C">
                    <w:t>24.3</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 xml:space="preserve">Small business </w:t>
                  </w:r>
                  <w:r>
                    <w:t>capital gains tax</w:t>
                  </w:r>
                  <w:r w:rsidRPr="00860EC4">
                    <w:t xml:space="preserve"> 50 per cent reduction</w:t>
                  </w:r>
                </w:p>
              </w:tc>
              <w:tc>
                <w:tcPr>
                  <w:tcW w:w="468" w:type="pct"/>
                  <w:vAlign w:val="bottom"/>
                </w:tcPr>
                <w:p w:rsidR="00745FEA" w:rsidRPr="008C546C" w:rsidRDefault="00745FEA" w:rsidP="00745FEA">
                  <w:pPr>
                    <w:pStyle w:val="TableBodyText"/>
                    <w:ind w:right="57"/>
                  </w:pPr>
                  <w:r w:rsidRPr="008C546C">
                    <w:t>25.1</w:t>
                  </w:r>
                </w:p>
              </w:tc>
              <w:tc>
                <w:tcPr>
                  <w:tcW w:w="468" w:type="pct"/>
                  <w:vAlign w:val="bottom"/>
                </w:tcPr>
                <w:p w:rsidR="00745FEA" w:rsidRPr="008C546C" w:rsidRDefault="00745FEA" w:rsidP="00745FEA">
                  <w:pPr>
                    <w:pStyle w:val="TableBodyText"/>
                    <w:ind w:right="57"/>
                  </w:pPr>
                  <w:r w:rsidRPr="008C546C">
                    <w:t>26.5</w:t>
                  </w:r>
                </w:p>
              </w:tc>
              <w:tc>
                <w:tcPr>
                  <w:tcW w:w="467" w:type="pct"/>
                  <w:vAlign w:val="bottom"/>
                </w:tcPr>
                <w:p w:rsidR="00745FEA" w:rsidRPr="008C546C" w:rsidRDefault="00745FEA" w:rsidP="00745FEA">
                  <w:pPr>
                    <w:pStyle w:val="TableBodyText"/>
                    <w:ind w:right="57"/>
                  </w:pPr>
                  <w:r w:rsidRPr="008C546C">
                    <w:t>26.5</w:t>
                  </w:r>
                </w:p>
              </w:tc>
              <w:tc>
                <w:tcPr>
                  <w:tcW w:w="467" w:type="pct"/>
                  <w:vAlign w:val="bottom"/>
                </w:tcPr>
                <w:p w:rsidR="00745FEA" w:rsidRPr="008C546C" w:rsidRDefault="00745FEA" w:rsidP="00745FEA">
                  <w:pPr>
                    <w:pStyle w:val="TableBodyText"/>
                    <w:ind w:right="57"/>
                  </w:pPr>
                  <w:r w:rsidRPr="008C546C">
                    <w:t>92.0</w:t>
                  </w:r>
                </w:p>
              </w:tc>
              <w:tc>
                <w:tcPr>
                  <w:tcW w:w="474" w:type="pct"/>
                  <w:gridSpan w:val="2"/>
                  <w:shd w:val="clear" w:color="auto" w:fill="auto"/>
                  <w:vAlign w:val="bottom"/>
                </w:tcPr>
                <w:p w:rsidR="00745FEA" w:rsidRPr="008C546C" w:rsidRDefault="00745FEA" w:rsidP="00745FEA">
                  <w:pPr>
                    <w:pStyle w:val="TableBodyText"/>
                    <w:ind w:right="57"/>
                  </w:pPr>
                  <w:r w:rsidRPr="008C546C">
                    <w:t>98.6</w:t>
                  </w:r>
                </w:p>
              </w:tc>
              <w:tc>
                <w:tcPr>
                  <w:tcW w:w="456" w:type="pct"/>
                  <w:shd w:val="clear" w:color="auto" w:fill="auto"/>
                  <w:vAlign w:val="bottom"/>
                </w:tcPr>
                <w:p w:rsidR="00745FEA" w:rsidRPr="008C546C" w:rsidRDefault="00745FEA" w:rsidP="00745FEA">
                  <w:pPr>
                    <w:pStyle w:val="TableBodyText"/>
                    <w:ind w:right="57"/>
                  </w:pPr>
                  <w:r w:rsidRPr="008C546C">
                    <w:t>36.9</w:t>
                  </w:r>
                </w:p>
              </w:tc>
            </w:tr>
            <w:tr w:rsidR="00745FEA" w:rsidTr="00745FEA">
              <w:tc>
                <w:tcPr>
                  <w:tcW w:w="2200" w:type="pct"/>
                  <w:shd w:val="clear" w:color="auto" w:fill="auto"/>
                </w:tcPr>
                <w:p w:rsidR="00745FEA" w:rsidRPr="00860EC4" w:rsidRDefault="00745FEA" w:rsidP="00745FEA">
                  <w:pPr>
                    <w:pStyle w:val="TableBodyText"/>
                    <w:spacing w:after="0"/>
                    <w:ind w:left="227" w:right="0"/>
                    <w:jc w:val="left"/>
                  </w:pPr>
                  <w:r w:rsidRPr="00860EC4">
                    <w:t>25 per cent entrepreneurs' tax offset</w:t>
                  </w:r>
                </w:p>
              </w:tc>
              <w:tc>
                <w:tcPr>
                  <w:tcW w:w="468" w:type="pct"/>
                  <w:vAlign w:val="bottom"/>
                </w:tcPr>
                <w:p w:rsidR="00745FEA" w:rsidRPr="008C546C" w:rsidRDefault="00745FEA" w:rsidP="00745FEA">
                  <w:pPr>
                    <w:pStyle w:val="TableBodyText"/>
                    <w:ind w:right="57"/>
                  </w:pPr>
                  <w:r w:rsidRPr="008C546C">
                    <w:t>5.5</w:t>
                  </w:r>
                </w:p>
              </w:tc>
              <w:tc>
                <w:tcPr>
                  <w:tcW w:w="468" w:type="pct"/>
                  <w:vAlign w:val="bottom"/>
                </w:tcPr>
                <w:p w:rsidR="00745FEA" w:rsidRPr="008C546C" w:rsidRDefault="00745FEA" w:rsidP="00745FEA">
                  <w:pPr>
                    <w:pStyle w:val="TableBodyText"/>
                    <w:ind w:right="57"/>
                  </w:pPr>
                  <w:r w:rsidRPr="008C546C">
                    <w:t>1.2</w:t>
                  </w:r>
                </w:p>
              </w:tc>
              <w:tc>
                <w:tcPr>
                  <w:tcW w:w="467" w:type="pct"/>
                  <w:vAlign w:val="bottom"/>
                </w:tcPr>
                <w:p w:rsidR="00745FEA" w:rsidRPr="008C546C" w:rsidRDefault="00745FEA" w:rsidP="00745FEA">
                  <w:pPr>
                    <w:pStyle w:val="TableBodyText"/>
                    <w:ind w:right="57"/>
                  </w:pPr>
                  <w:r w:rsidRPr="008C546C">
                    <w:t>–</w:t>
                  </w:r>
                </w:p>
              </w:tc>
              <w:tc>
                <w:tcPr>
                  <w:tcW w:w="467" w:type="pct"/>
                  <w:vAlign w:val="bottom"/>
                </w:tcPr>
                <w:p w:rsidR="00745FEA" w:rsidRPr="008C546C" w:rsidRDefault="00745FEA" w:rsidP="00745FEA">
                  <w:pPr>
                    <w:pStyle w:val="TableBodyText"/>
                    <w:ind w:right="57"/>
                  </w:pPr>
                  <w:r w:rsidRPr="008C546C">
                    <w:t>–</w:t>
                  </w:r>
                </w:p>
              </w:tc>
              <w:tc>
                <w:tcPr>
                  <w:tcW w:w="474" w:type="pct"/>
                  <w:gridSpan w:val="2"/>
                  <w:shd w:val="clear" w:color="auto" w:fill="auto"/>
                  <w:vAlign w:val="bottom"/>
                </w:tcPr>
                <w:p w:rsidR="00745FEA" w:rsidRPr="008C546C" w:rsidRDefault="00745FEA" w:rsidP="00745FEA">
                  <w:pPr>
                    <w:pStyle w:val="TableBodyText"/>
                    <w:ind w:right="57"/>
                  </w:pPr>
                  <w:r w:rsidRPr="008C546C">
                    <w:t>–</w:t>
                  </w:r>
                </w:p>
              </w:tc>
              <w:tc>
                <w:tcPr>
                  <w:tcW w:w="456" w:type="pct"/>
                  <w:shd w:val="clear" w:color="auto" w:fill="auto"/>
                  <w:vAlign w:val="bottom"/>
                </w:tcPr>
                <w:p w:rsidR="00745FEA" w:rsidRPr="008C546C" w:rsidRDefault="00745FEA" w:rsidP="00745FEA">
                  <w:pPr>
                    <w:pStyle w:val="TableBodyText"/>
                    <w:ind w:right="57"/>
                  </w:pPr>
                  <w:r w:rsidRPr="008C546C">
                    <w:t>–</w:t>
                  </w:r>
                </w:p>
              </w:tc>
            </w:tr>
            <w:tr w:rsidR="00745FEA" w:rsidTr="00745FEA">
              <w:tc>
                <w:tcPr>
                  <w:tcW w:w="2200" w:type="pct"/>
                  <w:shd w:val="clear" w:color="auto" w:fill="auto"/>
                </w:tcPr>
                <w:p w:rsidR="00745FEA" w:rsidRPr="00D63BAC" w:rsidRDefault="00745FEA" w:rsidP="00745FEA">
                  <w:pPr>
                    <w:pStyle w:val="TableBodyText"/>
                    <w:spacing w:before="20" w:after="20"/>
                    <w:jc w:val="left"/>
                    <w:rPr>
                      <w:i/>
                    </w:rPr>
                  </w:pPr>
                  <w:r w:rsidRPr="00D63BAC">
                    <w:rPr>
                      <w:i/>
                    </w:rPr>
                    <w:t>Total</w:t>
                  </w:r>
                </w:p>
              </w:tc>
              <w:tc>
                <w:tcPr>
                  <w:tcW w:w="468" w:type="pct"/>
                  <w:vAlign w:val="bottom"/>
                </w:tcPr>
                <w:p w:rsidR="00745FEA" w:rsidRPr="00AE2156" w:rsidRDefault="00745FEA" w:rsidP="00745FEA">
                  <w:pPr>
                    <w:pStyle w:val="TableBodyText"/>
                    <w:spacing w:before="20" w:after="20"/>
                    <w:ind w:right="57"/>
                    <w:rPr>
                      <w:i/>
                    </w:rPr>
                  </w:pPr>
                  <w:r>
                    <w:rPr>
                      <w:i/>
                    </w:rPr>
                    <w:t>1036.4</w:t>
                  </w:r>
                </w:p>
              </w:tc>
              <w:tc>
                <w:tcPr>
                  <w:tcW w:w="468" w:type="pct"/>
                  <w:vAlign w:val="bottom"/>
                </w:tcPr>
                <w:p w:rsidR="00745FEA" w:rsidRPr="00AE2156" w:rsidRDefault="00745FEA" w:rsidP="00745FEA">
                  <w:pPr>
                    <w:pStyle w:val="TableBodyText"/>
                    <w:spacing w:before="20" w:after="20"/>
                    <w:ind w:right="57"/>
                    <w:rPr>
                      <w:i/>
                    </w:rPr>
                  </w:pPr>
                  <w:r>
                    <w:rPr>
                      <w:i/>
                    </w:rPr>
                    <w:t>834.8</w:t>
                  </w:r>
                </w:p>
              </w:tc>
              <w:tc>
                <w:tcPr>
                  <w:tcW w:w="467" w:type="pct"/>
                </w:tcPr>
                <w:p w:rsidR="00745FEA" w:rsidRPr="002C5059" w:rsidRDefault="00745FEA" w:rsidP="00745FEA">
                  <w:pPr>
                    <w:pStyle w:val="TableBodyText"/>
                    <w:spacing w:before="20" w:after="20"/>
                    <w:ind w:right="57"/>
                    <w:rPr>
                      <w:i/>
                    </w:rPr>
                  </w:pPr>
                  <w:r>
                    <w:rPr>
                      <w:i/>
                    </w:rPr>
                    <w:t>919.9</w:t>
                  </w:r>
                </w:p>
              </w:tc>
              <w:tc>
                <w:tcPr>
                  <w:tcW w:w="467" w:type="pct"/>
                </w:tcPr>
                <w:p w:rsidR="00745FEA" w:rsidRPr="002C5059" w:rsidRDefault="00745FEA" w:rsidP="00745FEA">
                  <w:pPr>
                    <w:pStyle w:val="TableBodyText"/>
                    <w:spacing w:before="20" w:after="20"/>
                    <w:ind w:right="57"/>
                    <w:rPr>
                      <w:i/>
                    </w:rPr>
                  </w:pPr>
                  <w:r>
                    <w:rPr>
                      <w:i/>
                    </w:rPr>
                    <w:t>947.7</w:t>
                  </w:r>
                </w:p>
              </w:tc>
              <w:tc>
                <w:tcPr>
                  <w:tcW w:w="474" w:type="pct"/>
                  <w:gridSpan w:val="2"/>
                  <w:shd w:val="clear" w:color="auto" w:fill="auto"/>
                </w:tcPr>
                <w:p w:rsidR="00745FEA" w:rsidRPr="002C5059" w:rsidRDefault="00745FEA" w:rsidP="00745FEA">
                  <w:pPr>
                    <w:pStyle w:val="TableBodyText"/>
                    <w:spacing w:before="20" w:after="20"/>
                    <w:ind w:right="57"/>
                    <w:rPr>
                      <w:i/>
                    </w:rPr>
                  </w:pPr>
                  <w:r>
                    <w:rPr>
                      <w:i/>
                    </w:rPr>
                    <w:t>1060.3</w:t>
                  </w:r>
                </w:p>
              </w:tc>
              <w:tc>
                <w:tcPr>
                  <w:tcW w:w="456" w:type="pct"/>
                  <w:shd w:val="clear" w:color="auto" w:fill="auto"/>
                </w:tcPr>
                <w:p w:rsidR="00745FEA" w:rsidRPr="002C5059" w:rsidRDefault="00745FEA" w:rsidP="00745FEA">
                  <w:pPr>
                    <w:pStyle w:val="TableBodyText"/>
                    <w:spacing w:before="20" w:after="20"/>
                    <w:ind w:right="57"/>
                    <w:rPr>
                      <w:i/>
                    </w:rPr>
                  </w:pPr>
                  <w:r>
                    <w:rPr>
                      <w:i/>
                    </w:rPr>
                    <w:t>955.3</w:t>
                  </w:r>
                </w:p>
              </w:tc>
            </w:tr>
            <w:tr w:rsidR="00745FEA" w:rsidTr="00745FEA">
              <w:tc>
                <w:tcPr>
                  <w:tcW w:w="2668" w:type="pct"/>
                  <w:gridSpan w:val="2"/>
                </w:tcPr>
                <w:p w:rsidR="00745FEA" w:rsidRDefault="00745FEA" w:rsidP="00745FEA">
                  <w:pPr>
                    <w:pStyle w:val="TableUnitsRow"/>
                  </w:pPr>
                  <w:r w:rsidRPr="00B92ED2">
                    <w:rPr>
                      <w:b/>
                    </w:rPr>
                    <w:t>Property, professional and administrative services</w:t>
                  </w:r>
                </w:p>
              </w:tc>
              <w:tc>
                <w:tcPr>
                  <w:tcW w:w="468" w:type="pct"/>
                </w:tcPr>
                <w:p w:rsidR="00745FEA" w:rsidRDefault="00745FEA" w:rsidP="00745FEA">
                  <w:pPr>
                    <w:pStyle w:val="TableUnitsRow"/>
                    <w:ind w:left="0" w:right="57"/>
                  </w:pPr>
                </w:p>
              </w:tc>
              <w:tc>
                <w:tcPr>
                  <w:tcW w:w="467" w:type="pct"/>
                </w:tcPr>
                <w:p w:rsidR="00745FEA" w:rsidRDefault="00745FEA" w:rsidP="00745FEA">
                  <w:pPr>
                    <w:pStyle w:val="TableUnitsRow"/>
                    <w:ind w:left="0" w:right="57"/>
                  </w:pPr>
                </w:p>
              </w:tc>
              <w:tc>
                <w:tcPr>
                  <w:tcW w:w="467" w:type="pct"/>
                </w:tcPr>
                <w:p w:rsidR="00745FEA" w:rsidRDefault="00745FEA" w:rsidP="00745FEA">
                  <w:pPr>
                    <w:pStyle w:val="TableUnitsRow"/>
                    <w:ind w:left="0" w:right="57"/>
                  </w:pPr>
                </w:p>
              </w:tc>
              <w:tc>
                <w:tcPr>
                  <w:tcW w:w="474" w:type="pct"/>
                  <w:gridSpan w:val="2"/>
                </w:tcPr>
                <w:p w:rsidR="00745FEA" w:rsidRDefault="00745FEA" w:rsidP="00745FEA">
                  <w:pPr>
                    <w:pStyle w:val="TableUnitsRow"/>
                    <w:ind w:left="0" w:right="57"/>
                  </w:pPr>
                </w:p>
              </w:tc>
              <w:tc>
                <w:tcPr>
                  <w:tcW w:w="456" w:type="pct"/>
                </w:tcPr>
                <w:p w:rsidR="00745FEA" w:rsidRDefault="00745FEA" w:rsidP="00745FEA">
                  <w:pPr>
                    <w:pStyle w:val="TableUnitsRow"/>
                    <w:ind w:left="0" w:right="57"/>
                  </w:pPr>
                </w:p>
              </w:tc>
            </w:tr>
            <w:tr w:rsidR="00745FEA" w:rsidTr="00745FEA">
              <w:tc>
                <w:tcPr>
                  <w:tcW w:w="2200" w:type="pct"/>
                </w:tcPr>
                <w:p w:rsidR="00745FEA" w:rsidRPr="00B92ED2" w:rsidRDefault="00745FEA" w:rsidP="00745FEA">
                  <w:pPr>
                    <w:pStyle w:val="TableBodyText"/>
                    <w:spacing w:before="40" w:after="0"/>
                    <w:ind w:left="113"/>
                    <w:jc w:val="left"/>
                    <w:rPr>
                      <w:i/>
                    </w:rPr>
                  </w:pPr>
                  <w:r w:rsidRPr="00B92ED2">
                    <w:rPr>
                      <w:i/>
                    </w:rPr>
                    <w:t>Industry-specific measures</w:t>
                  </w:r>
                </w:p>
              </w:tc>
              <w:tc>
                <w:tcPr>
                  <w:tcW w:w="468" w:type="pct"/>
                  <w:vAlign w:val="bottom"/>
                </w:tcPr>
                <w:p w:rsidR="00745FEA" w:rsidRDefault="00745FEA" w:rsidP="00745FEA">
                  <w:pPr>
                    <w:pStyle w:val="TableBodyText"/>
                    <w:spacing w:before="40" w:after="0"/>
                    <w:ind w:left="113" w:right="57"/>
                  </w:pPr>
                </w:p>
              </w:tc>
              <w:tc>
                <w:tcPr>
                  <w:tcW w:w="468"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74" w:type="pct"/>
                  <w:gridSpan w:val="2"/>
                  <w:vAlign w:val="bottom"/>
                </w:tcPr>
                <w:p w:rsidR="00745FEA" w:rsidRDefault="00745FEA" w:rsidP="00745FEA">
                  <w:pPr>
                    <w:pStyle w:val="TableBodyText"/>
                    <w:spacing w:before="40" w:after="0"/>
                    <w:ind w:left="113" w:right="57"/>
                  </w:pPr>
                </w:p>
              </w:tc>
              <w:tc>
                <w:tcPr>
                  <w:tcW w:w="456" w:type="pct"/>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BC60B3" w:rsidRDefault="00745FEA" w:rsidP="00745FEA">
                  <w:pPr>
                    <w:pStyle w:val="TableBodyText"/>
                    <w:spacing w:after="0"/>
                    <w:ind w:left="227" w:right="0"/>
                    <w:jc w:val="left"/>
                  </w:pPr>
                  <w:r w:rsidRPr="00BC60B3">
                    <w:t>TCF Small Business Program</w:t>
                  </w:r>
                </w:p>
              </w:tc>
              <w:tc>
                <w:tcPr>
                  <w:tcW w:w="468" w:type="pct"/>
                  <w:vAlign w:val="bottom"/>
                </w:tcPr>
                <w:p w:rsidR="00745FEA" w:rsidRPr="00BC60B3" w:rsidRDefault="00745FEA" w:rsidP="00745FEA">
                  <w:pPr>
                    <w:pStyle w:val="TableBodyText"/>
                    <w:ind w:right="57"/>
                  </w:pPr>
                  <w:r w:rsidRPr="005A5521">
                    <w:t>0.3</w:t>
                  </w:r>
                </w:p>
              </w:tc>
              <w:tc>
                <w:tcPr>
                  <w:tcW w:w="468" w:type="pct"/>
                  <w:vAlign w:val="bottom"/>
                </w:tcPr>
                <w:p w:rsidR="00745FEA" w:rsidRPr="00BC60B3" w:rsidRDefault="00745FEA" w:rsidP="00745FEA">
                  <w:pPr>
                    <w:pStyle w:val="TableBodyText"/>
                    <w:ind w:right="57"/>
                  </w:pPr>
                  <w:r w:rsidRPr="005A5521">
                    <w:t>0.6</w:t>
                  </w:r>
                </w:p>
              </w:tc>
              <w:tc>
                <w:tcPr>
                  <w:tcW w:w="467" w:type="pct"/>
                  <w:vAlign w:val="bottom"/>
                </w:tcPr>
                <w:p w:rsidR="00745FEA" w:rsidRPr="00BC60B3" w:rsidRDefault="00745FEA" w:rsidP="00745FEA">
                  <w:pPr>
                    <w:pStyle w:val="TableBodyText"/>
                    <w:ind w:right="57"/>
                  </w:pPr>
                  <w:r w:rsidRPr="005A5521">
                    <w:t>0.3</w:t>
                  </w:r>
                </w:p>
              </w:tc>
              <w:tc>
                <w:tcPr>
                  <w:tcW w:w="467" w:type="pct"/>
                  <w:vAlign w:val="bottom"/>
                </w:tcPr>
                <w:p w:rsidR="00745FEA" w:rsidRPr="00BC60B3" w:rsidRDefault="00745FEA" w:rsidP="00745FEA">
                  <w:pPr>
                    <w:pStyle w:val="TableBodyText"/>
                    <w:ind w:right="57"/>
                  </w:pPr>
                  <w:r w:rsidRPr="005A5521">
                    <w:t>0.3</w:t>
                  </w:r>
                </w:p>
              </w:tc>
              <w:tc>
                <w:tcPr>
                  <w:tcW w:w="474" w:type="pct"/>
                  <w:gridSpan w:val="2"/>
                  <w:shd w:val="clear" w:color="auto" w:fill="auto"/>
                  <w:vAlign w:val="bottom"/>
                </w:tcPr>
                <w:p w:rsidR="00745FEA" w:rsidRPr="00BC60B3" w:rsidRDefault="00745FEA" w:rsidP="00745FEA">
                  <w:pPr>
                    <w:pStyle w:val="TableBodyText"/>
                    <w:ind w:right="57"/>
                  </w:pPr>
                  <w:r w:rsidRPr="005A5521">
                    <w:t>–</w:t>
                  </w:r>
                </w:p>
              </w:tc>
              <w:tc>
                <w:tcPr>
                  <w:tcW w:w="456" w:type="pct"/>
                  <w:shd w:val="clear" w:color="auto" w:fill="auto"/>
                  <w:vAlign w:val="bottom"/>
                </w:tcPr>
                <w:p w:rsidR="00745FEA" w:rsidRDefault="00745FEA" w:rsidP="00745FEA">
                  <w:pPr>
                    <w:pStyle w:val="TableBodyText"/>
                    <w:ind w:right="57"/>
                  </w:pPr>
                  <w:r w:rsidRPr="005A5521">
                    <w:t>–</w:t>
                  </w:r>
                </w:p>
              </w:tc>
            </w:tr>
            <w:tr w:rsidR="00745FEA" w:rsidTr="00745FEA">
              <w:tc>
                <w:tcPr>
                  <w:tcW w:w="2200" w:type="pct"/>
                  <w:shd w:val="clear" w:color="auto" w:fill="auto"/>
                </w:tcPr>
                <w:p w:rsidR="00745FEA" w:rsidRPr="00B92ED2" w:rsidRDefault="00745FEA" w:rsidP="00745FEA">
                  <w:pPr>
                    <w:pStyle w:val="TableBodyText"/>
                    <w:spacing w:before="40" w:after="0"/>
                    <w:ind w:left="113"/>
                    <w:jc w:val="left"/>
                    <w:rPr>
                      <w:i/>
                    </w:rPr>
                  </w:pPr>
                  <w:r w:rsidRPr="00B92ED2">
                    <w:rPr>
                      <w:i/>
                    </w:rPr>
                    <w:t>Sector-specific measures</w:t>
                  </w:r>
                </w:p>
              </w:tc>
              <w:tc>
                <w:tcPr>
                  <w:tcW w:w="468" w:type="pct"/>
                  <w:vAlign w:val="bottom"/>
                </w:tcPr>
                <w:p w:rsidR="00745FEA" w:rsidRDefault="00745FEA" w:rsidP="00745FEA">
                  <w:pPr>
                    <w:pStyle w:val="TableBodyText"/>
                    <w:ind w:right="57"/>
                  </w:pP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74" w:type="pct"/>
                  <w:gridSpan w:val="2"/>
                  <w:shd w:val="clear" w:color="auto" w:fill="auto"/>
                  <w:vAlign w:val="bottom"/>
                </w:tcPr>
                <w:p w:rsidR="00745FEA" w:rsidRDefault="00745FEA" w:rsidP="00745FEA">
                  <w:pPr>
                    <w:pStyle w:val="TableBodyText"/>
                    <w:ind w:right="57"/>
                  </w:pPr>
                </w:p>
              </w:tc>
              <w:tc>
                <w:tcPr>
                  <w:tcW w:w="45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D47808" w:rsidRDefault="00745FEA" w:rsidP="00745FEA">
                  <w:pPr>
                    <w:pStyle w:val="TableBodyText"/>
                    <w:spacing w:after="0"/>
                    <w:ind w:left="227" w:right="0"/>
                    <w:jc w:val="left"/>
                  </w:pPr>
                  <w:r w:rsidRPr="00D47808">
                    <w:t>Clean Technology Investment - General Program</w:t>
                  </w:r>
                </w:p>
              </w:tc>
              <w:tc>
                <w:tcPr>
                  <w:tcW w:w="468" w:type="pct"/>
                  <w:vAlign w:val="bottom"/>
                </w:tcPr>
                <w:p w:rsidR="00745FEA" w:rsidRPr="00D47808" w:rsidRDefault="00745FEA" w:rsidP="00745FEA">
                  <w:pPr>
                    <w:pStyle w:val="TableBodyText"/>
                    <w:ind w:right="57"/>
                  </w:pPr>
                  <w:r w:rsidRPr="00681FFC">
                    <w:t>–</w:t>
                  </w:r>
                </w:p>
              </w:tc>
              <w:tc>
                <w:tcPr>
                  <w:tcW w:w="468" w:type="pct"/>
                  <w:vAlign w:val="bottom"/>
                </w:tcPr>
                <w:p w:rsidR="00745FEA" w:rsidRPr="00D47808" w:rsidRDefault="00745FEA" w:rsidP="00745FEA">
                  <w:pPr>
                    <w:pStyle w:val="TableBodyText"/>
                    <w:ind w:right="57"/>
                  </w:pPr>
                  <w:r w:rsidRPr="00681FFC">
                    <w:t>0.2</w:t>
                  </w:r>
                </w:p>
              </w:tc>
              <w:tc>
                <w:tcPr>
                  <w:tcW w:w="467"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w:t>
                  </w:r>
                </w:p>
              </w:tc>
              <w:tc>
                <w:tcPr>
                  <w:tcW w:w="474" w:type="pct"/>
                  <w:gridSpan w:val="2"/>
                  <w:shd w:val="clear" w:color="auto" w:fill="auto"/>
                  <w:vAlign w:val="bottom"/>
                </w:tcPr>
                <w:p w:rsidR="00745FEA" w:rsidRPr="00D47808" w:rsidRDefault="00745FEA" w:rsidP="00745FEA">
                  <w:pPr>
                    <w:pStyle w:val="TableBodyText"/>
                    <w:ind w:right="57"/>
                  </w:pPr>
                  <w:r w:rsidRPr="00681FFC">
                    <w:t>–</w:t>
                  </w:r>
                </w:p>
              </w:tc>
              <w:tc>
                <w:tcPr>
                  <w:tcW w:w="456" w:type="pct"/>
                  <w:shd w:val="clear" w:color="auto" w:fill="auto"/>
                  <w:vAlign w:val="bottom"/>
                </w:tcPr>
                <w:p w:rsidR="00745FEA" w:rsidRPr="00D47808" w:rsidRDefault="00745FEA" w:rsidP="00745FEA">
                  <w:pPr>
                    <w:pStyle w:val="TableBodyText"/>
                    <w:ind w:right="57"/>
                  </w:pPr>
                  <w:r w:rsidRPr="00681FFC">
                    <w:t>–</w:t>
                  </w:r>
                </w:p>
              </w:tc>
            </w:tr>
            <w:tr w:rsidR="00745FEA" w:rsidTr="00745FEA">
              <w:tc>
                <w:tcPr>
                  <w:tcW w:w="2200" w:type="pct"/>
                  <w:shd w:val="clear" w:color="auto" w:fill="auto"/>
                </w:tcPr>
                <w:p w:rsidR="00745FEA" w:rsidRPr="00D47808" w:rsidRDefault="00745FEA" w:rsidP="00745FEA">
                  <w:pPr>
                    <w:pStyle w:val="TableBodyText"/>
                    <w:spacing w:after="0"/>
                    <w:ind w:left="227" w:right="0"/>
                    <w:jc w:val="left"/>
                  </w:pPr>
                  <w:r w:rsidRPr="00D47808">
                    <w:t>Manufacturing Transition Grants Programme</w:t>
                  </w:r>
                </w:p>
              </w:tc>
              <w:tc>
                <w:tcPr>
                  <w:tcW w:w="468" w:type="pct"/>
                  <w:vAlign w:val="bottom"/>
                </w:tcPr>
                <w:p w:rsidR="00745FEA" w:rsidRPr="00D47808" w:rsidRDefault="00745FEA" w:rsidP="00745FEA">
                  <w:pPr>
                    <w:pStyle w:val="TableBodyText"/>
                    <w:ind w:right="57"/>
                  </w:pPr>
                  <w:r w:rsidRPr="00681FFC">
                    <w:t>–</w:t>
                  </w:r>
                </w:p>
              </w:tc>
              <w:tc>
                <w:tcPr>
                  <w:tcW w:w="468"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0.2</w:t>
                  </w:r>
                </w:p>
              </w:tc>
              <w:tc>
                <w:tcPr>
                  <w:tcW w:w="474" w:type="pct"/>
                  <w:gridSpan w:val="2"/>
                  <w:shd w:val="clear" w:color="auto" w:fill="auto"/>
                  <w:vAlign w:val="bottom"/>
                </w:tcPr>
                <w:p w:rsidR="00745FEA" w:rsidRPr="00D47808" w:rsidRDefault="00745FEA" w:rsidP="00745FEA">
                  <w:pPr>
                    <w:pStyle w:val="TableBodyText"/>
                    <w:ind w:right="57"/>
                  </w:pPr>
                  <w:r w:rsidRPr="00681FFC">
                    <w:t>1.3</w:t>
                  </w:r>
                </w:p>
              </w:tc>
              <w:tc>
                <w:tcPr>
                  <w:tcW w:w="456" w:type="pct"/>
                  <w:shd w:val="clear" w:color="auto" w:fill="auto"/>
                  <w:vAlign w:val="bottom"/>
                </w:tcPr>
                <w:p w:rsidR="00745FEA" w:rsidRPr="00D47808" w:rsidRDefault="00745FEA" w:rsidP="00745FEA">
                  <w:pPr>
                    <w:pStyle w:val="TableBodyText"/>
                    <w:ind w:right="57"/>
                  </w:pPr>
                  <w:r w:rsidRPr="00681FFC">
                    <w:t>0.8</w:t>
                  </w:r>
                </w:p>
              </w:tc>
            </w:tr>
            <w:tr w:rsidR="00745FEA" w:rsidTr="00745FEA">
              <w:tc>
                <w:tcPr>
                  <w:tcW w:w="2200" w:type="pct"/>
                  <w:shd w:val="clear" w:color="auto" w:fill="auto"/>
                </w:tcPr>
                <w:p w:rsidR="00745FEA" w:rsidRPr="00D47808" w:rsidRDefault="00745FEA" w:rsidP="00745FEA">
                  <w:pPr>
                    <w:pStyle w:val="TableBodyText"/>
                    <w:spacing w:after="0"/>
                    <w:ind w:left="227" w:right="0"/>
                    <w:jc w:val="left"/>
                  </w:pPr>
                  <w:r w:rsidRPr="00D47808">
                    <w:t>Next Generation Manufacturing Investment Programme</w:t>
                  </w:r>
                </w:p>
              </w:tc>
              <w:tc>
                <w:tcPr>
                  <w:tcW w:w="468" w:type="pct"/>
                  <w:vAlign w:val="bottom"/>
                </w:tcPr>
                <w:p w:rsidR="00745FEA" w:rsidRPr="00D47808" w:rsidRDefault="00745FEA" w:rsidP="00745FEA">
                  <w:pPr>
                    <w:pStyle w:val="TableBodyText"/>
                    <w:ind w:right="57"/>
                  </w:pPr>
                  <w:r w:rsidRPr="00681FFC">
                    <w:t>–</w:t>
                  </w:r>
                </w:p>
              </w:tc>
              <w:tc>
                <w:tcPr>
                  <w:tcW w:w="468"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w:t>
                  </w:r>
                </w:p>
              </w:tc>
              <w:tc>
                <w:tcPr>
                  <w:tcW w:w="474" w:type="pct"/>
                  <w:gridSpan w:val="2"/>
                  <w:shd w:val="clear" w:color="auto" w:fill="auto"/>
                  <w:vAlign w:val="bottom"/>
                </w:tcPr>
                <w:p w:rsidR="00745FEA" w:rsidRPr="00D47808" w:rsidRDefault="00745FEA" w:rsidP="00745FEA">
                  <w:pPr>
                    <w:pStyle w:val="TableBodyText"/>
                    <w:ind w:right="57"/>
                  </w:pPr>
                  <w:r w:rsidRPr="00681FFC">
                    <w:t>1.8</w:t>
                  </w:r>
                </w:p>
              </w:tc>
              <w:tc>
                <w:tcPr>
                  <w:tcW w:w="456" w:type="pct"/>
                  <w:shd w:val="clear" w:color="auto" w:fill="auto"/>
                  <w:vAlign w:val="bottom"/>
                </w:tcPr>
                <w:p w:rsidR="00745FEA" w:rsidRPr="00D47808" w:rsidRDefault="00745FEA" w:rsidP="00745FEA">
                  <w:pPr>
                    <w:pStyle w:val="TableBodyText"/>
                    <w:ind w:right="57"/>
                  </w:pPr>
                  <w:r w:rsidRPr="00681FFC">
                    <w:t>0.4</w:t>
                  </w:r>
                </w:p>
              </w:tc>
            </w:tr>
            <w:tr w:rsidR="00745FEA" w:rsidTr="00745FEA">
              <w:tc>
                <w:tcPr>
                  <w:tcW w:w="2200" w:type="pct"/>
                  <w:shd w:val="clear" w:color="auto" w:fill="auto"/>
                </w:tcPr>
                <w:p w:rsidR="00745FEA" w:rsidRPr="00D47808" w:rsidRDefault="00745FEA" w:rsidP="00745FEA">
                  <w:pPr>
                    <w:pStyle w:val="TableBodyText"/>
                    <w:spacing w:after="0"/>
                    <w:ind w:left="227" w:right="0"/>
                    <w:jc w:val="left"/>
                  </w:pPr>
                  <w:r w:rsidRPr="00D47808">
                    <w:t>Victorian Innovation and Investment Fund - Ford Assistance</w:t>
                  </w:r>
                </w:p>
              </w:tc>
              <w:tc>
                <w:tcPr>
                  <w:tcW w:w="468" w:type="pct"/>
                  <w:vAlign w:val="bottom"/>
                </w:tcPr>
                <w:p w:rsidR="00745FEA" w:rsidRPr="00D47808" w:rsidRDefault="00745FEA" w:rsidP="00745FEA">
                  <w:pPr>
                    <w:pStyle w:val="TableBodyText"/>
                    <w:ind w:right="57"/>
                  </w:pPr>
                  <w:r w:rsidRPr="00681FFC">
                    <w:t>–</w:t>
                  </w:r>
                </w:p>
              </w:tc>
              <w:tc>
                <w:tcPr>
                  <w:tcW w:w="468"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w:t>
                  </w:r>
                </w:p>
              </w:tc>
              <w:tc>
                <w:tcPr>
                  <w:tcW w:w="467" w:type="pct"/>
                  <w:vAlign w:val="bottom"/>
                </w:tcPr>
                <w:p w:rsidR="00745FEA" w:rsidRPr="00D47808" w:rsidRDefault="00745FEA" w:rsidP="00745FEA">
                  <w:pPr>
                    <w:pStyle w:val="TableBodyText"/>
                    <w:ind w:right="57"/>
                  </w:pPr>
                  <w:r w:rsidRPr="00681FFC">
                    <w:t>0.2</w:t>
                  </w:r>
                </w:p>
              </w:tc>
              <w:tc>
                <w:tcPr>
                  <w:tcW w:w="474" w:type="pct"/>
                  <w:gridSpan w:val="2"/>
                  <w:shd w:val="clear" w:color="auto" w:fill="auto"/>
                  <w:vAlign w:val="bottom"/>
                </w:tcPr>
                <w:p w:rsidR="00745FEA" w:rsidRPr="00D47808" w:rsidRDefault="00745FEA" w:rsidP="00745FEA">
                  <w:pPr>
                    <w:pStyle w:val="TableBodyText"/>
                    <w:ind w:right="57"/>
                  </w:pPr>
                  <w:r w:rsidRPr="00681FFC">
                    <w:t>0.2</w:t>
                  </w:r>
                </w:p>
              </w:tc>
              <w:tc>
                <w:tcPr>
                  <w:tcW w:w="456" w:type="pct"/>
                  <w:shd w:val="clear" w:color="auto" w:fill="auto"/>
                  <w:vAlign w:val="bottom"/>
                </w:tcPr>
                <w:p w:rsidR="00745FEA" w:rsidRDefault="00745FEA" w:rsidP="00745FEA">
                  <w:pPr>
                    <w:pStyle w:val="TableBodyText"/>
                    <w:ind w:right="57"/>
                  </w:pPr>
                  <w:r w:rsidRPr="00681FFC">
                    <w:t>–</w:t>
                  </w:r>
                </w:p>
              </w:tc>
            </w:tr>
            <w:tr w:rsidR="00745FEA" w:rsidTr="00745FEA">
              <w:tc>
                <w:tcPr>
                  <w:tcW w:w="2200" w:type="pct"/>
                  <w:shd w:val="clear" w:color="auto" w:fill="auto"/>
                </w:tcPr>
                <w:p w:rsidR="00745FEA" w:rsidRPr="00B92ED2" w:rsidRDefault="00745FEA" w:rsidP="00745FEA">
                  <w:pPr>
                    <w:pStyle w:val="TableBodyText"/>
                    <w:spacing w:before="40" w:after="0"/>
                    <w:ind w:left="113"/>
                    <w:jc w:val="left"/>
                    <w:rPr>
                      <w:i/>
                    </w:rPr>
                  </w:pPr>
                  <w:r w:rsidRPr="00B92ED2">
                    <w:rPr>
                      <w:i/>
                    </w:rPr>
                    <w:t>General export measures</w:t>
                  </w:r>
                </w:p>
              </w:tc>
              <w:tc>
                <w:tcPr>
                  <w:tcW w:w="468" w:type="pct"/>
                  <w:vAlign w:val="bottom"/>
                </w:tcPr>
                <w:p w:rsidR="00745FEA" w:rsidRDefault="00745FEA" w:rsidP="00745FEA">
                  <w:pPr>
                    <w:pStyle w:val="TableBodyText"/>
                    <w:ind w:right="57"/>
                  </w:pP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74" w:type="pct"/>
                  <w:gridSpan w:val="2"/>
                  <w:shd w:val="clear" w:color="auto" w:fill="auto"/>
                  <w:vAlign w:val="bottom"/>
                </w:tcPr>
                <w:p w:rsidR="00745FEA" w:rsidRDefault="00745FEA" w:rsidP="00745FEA">
                  <w:pPr>
                    <w:pStyle w:val="TableBodyText"/>
                    <w:ind w:right="57"/>
                  </w:pPr>
                </w:p>
              </w:tc>
              <w:tc>
                <w:tcPr>
                  <w:tcW w:w="45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6331A9" w:rsidRDefault="00745FEA" w:rsidP="00745FEA">
                  <w:pPr>
                    <w:pStyle w:val="TableBodyText"/>
                    <w:spacing w:after="0"/>
                    <w:ind w:left="227" w:right="0"/>
                    <w:jc w:val="left"/>
                  </w:pPr>
                  <w:r w:rsidRPr="006331A9">
                    <w:t>Export Market Development Grants Scheme</w:t>
                  </w:r>
                </w:p>
              </w:tc>
              <w:tc>
                <w:tcPr>
                  <w:tcW w:w="468" w:type="pct"/>
                  <w:vAlign w:val="bottom"/>
                </w:tcPr>
                <w:p w:rsidR="00745FEA" w:rsidRPr="006331A9" w:rsidRDefault="00745FEA" w:rsidP="00745FEA">
                  <w:pPr>
                    <w:pStyle w:val="TableBodyText"/>
                    <w:ind w:right="57"/>
                  </w:pPr>
                  <w:r w:rsidRPr="002F1B74">
                    <w:t>27.1</w:t>
                  </w:r>
                </w:p>
              </w:tc>
              <w:tc>
                <w:tcPr>
                  <w:tcW w:w="468" w:type="pct"/>
                  <w:vAlign w:val="bottom"/>
                </w:tcPr>
                <w:p w:rsidR="00745FEA" w:rsidRPr="006331A9" w:rsidRDefault="00745FEA" w:rsidP="00745FEA">
                  <w:pPr>
                    <w:pStyle w:val="TableBodyText"/>
                    <w:ind w:right="57"/>
                  </w:pPr>
                  <w:r w:rsidRPr="002F1B74">
                    <w:t>25.7</w:t>
                  </w:r>
                </w:p>
              </w:tc>
              <w:tc>
                <w:tcPr>
                  <w:tcW w:w="467" w:type="pct"/>
                  <w:vAlign w:val="bottom"/>
                </w:tcPr>
                <w:p w:rsidR="00745FEA" w:rsidRPr="006331A9" w:rsidRDefault="00745FEA" w:rsidP="00745FEA">
                  <w:pPr>
                    <w:pStyle w:val="TableBodyText"/>
                    <w:ind w:right="57"/>
                  </w:pPr>
                  <w:r w:rsidRPr="002F1B74">
                    <w:t>22.5</w:t>
                  </w:r>
                </w:p>
              </w:tc>
              <w:tc>
                <w:tcPr>
                  <w:tcW w:w="467" w:type="pct"/>
                  <w:vAlign w:val="bottom"/>
                </w:tcPr>
                <w:p w:rsidR="00745FEA" w:rsidRPr="006331A9" w:rsidRDefault="00745FEA" w:rsidP="00745FEA">
                  <w:pPr>
                    <w:pStyle w:val="TableBodyText"/>
                    <w:ind w:right="57"/>
                  </w:pPr>
                  <w:r w:rsidRPr="002F1B74">
                    <w:t>26.9</w:t>
                  </w:r>
                </w:p>
              </w:tc>
              <w:tc>
                <w:tcPr>
                  <w:tcW w:w="474" w:type="pct"/>
                  <w:gridSpan w:val="2"/>
                  <w:shd w:val="clear" w:color="auto" w:fill="auto"/>
                  <w:vAlign w:val="bottom"/>
                </w:tcPr>
                <w:p w:rsidR="00745FEA" w:rsidRPr="006331A9" w:rsidRDefault="00745FEA" w:rsidP="00745FEA">
                  <w:pPr>
                    <w:pStyle w:val="TableBodyText"/>
                    <w:ind w:right="57"/>
                  </w:pPr>
                  <w:r w:rsidRPr="002F1B74">
                    <w:t>25.1</w:t>
                  </w:r>
                </w:p>
              </w:tc>
              <w:tc>
                <w:tcPr>
                  <w:tcW w:w="456" w:type="pct"/>
                  <w:shd w:val="clear" w:color="auto" w:fill="auto"/>
                  <w:vAlign w:val="bottom"/>
                </w:tcPr>
                <w:p w:rsidR="00745FEA" w:rsidRPr="006331A9" w:rsidRDefault="00745FEA" w:rsidP="00745FEA">
                  <w:pPr>
                    <w:pStyle w:val="TableBodyText"/>
                    <w:ind w:right="57"/>
                  </w:pPr>
                  <w:r w:rsidRPr="002F1B74">
                    <w:t>24.9</w:t>
                  </w:r>
                </w:p>
              </w:tc>
            </w:tr>
            <w:tr w:rsidR="00745FEA" w:rsidTr="00745FEA">
              <w:tc>
                <w:tcPr>
                  <w:tcW w:w="2200" w:type="pct"/>
                  <w:shd w:val="clear" w:color="auto" w:fill="auto"/>
                </w:tcPr>
                <w:p w:rsidR="00745FEA" w:rsidRPr="006331A9" w:rsidRDefault="00745FEA" w:rsidP="00745FEA">
                  <w:pPr>
                    <w:pStyle w:val="TableBodyText"/>
                    <w:spacing w:after="0"/>
                    <w:ind w:left="227" w:right="0"/>
                    <w:jc w:val="left"/>
                  </w:pPr>
                  <w:r w:rsidRPr="006331A9">
                    <w:t>TRADEX</w:t>
                  </w:r>
                </w:p>
              </w:tc>
              <w:tc>
                <w:tcPr>
                  <w:tcW w:w="468" w:type="pct"/>
                  <w:vAlign w:val="bottom"/>
                </w:tcPr>
                <w:p w:rsidR="00745FEA" w:rsidRPr="006331A9" w:rsidRDefault="00745FEA" w:rsidP="00745FEA">
                  <w:pPr>
                    <w:pStyle w:val="TableBodyText"/>
                    <w:ind w:right="57"/>
                  </w:pPr>
                  <w:r w:rsidRPr="002F1B74">
                    <w:t>0.2</w:t>
                  </w:r>
                </w:p>
              </w:tc>
              <w:tc>
                <w:tcPr>
                  <w:tcW w:w="468" w:type="pct"/>
                  <w:vAlign w:val="bottom"/>
                </w:tcPr>
                <w:p w:rsidR="00745FEA" w:rsidRPr="006331A9" w:rsidRDefault="00745FEA" w:rsidP="00745FEA">
                  <w:pPr>
                    <w:pStyle w:val="TableBodyText"/>
                    <w:ind w:right="57"/>
                  </w:pPr>
                  <w:r w:rsidRPr="002F1B74">
                    <w:t>0.2</w:t>
                  </w:r>
                </w:p>
              </w:tc>
              <w:tc>
                <w:tcPr>
                  <w:tcW w:w="467" w:type="pct"/>
                  <w:vAlign w:val="bottom"/>
                </w:tcPr>
                <w:p w:rsidR="00745FEA" w:rsidRPr="006331A9" w:rsidRDefault="00745FEA" w:rsidP="00745FEA">
                  <w:pPr>
                    <w:pStyle w:val="TableBodyText"/>
                    <w:ind w:right="57"/>
                  </w:pPr>
                  <w:r w:rsidRPr="002F1B74">
                    <w:t>0.2</w:t>
                  </w:r>
                </w:p>
              </w:tc>
              <w:tc>
                <w:tcPr>
                  <w:tcW w:w="467" w:type="pct"/>
                  <w:vAlign w:val="bottom"/>
                </w:tcPr>
                <w:p w:rsidR="00745FEA" w:rsidRPr="006331A9" w:rsidRDefault="00745FEA" w:rsidP="00745FEA">
                  <w:pPr>
                    <w:pStyle w:val="TableBodyText"/>
                    <w:ind w:right="57"/>
                  </w:pPr>
                  <w:r w:rsidRPr="002F1B74">
                    <w:t>0.2</w:t>
                  </w:r>
                </w:p>
              </w:tc>
              <w:tc>
                <w:tcPr>
                  <w:tcW w:w="474" w:type="pct"/>
                  <w:gridSpan w:val="2"/>
                  <w:shd w:val="clear" w:color="auto" w:fill="auto"/>
                  <w:vAlign w:val="bottom"/>
                </w:tcPr>
                <w:p w:rsidR="00745FEA" w:rsidRPr="006331A9" w:rsidRDefault="00745FEA" w:rsidP="00745FEA">
                  <w:pPr>
                    <w:pStyle w:val="TableBodyText"/>
                    <w:ind w:right="57"/>
                  </w:pPr>
                  <w:r w:rsidRPr="002F1B74">
                    <w:t>0.3</w:t>
                  </w:r>
                </w:p>
              </w:tc>
              <w:tc>
                <w:tcPr>
                  <w:tcW w:w="456" w:type="pct"/>
                  <w:shd w:val="clear" w:color="auto" w:fill="auto"/>
                  <w:vAlign w:val="bottom"/>
                </w:tcPr>
                <w:p w:rsidR="00745FEA" w:rsidRDefault="00745FEA" w:rsidP="00745FEA">
                  <w:pPr>
                    <w:pStyle w:val="TableBodyText"/>
                    <w:ind w:right="57"/>
                  </w:pPr>
                  <w:r w:rsidRPr="002F1B74">
                    <w:t>0.3</w:t>
                  </w:r>
                </w:p>
              </w:tc>
            </w:tr>
            <w:tr w:rsidR="00745FEA" w:rsidTr="00745FEA">
              <w:tc>
                <w:tcPr>
                  <w:tcW w:w="2200" w:type="pct"/>
                  <w:shd w:val="clear" w:color="auto" w:fill="auto"/>
                </w:tcPr>
                <w:p w:rsidR="00745FEA" w:rsidRPr="00B92ED2" w:rsidRDefault="00745FEA" w:rsidP="00745FEA">
                  <w:pPr>
                    <w:pStyle w:val="TableBodyText"/>
                    <w:spacing w:before="40" w:after="0"/>
                    <w:ind w:left="113"/>
                    <w:jc w:val="left"/>
                    <w:rPr>
                      <w:i/>
                    </w:rPr>
                  </w:pPr>
                  <w:r w:rsidRPr="00B92ED2">
                    <w:rPr>
                      <w:i/>
                    </w:rPr>
                    <w:t>General R&amp;D measures</w:t>
                  </w:r>
                </w:p>
              </w:tc>
              <w:tc>
                <w:tcPr>
                  <w:tcW w:w="468" w:type="pct"/>
                  <w:vAlign w:val="bottom"/>
                </w:tcPr>
                <w:p w:rsidR="00745FEA" w:rsidRDefault="00745FEA" w:rsidP="00745FEA">
                  <w:pPr>
                    <w:pStyle w:val="TableBodyText"/>
                    <w:ind w:right="57"/>
                  </w:pPr>
                </w:p>
              </w:tc>
              <w:tc>
                <w:tcPr>
                  <w:tcW w:w="468"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74" w:type="pct"/>
                  <w:gridSpan w:val="2"/>
                  <w:shd w:val="clear" w:color="auto" w:fill="auto"/>
                  <w:vAlign w:val="bottom"/>
                </w:tcPr>
                <w:p w:rsidR="00745FEA" w:rsidRDefault="00745FEA" w:rsidP="00745FEA">
                  <w:pPr>
                    <w:pStyle w:val="TableBodyText"/>
                    <w:ind w:right="57"/>
                  </w:pPr>
                </w:p>
              </w:tc>
              <w:tc>
                <w:tcPr>
                  <w:tcW w:w="456"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DF431E" w:rsidRDefault="00745FEA" w:rsidP="00745FEA">
                  <w:pPr>
                    <w:pStyle w:val="TableBodyText"/>
                    <w:spacing w:after="0"/>
                    <w:ind w:left="227" w:right="0"/>
                    <w:jc w:val="left"/>
                  </w:pPr>
                  <w:r w:rsidRPr="00DF431E">
                    <w:t>Commercialisation Australia</w:t>
                  </w:r>
                </w:p>
              </w:tc>
              <w:tc>
                <w:tcPr>
                  <w:tcW w:w="468" w:type="pct"/>
                  <w:vAlign w:val="bottom"/>
                </w:tcPr>
                <w:p w:rsidR="00745FEA" w:rsidRPr="00DF431E" w:rsidRDefault="00745FEA" w:rsidP="00745FEA">
                  <w:pPr>
                    <w:pStyle w:val="TableBodyText"/>
                    <w:ind w:right="57"/>
                  </w:pPr>
                  <w:r w:rsidRPr="006C3D66">
                    <w:t>13.6</w:t>
                  </w:r>
                </w:p>
              </w:tc>
              <w:tc>
                <w:tcPr>
                  <w:tcW w:w="468" w:type="pct"/>
                  <w:vAlign w:val="bottom"/>
                </w:tcPr>
                <w:p w:rsidR="00745FEA" w:rsidRPr="00DF431E" w:rsidRDefault="00745FEA" w:rsidP="00745FEA">
                  <w:pPr>
                    <w:pStyle w:val="TableBodyText"/>
                    <w:ind w:right="57"/>
                  </w:pPr>
                  <w:r w:rsidRPr="006C3D66">
                    <w:t>18.7</w:t>
                  </w:r>
                </w:p>
              </w:tc>
              <w:tc>
                <w:tcPr>
                  <w:tcW w:w="467" w:type="pct"/>
                  <w:vAlign w:val="bottom"/>
                </w:tcPr>
                <w:p w:rsidR="00745FEA" w:rsidRPr="00DF431E" w:rsidRDefault="00745FEA" w:rsidP="00745FEA">
                  <w:pPr>
                    <w:pStyle w:val="TableBodyText"/>
                    <w:ind w:right="57"/>
                  </w:pPr>
                  <w:r w:rsidRPr="006C3D66">
                    <w:t>16.3</w:t>
                  </w:r>
                </w:p>
              </w:tc>
              <w:tc>
                <w:tcPr>
                  <w:tcW w:w="467" w:type="pct"/>
                  <w:vAlign w:val="bottom"/>
                </w:tcPr>
                <w:p w:rsidR="00745FEA" w:rsidRPr="00DF431E" w:rsidRDefault="00745FEA" w:rsidP="00745FEA">
                  <w:pPr>
                    <w:pStyle w:val="TableBodyText"/>
                    <w:ind w:right="57"/>
                  </w:pPr>
                  <w:r w:rsidRPr="006C3D66">
                    <w:t>5.9</w:t>
                  </w:r>
                </w:p>
              </w:tc>
              <w:tc>
                <w:tcPr>
                  <w:tcW w:w="474" w:type="pct"/>
                  <w:gridSpan w:val="2"/>
                  <w:shd w:val="clear" w:color="auto" w:fill="auto"/>
                  <w:vAlign w:val="bottom"/>
                </w:tcPr>
                <w:p w:rsidR="00745FEA" w:rsidRPr="00DF431E" w:rsidRDefault="00745FEA" w:rsidP="00745FEA">
                  <w:pPr>
                    <w:pStyle w:val="TableBodyText"/>
                    <w:ind w:right="57"/>
                  </w:pPr>
                  <w:r w:rsidRPr="006C3D66">
                    <w:t>1.2</w:t>
                  </w:r>
                </w:p>
              </w:tc>
              <w:tc>
                <w:tcPr>
                  <w:tcW w:w="456" w:type="pct"/>
                  <w:shd w:val="clear" w:color="auto" w:fill="auto"/>
                  <w:vAlign w:val="bottom"/>
                </w:tcPr>
                <w:p w:rsidR="00745FEA" w:rsidRPr="00DF431E" w:rsidRDefault="00745FEA" w:rsidP="00745FEA">
                  <w:pPr>
                    <w:pStyle w:val="TableBodyText"/>
                    <w:ind w:right="57"/>
                  </w:pPr>
                  <w:r w:rsidRPr="006C3D66">
                    <w:t>–</w:t>
                  </w:r>
                </w:p>
              </w:tc>
            </w:tr>
            <w:tr w:rsidR="00745FEA" w:rsidTr="00745FEA">
              <w:tc>
                <w:tcPr>
                  <w:tcW w:w="2200" w:type="pct"/>
                  <w:shd w:val="clear" w:color="auto" w:fill="auto"/>
                </w:tcPr>
                <w:p w:rsidR="00745FEA" w:rsidRPr="00DF431E" w:rsidRDefault="00745FEA" w:rsidP="00745FEA">
                  <w:pPr>
                    <w:pStyle w:val="TableBodyText"/>
                    <w:spacing w:after="0"/>
                    <w:ind w:left="227" w:right="0"/>
                    <w:jc w:val="left"/>
                  </w:pPr>
                  <w:r w:rsidRPr="00DF431E">
                    <w:t>COMET Program</w:t>
                  </w:r>
                </w:p>
              </w:tc>
              <w:tc>
                <w:tcPr>
                  <w:tcW w:w="468" w:type="pct"/>
                  <w:vAlign w:val="bottom"/>
                </w:tcPr>
                <w:p w:rsidR="00745FEA" w:rsidRPr="00DF431E" w:rsidRDefault="00745FEA" w:rsidP="00745FEA">
                  <w:pPr>
                    <w:pStyle w:val="TableBodyText"/>
                    <w:ind w:right="57"/>
                  </w:pPr>
                  <w:r w:rsidRPr="006C3D66">
                    <w:t>&lt;0.1</w:t>
                  </w:r>
                </w:p>
              </w:tc>
              <w:tc>
                <w:tcPr>
                  <w:tcW w:w="468" w:type="pct"/>
                  <w:vAlign w:val="bottom"/>
                </w:tcPr>
                <w:p w:rsidR="00745FEA" w:rsidRPr="00DF431E" w:rsidRDefault="00745FEA" w:rsidP="00745FEA">
                  <w:pPr>
                    <w:pStyle w:val="TableBodyText"/>
                    <w:ind w:right="57"/>
                  </w:pPr>
                  <w:r w:rsidRPr="006C3D66">
                    <w:t>–</w:t>
                  </w:r>
                </w:p>
              </w:tc>
              <w:tc>
                <w:tcPr>
                  <w:tcW w:w="467" w:type="pct"/>
                  <w:vAlign w:val="bottom"/>
                </w:tcPr>
                <w:p w:rsidR="00745FEA" w:rsidRPr="00DF431E" w:rsidRDefault="00745FEA" w:rsidP="00745FEA">
                  <w:pPr>
                    <w:pStyle w:val="TableBodyText"/>
                    <w:ind w:right="57"/>
                  </w:pPr>
                  <w:r w:rsidRPr="006C3D66">
                    <w:t>–</w:t>
                  </w:r>
                </w:p>
              </w:tc>
              <w:tc>
                <w:tcPr>
                  <w:tcW w:w="467" w:type="pct"/>
                  <w:vAlign w:val="bottom"/>
                </w:tcPr>
                <w:p w:rsidR="00745FEA" w:rsidRPr="00DF431E" w:rsidRDefault="00745FEA" w:rsidP="00745FEA">
                  <w:pPr>
                    <w:pStyle w:val="TableBodyText"/>
                    <w:ind w:right="57"/>
                  </w:pPr>
                  <w:r w:rsidRPr="006C3D66">
                    <w:t>–</w:t>
                  </w:r>
                </w:p>
              </w:tc>
              <w:tc>
                <w:tcPr>
                  <w:tcW w:w="474" w:type="pct"/>
                  <w:gridSpan w:val="2"/>
                  <w:shd w:val="clear" w:color="auto" w:fill="auto"/>
                  <w:vAlign w:val="bottom"/>
                </w:tcPr>
                <w:p w:rsidR="00745FEA" w:rsidRPr="00DF431E" w:rsidRDefault="00745FEA" w:rsidP="00745FEA">
                  <w:pPr>
                    <w:pStyle w:val="TableBodyText"/>
                    <w:ind w:right="57"/>
                  </w:pPr>
                  <w:r w:rsidRPr="006C3D66">
                    <w:t>–</w:t>
                  </w:r>
                </w:p>
              </w:tc>
              <w:tc>
                <w:tcPr>
                  <w:tcW w:w="456" w:type="pct"/>
                  <w:shd w:val="clear" w:color="auto" w:fill="auto"/>
                  <w:vAlign w:val="bottom"/>
                </w:tcPr>
                <w:p w:rsidR="00745FEA" w:rsidRPr="00DF431E" w:rsidRDefault="00745FEA" w:rsidP="00745FEA">
                  <w:pPr>
                    <w:pStyle w:val="TableBodyText"/>
                    <w:ind w:right="57"/>
                  </w:pPr>
                  <w:r w:rsidRPr="006C3D66">
                    <w:t>–</w:t>
                  </w:r>
                </w:p>
              </w:tc>
            </w:tr>
            <w:tr w:rsidR="00745FEA" w:rsidTr="00745FEA">
              <w:tc>
                <w:tcPr>
                  <w:tcW w:w="2200" w:type="pct"/>
                  <w:shd w:val="clear" w:color="auto" w:fill="auto"/>
                </w:tcPr>
                <w:p w:rsidR="00745FEA" w:rsidRPr="00DF431E" w:rsidRDefault="00745FEA" w:rsidP="00745FEA">
                  <w:pPr>
                    <w:pStyle w:val="TableBodyText"/>
                    <w:spacing w:after="0"/>
                    <w:ind w:left="227" w:right="0"/>
                    <w:jc w:val="left"/>
                  </w:pPr>
                  <w:r w:rsidRPr="00DF431E">
                    <w:t>Commercial Ready Program</w:t>
                  </w:r>
                </w:p>
              </w:tc>
              <w:tc>
                <w:tcPr>
                  <w:tcW w:w="468" w:type="pct"/>
                  <w:vAlign w:val="bottom"/>
                </w:tcPr>
                <w:p w:rsidR="00745FEA" w:rsidRPr="00DF431E" w:rsidRDefault="00745FEA" w:rsidP="00745FEA">
                  <w:pPr>
                    <w:pStyle w:val="TableBodyText"/>
                    <w:ind w:right="57"/>
                  </w:pPr>
                  <w:r w:rsidRPr="006C3D66">
                    <w:t>0.1</w:t>
                  </w:r>
                </w:p>
              </w:tc>
              <w:tc>
                <w:tcPr>
                  <w:tcW w:w="468" w:type="pct"/>
                  <w:vAlign w:val="bottom"/>
                </w:tcPr>
                <w:p w:rsidR="00745FEA" w:rsidRPr="00DF431E" w:rsidRDefault="00745FEA" w:rsidP="00745FEA">
                  <w:pPr>
                    <w:pStyle w:val="TableBodyText"/>
                    <w:ind w:right="57"/>
                  </w:pPr>
                  <w:r w:rsidRPr="006C3D66">
                    <w:t>–</w:t>
                  </w:r>
                </w:p>
              </w:tc>
              <w:tc>
                <w:tcPr>
                  <w:tcW w:w="467" w:type="pct"/>
                  <w:vAlign w:val="bottom"/>
                </w:tcPr>
                <w:p w:rsidR="00745FEA" w:rsidRPr="00DF431E" w:rsidRDefault="00745FEA" w:rsidP="00745FEA">
                  <w:pPr>
                    <w:pStyle w:val="TableBodyText"/>
                    <w:ind w:right="57"/>
                  </w:pPr>
                  <w:r w:rsidRPr="006C3D66">
                    <w:t>–</w:t>
                  </w:r>
                </w:p>
              </w:tc>
              <w:tc>
                <w:tcPr>
                  <w:tcW w:w="467" w:type="pct"/>
                  <w:vAlign w:val="bottom"/>
                </w:tcPr>
                <w:p w:rsidR="00745FEA" w:rsidRPr="00DF431E" w:rsidRDefault="00745FEA" w:rsidP="00745FEA">
                  <w:pPr>
                    <w:pStyle w:val="TableBodyText"/>
                    <w:ind w:right="57"/>
                  </w:pPr>
                  <w:r w:rsidRPr="006C3D66">
                    <w:t>–</w:t>
                  </w:r>
                </w:p>
              </w:tc>
              <w:tc>
                <w:tcPr>
                  <w:tcW w:w="474" w:type="pct"/>
                  <w:gridSpan w:val="2"/>
                  <w:shd w:val="clear" w:color="auto" w:fill="auto"/>
                  <w:vAlign w:val="bottom"/>
                </w:tcPr>
                <w:p w:rsidR="00745FEA" w:rsidRPr="00DF431E" w:rsidRDefault="00745FEA" w:rsidP="00745FEA">
                  <w:pPr>
                    <w:pStyle w:val="TableBodyText"/>
                    <w:ind w:right="57"/>
                  </w:pPr>
                  <w:r w:rsidRPr="006C3D66">
                    <w:t>–</w:t>
                  </w:r>
                </w:p>
              </w:tc>
              <w:tc>
                <w:tcPr>
                  <w:tcW w:w="456" w:type="pct"/>
                  <w:shd w:val="clear" w:color="auto" w:fill="auto"/>
                  <w:vAlign w:val="bottom"/>
                </w:tcPr>
                <w:p w:rsidR="00745FEA" w:rsidRPr="00DF431E" w:rsidRDefault="00745FEA" w:rsidP="00745FEA">
                  <w:pPr>
                    <w:pStyle w:val="TableBodyText"/>
                    <w:ind w:right="57"/>
                  </w:pPr>
                  <w:r w:rsidRPr="006C3D66">
                    <w:t>–</w:t>
                  </w:r>
                </w:p>
              </w:tc>
            </w:tr>
            <w:tr w:rsidR="00745FEA" w:rsidTr="00745FEA">
              <w:tc>
                <w:tcPr>
                  <w:tcW w:w="2200" w:type="pct"/>
                  <w:shd w:val="clear" w:color="auto" w:fill="auto"/>
                </w:tcPr>
                <w:p w:rsidR="00745FEA" w:rsidRPr="00DF431E" w:rsidRDefault="00745FEA" w:rsidP="00745FEA">
                  <w:pPr>
                    <w:pStyle w:val="TableBodyText"/>
                    <w:spacing w:after="0"/>
                    <w:ind w:left="227" w:right="0"/>
                    <w:jc w:val="left"/>
                  </w:pPr>
                  <w:r w:rsidRPr="00DF431E">
                    <w:t>Cooperative Research Centres</w:t>
                  </w:r>
                </w:p>
              </w:tc>
              <w:tc>
                <w:tcPr>
                  <w:tcW w:w="468" w:type="pct"/>
                  <w:vAlign w:val="bottom"/>
                </w:tcPr>
                <w:p w:rsidR="00745FEA" w:rsidRPr="00DF431E" w:rsidRDefault="00745FEA" w:rsidP="00745FEA">
                  <w:pPr>
                    <w:pStyle w:val="TableBodyText"/>
                    <w:ind w:right="57"/>
                  </w:pPr>
                  <w:r w:rsidRPr="006C3D66">
                    <w:t>11.9</w:t>
                  </w:r>
                </w:p>
              </w:tc>
              <w:tc>
                <w:tcPr>
                  <w:tcW w:w="468" w:type="pct"/>
                  <w:vAlign w:val="bottom"/>
                </w:tcPr>
                <w:p w:rsidR="00745FEA" w:rsidRPr="00DF431E" w:rsidRDefault="00745FEA" w:rsidP="00745FEA">
                  <w:pPr>
                    <w:pStyle w:val="TableBodyText"/>
                    <w:ind w:right="57"/>
                  </w:pPr>
                  <w:r w:rsidRPr="006C3D66">
                    <w:t>12.4</w:t>
                  </w:r>
                </w:p>
              </w:tc>
              <w:tc>
                <w:tcPr>
                  <w:tcW w:w="467" w:type="pct"/>
                  <w:vAlign w:val="bottom"/>
                </w:tcPr>
                <w:p w:rsidR="00745FEA" w:rsidRPr="00DF431E" w:rsidRDefault="00745FEA" w:rsidP="00745FEA">
                  <w:pPr>
                    <w:pStyle w:val="TableBodyText"/>
                    <w:ind w:right="57"/>
                  </w:pPr>
                  <w:r w:rsidRPr="006C3D66">
                    <w:t>7.9</w:t>
                  </w:r>
                </w:p>
              </w:tc>
              <w:tc>
                <w:tcPr>
                  <w:tcW w:w="467" w:type="pct"/>
                  <w:vAlign w:val="bottom"/>
                </w:tcPr>
                <w:p w:rsidR="00745FEA" w:rsidRPr="00DF431E" w:rsidRDefault="00745FEA" w:rsidP="00745FEA">
                  <w:pPr>
                    <w:pStyle w:val="TableBodyText"/>
                    <w:ind w:right="57"/>
                  </w:pPr>
                  <w:r w:rsidRPr="006C3D66">
                    <w:t>7.8</w:t>
                  </w:r>
                </w:p>
              </w:tc>
              <w:tc>
                <w:tcPr>
                  <w:tcW w:w="474" w:type="pct"/>
                  <w:gridSpan w:val="2"/>
                  <w:shd w:val="clear" w:color="auto" w:fill="auto"/>
                  <w:vAlign w:val="bottom"/>
                </w:tcPr>
                <w:p w:rsidR="00745FEA" w:rsidRPr="00DF431E" w:rsidRDefault="00745FEA" w:rsidP="00745FEA">
                  <w:pPr>
                    <w:pStyle w:val="TableBodyText"/>
                    <w:ind w:right="57"/>
                  </w:pPr>
                  <w:r w:rsidRPr="006C3D66">
                    <w:t>11.5</w:t>
                  </w:r>
                </w:p>
              </w:tc>
              <w:tc>
                <w:tcPr>
                  <w:tcW w:w="456" w:type="pct"/>
                  <w:shd w:val="clear" w:color="auto" w:fill="auto"/>
                  <w:vAlign w:val="bottom"/>
                </w:tcPr>
                <w:p w:rsidR="00745FEA" w:rsidRPr="00DF431E" w:rsidRDefault="00745FEA" w:rsidP="00745FEA">
                  <w:pPr>
                    <w:pStyle w:val="TableBodyText"/>
                    <w:ind w:right="57"/>
                  </w:pPr>
                  <w:r w:rsidRPr="006C3D66">
                    <w:t>21.6</w:t>
                  </w:r>
                </w:p>
              </w:tc>
            </w:tr>
            <w:tr w:rsidR="00745FEA" w:rsidTr="00745FEA">
              <w:tc>
                <w:tcPr>
                  <w:tcW w:w="2200" w:type="pct"/>
                  <w:shd w:val="clear" w:color="auto" w:fill="auto"/>
                </w:tcPr>
                <w:p w:rsidR="00745FEA" w:rsidRPr="00DF431E" w:rsidRDefault="00745FEA" w:rsidP="00745FEA">
                  <w:pPr>
                    <w:pStyle w:val="TableBodyText"/>
                    <w:spacing w:after="0"/>
                    <w:ind w:left="227" w:right="0"/>
                    <w:jc w:val="left"/>
                  </w:pPr>
                  <w:r w:rsidRPr="00DF431E">
                    <w:t>Clean Business Australia - Climate Ready Program</w:t>
                  </w:r>
                </w:p>
              </w:tc>
              <w:tc>
                <w:tcPr>
                  <w:tcW w:w="468" w:type="pct"/>
                  <w:vAlign w:val="bottom"/>
                </w:tcPr>
                <w:p w:rsidR="00745FEA" w:rsidRPr="00DF431E" w:rsidRDefault="00745FEA" w:rsidP="00745FEA">
                  <w:pPr>
                    <w:pStyle w:val="TableBodyText"/>
                    <w:ind w:right="57"/>
                  </w:pPr>
                  <w:r w:rsidRPr="006C3D66">
                    <w:t>0.6</w:t>
                  </w:r>
                </w:p>
              </w:tc>
              <w:tc>
                <w:tcPr>
                  <w:tcW w:w="468" w:type="pct"/>
                  <w:vAlign w:val="bottom"/>
                </w:tcPr>
                <w:p w:rsidR="00745FEA" w:rsidRPr="00DF431E" w:rsidRDefault="00745FEA" w:rsidP="00745FEA">
                  <w:pPr>
                    <w:pStyle w:val="TableBodyText"/>
                    <w:ind w:right="57"/>
                  </w:pPr>
                  <w:r w:rsidRPr="006C3D66">
                    <w:t>–</w:t>
                  </w:r>
                </w:p>
              </w:tc>
              <w:tc>
                <w:tcPr>
                  <w:tcW w:w="467" w:type="pct"/>
                  <w:vAlign w:val="bottom"/>
                </w:tcPr>
                <w:p w:rsidR="00745FEA" w:rsidRPr="00DF431E" w:rsidRDefault="00745FEA" w:rsidP="00745FEA">
                  <w:pPr>
                    <w:pStyle w:val="TableBodyText"/>
                    <w:ind w:right="57"/>
                  </w:pPr>
                  <w:r w:rsidRPr="006C3D66">
                    <w:t>–</w:t>
                  </w:r>
                </w:p>
              </w:tc>
              <w:tc>
                <w:tcPr>
                  <w:tcW w:w="467" w:type="pct"/>
                  <w:vAlign w:val="bottom"/>
                </w:tcPr>
                <w:p w:rsidR="00745FEA" w:rsidRPr="00DF431E" w:rsidRDefault="00745FEA" w:rsidP="00745FEA">
                  <w:pPr>
                    <w:pStyle w:val="TableBodyText"/>
                    <w:ind w:right="57"/>
                  </w:pPr>
                  <w:r w:rsidRPr="006C3D66">
                    <w:t>–</w:t>
                  </w:r>
                </w:p>
              </w:tc>
              <w:tc>
                <w:tcPr>
                  <w:tcW w:w="474" w:type="pct"/>
                  <w:gridSpan w:val="2"/>
                  <w:shd w:val="clear" w:color="auto" w:fill="auto"/>
                  <w:vAlign w:val="bottom"/>
                </w:tcPr>
                <w:p w:rsidR="00745FEA" w:rsidRPr="00DF431E" w:rsidRDefault="00745FEA" w:rsidP="00745FEA">
                  <w:pPr>
                    <w:pStyle w:val="TableBodyText"/>
                    <w:ind w:right="57"/>
                  </w:pPr>
                  <w:r w:rsidRPr="006C3D66">
                    <w:t>–</w:t>
                  </w:r>
                </w:p>
              </w:tc>
              <w:tc>
                <w:tcPr>
                  <w:tcW w:w="456" w:type="pct"/>
                  <w:shd w:val="clear" w:color="auto" w:fill="auto"/>
                  <w:vAlign w:val="bottom"/>
                </w:tcPr>
                <w:p w:rsidR="00745FEA" w:rsidRPr="00DF431E" w:rsidRDefault="00745FEA" w:rsidP="00745FEA">
                  <w:pPr>
                    <w:pStyle w:val="TableBodyText"/>
                    <w:ind w:right="57"/>
                  </w:pPr>
                  <w:r w:rsidRPr="006C3D66">
                    <w:t>–</w:t>
                  </w:r>
                </w:p>
              </w:tc>
            </w:tr>
            <w:tr w:rsidR="00745FEA" w:rsidTr="00745FEA">
              <w:tc>
                <w:tcPr>
                  <w:tcW w:w="2200" w:type="pct"/>
                  <w:shd w:val="clear" w:color="auto" w:fill="auto"/>
                </w:tcPr>
                <w:p w:rsidR="00745FEA" w:rsidRPr="00DF431E" w:rsidRDefault="00745FEA" w:rsidP="00745FEA">
                  <w:pPr>
                    <w:pStyle w:val="TableBodyText"/>
                    <w:spacing w:after="0"/>
                    <w:ind w:left="227" w:right="0"/>
                    <w:jc w:val="left"/>
                  </w:pPr>
                  <w:r w:rsidRPr="00DF431E">
                    <w:t>CSIRO</w:t>
                  </w:r>
                </w:p>
              </w:tc>
              <w:tc>
                <w:tcPr>
                  <w:tcW w:w="468" w:type="pct"/>
                  <w:vAlign w:val="bottom"/>
                </w:tcPr>
                <w:p w:rsidR="00745FEA" w:rsidRPr="00DF431E" w:rsidRDefault="00745FEA" w:rsidP="00745FEA">
                  <w:pPr>
                    <w:pStyle w:val="TableBodyText"/>
                    <w:ind w:right="57"/>
                  </w:pPr>
                  <w:r w:rsidRPr="006C3D66">
                    <w:t>2.1</w:t>
                  </w:r>
                </w:p>
              </w:tc>
              <w:tc>
                <w:tcPr>
                  <w:tcW w:w="468" w:type="pct"/>
                  <w:vAlign w:val="bottom"/>
                </w:tcPr>
                <w:p w:rsidR="00745FEA" w:rsidRPr="00DF431E" w:rsidRDefault="00745FEA" w:rsidP="00745FEA">
                  <w:pPr>
                    <w:pStyle w:val="TableBodyText"/>
                    <w:ind w:right="57"/>
                  </w:pPr>
                  <w:r w:rsidRPr="006C3D66">
                    <w:t>1.8</w:t>
                  </w:r>
                </w:p>
              </w:tc>
              <w:tc>
                <w:tcPr>
                  <w:tcW w:w="467" w:type="pct"/>
                  <w:vAlign w:val="bottom"/>
                </w:tcPr>
                <w:p w:rsidR="00745FEA" w:rsidRPr="00DF431E" w:rsidRDefault="00745FEA" w:rsidP="00745FEA">
                  <w:pPr>
                    <w:pStyle w:val="TableBodyText"/>
                    <w:ind w:right="57"/>
                  </w:pPr>
                  <w:r w:rsidRPr="006C3D66">
                    <w:t>1.9</w:t>
                  </w:r>
                </w:p>
              </w:tc>
              <w:tc>
                <w:tcPr>
                  <w:tcW w:w="467" w:type="pct"/>
                  <w:vAlign w:val="bottom"/>
                </w:tcPr>
                <w:p w:rsidR="00745FEA" w:rsidRPr="00DF431E" w:rsidRDefault="00745FEA" w:rsidP="00745FEA">
                  <w:pPr>
                    <w:pStyle w:val="TableBodyText"/>
                    <w:ind w:right="57"/>
                  </w:pPr>
                  <w:r w:rsidRPr="006C3D66">
                    <w:t>–</w:t>
                  </w:r>
                </w:p>
              </w:tc>
              <w:tc>
                <w:tcPr>
                  <w:tcW w:w="474" w:type="pct"/>
                  <w:gridSpan w:val="2"/>
                  <w:shd w:val="clear" w:color="auto" w:fill="auto"/>
                  <w:vAlign w:val="bottom"/>
                </w:tcPr>
                <w:p w:rsidR="00745FEA" w:rsidRPr="00DF431E" w:rsidRDefault="00745FEA" w:rsidP="00745FEA">
                  <w:pPr>
                    <w:pStyle w:val="TableBodyText"/>
                    <w:ind w:right="57"/>
                  </w:pPr>
                  <w:r w:rsidRPr="006C3D66">
                    <w:t>–</w:t>
                  </w:r>
                </w:p>
              </w:tc>
              <w:tc>
                <w:tcPr>
                  <w:tcW w:w="456" w:type="pct"/>
                  <w:shd w:val="clear" w:color="auto" w:fill="auto"/>
                  <w:vAlign w:val="bottom"/>
                </w:tcPr>
                <w:p w:rsidR="00745FEA" w:rsidRPr="00DF431E" w:rsidRDefault="00745FEA" w:rsidP="00745FEA">
                  <w:pPr>
                    <w:pStyle w:val="TableBodyText"/>
                    <w:ind w:right="57"/>
                  </w:pPr>
                  <w:r w:rsidRPr="006C3D66">
                    <w:t>–</w:t>
                  </w:r>
                </w:p>
              </w:tc>
            </w:tr>
            <w:tr w:rsidR="00745FEA" w:rsidTr="00745FEA">
              <w:tc>
                <w:tcPr>
                  <w:tcW w:w="2200" w:type="pct"/>
                  <w:tcBorders>
                    <w:bottom w:val="single" w:sz="6" w:space="0" w:color="BFBFBF"/>
                  </w:tcBorders>
                  <w:shd w:val="clear" w:color="auto" w:fill="auto"/>
                </w:tcPr>
                <w:p w:rsidR="00745FEA" w:rsidRPr="00DF431E" w:rsidRDefault="00745FEA" w:rsidP="00745FEA">
                  <w:pPr>
                    <w:pStyle w:val="TableBodyText"/>
                    <w:ind w:left="227" w:right="0"/>
                    <w:jc w:val="left"/>
                  </w:pPr>
                  <w:r w:rsidRPr="00DF431E">
                    <w:t>Clean Technology Innovation Program</w:t>
                  </w:r>
                </w:p>
              </w:tc>
              <w:tc>
                <w:tcPr>
                  <w:tcW w:w="468" w:type="pct"/>
                  <w:tcBorders>
                    <w:bottom w:val="single" w:sz="6" w:space="0" w:color="BFBFBF"/>
                  </w:tcBorders>
                  <w:vAlign w:val="bottom"/>
                </w:tcPr>
                <w:p w:rsidR="00745FEA" w:rsidRPr="00DF431E" w:rsidRDefault="00745FEA" w:rsidP="00745FEA">
                  <w:pPr>
                    <w:pStyle w:val="TableBodyText"/>
                    <w:ind w:right="57"/>
                  </w:pPr>
                  <w:r w:rsidRPr="006C3D66">
                    <w:t>–</w:t>
                  </w:r>
                </w:p>
              </w:tc>
              <w:tc>
                <w:tcPr>
                  <w:tcW w:w="468" w:type="pct"/>
                  <w:tcBorders>
                    <w:bottom w:val="single" w:sz="6" w:space="0" w:color="BFBFBF"/>
                  </w:tcBorders>
                  <w:vAlign w:val="bottom"/>
                </w:tcPr>
                <w:p w:rsidR="00745FEA" w:rsidRPr="00DF431E" w:rsidRDefault="00745FEA" w:rsidP="00745FEA">
                  <w:pPr>
                    <w:pStyle w:val="TableBodyText"/>
                    <w:ind w:right="57"/>
                  </w:pPr>
                  <w:r w:rsidRPr="006C3D66">
                    <w:t>0.3</w:t>
                  </w:r>
                </w:p>
              </w:tc>
              <w:tc>
                <w:tcPr>
                  <w:tcW w:w="467" w:type="pct"/>
                  <w:tcBorders>
                    <w:bottom w:val="single" w:sz="6" w:space="0" w:color="BFBFBF"/>
                  </w:tcBorders>
                  <w:vAlign w:val="bottom"/>
                </w:tcPr>
                <w:p w:rsidR="00745FEA" w:rsidRPr="00DF431E" w:rsidRDefault="00745FEA" w:rsidP="00745FEA">
                  <w:pPr>
                    <w:pStyle w:val="TableBodyText"/>
                    <w:ind w:right="57"/>
                  </w:pPr>
                  <w:r w:rsidRPr="006C3D66">
                    <w:t>2.2</w:t>
                  </w:r>
                </w:p>
              </w:tc>
              <w:tc>
                <w:tcPr>
                  <w:tcW w:w="467" w:type="pct"/>
                  <w:tcBorders>
                    <w:bottom w:val="single" w:sz="6" w:space="0" w:color="BFBFBF"/>
                  </w:tcBorders>
                  <w:vAlign w:val="bottom"/>
                </w:tcPr>
                <w:p w:rsidR="00745FEA" w:rsidRPr="00DF431E" w:rsidRDefault="00745FEA" w:rsidP="00745FEA">
                  <w:pPr>
                    <w:pStyle w:val="TableBodyText"/>
                    <w:ind w:right="57"/>
                  </w:pPr>
                  <w:r w:rsidRPr="006C3D66">
                    <w:t>0.4</w:t>
                  </w:r>
                </w:p>
              </w:tc>
              <w:tc>
                <w:tcPr>
                  <w:tcW w:w="474" w:type="pct"/>
                  <w:gridSpan w:val="2"/>
                  <w:tcBorders>
                    <w:bottom w:val="single" w:sz="6" w:space="0" w:color="BFBFBF"/>
                  </w:tcBorders>
                  <w:shd w:val="clear" w:color="auto" w:fill="auto"/>
                  <w:vAlign w:val="bottom"/>
                </w:tcPr>
                <w:p w:rsidR="00745FEA" w:rsidRPr="00DF431E" w:rsidRDefault="00745FEA" w:rsidP="00745FEA">
                  <w:pPr>
                    <w:pStyle w:val="TableBodyText"/>
                    <w:ind w:right="57"/>
                  </w:pPr>
                  <w:r w:rsidRPr="006C3D66">
                    <w:t>–</w:t>
                  </w:r>
                </w:p>
              </w:tc>
              <w:tc>
                <w:tcPr>
                  <w:tcW w:w="456" w:type="pct"/>
                  <w:tcBorders>
                    <w:bottom w:val="single" w:sz="6" w:space="0" w:color="BFBFBF"/>
                  </w:tcBorders>
                  <w:shd w:val="clear" w:color="auto" w:fill="auto"/>
                  <w:vAlign w:val="bottom"/>
                </w:tcPr>
                <w:p w:rsidR="00745FEA" w:rsidRDefault="00745FEA" w:rsidP="00745FEA">
                  <w:pPr>
                    <w:pStyle w:val="TableBodyText"/>
                    <w:ind w:right="57"/>
                  </w:pPr>
                  <w:r w:rsidRPr="006C3D66">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357"/>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1"/>
              <w:gridCol w:w="796"/>
              <w:gridCol w:w="793"/>
              <w:gridCol w:w="7"/>
              <w:gridCol w:w="794"/>
              <w:gridCol w:w="6"/>
              <w:gridCol w:w="789"/>
              <w:gridCol w:w="7"/>
              <w:gridCol w:w="6"/>
              <w:gridCol w:w="794"/>
              <w:gridCol w:w="7"/>
              <w:gridCol w:w="10"/>
              <w:gridCol w:w="755"/>
            </w:tblGrid>
            <w:tr w:rsidR="00745FEA" w:rsidTr="00C719FB">
              <w:trPr>
                <w:tblHeader/>
              </w:trPr>
              <w:tc>
                <w:tcPr>
                  <w:tcW w:w="2199"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8"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71"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71" w:type="pct"/>
                  <w:gridSpan w:val="3"/>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80" w:type="pct"/>
                  <w:gridSpan w:val="4"/>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4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199" w:type="pct"/>
                  <w:shd w:val="clear" w:color="auto" w:fill="auto"/>
                </w:tcPr>
                <w:p w:rsidR="00745FEA" w:rsidRPr="00B92ED2" w:rsidRDefault="00745FEA" w:rsidP="00745FEA">
                  <w:pPr>
                    <w:pStyle w:val="TableBodyText"/>
                    <w:spacing w:before="40" w:after="0"/>
                    <w:ind w:left="113"/>
                    <w:jc w:val="left"/>
                    <w:rPr>
                      <w:i/>
                    </w:rPr>
                  </w:pPr>
                  <w:r w:rsidRPr="00B92ED2">
                    <w:rPr>
                      <w:i/>
                    </w:rPr>
                    <w:t>General R&amp;D measures</w:t>
                  </w:r>
                  <w:r>
                    <w:rPr>
                      <w:i/>
                    </w:rPr>
                    <w:t xml:space="preserve"> (continued)</w:t>
                  </w:r>
                </w:p>
              </w:tc>
              <w:tc>
                <w:tcPr>
                  <w:tcW w:w="468" w:type="pct"/>
                  <w:vAlign w:val="bottom"/>
                </w:tcPr>
                <w:p w:rsidR="00745FEA" w:rsidRDefault="00745FEA" w:rsidP="00745FEA">
                  <w:pPr>
                    <w:pStyle w:val="TableBodyText"/>
                    <w:spacing w:before="40" w:after="0"/>
                    <w:ind w:left="113" w:right="57"/>
                  </w:pPr>
                </w:p>
              </w:tc>
              <w:tc>
                <w:tcPr>
                  <w:tcW w:w="470" w:type="pct"/>
                  <w:gridSpan w:val="2"/>
                  <w:vAlign w:val="bottom"/>
                </w:tcPr>
                <w:p w:rsidR="00745FEA" w:rsidRDefault="00745FEA" w:rsidP="00745FEA">
                  <w:pPr>
                    <w:pStyle w:val="TableBodyText"/>
                    <w:spacing w:before="40" w:after="0"/>
                    <w:ind w:left="113" w:right="57"/>
                  </w:pPr>
                </w:p>
              </w:tc>
              <w:tc>
                <w:tcPr>
                  <w:tcW w:w="470" w:type="pct"/>
                  <w:gridSpan w:val="2"/>
                  <w:vAlign w:val="bottom"/>
                </w:tcPr>
                <w:p w:rsidR="00745FEA" w:rsidRDefault="00745FEA" w:rsidP="00745FEA">
                  <w:pPr>
                    <w:pStyle w:val="TableBodyText"/>
                    <w:spacing w:before="40" w:after="0"/>
                    <w:ind w:left="113" w:right="57"/>
                  </w:pPr>
                </w:p>
              </w:tc>
              <w:tc>
                <w:tcPr>
                  <w:tcW w:w="471" w:type="pct"/>
                  <w:gridSpan w:val="3"/>
                  <w:vAlign w:val="bottom"/>
                </w:tcPr>
                <w:p w:rsidR="00745FEA" w:rsidRDefault="00745FEA" w:rsidP="00745FEA">
                  <w:pPr>
                    <w:pStyle w:val="TableBodyText"/>
                    <w:spacing w:before="40" w:after="0"/>
                    <w:ind w:left="113" w:right="57"/>
                  </w:pPr>
                </w:p>
              </w:tc>
              <w:tc>
                <w:tcPr>
                  <w:tcW w:w="477" w:type="pct"/>
                  <w:gridSpan w:val="3"/>
                  <w:shd w:val="clear" w:color="auto" w:fill="auto"/>
                  <w:vAlign w:val="bottom"/>
                </w:tcPr>
                <w:p w:rsidR="00745FEA" w:rsidRDefault="00745FEA" w:rsidP="00745FEA">
                  <w:pPr>
                    <w:pStyle w:val="TableBodyText"/>
                    <w:spacing w:before="40" w:after="0"/>
                    <w:ind w:left="113" w:right="57"/>
                  </w:pPr>
                </w:p>
              </w:tc>
              <w:tc>
                <w:tcPr>
                  <w:tcW w:w="444" w:type="pct"/>
                  <w:shd w:val="clear" w:color="auto" w:fill="auto"/>
                  <w:vAlign w:val="bottom"/>
                </w:tcPr>
                <w:p w:rsidR="00745FEA" w:rsidRDefault="00745FEA" w:rsidP="00745FEA">
                  <w:pPr>
                    <w:pStyle w:val="TableBodyText"/>
                    <w:spacing w:before="40" w:after="0"/>
                    <w:ind w:left="113" w:right="57"/>
                  </w:pPr>
                </w:p>
              </w:tc>
            </w:tr>
            <w:tr w:rsidR="00745FEA" w:rsidTr="00745FEA">
              <w:tc>
                <w:tcPr>
                  <w:tcW w:w="2199" w:type="pct"/>
                  <w:shd w:val="clear" w:color="auto" w:fill="auto"/>
                </w:tcPr>
                <w:p w:rsidR="00745FEA" w:rsidRPr="005165BB" w:rsidRDefault="00745FEA" w:rsidP="00745FEA">
                  <w:pPr>
                    <w:pStyle w:val="TableBodyText"/>
                    <w:ind w:left="227" w:right="0"/>
                    <w:jc w:val="left"/>
                  </w:pPr>
                  <w:r w:rsidRPr="00DF431E">
                    <w:t>Innovation Investment Fund</w:t>
                  </w:r>
                </w:p>
              </w:tc>
              <w:tc>
                <w:tcPr>
                  <w:tcW w:w="468" w:type="pct"/>
                  <w:vAlign w:val="bottom"/>
                </w:tcPr>
                <w:p w:rsidR="00745FEA" w:rsidRPr="00043FDA" w:rsidRDefault="00745FEA" w:rsidP="00745FEA">
                  <w:pPr>
                    <w:pStyle w:val="TableBodyText"/>
                    <w:ind w:right="57"/>
                  </w:pPr>
                  <w:r w:rsidRPr="00043FDA">
                    <w:t>3.0</w:t>
                  </w:r>
                </w:p>
              </w:tc>
              <w:tc>
                <w:tcPr>
                  <w:tcW w:w="470" w:type="pct"/>
                  <w:gridSpan w:val="2"/>
                  <w:vAlign w:val="bottom"/>
                </w:tcPr>
                <w:p w:rsidR="00745FEA" w:rsidRPr="00043FDA" w:rsidRDefault="00745FEA" w:rsidP="00745FEA">
                  <w:pPr>
                    <w:pStyle w:val="TableBodyText"/>
                    <w:ind w:right="57"/>
                  </w:pPr>
                  <w:r w:rsidRPr="00043FDA">
                    <w:t>3.6</w:t>
                  </w:r>
                </w:p>
              </w:tc>
              <w:tc>
                <w:tcPr>
                  <w:tcW w:w="467" w:type="pct"/>
                  <w:vAlign w:val="bottom"/>
                </w:tcPr>
                <w:p w:rsidR="00745FEA" w:rsidRPr="00043FDA" w:rsidRDefault="00745FEA" w:rsidP="00745FEA">
                  <w:pPr>
                    <w:pStyle w:val="TableBodyText"/>
                    <w:ind w:right="57"/>
                  </w:pPr>
                  <w:r w:rsidRPr="00043FDA">
                    <w:t>4.1</w:t>
                  </w:r>
                </w:p>
              </w:tc>
              <w:tc>
                <w:tcPr>
                  <w:tcW w:w="467" w:type="pct"/>
                  <w:gridSpan w:val="2"/>
                  <w:vAlign w:val="bottom"/>
                </w:tcPr>
                <w:p w:rsidR="00745FEA" w:rsidRPr="00043FDA" w:rsidRDefault="00745FEA" w:rsidP="00745FEA">
                  <w:pPr>
                    <w:pStyle w:val="TableBodyText"/>
                    <w:ind w:right="57"/>
                  </w:pPr>
                  <w:r w:rsidRPr="00043FDA">
                    <w:t>4.0</w:t>
                  </w:r>
                </w:p>
              </w:tc>
              <w:tc>
                <w:tcPr>
                  <w:tcW w:w="474" w:type="pct"/>
                  <w:gridSpan w:val="3"/>
                  <w:shd w:val="clear" w:color="auto" w:fill="auto"/>
                  <w:vAlign w:val="bottom"/>
                </w:tcPr>
                <w:p w:rsidR="00745FEA" w:rsidRPr="00043FDA" w:rsidRDefault="00745FEA" w:rsidP="00745FEA">
                  <w:pPr>
                    <w:pStyle w:val="TableBodyText"/>
                    <w:ind w:right="57"/>
                  </w:pPr>
                  <w:r w:rsidRPr="00043FDA">
                    <w:t>8.2</w:t>
                  </w:r>
                </w:p>
              </w:tc>
              <w:tc>
                <w:tcPr>
                  <w:tcW w:w="454" w:type="pct"/>
                  <w:gridSpan w:val="3"/>
                  <w:shd w:val="clear" w:color="auto" w:fill="auto"/>
                  <w:vAlign w:val="bottom"/>
                </w:tcPr>
                <w:p w:rsidR="00745FEA" w:rsidRPr="00043FDA" w:rsidRDefault="00745FEA" w:rsidP="00745FEA">
                  <w:pPr>
                    <w:pStyle w:val="TableBodyText"/>
                    <w:ind w:right="57"/>
                  </w:pPr>
                  <w:r w:rsidRPr="00043FDA">
                    <w:t>5.8</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Manufacturing Technology Innovation Centre</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w:t>
                  </w:r>
                </w:p>
              </w:tc>
              <w:tc>
                <w:tcPr>
                  <w:tcW w:w="467" w:type="pct"/>
                  <w:vAlign w:val="bottom"/>
                </w:tcPr>
                <w:p w:rsidR="00745FEA" w:rsidRPr="00043FDA" w:rsidRDefault="00745FEA" w:rsidP="00745FEA">
                  <w:pPr>
                    <w:pStyle w:val="TableBodyText"/>
                    <w:ind w:right="57"/>
                  </w:pPr>
                  <w:r w:rsidRPr="00043FDA">
                    <w:t>2.0</w:t>
                  </w:r>
                </w:p>
              </w:tc>
              <w:tc>
                <w:tcPr>
                  <w:tcW w:w="467" w:type="pct"/>
                  <w:gridSpan w:val="2"/>
                  <w:vAlign w:val="bottom"/>
                </w:tcPr>
                <w:p w:rsidR="00745FEA" w:rsidRPr="00043FDA" w:rsidRDefault="00745FEA" w:rsidP="00745FEA">
                  <w:pPr>
                    <w:pStyle w:val="TableBodyText"/>
                    <w:ind w:right="57"/>
                  </w:pPr>
                  <w:r w:rsidRPr="00043FDA">
                    <w:t>–</w:t>
                  </w:r>
                </w:p>
              </w:tc>
              <w:tc>
                <w:tcPr>
                  <w:tcW w:w="474" w:type="pct"/>
                  <w:gridSpan w:val="3"/>
                  <w:shd w:val="clear" w:color="auto" w:fill="auto"/>
                  <w:vAlign w:val="bottom"/>
                </w:tcPr>
                <w:p w:rsidR="00745FEA" w:rsidRPr="00043FDA" w:rsidRDefault="00745FEA" w:rsidP="00745FEA">
                  <w:pPr>
                    <w:pStyle w:val="TableBodyText"/>
                    <w:ind w:right="57"/>
                  </w:pPr>
                  <w:r w:rsidRPr="00043FDA">
                    <w:t>–</w:t>
                  </w:r>
                </w:p>
              </w:tc>
              <w:tc>
                <w:tcPr>
                  <w:tcW w:w="454" w:type="pct"/>
                  <w:gridSpan w:val="3"/>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National Enabling Technologies Strategy</w:t>
                  </w:r>
                </w:p>
              </w:tc>
              <w:tc>
                <w:tcPr>
                  <w:tcW w:w="468" w:type="pct"/>
                  <w:vAlign w:val="bottom"/>
                </w:tcPr>
                <w:p w:rsidR="00745FEA" w:rsidRPr="00043FDA" w:rsidRDefault="00745FEA" w:rsidP="00745FEA">
                  <w:pPr>
                    <w:pStyle w:val="TableBodyText"/>
                    <w:ind w:right="57"/>
                  </w:pPr>
                  <w:r w:rsidRPr="00043FDA">
                    <w:t>0.3</w:t>
                  </w:r>
                </w:p>
              </w:tc>
              <w:tc>
                <w:tcPr>
                  <w:tcW w:w="470" w:type="pct"/>
                  <w:gridSpan w:val="2"/>
                  <w:vAlign w:val="bottom"/>
                </w:tcPr>
                <w:p w:rsidR="00745FEA" w:rsidRPr="00043FDA" w:rsidRDefault="00745FEA" w:rsidP="00745FEA">
                  <w:pPr>
                    <w:pStyle w:val="TableBodyText"/>
                    <w:ind w:right="57"/>
                  </w:pPr>
                  <w:r w:rsidRPr="00043FDA">
                    <w:t>0.5</w:t>
                  </w:r>
                </w:p>
              </w:tc>
              <w:tc>
                <w:tcPr>
                  <w:tcW w:w="467" w:type="pct"/>
                  <w:vAlign w:val="bottom"/>
                </w:tcPr>
                <w:p w:rsidR="00745FEA" w:rsidRPr="00043FDA" w:rsidRDefault="00745FEA" w:rsidP="00745FEA">
                  <w:pPr>
                    <w:pStyle w:val="TableBodyText"/>
                    <w:ind w:right="57"/>
                  </w:pPr>
                  <w:r w:rsidRPr="00043FDA">
                    <w:t>–</w:t>
                  </w:r>
                </w:p>
              </w:tc>
              <w:tc>
                <w:tcPr>
                  <w:tcW w:w="467" w:type="pct"/>
                  <w:gridSpan w:val="2"/>
                  <w:vAlign w:val="bottom"/>
                </w:tcPr>
                <w:p w:rsidR="00745FEA" w:rsidRPr="00043FDA" w:rsidRDefault="00745FEA" w:rsidP="00745FEA">
                  <w:pPr>
                    <w:pStyle w:val="TableBodyText"/>
                    <w:ind w:right="57"/>
                  </w:pPr>
                  <w:r w:rsidRPr="00043FDA">
                    <w:t>–</w:t>
                  </w:r>
                </w:p>
              </w:tc>
              <w:tc>
                <w:tcPr>
                  <w:tcW w:w="474" w:type="pct"/>
                  <w:gridSpan w:val="3"/>
                  <w:shd w:val="clear" w:color="auto" w:fill="auto"/>
                  <w:vAlign w:val="bottom"/>
                </w:tcPr>
                <w:p w:rsidR="00745FEA" w:rsidRPr="00043FDA" w:rsidRDefault="00745FEA" w:rsidP="00745FEA">
                  <w:pPr>
                    <w:pStyle w:val="TableBodyText"/>
                    <w:ind w:right="57"/>
                  </w:pPr>
                  <w:r w:rsidRPr="00043FDA">
                    <w:t>–</w:t>
                  </w:r>
                </w:p>
              </w:tc>
              <w:tc>
                <w:tcPr>
                  <w:tcW w:w="454" w:type="pct"/>
                  <w:gridSpan w:val="3"/>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R&amp;D Tax Incentive - refundable tax offset</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694.7</w:t>
                  </w:r>
                </w:p>
              </w:tc>
              <w:tc>
                <w:tcPr>
                  <w:tcW w:w="470" w:type="pct"/>
                  <w:gridSpan w:val="2"/>
                  <w:vAlign w:val="bottom"/>
                </w:tcPr>
                <w:p w:rsidR="00745FEA" w:rsidRPr="00043FDA" w:rsidRDefault="00745FEA" w:rsidP="00745FEA">
                  <w:pPr>
                    <w:pStyle w:val="TableBodyText"/>
                    <w:ind w:right="57"/>
                  </w:pPr>
                  <w:r w:rsidRPr="00043FDA">
                    <w:t>672.6</w:t>
                  </w:r>
                </w:p>
              </w:tc>
              <w:tc>
                <w:tcPr>
                  <w:tcW w:w="468" w:type="pct"/>
                  <w:gridSpan w:val="2"/>
                  <w:vAlign w:val="bottom"/>
                </w:tcPr>
                <w:p w:rsidR="00745FEA" w:rsidRPr="00043FDA" w:rsidRDefault="00745FEA" w:rsidP="00745FEA">
                  <w:pPr>
                    <w:pStyle w:val="TableBodyText"/>
                    <w:ind w:right="57"/>
                  </w:pPr>
                  <w:r w:rsidRPr="00043FDA">
                    <w:t>899.4</w:t>
                  </w:r>
                </w:p>
              </w:tc>
              <w:tc>
                <w:tcPr>
                  <w:tcW w:w="480" w:type="pct"/>
                  <w:gridSpan w:val="4"/>
                  <w:shd w:val="clear" w:color="auto" w:fill="auto"/>
                  <w:vAlign w:val="bottom"/>
                </w:tcPr>
                <w:p w:rsidR="00745FEA" w:rsidRPr="00043FDA" w:rsidRDefault="00745FEA" w:rsidP="00745FEA">
                  <w:pPr>
                    <w:pStyle w:val="TableBodyText"/>
                    <w:ind w:right="57"/>
                  </w:pPr>
                  <w:r w:rsidRPr="00043FDA">
                    <w:t>956.4</w:t>
                  </w:r>
                </w:p>
              </w:tc>
              <w:tc>
                <w:tcPr>
                  <w:tcW w:w="444" w:type="pct"/>
                  <w:shd w:val="clear" w:color="auto" w:fill="auto"/>
                  <w:vAlign w:val="bottom"/>
                </w:tcPr>
                <w:p w:rsidR="00745FEA" w:rsidRPr="00043FDA" w:rsidRDefault="00745FEA" w:rsidP="00745FEA">
                  <w:pPr>
                    <w:pStyle w:val="TableBodyText"/>
                    <w:ind w:right="57"/>
                  </w:pPr>
                  <w:r w:rsidRPr="00043FDA">
                    <w:t>1157.8</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R&amp;D tax offsets - Refundable</w:t>
                  </w:r>
                </w:p>
              </w:tc>
              <w:tc>
                <w:tcPr>
                  <w:tcW w:w="468" w:type="pct"/>
                  <w:vAlign w:val="bottom"/>
                </w:tcPr>
                <w:p w:rsidR="00745FEA" w:rsidRPr="00043FDA" w:rsidRDefault="00745FEA" w:rsidP="00745FEA">
                  <w:pPr>
                    <w:pStyle w:val="TableBodyText"/>
                    <w:ind w:right="57"/>
                  </w:pPr>
                  <w:r w:rsidRPr="00043FDA">
                    <w:t>265.5</w:t>
                  </w:r>
                </w:p>
              </w:tc>
              <w:tc>
                <w:tcPr>
                  <w:tcW w:w="470" w:type="pct"/>
                  <w:gridSpan w:val="2"/>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80" w:type="pct"/>
                  <w:gridSpan w:val="4"/>
                  <w:shd w:val="clear" w:color="auto" w:fill="auto"/>
                  <w:vAlign w:val="bottom"/>
                </w:tcPr>
                <w:p w:rsidR="00745FEA" w:rsidRPr="00043FDA" w:rsidRDefault="00745FEA" w:rsidP="00745FEA">
                  <w:pPr>
                    <w:pStyle w:val="TableBodyText"/>
                    <w:ind w:right="57"/>
                  </w:pPr>
                  <w:r w:rsidRPr="00043FDA">
                    <w:t>–</w:t>
                  </w:r>
                </w:p>
              </w:tc>
              <w:tc>
                <w:tcPr>
                  <w:tcW w:w="444"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Premium R&amp;D tax concession</w:t>
                  </w:r>
                </w:p>
              </w:tc>
              <w:tc>
                <w:tcPr>
                  <w:tcW w:w="468" w:type="pct"/>
                  <w:vAlign w:val="bottom"/>
                </w:tcPr>
                <w:p w:rsidR="00745FEA" w:rsidRPr="00043FDA" w:rsidRDefault="00745FEA" w:rsidP="00745FEA">
                  <w:pPr>
                    <w:pStyle w:val="TableBodyText"/>
                    <w:ind w:right="57"/>
                  </w:pPr>
                  <w:r w:rsidRPr="00043FDA">
                    <w:t>84.9</w:t>
                  </w:r>
                </w:p>
              </w:tc>
              <w:tc>
                <w:tcPr>
                  <w:tcW w:w="470" w:type="pct"/>
                  <w:gridSpan w:val="2"/>
                  <w:vAlign w:val="bottom"/>
                </w:tcPr>
                <w:p w:rsidR="00745FEA" w:rsidRPr="00043FDA" w:rsidRDefault="00745FEA" w:rsidP="00745FEA">
                  <w:pPr>
                    <w:pStyle w:val="TableBodyText"/>
                    <w:ind w:right="57"/>
                  </w:pPr>
                  <w:r w:rsidRPr="00043FDA">
                    <w:t>23.2</w:t>
                  </w:r>
                </w:p>
              </w:tc>
              <w:tc>
                <w:tcPr>
                  <w:tcW w:w="470" w:type="pct"/>
                  <w:gridSpan w:val="2"/>
                  <w:vAlign w:val="bottom"/>
                </w:tcPr>
                <w:p w:rsidR="00745FEA" w:rsidRPr="00043FDA" w:rsidRDefault="00745FEA" w:rsidP="00745FEA">
                  <w:pPr>
                    <w:pStyle w:val="TableBodyText"/>
                    <w:ind w:right="57"/>
                  </w:pPr>
                  <w:r w:rsidRPr="00043FDA">
                    <w:t>9.6</w:t>
                  </w:r>
                </w:p>
              </w:tc>
              <w:tc>
                <w:tcPr>
                  <w:tcW w:w="468" w:type="pct"/>
                  <w:gridSpan w:val="2"/>
                  <w:vAlign w:val="bottom"/>
                </w:tcPr>
                <w:p w:rsidR="00745FEA" w:rsidRPr="00043FDA" w:rsidRDefault="00745FEA" w:rsidP="00745FEA">
                  <w:pPr>
                    <w:pStyle w:val="TableBodyText"/>
                    <w:ind w:right="57"/>
                  </w:pPr>
                  <w:r w:rsidRPr="00043FDA">
                    <w:t>–</w:t>
                  </w:r>
                </w:p>
              </w:tc>
              <w:tc>
                <w:tcPr>
                  <w:tcW w:w="480" w:type="pct"/>
                  <w:gridSpan w:val="4"/>
                  <w:shd w:val="clear" w:color="auto" w:fill="auto"/>
                  <w:vAlign w:val="bottom"/>
                </w:tcPr>
                <w:p w:rsidR="00745FEA" w:rsidRPr="00043FDA" w:rsidRDefault="00745FEA" w:rsidP="00745FEA">
                  <w:pPr>
                    <w:pStyle w:val="TableBodyText"/>
                    <w:ind w:right="57"/>
                  </w:pPr>
                  <w:r w:rsidRPr="00043FDA">
                    <w:t>–</w:t>
                  </w:r>
                </w:p>
              </w:tc>
              <w:tc>
                <w:tcPr>
                  <w:tcW w:w="444"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R&amp;D tax concession</w:t>
                  </w:r>
                </w:p>
              </w:tc>
              <w:tc>
                <w:tcPr>
                  <w:tcW w:w="468" w:type="pct"/>
                  <w:vAlign w:val="bottom"/>
                </w:tcPr>
                <w:p w:rsidR="00745FEA" w:rsidRPr="00043FDA" w:rsidRDefault="00745FEA" w:rsidP="00745FEA">
                  <w:pPr>
                    <w:pStyle w:val="TableBodyText"/>
                    <w:ind w:right="57"/>
                  </w:pPr>
                  <w:r w:rsidRPr="00043FDA">
                    <w:t>196.0</w:t>
                  </w:r>
                </w:p>
              </w:tc>
              <w:tc>
                <w:tcPr>
                  <w:tcW w:w="470" w:type="pct"/>
                  <w:gridSpan w:val="2"/>
                  <w:vAlign w:val="bottom"/>
                </w:tcPr>
                <w:p w:rsidR="00745FEA" w:rsidRPr="00043FDA" w:rsidRDefault="00745FEA" w:rsidP="00745FEA">
                  <w:pPr>
                    <w:pStyle w:val="TableBodyText"/>
                    <w:ind w:right="57"/>
                  </w:pPr>
                  <w:r w:rsidRPr="00043FDA">
                    <w:t>87.5</w:t>
                  </w:r>
                </w:p>
              </w:tc>
              <w:tc>
                <w:tcPr>
                  <w:tcW w:w="470" w:type="pct"/>
                  <w:gridSpan w:val="2"/>
                  <w:vAlign w:val="bottom"/>
                </w:tcPr>
                <w:p w:rsidR="00745FEA" w:rsidRPr="00043FDA" w:rsidRDefault="00745FEA" w:rsidP="00745FEA">
                  <w:pPr>
                    <w:pStyle w:val="TableBodyText"/>
                    <w:ind w:right="57"/>
                  </w:pPr>
                  <w:r w:rsidRPr="00043FDA">
                    <w:t>29.7</w:t>
                  </w:r>
                </w:p>
              </w:tc>
              <w:tc>
                <w:tcPr>
                  <w:tcW w:w="468" w:type="pct"/>
                  <w:gridSpan w:val="2"/>
                  <w:vAlign w:val="bottom"/>
                </w:tcPr>
                <w:p w:rsidR="00745FEA" w:rsidRPr="00043FDA" w:rsidRDefault="00745FEA" w:rsidP="00745FEA">
                  <w:pPr>
                    <w:pStyle w:val="TableBodyText"/>
                    <w:ind w:right="57"/>
                  </w:pPr>
                  <w:r w:rsidRPr="00043FDA">
                    <w:t>5.2</w:t>
                  </w:r>
                </w:p>
              </w:tc>
              <w:tc>
                <w:tcPr>
                  <w:tcW w:w="480" w:type="pct"/>
                  <w:gridSpan w:val="4"/>
                  <w:shd w:val="clear" w:color="auto" w:fill="auto"/>
                  <w:vAlign w:val="bottom"/>
                </w:tcPr>
                <w:p w:rsidR="00745FEA" w:rsidRPr="00043FDA" w:rsidRDefault="00745FEA" w:rsidP="00745FEA">
                  <w:pPr>
                    <w:pStyle w:val="TableBodyText"/>
                    <w:ind w:right="57"/>
                  </w:pPr>
                  <w:r w:rsidRPr="00043FDA">
                    <w:t>–</w:t>
                  </w:r>
                </w:p>
              </w:tc>
              <w:tc>
                <w:tcPr>
                  <w:tcW w:w="444"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5165BB" w:rsidRDefault="00745FEA" w:rsidP="00745FEA">
                  <w:pPr>
                    <w:pStyle w:val="TableBodyText"/>
                    <w:ind w:left="227" w:right="0"/>
                    <w:jc w:val="left"/>
                  </w:pPr>
                  <w:r w:rsidRPr="005165BB">
                    <w:t>R&amp;D Tax Incentive - non-refundable tax offset</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148.9</w:t>
                  </w:r>
                </w:p>
              </w:tc>
              <w:tc>
                <w:tcPr>
                  <w:tcW w:w="470" w:type="pct"/>
                  <w:gridSpan w:val="2"/>
                  <w:vAlign w:val="bottom"/>
                </w:tcPr>
                <w:p w:rsidR="00745FEA" w:rsidRPr="00043FDA" w:rsidRDefault="00745FEA" w:rsidP="00745FEA">
                  <w:pPr>
                    <w:pStyle w:val="TableBodyText"/>
                    <w:ind w:right="57"/>
                  </w:pPr>
                  <w:r w:rsidRPr="00043FDA">
                    <w:t>125.1</w:t>
                  </w:r>
                </w:p>
              </w:tc>
              <w:tc>
                <w:tcPr>
                  <w:tcW w:w="468" w:type="pct"/>
                  <w:gridSpan w:val="2"/>
                  <w:vAlign w:val="bottom"/>
                </w:tcPr>
                <w:p w:rsidR="00745FEA" w:rsidRPr="00043FDA" w:rsidRDefault="00745FEA" w:rsidP="00745FEA">
                  <w:pPr>
                    <w:pStyle w:val="TableBodyText"/>
                    <w:ind w:right="57"/>
                  </w:pPr>
                  <w:r w:rsidRPr="00043FDA">
                    <w:t>106.5</w:t>
                  </w:r>
                </w:p>
              </w:tc>
              <w:tc>
                <w:tcPr>
                  <w:tcW w:w="480" w:type="pct"/>
                  <w:gridSpan w:val="4"/>
                  <w:shd w:val="clear" w:color="auto" w:fill="auto"/>
                  <w:vAlign w:val="bottom"/>
                </w:tcPr>
                <w:p w:rsidR="00745FEA" w:rsidRPr="00043FDA" w:rsidRDefault="00745FEA" w:rsidP="00745FEA">
                  <w:pPr>
                    <w:pStyle w:val="TableBodyText"/>
                    <w:ind w:right="57"/>
                  </w:pPr>
                  <w:r w:rsidRPr="00043FDA">
                    <w:t>88.6</w:t>
                  </w:r>
                </w:p>
              </w:tc>
              <w:tc>
                <w:tcPr>
                  <w:tcW w:w="444" w:type="pct"/>
                  <w:shd w:val="clear" w:color="auto" w:fill="auto"/>
                  <w:vAlign w:val="bottom"/>
                </w:tcPr>
                <w:p w:rsidR="00745FEA" w:rsidRPr="00043FDA" w:rsidRDefault="00745FEA" w:rsidP="00745FEA">
                  <w:pPr>
                    <w:pStyle w:val="TableBodyText"/>
                    <w:ind w:right="57"/>
                  </w:pPr>
                  <w:r w:rsidRPr="00043FDA">
                    <w:t>106.8</w:t>
                  </w:r>
                </w:p>
              </w:tc>
            </w:tr>
            <w:tr w:rsidR="00745FEA" w:rsidTr="00745FEA">
              <w:tc>
                <w:tcPr>
                  <w:tcW w:w="2199" w:type="pct"/>
                  <w:shd w:val="clear" w:color="auto" w:fill="auto"/>
                </w:tcPr>
                <w:p w:rsidR="00745FEA" w:rsidRPr="00EE5803" w:rsidRDefault="00745FEA" w:rsidP="00745FEA">
                  <w:pPr>
                    <w:spacing w:before="40"/>
                    <w:ind w:left="113"/>
                    <w:rPr>
                      <w:rFonts w:ascii="Arial" w:hAnsi="Arial" w:cs="Arial"/>
                      <w:i/>
                      <w:sz w:val="18"/>
                      <w:szCs w:val="18"/>
                    </w:rPr>
                  </w:pPr>
                  <w:r w:rsidRPr="00EE5803">
                    <w:rPr>
                      <w:rFonts w:ascii="Arial" w:hAnsi="Arial" w:cs="Arial"/>
                      <w:i/>
                      <w:sz w:val="18"/>
                      <w:szCs w:val="18"/>
                    </w:rPr>
                    <w:t>Other measures</w:t>
                  </w:r>
                </w:p>
              </w:tc>
              <w:tc>
                <w:tcPr>
                  <w:tcW w:w="468" w:type="pct"/>
                  <w:vAlign w:val="bottom"/>
                </w:tcPr>
                <w:p w:rsidR="00745FEA" w:rsidRDefault="00745FEA" w:rsidP="00745FEA">
                  <w:pPr>
                    <w:spacing w:before="40"/>
                    <w:ind w:left="113" w:right="57"/>
                    <w:jc w:val="right"/>
                    <w:rPr>
                      <w:rFonts w:ascii="Arial" w:hAnsi="Arial" w:cs="Arial"/>
                      <w:sz w:val="18"/>
                      <w:szCs w:val="18"/>
                    </w:rPr>
                  </w:pPr>
                </w:p>
              </w:tc>
              <w:tc>
                <w:tcPr>
                  <w:tcW w:w="470" w:type="pct"/>
                  <w:gridSpan w:val="2"/>
                  <w:vAlign w:val="bottom"/>
                </w:tcPr>
                <w:p w:rsidR="00745FEA" w:rsidRDefault="00745FEA" w:rsidP="00745FEA">
                  <w:pPr>
                    <w:spacing w:before="40"/>
                    <w:ind w:left="113" w:right="57"/>
                    <w:jc w:val="right"/>
                    <w:rPr>
                      <w:rFonts w:ascii="Arial" w:hAnsi="Arial" w:cs="Arial"/>
                      <w:sz w:val="18"/>
                      <w:szCs w:val="18"/>
                    </w:rPr>
                  </w:pPr>
                </w:p>
              </w:tc>
              <w:tc>
                <w:tcPr>
                  <w:tcW w:w="467" w:type="pct"/>
                  <w:vAlign w:val="bottom"/>
                </w:tcPr>
                <w:p w:rsidR="00745FEA" w:rsidRDefault="00745FEA" w:rsidP="00745FEA">
                  <w:pPr>
                    <w:spacing w:before="40"/>
                    <w:ind w:left="113" w:right="57"/>
                    <w:jc w:val="right"/>
                    <w:rPr>
                      <w:rFonts w:ascii="Arial" w:hAnsi="Arial" w:cs="Arial"/>
                      <w:sz w:val="18"/>
                      <w:szCs w:val="18"/>
                    </w:rPr>
                  </w:pPr>
                </w:p>
              </w:tc>
              <w:tc>
                <w:tcPr>
                  <w:tcW w:w="471" w:type="pct"/>
                  <w:gridSpan w:val="3"/>
                  <w:vAlign w:val="bottom"/>
                </w:tcPr>
                <w:p w:rsidR="00745FEA" w:rsidRDefault="00745FEA" w:rsidP="00745FEA">
                  <w:pPr>
                    <w:spacing w:before="40"/>
                    <w:ind w:left="113" w:right="57"/>
                    <w:jc w:val="right"/>
                    <w:rPr>
                      <w:rFonts w:ascii="Arial" w:hAnsi="Arial" w:cs="Arial"/>
                      <w:sz w:val="18"/>
                      <w:szCs w:val="18"/>
                    </w:rPr>
                  </w:pPr>
                </w:p>
              </w:tc>
              <w:tc>
                <w:tcPr>
                  <w:tcW w:w="480" w:type="pct"/>
                  <w:gridSpan w:val="4"/>
                  <w:shd w:val="clear" w:color="auto" w:fill="auto"/>
                  <w:vAlign w:val="bottom"/>
                </w:tcPr>
                <w:p w:rsidR="00745FEA" w:rsidRDefault="00745FEA" w:rsidP="00745FEA">
                  <w:pPr>
                    <w:spacing w:before="40"/>
                    <w:ind w:left="113" w:right="57"/>
                    <w:jc w:val="right"/>
                    <w:rPr>
                      <w:rFonts w:ascii="Arial" w:hAnsi="Arial" w:cs="Arial"/>
                      <w:sz w:val="18"/>
                      <w:szCs w:val="18"/>
                    </w:rPr>
                  </w:pPr>
                </w:p>
              </w:tc>
              <w:tc>
                <w:tcPr>
                  <w:tcW w:w="444" w:type="pct"/>
                  <w:shd w:val="clear" w:color="auto" w:fill="auto"/>
                  <w:vAlign w:val="bottom"/>
                </w:tcPr>
                <w:p w:rsidR="00745FEA" w:rsidRDefault="00745FEA" w:rsidP="00745FEA">
                  <w:pPr>
                    <w:spacing w:before="40"/>
                    <w:ind w:left="113" w:right="57"/>
                    <w:jc w:val="right"/>
                    <w:rPr>
                      <w:rFonts w:ascii="Arial" w:hAnsi="Arial" w:cs="Arial"/>
                      <w:sz w:val="18"/>
                      <w:szCs w:val="18"/>
                    </w:rPr>
                  </w:pP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Australian Government Innovation and Investment Fund - Tasmania</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w:t>
                  </w:r>
                </w:p>
              </w:tc>
              <w:tc>
                <w:tcPr>
                  <w:tcW w:w="467" w:type="pct"/>
                  <w:vAlign w:val="bottom"/>
                </w:tcPr>
                <w:p w:rsidR="00745FEA" w:rsidRPr="00043FDA" w:rsidRDefault="00745FEA" w:rsidP="00745FEA">
                  <w:pPr>
                    <w:pStyle w:val="TableBodyText"/>
                    <w:ind w:right="57"/>
                  </w:pPr>
                  <w:r w:rsidRPr="00043FDA">
                    <w:t>–</w:t>
                  </w:r>
                </w:p>
              </w:tc>
              <w:tc>
                <w:tcPr>
                  <w:tcW w:w="471" w:type="pct"/>
                  <w:gridSpan w:val="3"/>
                  <w:vAlign w:val="bottom"/>
                </w:tcPr>
                <w:p w:rsidR="00745FEA" w:rsidRPr="00043FDA" w:rsidRDefault="00745FEA" w:rsidP="00745FEA">
                  <w:pPr>
                    <w:pStyle w:val="TableBodyText"/>
                    <w:ind w:right="57"/>
                  </w:pPr>
                  <w:r w:rsidRPr="00043FDA">
                    <w:t>0.1</w:t>
                  </w:r>
                </w:p>
              </w:tc>
              <w:tc>
                <w:tcPr>
                  <w:tcW w:w="480" w:type="pct"/>
                  <w:gridSpan w:val="4"/>
                  <w:shd w:val="clear" w:color="auto" w:fill="auto"/>
                  <w:vAlign w:val="bottom"/>
                </w:tcPr>
                <w:p w:rsidR="00745FEA" w:rsidRPr="00043FDA" w:rsidRDefault="00745FEA" w:rsidP="00745FEA">
                  <w:pPr>
                    <w:pStyle w:val="TableBodyText"/>
                    <w:ind w:right="57"/>
                  </w:pPr>
                  <w:r w:rsidRPr="00043FDA">
                    <w:t>0.1</w:t>
                  </w:r>
                </w:p>
              </w:tc>
              <w:tc>
                <w:tcPr>
                  <w:tcW w:w="444"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Enterprise Connect Innovation Centres</w:t>
                  </w:r>
                </w:p>
              </w:tc>
              <w:tc>
                <w:tcPr>
                  <w:tcW w:w="468" w:type="pct"/>
                  <w:vAlign w:val="bottom"/>
                </w:tcPr>
                <w:p w:rsidR="00745FEA" w:rsidRPr="00043FDA" w:rsidRDefault="00745FEA" w:rsidP="00745FEA">
                  <w:pPr>
                    <w:pStyle w:val="TableBodyText"/>
                    <w:ind w:right="57"/>
                  </w:pPr>
                  <w:r w:rsidRPr="00043FDA">
                    <w:t>3.7</w:t>
                  </w:r>
                </w:p>
              </w:tc>
              <w:tc>
                <w:tcPr>
                  <w:tcW w:w="470" w:type="pct"/>
                  <w:gridSpan w:val="2"/>
                  <w:vAlign w:val="bottom"/>
                </w:tcPr>
                <w:p w:rsidR="00745FEA" w:rsidRPr="00043FDA" w:rsidRDefault="00745FEA" w:rsidP="00745FEA">
                  <w:pPr>
                    <w:pStyle w:val="TableBodyText"/>
                    <w:ind w:right="57"/>
                  </w:pPr>
                  <w:r w:rsidRPr="00043FDA">
                    <w:t>2.4</w:t>
                  </w:r>
                </w:p>
              </w:tc>
              <w:tc>
                <w:tcPr>
                  <w:tcW w:w="467" w:type="pct"/>
                  <w:vAlign w:val="bottom"/>
                </w:tcPr>
                <w:p w:rsidR="00745FEA" w:rsidRPr="00043FDA" w:rsidRDefault="00745FEA" w:rsidP="00745FEA">
                  <w:pPr>
                    <w:pStyle w:val="TableBodyText"/>
                    <w:ind w:right="57"/>
                  </w:pPr>
                  <w:r w:rsidRPr="00043FDA">
                    <w:t>3.3</w:t>
                  </w:r>
                </w:p>
              </w:tc>
              <w:tc>
                <w:tcPr>
                  <w:tcW w:w="471" w:type="pct"/>
                  <w:gridSpan w:val="3"/>
                  <w:vAlign w:val="bottom"/>
                </w:tcPr>
                <w:p w:rsidR="00745FEA" w:rsidRPr="00043FDA" w:rsidRDefault="00745FEA" w:rsidP="00745FEA">
                  <w:pPr>
                    <w:pStyle w:val="TableBodyText"/>
                    <w:ind w:right="57"/>
                  </w:pPr>
                  <w:r w:rsidRPr="00043FDA">
                    <w:t>1.7</w:t>
                  </w:r>
                </w:p>
              </w:tc>
              <w:tc>
                <w:tcPr>
                  <w:tcW w:w="474" w:type="pct"/>
                  <w:gridSpan w:val="3"/>
                  <w:shd w:val="clear" w:color="auto" w:fill="auto"/>
                  <w:vAlign w:val="bottom"/>
                </w:tcPr>
                <w:p w:rsidR="00745FEA" w:rsidRPr="00043FDA" w:rsidRDefault="00745FEA" w:rsidP="00745FEA">
                  <w:pPr>
                    <w:pStyle w:val="TableBodyText"/>
                    <w:ind w:right="57"/>
                  </w:pPr>
                  <w:r w:rsidRPr="00043FDA">
                    <w:t>0.1</w:t>
                  </w:r>
                </w:p>
              </w:tc>
              <w:tc>
                <w:tcPr>
                  <w:tcW w:w="450" w:type="pct"/>
                  <w:gridSpan w:val="2"/>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Entrepreneurs’ Infrastructure Programme - Accelerating Commercialisation</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w:t>
                  </w:r>
                </w:p>
              </w:tc>
              <w:tc>
                <w:tcPr>
                  <w:tcW w:w="467" w:type="pct"/>
                  <w:vAlign w:val="bottom"/>
                </w:tcPr>
                <w:p w:rsidR="00745FEA" w:rsidRPr="00043FDA" w:rsidRDefault="00745FEA" w:rsidP="00745FEA">
                  <w:pPr>
                    <w:pStyle w:val="TableBodyText"/>
                    <w:ind w:right="57"/>
                  </w:pPr>
                  <w:r w:rsidRPr="00043FDA">
                    <w:t>–</w:t>
                  </w:r>
                </w:p>
              </w:tc>
              <w:tc>
                <w:tcPr>
                  <w:tcW w:w="471" w:type="pct"/>
                  <w:gridSpan w:val="3"/>
                  <w:vAlign w:val="bottom"/>
                </w:tcPr>
                <w:p w:rsidR="00745FEA" w:rsidRPr="00043FDA" w:rsidRDefault="00745FEA" w:rsidP="00745FEA">
                  <w:pPr>
                    <w:pStyle w:val="TableBodyText"/>
                    <w:ind w:right="57"/>
                  </w:pPr>
                  <w:r w:rsidRPr="00043FDA">
                    <w:t>1.4</w:t>
                  </w:r>
                </w:p>
              </w:tc>
              <w:tc>
                <w:tcPr>
                  <w:tcW w:w="474" w:type="pct"/>
                  <w:gridSpan w:val="3"/>
                  <w:shd w:val="clear" w:color="auto" w:fill="auto"/>
                  <w:vAlign w:val="bottom"/>
                </w:tcPr>
                <w:p w:rsidR="00745FEA" w:rsidRPr="00043FDA" w:rsidRDefault="00745FEA" w:rsidP="00745FEA">
                  <w:pPr>
                    <w:pStyle w:val="TableBodyText"/>
                    <w:ind w:right="57"/>
                  </w:pPr>
                  <w:r w:rsidRPr="00043FDA">
                    <w:t>12.2</w:t>
                  </w:r>
                </w:p>
              </w:tc>
              <w:tc>
                <w:tcPr>
                  <w:tcW w:w="450" w:type="pct"/>
                  <w:gridSpan w:val="2"/>
                  <w:shd w:val="clear" w:color="auto" w:fill="auto"/>
                  <w:vAlign w:val="bottom"/>
                </w:tcPr>
                <w:p w:rsidR="00745FEA" w:rsidRPr="00043FDA" w:rsidRDefault="00745FEA" w:rsidP="00745FEA">
                  <w:pPr>
                    <w:pStyle w:val="TableBodyText"/>
                    <w:ind w:right="57"/>
                  </w:pPr>
                  <w:r w:rsidRPr="00043FDA">
                    <w:t>20.7</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Entrepreneurs’ Infrastructure Programme - Business Management Skills</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w:t>
                  </w:r>
                </w:p>
              </w:tc>
              <w:tc>
                <w:tcPr>
                  <w:tcW w:w="467" w:type="pct"/>
                  <w:vAlign w:val="bottom"/>
                </w:tcPr>
                <w:p w:rsidR="00745FEA" w:rsidRPr="00043FDA" w:rsidRDefault="00745FEA" w:rsidP="00745FEA">
                  <w:pPr>
                    <w:pStyle w:val="TableBodyText"/>
                    <w:ind w:right="57"/>
                  </w:pPr>
                  <w:r w:rsidRPr="00043FDA">
                    <w:t>–</w:t>
                  </w:r>
                </w:p>
              </w:tc>
              <w:tc>
                <w:tcPr>
                  <w:tcW w:w="471" w:type="pct"/>
                  <w:gridSpan w:val="3"/>
                  <w:vAlign w:val="bottom"/>
                </w:tcPr>
                <w:p w:rsidR="00745FEA" w:rsidRPr="00043FDA" w:rsidRDefault="00745FEA" w:rsidP="00745FEA">
                  <w:pPr>
                    <w:pStyle w:val="TableBodyText"/>
                    <w:ind w:right="57"/>
                  </w:pPr>
                  <w:r w:rsidRPr="00043FDA">
                    <w:t>0.5</w:t>
                  </w:r>
                </w:p>
              </w:tc>
              <w:tc>
                <w:tcPr>
                  <w:tcW w:w="474" w:type="pct"/>
                  <w:gridSpan w:val="3"/>
                  <w:shd w:val="clear" w:color="auto" w:fill="auto"/>
                  <w:vAlign w:val="bottom"/>
                </w:tcPr>
                <w:p w:rsidR="00745FEA" w:rsidRPr="00043FDA" w:rsidRDefault="00745FEA" w:rsidP="00745FEA">
                  <w:pPr>
                    <w:pStyle w:val="TableBodyText"/>
                    <w:ind w:right="57"/>
                  </w:pPr>
                  <w:r w:rsidRPr="00043FDA">
                    <w:t>1.8</w:t>
                  </w:r>
                </w:p>
              </w:tc>
              <w:tc>
                <w:tcPr>
                  <w:tcW w:w="450" w:type="pct"/>
                  <w:gridSpan w:val="2"/>
                  <w:shd w:val="clear" w:color="auto" w:fill="auto"/>
                  <w:vAlign w:val="bottom"/>
                </w:tcPr>
                <w:p w:rsidR="00745FEA" w:rsidRPr="00043FDA" w:rsidRDefault="00745FEA" w:rsidP="00745FEA">
                  <w:pPr>
                    <w:pStyle w:val="TableBodyText"/>
                    <w:ind w:right="57"/>
                  </w:pPr>
                  <w:r w:rsidRPr="00043FDA">
                    <w:t>2.0</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Illawarra Region Innovation and Investment Fund</w:t>
                  </w:r>
                </w:p>
              </w:tc>
              <w:tc>
                <w:tcPr>
                  <w:tcW w:w="468" w:type="pct"/>
                  <w:vAlign w:val="bottom"/>
                </w:tcPr>
                <w:p w:rsidR="00745FEA" w:rsidRPr="00043FDA" w:rsidRDefault="00745FEA" w:rsidP="00745FEA">
                  <w:pPr>
                    <w:pStyle w:val="TableBodyText"/>
                    <w:ind w:right="57"/>
                  </w:pPr>
                  <w:r w:rsidRPr="00043FDA">
                    <w:t>0.3</w:t>
                  </w:r>
                </w:p>
              </w:tc>
              <w:tc>
                <w:tcPr>
                  <w:tcW w:w="470" w:type="pct"/>
                  <w:gridSpan w:val="2"/>
                  <w:vAlign w:val="bottom"/>
                </w:tcPr>
                <w:p w:rsidR="00745FEA" w:rsidRPr="00043FDA" w:rsidRDefault="00745FEA" w:rsidP="00745FEA">
                  <w:pPr>
                    <w:pStyle w:val="TableBodyText"/>
                    <w:ind w:right="57"/>
                  </w:pPr>
                  <w:r w:rsidRPr="00043FDA">
                    <w:t>0.8</w:t>
                  </w:r>
                </w:p>
              </w:tc>
              <w:tc>
                <w:tcPr>
                  <w:tcW w:w="467" w:type="pct"/>
                  <w:vAlign w:val="bottom"/>
                </w:tcPr>
                <w:p w:rsidR="00745FEA" w:rsidRPr="00043FDA" w:rsidRDefault="00745FEA" w:rsidP="00745FEA">
                  <w:pPr>
                    <w:pStyle w:val="TableBodyText"/>
                    <w:ind w:right="57"/>
                  </w:pPr>
                  <w:r w:rsidRPr="00043FDA">
                    <w:t>–</w:t>
                  </w:r>
                </w:p>
              </w:tc>
              <w:tc>
                <w:tcPr>
                  <w:tcW w:w="467" w:type="pct"/>
                  <w:gridSpan w:val="2"/>
                  <w:vAlign w:val="bottom"/>
                </w:tcPr>
                <w:p w:rsidR="00745FEA" w:rsidRPr="00043FDA" w:rsidRDefault="00745FEA" w:rsidP="00745FEA">
                  <w:pPr>
                    <w:pStyle w:val="TableBodyText"/>
                    <w:ind w:right="57"/>
                  </w:pPr>
                  <w:r w:rsidRPr="00043FDA">
                    <w:t>–</w:t>
                  </w:r>
                </w:p>
              </w:tc>
              <w:tc>
                <w:tcPr>
                  <w:tcW w:w="474" w:type="pct"/>
                  <w:gridSpan w:val="3"/>
                  <w:shd w:val="clear" w:color="auto" w:fill="auto"/>
                  <w:vAlign w:val="bottom"/>
                </w:tcPr>
                <w:p w:rsidR="00745FEA" w:rsidRPr="00043FDA" w:rsidRDefault="00745FEA" w:rsidP="00745FEA">
                  <w:pPr>
                    <w:pStyle w:val="TableBodyText"/>
                    <w:ind w:right="57"/>
                  </w:pPr>
                  <w:r w:rsidRPr="00043FDA">
                    <w:t>–</w:t>
                  </w:r>
                </w:p>
              </w:tc>
              <w:tc>
                <w:tcPr>
                  <w:tcW w:w="454" w:type="pct"/>
                  <w:gridSpan w:val="3"/>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South East South Australia Innovation and Investment Fund</w:t>
                  </w:r>
                </w:p>
              </w:tc>
              <w:tc>
                <w:tcPr>
                  <w:tcW w:w="468" w:type="pct"/>
                  <w:vAlign w:val="bottom"/>
                </w:tcPr>
                <w:p w:rsidR="00745FEA" w:rsidRPr="00043FDA" w:rsidRDefault="00745FEA" w:rsidP="00745FEA">
                  <w:pPr>
                    <w:pStyle w:val="TableBodyText"/>
                    <w:ind w:right="57"/>
                  </w:pPr>
                  <w:r w:rsidRPr="00043FDA">
                    <w:t>–</w:t>
                  </w:r>
                </w:p>
              </w:tc>
              <w:tc>
                <w:tcPr>
                  <w:tcW w:w="470" w:type="pct"/>
                  <w:gridSpan w:val="2"/>
                  <w:vAlign w:val="bottom"/>
                </w:tcPr>
                <w:p w:rsidR="00745FEA" w:rsidRPr="00043FDA" w:rsidRDefault="00745FEA" w:rsidP="00745FEA">
                  <w:pPr>
                    <w:pStyle w:val="TableBodyText"/>
                    <w:ind w:right="57"/>
                  </w:pPr>
                  <w:r w:rsidRPr="00043FDA">
                    <w:t>0.1</w:t>
                  </w:r>
                </w:p>
              </w:tc>
              <w:tc>
                <w:tcPr>
                  <w:tcW w:w="467" w:type="pct"/>
                  <w:vAlign w:val="bottom"/>
                </w:tcPr>
                <w:p w:rsidR="00745FEA" w:rsidRPr="00043FDA" w:rsidRDefault="00745FEA" w:rsidP="00745FEA">
                  <w:pPr>
                    <w:pStyle w:val="TableBodyText"/>
                    <w:ind w:right="57"/>
                  </w:pPr>
                  <w:r w:rsidRPr="00043FDA">
                    <w:t>–</w:t>
                  </w:r>
                </w:p>
              </w:tc>
              <w:tc>
                <w:tcPr>
                  <w:tcW w:w="467" w:type="pct"/>
                  <w:gridSpan w:val="2"/>
                  <w:vAlign w:val="bottom"/>
                </w:tcPr>
                <w:p w:rsidR="00745FEA" w:rsidRPr="00043FDA" w:rsidRDefault="00745FEA" w:rsidP="00745FEA">
                  <w:pPr>
                    <w:pStyle w:val="TableBodyText"/>
                    <w:ind w:right="57"/>
                  </w:pPr>
                  <w:r w:rsidRPr="00043FDA">
                    <w:t>–</w:t>
                  </w:r>
                </w:p>
              </w:tc>
              <w:tc>
                <w:tcPr>
                  <w:tcW w:w="474" w:type="pct"/>
                  <w:gridSpan w:val="3"/>
                  <w:shd w:val="clear" w:color="auto" w:fill="auto"/>
                  <w:vAlign w:val="bottom"/>
                </w:tcPr>
                <w:p w:rsidR="00745FEA" w:rsidRPr="00043FDA" w:rsidRDefault="00745FEA" w:rsidP="00745FEA">
                  <w:pPr>
                    <w:pStyle w:val="TableBodyText"/>
                    <w:ind w:right="57"/>
                  </w:pPr>
                  <w:r w:rsidRPr="00043FDA">
                    <w:t>–</w:t>
                  </w:r>
                </w:p>
              </w:tc>
              <w:tc>
                <w:tcPr>
                  <w:tcW w:w="454" w:type="pct"/>
                  <w:gridSpan w:val="3"/>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tcPr>
                <w:p w:rsidR="00745FEA" w:rsidRPr="00D46B14" w:rsidRDefault="00745FEA" w:rsidP="00745FEA">
                  <w:pPr>
                    <w:pStyle w:val="TableBodyText"/>
                    <w:spacing w:after="0"/>
                    <w:ind w:left="227"/>
                    <w:jc w:val="left"/>
                  </w:pPr>
                  <w:r w:rsidRPr="00D46B14">
                    <w:t>Tasmanian Innovation and Investment Fund</w:t>
                  </w:r>
                </w:p>
              </w:tc>
              <w:tc>
                <w:tcPr>
                  <w:tcW w:w="468" w:type="pct"/>
                  <w:vAlign w:val="bottom"/>
                </w:tcPr>
                <w:p w:rsidR="00745FEA" w:rsidRPr="00043FDA" w:rsidRDefault="00745FEA" w:rsidP="00745FEA">
                  <w:pPr>
                    <w:pStyle w:val="TableBodyText"/>
                    <w:ind w:right="57"/>
                  </w:pPr>
                  <w:r w:rsidRPr="00043FDA">
                    <w:t>0.1</w:t>
                  </w:r>
                </w:p>
              </w:tc>
              <w:tc>
                <w:tcPr>
                  <w:tcW w:w="466" w:type="pct"/>
                  <w:vAlign w:val="bottom"/>
                </w:tcPr>
                <w:p w:rsidR="00745FEA" w:rsidRPr="00043FDA" w:rsidRDefault="00745FEA" w:rsidP="00745FEA">
                  <w:pPr>
                    <w:pStyle w:val="TableBodyText"/>
                    <w:ind w:right="57"/>
                  </w:pPr>
                  <w:r w:rsidRPr="00043FDA">
                    <w:t>–</w:t>
                  </w:r>
                </w:p>
              </w:tc>
              <w:tc>
                <w:tcPr>
                  <w:tcW w:w="471" w:type="pct"/>
                  <w:gridSpan w:val="2"/>
                  <w:vAlign w:val="bottom"/>
                </w:tcPr>
                <w:p w:rsidR="00745FEA" w:rsidRPr="00043FDA" w:rsidRDefault="00745FEA" w:rsidP="00745FEA">
                  <w:pPr>
                    <w:pStyle w:val="TableBodyText"/>
                    <w:ind w:right="57"/>
                  </w:pPr>
                  <w:r w:rsidRPr="00043FDA">
                    <w:t>&lt;0.1</w:t>
                  </w:r>
                </w:p>
              </w:tc>
              <w:tc>
                <w:tcPr>
                  <w:tcW w:w="471" w:type="pct"/>
                  <w:gridSpan w:val="3"/>
                  <w:vAlign w:val="bottom"/>
                </w:tcPr>
                <w:p w:rsidR="00745FEA" w:rsidRPr="00043FDA" w:rsidRDefault="00745FEA" w:rsidP="00745FEA">
                  <w:pPr>
                    <w:pStyle w:val="TableBodyText"/>
                    <w:ind w:right="57"/>
                  </w:pPr>
                  <w:r w:rsidRPr="00043FDA">
                    <w:t>–</w:t>
                  </w:r>
                </w:p>
              </w:tc>
              <w:tc>
                <w:tcPr>
                  <w:tcW w:w="480" w:type="pct"/>
                  <w:gridSpan w:val="4"/>
                  <w:vAlign w:val="bottom"/>
                </w:tcPr>
                <w:p w:rsidR="00745FEA" w:rsidRPr="00043FDA" w:rsidRDefault="00745FEA" w:rsidP="00745FEA">
                  <w:pPr>
                    <w:pStyle w:val="TableBodyText"/>
                    <w:ind w:right="57"/>
                  </w:pPr>
                  <w:r w:rsidRPr="00043FDA">
                    <w:t>–</w:t>
                  </w:r>
                </w:p>
              </w:tc>
              <w:tc>
                <w:tcPr>
                  <w:tcW w:w="444" w:type="pct"/>
                  <w:vAlign w:val="bottom"/>
                </w:tcPr>
                <w:p w:rsidR="00745FEA" w:rsidRPr="00043FDA" w:rsidRDefault="00745FEA" w:rsidP="00745FEA">
                  <w:pPr>
                    <w:pStyle w:val="TableBodyText"/>
                    <w:ind w:right="57"/>
                  </w:pPr>
                  <w:r w:rsidRPr="00043FDA">
                    <w:t>–</w:t>
                  </w:r>
                </w:p>
              </w:tc>
            </w:tr>
            <w:tr w:rsidR="00745FEA" w:rsidTr="00745FEA">
              <w:tc>
                <w:tcPr>
                  <w:tcW w:w="2199" w:type="pct"/>
                </w:tcPr>
                <w:p w:rsidR="00745FEA" w:rsidRPr="00D46B14" w:rsidRDefault="00745FEA" w:rsidP="00745FEA">
                  <w:pPr>
                    <w:pStyle w:val="TableBodyText"/>
                    <w:spacing w:after="0"/>
                    <w:ind w:left="227"/>
                    <w:jc w:val="left"/>
                  </w:pPr>
                  <w:r w:rsidRPr="00FC7C4F">
                    <w:t>Tasmanian Jobs and Investment Fund</w:t>
                  </w:r>
                </w:p>
              </w:tc>
              <w:tc>
                <w:tcPr>
                  <w:tcW w:w="468" w:type="pct"/>
                  <w:vAlign w:val="bottom"/>
                </w:tcPr>
                <w:p w:rsidR="00745FEA" w:rsidRPr="00043FDA" w:rsidRDefault="00745FEA" w:rsidP="00745FEA">
                  <w:pPr>
                    <w:pStyle w:val="TableBodyText"/>
                    <w:ind w:right="57"/>
                  </w:pPr>
                  <w:r w:rsidRPr="00043FDA">
                    <w:t>–</w:t>
                  </w:r>
                </w:p>
              </w:tc>
              <w:tc>
                <w:tcPr>
                  <w:tcW w:w="466" w:type="pct"/>
                  <w:vAlign w:val="bottom"/>
                </w:tcPr>
                <w:p w:rsidR="00745FEA" w:rsidRPr="00043FDA" w:rsidRDefault="00745FEA" w:rsidP="00745FEA">
                  <w:pPr>
                    <w:pStyle w:val="TableBodyText"/>
                    <w:ind w:right="57"/>
                  </w:pPr>
                  <w:r w:rsidRPr="00043FDA">
                    <w:t>–</w:t>
                  </w:r>
                </w:p>
              </w:tc>
              <w:tc>
                <w:tcPr>
                  <w:tcW w:w="471" w:type="pct"/>
                  <w:gridSpan w:val="2"/>
                  <w:vAlign w:val="bottom"/>
                </w:tcPr>
                <w:p w:rsidR="00745FEA" w:rsidRPr="00043FDA" w:rsidRDefault="00745FEA" w:rsidP="00745FEA">
                  <w:pPr>
                    <w:pStyle w:val="TableBodyText"/>
                    <w:ind w:right="57"/>
                  </w:pPr>
                  <w:r w:rsidRPr="00043FDA">
                    <w:t>–</w:t>
                  </w:r>
                </w:p>
              </w:tc>
              <w:tc>
                <w:tcPr>
                  <w:tcW w:w="471" w:type="pct"/>
                  <w:gridSpan w:val="3"/>
                  <w:vAlign w:val="bottom"/>
                </w:tcPr>
                <w:p w:rsidR="00745FEA" w:rsidRPr="00043FDA" w:rsidRDefault="00745FEA" w:rsidP="00745FEA">
                  <w:pPr>
                    <w:pStyle w:val="TableBodyText"/>
                    <w:ind w:right="57"/>
                  </w:pPr>
                  <w:r w:rsidRPr="00043FDA">
                    <w:t>–</w:t>
                  </w:r>
                </w:p>
              </w:tc>
              <w:tc>
                <w:tcPr>
                  <w:tcW w:w="480" w:type="pct"/>
                  <w:gridSpan w:val="4"/>
                  <w:vAlign w:val="bottom"/>
                </w:tcPr>
                <w:p w:rsidR="00745FEA" w:rsidRPr="00043FDA" w:rsidRDefault="00745FEA" w:rsidP="00745FEA">
                  <w:pPr>
                    <w:pStyle w:val="TableBodyText"/>
                    <w:ind w:right="57"/>
                  </w:pPr>
                  <w:r w:rsidRPr="00043FDA">
                    <w:t>–</w:t>
                  </w:r>
                </w:p>
              </w:tc>
              <w:tc>
                <w:tcPr>
                  <w:tcW w:w="444" w:type="pct"/>
                  <w:vAlign w:val="bottom"/>
                </w:tcPr>
                <w:p w:rsidR="00745FEA" w:rsidRPr="00043FDA" w:rsidRDefault="00745FEA" w:rsidP="00745FEA">
                  <w:pPr>
                    <w:pStyle w:val="TableBodyText"/>
                    <w:ind w:right="57"/>
                  </w:pPr>
                  <w:r w:rsidRPr="00043FDA">
                    <w:t>0.5</w:t>
                  </w:r>
                </w:p>
              </w:tc>
            </w:tr>
            <w:tr w:rsidR="00745FEA" w:rsidTr="00745FEA">
              <w:tc>
                <w:tcPr>
                  <w:tcW w:w="2199" w:type="pct"/>
                </w:tcPr>
                <w:p w:rsidR="00745FEA" w:rsidRPr="00D46B14" w:rsidRDefault="00745FEA" w:rsidP="00745FEA">
                  <w:pPr>
                    <w:pStyle w:val="TableBodyText"/>
                    <w:spacing w:after="0"/>
                    <w:ind w:left="227"/>
                    <w:jc w:val="left"/>
                  </w:pPr>
                  <w:r w:rsidRPr="00D46B14">
                    <w:t xml:space="preserve">Small business </w:t>
                  </w:r>
                  <w:r>
                    <w:t>capital gains tax</w:t>
                  </w:r>
                  <w:r w:rsidRPr="00D46B14">
                    <w:t xml:space="preserve"> rollover deferral</w:t>
                  </w:r>
                </w:p>
              </w:tc>
              <w:tc>
                <w:tcPr>
                  <w:tcW w:w="468" w:type="pct"/>
                  <w:vAlign w:val="bottom"/>
                </w:tcPr>
                <w:p w:rsidR="00745FEA" w:rsidRPr="00043FDA" w:rsidRDefault="00745FEA" w:rsidP="00745FEA">
                  <w:pPr>
                    <w:pStyle w:val="TableBodyText"/>
                    <w:ind w:right="57"/>
                  </w:pPr>
                  <w:r w:rsidRPr="00043FDA">
                    <w:t>16.5</w:t>
                  </w:r>
                </w:p>
              </w:tc>
              <w:tc>
                <w:tcPr>
                  <w:tcW w:w="466" w:type="pct"/>
                  <w:vAlign w:val="bottom"/>
                </w:tcPr>
                <w:p w:rsidR="00745FEA" w:rsidRPr="00043FDA" w:rsidRDefault="00745FEA" w:rsidP="00745FEA">
                  <w:pPr>
                    <w:pStyle w:val="TableBodyText"/>
                    <w:ind w:right="57"/>
                  </w:pPr>
                  <w:r w:rsidRPr="00043FDA">
                    <w:t>19.5</w:t>
                  </w:r>
                </w:p>
              </w:tc>
              <w:tc>
                <w:tcPr>
                  <w:tcW w:w="471" w:type="pct"/>
                  <w:gridSpan w:val="2"/>
                  <w:vAlign w:val="bottom"/>
                </w:tcPr>
                <w:p w:rsidR="00745FEA" w:rsidRPr="00043FDA" w:rsidRDefault="00745FEA" w:rsidP="00745FEA">
                  <w:pPr>
                    <w:pStyle w:val="TableBodyText"/>
                    <w:ind w:right="57"/>
                  </w:pPr>
                  <w:r w:rsidRPr="00043FDA">
                    <w:t>20.4</w:t>
                  </w:r>
                </w:p>
              </w:tc>
              <w:tc>
                <w:tcPr>
                  <w:tcW w:w="471" w:type="pct"/>
                  <w:gridSpan w:val="3"/>
                  <w:vAlign w:val="bottom"/>
                </w:tcPr>
                <w:p w:rsidR="00745FEA" w:rsidRPr="00043FDA" w:rsidRDefault="00745FEA" w:rsidP="00745FEA">
                  <w:pPr>
                    <w:pStyle w:val="TableBodyText"/>
                    <w:ind w:right="57"/>
                  </w:pPr>
                  <w:r w:rsidRPr="00043FDA">
                    <w:t>39.9</w:t>
                  </w:r>
                </w:p>
              </w:tc>
              <w:tc>
                <w:tcPr>
                  <w:tcW w:w="480" w:type="pct"/>
                  <w:gridSpan w:val="4"/>
                  <w:vAlign w:val="bottom"/>
                </w:tcPr>
                <w:p w:rsidR="00745FEA" w:rsidRPr="00043FDA" w:rsidRDefault="00745FEA" w:rsidP="00745FEA">
                  <w:pPr>
                    <w:pStyle w:val="TableBodyText"/>
                    <w:ind w:right="57"/>
                  </w:pPr>
                  <w:r w:rsidRPr="00043FDA">
                    <w:t>35.4</w:t>
                  </w:r>
                </w:p>
              </w:tc>
              <w:tc>
                <w:tcPr>
                  <w:tcW w:w="444" w:type="pct"/>
                  <w:vAlign w:val="bottom"/>
                </w:tcPr>
                <w:p w:rsidR="00745FEA" w:rsidRPr="00043FDA" w:rsidRDefault="00745FEA" w:rsidP="00745FEA">
                  <w:pPr>
                    <w:pStyle w:val="TableBodyText"/>
                    <w:ind w:right="57"/>
                  </w:pPr>
                  <w:r w:rsidRPr="00043FDA">
                    <w:t>34.7</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The Small Business and General Business Tax Break</w:t>
                  </w:r>
                </w:p>
              </w:tc>
              <w:tc>
                <w:tcPr>
                  <w:tcW w:w="468" w:type="pct"/>
                  <w:vAlign w:val="bottom"/>
                </w:tcPr>
                <w:p w:rsidR="00745FEA" w:rsidRPr="00043FDA" w:rsidRDefault="00745FEA" w:rsidP="00745FEA">
                  <w:pPr>
                    <w:pStyle w:val="TableBodyText"/>
                    <w:ind w:right="57"/>
                  </w:pPr>
                  <w:r w:rsidRPr="00043FDA">
                    <w:t>78.1</w:t>
                  </w:r>
                </w:p>
              </w:tc>
              <w:tc>
                <w:tcPr>
                  <w:tcW w:w="466" w:type="pct"/>
                  <w:vAlign w:val="bottom"/>
                </w:tcPr>
                <w:p w:rsidR="00745FEA" w:rsidRPr="00043FDA" w:rsidRDefault="00745FEA" w:rsidP="00745FEA">
                  <w:pPr>
                    <w:pStyle w:val="TableBodyText"/>
                    <w:ind w:right="57"/>
                  </w:pPr>
                  <w:r w:rsidRPr="00043FDA">
                    <w:t>27.1</w:t>
                  </w:r>
                </w:p>
              </w:tc>
              <w:tc>
                <w:tcPr>
                  <w:tcW w:w="471" w:type="pct"/>
                  <w:gridSpan w:val="2"/>
                  <w:vAlign w:val="bottom"/>
                </w:tcPr>
                <w:p w:rsidR="00745FEA" w:rsidRPr="00043FDA" w:rsidRDefault="00745FEA" w:rsidP="00745FEA">
                  <w:pPr>
                    <w:pStyle w:val="TableBodyText"/>
                    <w:ind w:right="57"/>
                  </w:pPr>
                  <w:r w:rsidRPr="00043FDA">
                    <w:t>3.3</w:t>
                  </w:r>
                </w:p>
              </w:tc>
              <w:tc>
                <w:tcPr>
                  <w:tcW w:w="471" w:type="pct"/>
                  <w:gridSpan w:val="3"/>
                  <w:vAlign w:val="bottom"/>
                </w:tcPr>
                <w:p w:rsidR="00745FEA" w:rsidRPr="00043FDA" w:rsidRDefault="00745FEA" w:rsidP="00745FEA">
                  <w:pPr>
                    <w:pStyle w:val="TableBodyText"/>
                    <w:ind w:right="57"/>
                  </w:pPr>
                  <w:r w:rsidRPr="00043FDA">
                    <w:t>–</w:t>
                  </w:r>
                </w:p>
              </w:tc>
              <w:tc>
                <w:tcPr>
                  <w:tcW w:w="480" w:type="pct"/>
                  <w:gridSpan w:val="4"/>
                  <w:shd w:val="clear" w:color="auto" w:fill="auto"/>
                  <w:vAlign w:val="bottom"/>
                </w:tcPr>
                <w:p w:rsidR="00745FEA" w:rsidRPr="00043FDA" w:rsidRDefault="00745FEA" w:rsidP="00745FEA">
                  <w:pPr>
                    <w:pStyle w:val="TableBodyText"/>
                    <w:ind w:right="57"/>
                  </w:pPr>
                  <w:r w:rsidRPr="00043FDA">
                    <w:t>–</w:t>
                  </w:r>
                </w:p>
              </w:tc>
              <w:tc>
                <w:tcPr>
                  <w:tcW w:w="444"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Small Business - Simplified depreciation rules</w:t>
                  </w:r>
                </w:p>
              </w:tc>
              <w:tc>
                <w:tcPr>
                  <w:tcW w:w="468" w:type="pct"/>
                  <w:vAlign w:val="bottom"/>
                </w:tcPr>
                <w:p w:rsidR="00745FEA" w:rsidRPr="00043FDA" w:rsidRDefault="00745FEA" w:rsidP="00745FEA">
                  <w:pPr>
                    <w:pStyle w:val="TableBodyText"/>
                    <w:ind w:right="57"/>
                  </w:pPr>
                  <w:r w:rsidRPr="00043FDA">
                    <w:t>2.7</w:t>
                  </w:r>
                </w:p>
              </w:tc>
              <w:tc>
                <w:tcPr>
                  <w:tcW w:w="466" w:type="pct"/>
                  <w:vAlign w:val="bottom"/>
                </w:tcPr>
                <w:p w:rsidR="00745FEA" w:rsidRPr="00043FDA" w:rsidRDefault="00745FEA" w:rsidP="00745FEA">
                  <w:pPr>
                    <w:pStyle w:val="TableBodyText"/>
                    <w:ind w:right="57"/>
                  </w:pPr>
                  <w:r w:rsidRPr="00043FDA">
                    <w:t>-14.8</w:t>
                  </w:r>
                </w:p>
              </w:tc>
              <w:tc>
                <w:tcPr>
                  <w:tcW w:w="471" w:type="pct"/>
                  <w:gridSpan w:val="2"/>
                  <w:vAlign w:val="bottom"/>
                </w:tcPr>
                <w:p w:rsidR="00745FEA" w:rsidRPr="00043FDA" w:rsidRDefault="00745FEA" w:rsidP="00745FEA">
                  <w:pPr>
                    <w:pStyle w:val="TableBodyText"/>
                    <w:ind w:right="57"/>
                  </w:pPr>
                  <w:r w:rsidRPr="00043FDA">
                    <w:t>54.3</w:t>
                  </w:r>
                </w:p>
              </w:tc>
              <w:tc>
                <w:tcPr>
                  <w:tcW w:w="471" w:type="pct"/>
                  <w:gridSpan w:val="3"/>
                  <w:vAlign w:val="bottom"/>
                </w:tcPr>
                <w:p w:rsidR="00745FEA" w:rsidRPr="00043FDA" w:rsidRDefault="00745FEA" w:rsidP="00745FEA">
                  <w:pPr>
                    <w:pStyle w:val="TableBodyText"/>
                    <w:ind w:right="57"/>
                  </w:pPr>
                  <w:r w:rsidRPr="00043FDA">
                    <w:t>-27.4</w:t>
                  </w:r>
                </w:p>
              </w:tc>
              <w:tc>
                <w:tcPr>
                  <w:tcW w:w="480" w:type="pct"/>
                  <w:gridSpan w:val="4"/>
                  <w:shd w:val="clear" w:color="auto" w:fill="auto"/>
                  <w:vAlign w:val="bottom"/>
                </w:tcPr>
                <w:p w:rsidR="00745FEA" w:rsidRPr="00043FDA" w:rsidRDefault="00745FEA" w:rsidP="00745FEA">
                  <w:pPr>
                    <w:pStyle w:val="TableBodyText"/>
                    <w:ind w:right="57"/>
                  </w:pPr>
                  <w:r w:rsidRPr="00043FDA">
                    <w:t>-55.0</w:t>
                  </w:r>
                </w:p>
              </w:tc>
              <w:tc>
                <w:tcPr>
                  <w:tcW w:w="444" w:type="pct"/>
                  <w:shd w:val="clear" w:color="auto" w:fill="auto"/>
                  <w:vAlign w:val="bottom"/>
                </w:tcPr>
                <w:p w:rsidR="00745FEA" w:rsidRPr="00043FDA" w:rsidRDefault="00745FEA" w:rsidP="00745FEA">
                  <w:pPr>
                    <w:pStyle w:val="TableBodyText"/>
                    <w:ind w:right="57"/>
                  </w:pPr>
                  <w:r w:rsidRPr="00043FDA">
                    <w:t>298.5</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 xml:space="preserve">Small business </w:t>
                  </w:r>
                  <w:r>
                    <w:t>capital gains tax</w:t>
                  </w:r>
                  <w:r w:rsidRPr="00D46B14">
                    <w:t xml:space="preserve"> 15-year asset exemption</w:t>
                  </w:r>
                </w:p>
              </w:tc>
              <w:tc>
                <w:tcPr>
                  <w:tcW w:w="468" w:type="pct"/>
                  <w:vAlign w:val="bottom"/>
                </w:tcPr>
                <w:p w:rsidR="00745FEA" w:rsidRPr="00043FDA" w:rsidRDefault="00745FEA" w:rsidP="00745FEA">
                  <w:pPr>
                    <w:pStyle w:val="TableBodyText"/>
                    <w:ind w:right="57"/>
                  </w:pPr>
                  <w:r w:rsidRPr="00043FDA">
                    <w:t>12.6</w:t>
                  </w:r>
                </w:p>
              </w:tc>
              <w:tc>
                <w:tcPr>
                  <w:tcW w:w="466" w:type="pct"/>
                  <w:vAlign w:val="bottom"/>
                </w:tcPr>
                <w:p w:rsidR="00745FEA" w:rsidRPr="00043FDA" w:rsidRDefault="00745FEA" w:rsidP="00745FEA">
                  <w:pPr>
                    <w:pStyle w:val="TableBodyText"/>
                    <w:ind w:right="57"/>
                  </w:pPr>
                  <w:r w:rsidRPr="00043FDA">
                    <w:t>13.1</w:t>
                  </w:r>
                </w:p>
              </w:tc>
              <w:tc>
                <w:tcPr>
                  <w:tcW w:w="471" w:type="pct"/>
                  <w:gridSpan w:val="2"/>
                  <w:vAlign w:val="bottom"/>
                </w:tcPr>
                <w:p w:rsidR="00745FEA" w:rsidRPr="00043FDA" w:rsidRDefault="00745FEA" w:rsidP="00745FEA">
                  <w:pPr>
                    <w:pStyle w:val="TableBodyText"/>
                    <w:ind w:right="57"/>
                  </w:pPr>
                  <w:r w:rsidRPr="00043FDA">
                    <w:t>15.0</w:t>
                  </w:r>
                </w:p>
              </w:tc>
              <w:tc>
                <w:tcPr>
                  <w:tcW w:w="471" w:type="pct"/>
                  <w:gridSpan w:val="3"/>
                  <w:vAlign w:val="bottom"/>
                </w:tcPr>
                <w:p w:rsidR="00745FEA" w:rsidRPr="00043FDA" w:rsidRDefault="00745FEA" w:rsidP="00745FEA">
                  <w:pPr>
                    <w:pStyle w:val="TableBodyText"/>
                    <w:ind w:right="57"/>
                  </w:pPr>
                  <w:r w:rsidRPr="00043FDA">
                    <w:t>38.1</w:t>
                  </w:r>
                </w:p>
              </w:tc>
              <w:tc>
                <w:tcPr>
                  <w:tcW w:w="480" w:type="pct"/>
                  <w:gridSpan w:val="4"/>
                  <w:shd w:val="clear" w:color="auto" w:fill="auto"/>
                  <w:vAlign w:val="bottom"/>
                </w:tcPr>
                <w:p w:rsidR="00745FEA" w:rsidRPr="00043FDA" w:rsidRDefault="00745FEA" w:rsidP="00745FEA">
                  <w:pPr>
                    <w:pStyle w:val="TableBodyText"/>
                    <w:ind w:right="57"/>
                  </w:pPr>
                  <w:r w:rsidRPr="00043FDA">
                    <w:t>30.3</w:t>
                  </w:r>
                </w:p>
              </w:tc>
              <w:tc>
                <w:tcPr>
                  <w:tcW w:w="444" w:type="pct"/>
                  <w:shd w:val="clear" w:color="auto" w:fill="auto"/>
                  <w:vAlign w:val="bottom"/>
                </w:tcPr>
                <w:p w:rsidR="00745FEA" w:rsidRPr="00043FDA" w:rsidRDefault="00745FEA" w:rsidP="00745FEA">
                  <w:pPr>
                    <w:pStyle w:val="TableBodyText"/>
                    <w:ind w:right="57"/>
                  </w:pPr>
                  <w:r w:rsidRPr="00043FDA">
                    <w:t>25.1</w:t>
                  </w:r>
                </w:p>
              </w:tc>
            </w:tr>
            <w:tr w:rsidR="00745FEA" w:rsidTr="00745FEA">
              <w:tc>
                <w:tcPr>
                  <w:tcW w:w="2199" w:type="pct"/>
                  <w:shd w:val="clear" w:color="auto" w:fill="auto"/>
                </w:tcPr>
                <w:p w:rsidR="00745FEA" w:rsidRPr="00D46B14" w:rsidRDefault="00745FEA" w:rsidP="00745FEA">
                  <w:pPr>
                    <w:pStyle w:val="TableBodyText"/>
                    <w:spacing w:after="0"/>
                    <w:ind w:left="227"/>
                    <w:jc w:val="left"/>
                  </w:pPr>
                  <w:r w:rsidRPr="00D46B14">
                    <w:t xml:space="preserve">Small business </w:t>
                  </w:r>
                  <w:r>
                    <w:t>capital gains tax</w:t>
                  </w:r>
                  <w:r w:rsidRPr="00D46B14">
                    <w:t xml:space="preserve"> retirement exemption</w:t>
                  </w:r>
                </w:p>
              </w:tc>
              <w:tc>
                <w:tcPr>
                  <w:tcW w:w="468" w:type="pct"/>
                  <w:vAlign w:val="bottom"/>
                </w:tcPr>
                <w:p w:rsidR="00745FEA" w:rsidRPr="00043FDA" w:rsidRDefault="00745FEA" w:rsidP="00745FEA">
                  <w:pPr>
                    <w:pStyle w:val="TableBodyText"/>
                    <w:ind w:right="57"/>
                  </w:pPr>
                  <w:r w:rsidRPr="00043FDA">
                    <w:t>38.0</w:t>
                  </w:r>
                </w:p>
              </w:tc>
              <w:tc>
                <w:tcPr>
                  <w:tcW w:w="466" w:type="pct"/>
                  <w:vAlign w:val="bottom"/>
                </w:tcPr>
                <w:p w:rsidR="00745FEA" w:rsidRPr="00043FDA" w:rsidRDefault="00745FEA" w:rsidP="00745FEA">
                  <w:pPr>
                    <w:pStyle w:val="TableBodyText"/>
                    <w:ind w:right="57"/>
                  </w:pPr>
                  <w:r w:rsidRPr="00043FDA">
                    <w:t>39.0</w:t>
                  </w:r>
                </w:p>
              </w:tc>
              <w:tc>
                <w:tcPr>
                  <w:tcW w:w="471" w:type="pct"/>
                  <w:gridSpan w:val="2"/>
                  <w:vAlign w:val="bottom"/>
                </w:tcPr>
                <w:p w:rsidR="00745FEA" w:rsidRPr="00043FDA" w:rsidRDefault="00745FEA" w:rsidP="00745FEA">
                  <w:pPr>
                    <w:pStyle w:val="TableBodyText"/>
                    <w:ind w:right="57"/>
                  </w:pPr>
                  <w:r w:rsidRPr="00043FDA">
                    <w:t>40.0</w:t>
                  </w:r>
                </w:p>
              </w:tc>
              <w:tc>
                <w:tcPr>
                  <w:tcW w:w="471" w:type="pct"/>
                  <w:gridSpan w:val="3"/>
                  <w:vAlign w:val="bottom"/>
                </w:tcPr>
                <w:p w:rsidR="00745FEA" w:rsidRPr="00043FDA" w:rsidRDefault="00745FEA" w:rsidP="00745FEA">
                  <w:pPr>
                    <w:pStyle w:val="TableBodyText"/>
                    <w:ind w:right="57"/>
                  </w:pPr>
                  <w:r w:rsidRPr="00043FDA">
                    <w:t>82.5</w:t>
                  </w:r>
                </w:p>
              </w:tc>
              <w:tc>
                <w:tcPr>
                  <w:tcW w:w="480" w:type="pct"/>
                  <w:gridSpan w:val="4"/>
                  <w:shd w:val="clear" w:color="auto" w:fill="auto"/>
                  <w:vAlign w:val="bottom"/>
                </w:tcPr>
                <w:p w:rsidR="00745FEA" w:rsidRPr="00043FDA" w:rsidRDefault="00745FEA" w:rsidP="00745FEA">
                  <w:pPr>
                    <w:pStyle w:val="TableBodyText"/>
                    <w:ind w:right="57"/>
                  </w:pPr>
                  <w:r w:rsidRPr="00043FDA">
                    <w:t>79.8</w:t>
                  </w:r>
                </w:p>
              </w:tc>
              <w:tc>
                <w:tcPr>
                  <w:tcW w:w="444" w:type="pct"/>
                  <w:shd w:val="clear" w:color="auto" w:fill="auto"/>
                  <w:vAlign w:val="bottom"/>
                </w:tcPr>
                <w:p w:rsidR="00745FEA" w:rsidRPr="00043FDA" w:rsidRDefault="00745FEA" w:rsidP="00745FEA">
                  <w:pPr>
                    <w:pStyle w:val="TableBodyText"/>
                    <w:ind w:right="57"/>
                  </w:pPr>
                  <w:r w:rsidRPr="00043FDA">
                    <w:t>58.8</w:t>
                  </w:r>
                </w:p>
              </w:tc>
            </w:tr>
            <w:tr w:rsidR="00745FEA" w:rsidTr="00745FEA">
              <w:tc>
                <w:tcPr>
                  <w:tcW w:w="2199" w:type="pct"/>
                  <w:shd w:val="clear" w:color="auto" w:fill="auto"/>
                </w:tcPr>
                <w:p w:rsidR="00745FEA" w:rsidRPr="00D46B14" w:rsidRDefault="00745FEA" w:rsidP="00745FEA">
                  <w:pPr>
                    <w:pStyle w:val="TableBodyText"/>
                    <w:ind w:left="227" w:right="57"/>
                    <w:jc w:val="left"/>
                  </w:pPr>
                  <w:r w:rsidRPr="00D46B14">
                    <w:t xml:space="preserve">Small business </w:t>
                  </w:r>
                  <w:r>
                    <w:t>capital gains tax</w:t>
                  </w:r>
                  <w:r w:rsidRPr="00D46B14">
                    <w:t xml:space="preserve"> 50 per cent reduction</w:t>
                  </w:r>
                </w:p>
              </w:tc>
              <w:tc>
                <w:tcPr>
                  <w:tcW w:w="468" w:type="pct"/>
                  <w:vAlign w:val="bottom"/>
                </w:tcPr>
                <w:p w:rsidR="00745FEA" w:rsidRPr="00043FDA" w:rsidRDefault="00745FEA" w:rsidP="00745FEA">
                  <w:pPr>
                    <w:pStyle w:val="TableBodyText"/>
                    <w:ind w:right="57"/>
                  </w:pPr>
                  <w:r w:rsidRPr="00043FDA">
                    <w:t>64.1</w:t>
                  </w:r>
                </w:p>
              </w:tc>
              <w:tc>
                <w:tcPr>
                  <w:tcW w:w="466" w:type="pct"/>
                  <w:vAlign w:val="bottom"/>
                </w:tcPr>
                <w:p w:rsidR="00745FEA" w:rsidRPr="00043FDA" w:rsidRDefault="00745FEA" w:rsidP="00745FEA">
                  <w:pPr>
                    <w:pStyle w:val="TableBodyText"/>
                    <w:ind w:right="57"/>
                  </w:pPr>
                  <w:r w:rsidRPr="00043FDA">
                    <w:t>67.6</w:t>
                  </w:r>
                </w:p>
              </w:tc>
              <w:tc>
                <w:tcPr>
                  <w:tcW w:w="471" w:type="pct"/>
                  <w:gridSpan w:val="2"/>
                  <w:vAlign w:val="bottom"/>
                </w:tcPr>
                <w:p w:rsidR="00745FEA" w:rsidRPr="00043FDA" w:rsidRDefault="00745FEA" w:rsidP="00745FEA">
                  <w:pPr>
                    <w:pStyle w:val="TableBodyText"/>
                    <w:ind w:right="57"/>
                  </w:pPr>
                  <w:r w:rsidRPr="00043FDA">
                    <w:t>67.6</w:t>
                  </w:r>
                </w:p>
              </w:tc>
              <w:tc>
                <w:tcPr>
                  <w:tcW w:w="471" w:type="pct"/>
                  <w:gridSpan w:val="3"/>
                  <w:vAlign w:val="bottom"/>
                </w:tcPr>
                <w:p w:rsidR="00745FEA" w:rsidRPr="00043FDA" w:rsidRDefault="00745FEA" w:rsidP="00745FEA">
                  <w:pPr>
                    <w:pStyle w:val="TableBodyText"/>
                    <w:ind w:right="57"/>
                  </w:pPr>
                  <w:r w:rsidRPr="00043FDA">
                    <w:t>113.1</w:t>
                  </w:r>
                </w:p>
              </w:tc>
              <w:tc>
                <w:tcPr>
                  <w:tcW w:w="480" w:type="pct"/>
                  <w:gridSpan w:val="4"/>
                  <w:shd w:val="clear" w:color="auto" w:fill="auto"/>
                  <w:vAlign w:val="bottom"/>
                </w:tcPr>
                <w:p w:rsidR="00745FEA" w:rsidRPr="00043FDA" w:rsidRDefault="00745FEA" w:rsidP="00745FEA">
                  <w:pPr>
                    <w:pStyle w:val="TableBodyText"/>
                    <w:ind w:right="57"/>
                  </w:pPr>
                  <w:r w:rsidRPr="00043FDA">
                    <w:t>110.0</w:t>
                  </w:r>
                </w:p>
              </w:tc>
              <w:tc>
                <w:tcPr>
                  <w:tcW w:w="444" w:type="pct"/>
                  <w:shd w:val="clear" w:color="auto" w:fill="auto"/>
                  <w:vAlign w:val="bottom"/>
                </w:tcPr>
                <w:p w:rsidR="00745FEA" w:rsidRPr="00043FDA" w:rsidRDefault="00745FEA" w:rsidP="00745FEA">
                  <w:pPr>
                    <w:pStyle w:val="TableBodyText"/>
                    <w:ind w:right="57"/>
                  </w:pPr>
                  <w:r w:rsidRPr="00043FDA">
                    <w:t>89.3</w:t>
                  </w:r>
                </w:p>
              </w:tc>
            </w:tr>
            <w:tr w:rsidR="00745FEA" w:rsidTr="00745FEA">
              <w:tc>
                <w:tcPr>
                  <w:tcW w:w="2199" w:type="pct"/>
                  <w:shd w:val="clear" w:color="auto" w:fill="auto"/>
                </w:tcPr>
                <w:p w:rsidR="00745FEA" w:rsidRPr="00D46B14" w:rsidRDefault="00745FEA" w:rsidP="00745FEA">
                  <w:pPr>
                    <w:pStyle w:val="TableBodyText"/>
                    <w:ind w:left="227" w:right="57"/>
                    <w:jc w:val="left"/>
                  </w:pPr>
                  <w:r w:rsidRPr="00D46B14">
                    <w:t>25 per cent entrepreneurs' tax offset</w:t>
                  </w:r>
                </w:p>
              </w:tc>
              <w:tc>
                <w:tcPr>
                  <w:tcW w:w="468" w:type="pct"/>
                  <w:vAlign w:val="bottom"/>
                </w:tcPr>
                <w:p w:rsidR="00745FEA" w:rsidRPr="00043FDA" w:rsidRDefault="00745FEA" w:rsidP="00745FEA">
                  <w:pPr>
                    <w:pStyle w:val="TableBodyText"/>
                    <w:ind w:right="57"/>
                  </w:pPr>
                  <w:r w:rsidRPr="00043FDA">
                    <w:t>37.4</w:t>
                  </w:r>
                </w:p>
              </w:tc>
              <w:tc>
                <w:tcPr>
                  <w:tcW w:w="466" w:type="pct"/>
                  <w:vAlign w:val="bottom"/>
                </w:tcPr>
                <w:p w:rsidR="00745FEA" w:rsidRPr="00043FDA" w:rsidRDefault="00745FEA" w:rsidP="00745FEA">
                  <w:pPr>
                    <w:pStyle w:val="TableBodyText"/>
                    <w:ind w:right="57"/>
                  </w:pPr>
                  <w:r w:rsidRPr="00043FDA">
                    <w:t>44.4</w:t>
                  </w:r>
                </w:p>
              </w:tc>
              <w:tc>
                <w:tcPr>
                  <w:tcW w:w="471" w:type="pct"/>
                  <w:gridSpan w:val="2"/>
                  <w:vAlign w:val="bottom"/>
                </w:tcPr>
                <w:p w:rsidR="00745FEA" w:rsidRPr="00043FDA" w:rsidRDefault="00745FEA" w:rsidP="00745FEA">
                  <w:pPr>
                    <w:pStyle w:val="TableBodyText"/>
                    <w:ind w:right="57"/>
                  </w:pPr>
                  <w:r w:rsidRPr="00043FDA">
                    <w:t>–</w:t>
                  </w:r>
                </w:p>
              </w:tc>
              <w:tc>
                <w:tcPr>
                  <w:tcW w:w="471" w:type="pct"/>
                  <w:gridSpan w:val="3"/>
                  <w:vAlign w:val="bottom"/>
                </w:tcPr>
                <w:p w:rsidR="00745FEA" w:rsidRPr="00043FDA" w:rsidRDefault="00745FEA" w:rsidP="00745FEA">
                  <w:pPr>
                    <w:pStyle w:val="TableBodyText"/>
                    <w:ind w:right="57"/>
                  </w:pPr>
                  <w:r w:rsidRPr="00043FDA">
                    <w:t>–</w:t>
                  </w:r>
                </w:p>
              </w:tc>
              <w:tc>
                <w:tcPr>
                  <w:tcW w:w="480" w:type="pct"/>
                  <w:gridSpan w:val="4"/>
                  <w:shd w:val="clear" w:color="auto" w:fill="auto"/>
                  <w:vAlign w:val="bottom"/>
                </w:tcPr>
                <w:p w:rsidR="00745FEA" w:rsidRPr="00043FDA" w:rsidRDefault="00745FEA" w:rsidP="00745FEA">
                  <w:pPr>
                    <w:pStyle w:val="TableBodyText"/>
                    <w:ind w:right="57"/>
                  </w:pPr>
                  <w:r w:rsidRPr="00043FDA">
                    <w:t>–</w:t>
                  </w:r>
                </w:p>
              </w:tc>
              <w:tc>
                <w:tcPr>
                  <w:tcW w:w="444"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199" w:type="pct"/>
                  <w:shd w:val="clear" w:color="auto" w:fill="auto"/>
                </w:tcPr>
                <w:p w:rsidR="00745FEA" w:rsidRPr="00D156E2" w:rsidRDefault="00745FEA" w:rsidP="00745FEA">
                  <w:pPr>
                    <w:pStyle w:val="TableBodyText"/>
                    <w:spacing w:before="20" w:after="20"/>
                    <w:jc w:val="left"/>
                    <w:rPr>
                      <w:i/>
                    </w:rPr>
                  </w:pPr>
                  <w:r w:rsidRPr="00D156E2">
                    <w:rPr>
                      <w:i/>
                    </w:rPr>
                    <w:t xml:space="preserve">Total </w:t>
                  </w:r>
                </w:p>
              </w:tc>
              <w:tc>
                <w:tcPr>
                  <w:tcW w:w="468" w:type="pct"/>
                  <w:vAlign w:val="bottom"/>
                </w:tcPr>
                <w:p w:rsidR="00745FEA" w:rsidRPr="00AE2156" w:rsidRDefault="00745FEA" w:rsidP="00745FEA">
                  <w:pPr>
                    <w:pStyle w:val="TableBodyText"/>
                    <w:spacing w:before="20" w:after="20"/>
                    <w:ind w:right="57"/>
                    <w:rPr>
                      <w:i/>
                    </w:rPr>
                  </w:pPr>
                  <w:r>
                    <w:rPr>
                      <w:i/>
                    </w:rPr>
                    <w:t>859.1</w:t>
                  </w:r>
                </w:p>
              </w:tc>
              <w:tc>
                <w:tcPr>
                  <w:tcW w:w="466" w:type="pct"/>
                  <w:vAlign w:val="bottom"/>
                </w:tcPr>
                <w:p w:rsidR="00745FEA" w:rsidRPr="00AE2156" w:rsidRDefault="00745FEA" w:rsidP="00745FEA">
                  <w:pPr>
                    <w:pStyle w:val="TableBodyText"/>
                    <w:spacing w:before="20" w:after="20"/>
                    <w:ind w:right="57"/>
                    <w:rPr>
                      <w:i/>
                    </w:rPr>
                  </w:pPr>
                  <w:r>
                    <w:rPr>
                      <w:i/>
                    </w:rPr>
                    <w:t>1217.3</w:t>
                  </w:r>
                </w:p>
              </w:tc>
              <w:tc>
                <w:tcPr>
                  <w:tcW w:w="471" w:type="pct"/>
                  <w:gridSpan w:val="2"/>
                </w:tcPr>
                <w:p w:rsidR="00745FEA" w:rsidRPr="004003AD" w:rsidRDefault="00745FEA" w:rsidP="00745FEA">
                  <w:pPr>
                    <w:pStyle w:val="TableBodyText"/>
                    <w:spacing w:before="20" w:after="20"/>
                    <w:ind w:right="57"/>
                    <w:rPr>
                      <w:i/>
                    </w:rPr>
                  </w:pPr>
                  <w:r>
                    <w:rPr>
                      <w:i/>
                    </w:rPr>
                    <w:t>1098.6</w:t>
                  </w:r>
                </w:p>
              </w:tc>
              <w:tc>
                <w:tcPr>
                  <w:tcW w:w="471" w:type="pct"/>
                  <w:gridSpan w:val="3"/>
                </w:tcPr>
                <w:p w:rsidR="00745FEA" w:rsidRPr="004003AD" w:rsidRDefault="00745FEA" w:rsidP="00745FEA">
                  <w:pPr>
                    <w:pStyle w:val="TableBodyText"/>
                    <w:spacing w:before="20" w:after="20"/>
                    <w:ind w:right="57"/>
                    <w:rPr>
                      <w:i/>
                    </w:rPr>
                  </w:pPr>
                  <w:r>
                    <w:rPr>
                      <w:i/>
                    </w:rPr>
                    <w:t>1306.9</w:t>
                  </w:r>
                </w:p>
              </w:tc>
              <w:tc>
                <w:tcPr>
                  <w:tcW w:w="480" w:type="pct"/>
                  <w:gridSpan w:val="4"/>
                  <w:shd w:val="clear" w:color="auto" w:fill="auto"/>
                </w:tcPr>
                <w:p w:rsidR="00745FEA" w:rsidRPr="004003AD" w:rsidRDefault="00745FEA" w:rsidP="00745FEA">
                  <w:pPr>
                    <w:pStyle w:val="TableBodyText"/>
                    <w:spacing w:before="20" w:after="20"/>
                    <w:ind w:right="57"/>
                    <w:rPr>
                      <w:i/>
                    </w:rPr>
                  </w:pPr>
                  <w:r>
                    <w:rPr>
                      <w:i/>
                    </w:rPr>
                    <w:t>1309.2</w:t>
                  </w:r>
                </w:p>
              </w:tc>
              <w:tc>
                <w:tcPr>
                  <w:tcW w:w="444" w:type="pct"/>
                  <w:shd w:val="clear" w:color="auto" w:fill="auto"/>
                </w:tcPr>
                <w:p w:rsidR="00745FEA" w:rsidRPr="004003AD" w:rsidRDefault="00745FEA" w:rsidP="00745FEA">
                  <w:pPr>
                    <w:pStyle w:val="TableBodyText"/>
                    <w:spacing w:before="20" w:after="20"/>
                    <w:ind w:right="57"/>
                    <w:rPr>
                      <w:i/>
                    </w:rPr>
                  </w:pPr>
                  <w:r>
                    <w:rPr>
                      <w:i/>
                    </w:rPr>
                    <w:t>1847.9</w:t>
                  </w:r>
                </w:p>
              </w:tc>
            </w:tr>
            <w:tr w:rsidR="00745FEA" w:rsidTr="00745FEA">
              <w:tc>
                <w:tcPr>
                  <w:tcW w:w="2199" w:type="pct"/>
                  <w:shd w:val="clear" w:color="auto" w:fill="auto"/>
                </w:tcPr>
                <w:p w:rsidR="00745FEA" w:rsidRPr="00D156E2" w:rsidRDefault="00745FEA" w:rsidP="00745FEA">
                  <w:pPr>
                    <w:pStyle w:val="TableBodyText"/>
                    <w:spacing w:before="40"/>
                    <w:jc w:val="left"/>
                    <w:rPr>
                      <w:b/>
                    </w:rPr>
                  </w:pPr>
                  <w:r w:rsidRPr="00D156E2">
                    <w:rPr>
                      <w:b/>
                    </w:rPr>
                    <w:t>Public administration and safety</w:t>
                  </w:r>
                </w:p>
              </w:tc>
              <w:tc>
                <w:tcPr>
                  <w:tcW w:w="468" w:type="pct"/>
                  <w:vAlign w:val="bottom"/>
                </w:tcPr>
                <w:p w:rsidR="00745FEA" w:rsidRDefault="00745FEA" w:rsidP="00745FEA">
                  <w:pPr>
                    <w:pStyle w:val="TableBodyText"/>
                    <w:spacing w:before="40"/>
                    <w:ind w:right="57"/>
                  </w:pPr>
                </w:p>
              </w:tc>
              <w:tc>
                <w:tcPr>
                  <w:tcW w:w="466" w:type="pct"/>
                  <w:vAlign w:val="bottom"/>
                </w:tcPr>
                <w:p w:rsidR="00745FEA" w:rsidRDefault="00745FEA" w:rsidP="00745FEA">
                  <w:pPr>
                    <w:pStyle w:val="TableBodyText"/>
                    <w:spacing w:before="40"/>
                    <w:ind w:right="57"/>
                  </w:pPr>
                </w:p>
              </w:tc>
              <w:tc>
                <w:tcPr>
                  <w:tcW w:w="471" w:type="pct"/>
                  <w:gridSpan w:val="2"/>
                  <w:vAlign w:val="bottom"/>
                </w:tcPr>
                <w:p w:rsidR="00745FEA" w:rsidRDefault="00745FEA" w:rsidP="00745FEA">
                  <w:pPr>
                    <w:pStyle w:val="TableBodyText"/>
                    <w:spacing w:before="40"/>
                    <w:ind w:right="57"/>
                  </w:pPr>
                </w:p>
              </w:tc>
              <w:tc>
                <w:tcPr>
                  <w:tcW w:w="471" w:type="pct"/>
                  <w:gridSpan w:val="3"/>
                  <w:vAlign w:val="bottom"/>
                </w:tcPr>
                <w:p w:rsidR="00745FEA" w:rsidRDefault="00745FEA" w:rsidP="00745FEA">
                  <w:pPr>
                    <w:pStyle w:val="TableBodyText"/>
                    <w:spacing w:before="40"/>
                    <w:ind w:right="57"/>
                  </w:pPr>
                </w:p>
              </w:tc>
              <w:tc>
                <w:tcPr>
                  <w:tcW w:w="480" w:type="pct"/>
                  <w:gridSpan w:val="4"/>
                  <w:shd w:val="clear" w:color="auto" w:fill="auto"/>
                  <w:vAlign w:val="bottom"/>
                </w:tcPr>
                <w:p w:rsidR="00745FEA" w:rsidRDefault="00745FEA" w:rsidP="00745FEA">
                  <w:pPr>
                    <w:pStyle w:val="TableBodyText"/>
                    <w:spacing w:before="40"/>
                    <w:ind w:right="57"/>
                  </w:pPr>
                </w:p>
              </w:tc>
              <w:tc>
                <w:tcPr>
                  <w:tcW w:w="444" w:type="pct"/>
                  <w:shd w:val="clear" w:color="auto" w:fill="auto"/>
                  <w:vAlign w:val="bottom"/>
                </w:tcPr>
                <w:p w:rsidR="00745FEA" w:rsidRDefault="00745FEA" w:rsidP="00745FEA">
                  <w:pPr>
                    <w:pStyle w:val="TableBodyText"/>
                    <w:spacing w:before="40"/>
                    <w:ind w:right="57"/>
                  </w:pPr>
                </w:p>
              </w:tc>
            </w:tr>
            <w:tr w:rsidR="00745FEA" w:rsidTr="00745FEA">
              <w:tc>
                <w:tcPr>
                  <w:tcW w:w="2199" w:type="pct"/>
                  <w:shd w:val="clear" w:color="auto" w:fill="auto"/>
                </w:tcPr>
                <w:p w:rsidR="00745FEA" w:rsidRPr="00D156E2" w:rsidRDefault="00745FEA" w:rsidP="00745FEA">
                  <w:pPr>
                    <w:pStyle w:val="TableBodyText"/>
                    <w:spacing w:before="40" w:after="0"/>
                    <w:ind w:left="113"/>
                    <w:jc w:val="left"/>
                    <w:rPr>
                      <w:i/>
                    </w:rPr>
                  </w:pPr>
                  <w:r w:rsidRPr="00B92ED2">
                    <w:rPr>
                      <w:i/>
                    </w:rPr>
                    <w:t>Sector-specific measures</w:t>
                  </w:r>
                </w:p>
              </w:tc>
              <w:tc>
                <w:tcPr>
                  <w:tcW w:w="468" w:type="pct"/>
                  <w:vAlign w:val="bottom"/>
                </w:tcPr>
                <w:p w:rsidR="00745FEA" w:rsidRDefault="00745FEA" w:rsidP="00745FEA">
                  <w:pPr>
                    <w:pStyle w:val="TableBodyText"/>
                    <w:spacing w:before="40" w:after="0"/>
                    <w:ind w:left="113" w:right="57"/>
                  </w:pPr>
                </w:p>
              </w:tc>
              <w:tc>
                <w:tcPr>
                  <w:tcW w:w="466" w:type="pct"/>
                  <w:vAlign w:val="bottom"/>
                </w:tcPr>
                <w:p w:rsidR="00745FEA" w:rsidRDefault="00745FEA" w:rsidP="00745FEA">
                  <w:pPr>
                    <w:pStyle w:val="TableBodyText"/>
                    <w:spacing w:before="40" w:after="0"/>
                    <w:ind w:left="113" w:right="57"/>
                  </w:pPr>
                </w:p>
              </w:tc>
              <w:tc>
                <w:tcPr>
                  <w:tcW w:w="471" w:type="pct"/>
                  <w:gridSpan w:val="2"/>
                  <w:vAlign w:val="bottom"/>
                </w:tcPr>
                <w:p w:rsidR="00745FEA" w:rsidRDefault="00745FEA" w:rsidP="00745FEA">
                  <w:pPr>
                    <w:pStyle w:val="TableBodyText"/>
                    <w:spacing w:before="40" w:after="0"/>
                    <w:ind w:left="113" w:right="57"/>
                  </w:pPr>
                </w:p>
              </w:tc>
              <w:tc>
                <w:tcPr>
                  <w:tcW w:w="471" w:type="pct"/>
                  <w:gridSpan w:val="3"/>
                  <w:vAlign w:val="bottom"/>
                </w:tcPr>
                <w:p w:rsidR="00745FEA" w:rsidRDefault="00745FEA" w:rsidP="00745FEA">
                  <w:pPr>
                    <w:pStyle w:val="TableBodyText"/>
                    <w:spacing w:before="40" w:after="0"/>
                    <w:ind w:left="113" w:right="57"/>
                  </w:pPr>
                </w:p>
              </w:tc>
              <w:tc>
                <w:tcPr>
                  <w:tcW w:w="480" w:type="pct"/>
                  <w:gridSpan w:val="4"/>
                  <w:shd w:val="clear" w:color="auto" w:fill="auto"/>
                  <w:vAlign w:val="bottom"/>
                </w:tcPr>
                <w:p w:rsidR="00745FEA" w:rsidRDefault="00745FEA" w:rsidP="00745FEA">
                  <w:pPr>
                    <w:pStyle w:val="TableBodyText"/>
                    <w:spacing w:before="40" w:after="0"/>
                    <w:ind w:left="113" w:right="57"/>
                  </w:pPr>
                </w:p>
              </w:tc>
              <w:tc>
                <w:tcPr>
                  <w:tcW w:w="444" w:type="pct"/>
                  <w:shd w:val="clear" w:color="auto" w:fill="auto"/>
                  <w:vAlign w:val="bottom"/>
                </w:tcPr>
                <w:p w:rsidR="00745FEA" w:rsidRDefault="00745FEA" w:rsidP="00745FEA">
                  <w:pPr>
                    <w:pStyle w:val="TableBodyText"/>
                    <w:spacing w:before="40" w:after="0"/>
                    <w:ind w:left="113" w:right="57"/>
                  </w:pPr>
                </w:p>
              </w:tc>
            </w:tr>
            <w:tr w:rsidR="00745FEA" w:rsidTr="00745FEA">
              <w:tc>
                <w:tcPr>
                  <w:tcW w:w="2199" w:type="pct"/>
                  <w:tcBorders>
                    <w:bottom w:val="single" w:sz="6" w:space="0" w:color="BFBFBF"/>
                  </w:tcBorders>
                  <w:shd w:val="clear" w:color="auto" w:fill="auto"/>
                </w:tcPr>
                <w:p w:rsidR="00745FEA" w:rsidRPr="00C750BA" w:rsidRDefault="00745FEA" w:rsidP="00745FEA">
                  <w:pPr>
                    <w:pStyle w:val="TableBodyText"/>
                    <w:ind w:left="227" w:right="0"/>
                    <w:jc w:val="left"/>
                  </w:pPr>
                  <w:r>
                    <w:t>Next Generation Manufacturing Investment Programme</w:t>
                  </w:r>
                </w:p>
              </w:tc>
              <w:tc>
                <w:tcPr>
                  <w:tcW w:w="468" w:type="pct"/>
                  <w:tcBorders>
                    <w:bottom w:val="single" w:sz="6" w:space="0" w:color="BFBFBF"/>
                  </w:tcBorders>
                  <w:vAlign w:val="bottom"/>
                </w:tcPr>
                <w:p w:rsidR="00745FEA" w:rsidRPr="00043FDA" w:rsidRDefault="00745FEA" w:rsidP="00745FEA">
                  <w:pPr>
                    <w:pStyle w:val="TableBodyText"/>
                    <w:ind w:right="57"/>
                  </w:pPr>
                  <w:r w:rsidRPr="00043FDA">
                    <w:t>–</w:t>
                  </w:r>
                </w:p>
              </w:tc>
              <w:tc>
                <w:tcPr>
                  <w:tcW w:w="466" w:type="pct"/>
                  <w:tcBorders>
                    <w:bottom w:val="single" w:sz="6" w:space="0" w:color="BFBFBF"/>
                  </w:tcBorders>
                  <w:vAlign w:val="bottom"/>
                </w:tcPr>
                <w:p w:rsidR="00745FEA" w:rsidRPr="00043FDA" w:rsidRDefault="00745FEA" w:rsidP="00745FEA">
                  <w:pPr>
                    <w:pStyle w:val="TableBodyText"/>
                    <w:ind w:right="57"/>
                  </w:pPr>
                  <w:r w:rsidRPr="00043FDA">
                    <w:t>–</w:t>
                  </w:r>
                </w:p>
              </w:tc>
              <w:tc>
                <w:tcPr>
                  <w:tcW w:w="471" w:type="pct"/>
                  <w:gridSpan w:val="2"/>
                  <w:tcBorders>
                    <w:bottom w:val="single" w:sz="6" w:space="0" w:color="BFBFBF"/>
                  </w:tcBorders>
                  <w:vAlign w:val="bottom"/>
                </w:tcPr>
                <w:p w:rsidR="00745FEA" w:rsidRPr="00043FDA" w:rsidRDefault="00745FEA" w:rsidP="00745FEA">
                  <w:pPr>
                    <w:pStyle w:val="TableBodyText"/>
                    <w:ind w:right="57"/>
                  </w:pPr>
                  <w:r w:rsidRPr="00043FDA">
                    <w:t>–</w:t>
                  </w:r>
                </w:p>
              </w:tc>
              <w:tc>
                <w:tcPr>
                  <w:tcW w:w="471" w:type="pct"/>
                  <w:gridSpan w:val="3"/>
                  <w:tcBorders>
                    <w:bottom w:val="single" w:sz="6" w:space="0" w:color="BFBFBF"/>
                  </w:tcBorders>
                  <w:vAlign w:val="bottom"/>
                </w:tcPr>
                <w:p w:rsidR="00745FEA" w:rsidRPr="00043FDA" w:rsidRDefault="00745FEA" w:rsidP="00745FEA">
                  <w:pPr>
                    <w:pStyle w:val="TableBodyText"/>
                    <w:ind w:right="57"/>
                  </w:pPr>
                  <w:r w:rsidRPr="00043FDA">
                    <w:t>–</w:t>
                  </w:r>
                </w:p>
              </w:tc>
              <w:tc>
                <w:tcPr>
                  <w:tcW w:w="480" w:type="pct"/>
                  <w:gridSpan w:val="4"/>
                  <w:tcBorders>
                    <w:bottom w:val="single" w:sz="6" w:space="0" w:color="BFBFBF"/>
                  </w:tcBorders>
                  <w:shd w:val="clear" w:color="auto" w:fill="auto"/>
                  <w:vAlign w:val="bottom"/>
                </w:tcPr>
                <w:p w:rsidR="00745FEA" w:rsidRPr="00043FDA" w:rsidRDefault="00745FEA" w:rsidP="00745FEA">
                  <w:pPr>
                    <w:pStyle w:val="TableBodyText"/>
                    <w:ind w:right="57"/>
                  </w:pPr>
                  <w:r w:rsidRPr="00043FDA">
                    <w:t>0.5</w:t>
                  </w:r>
                </w:p>
              </w:tc>
              <w:tc>
                <w:tcPr>
                  <w:tcW w:w="444" w:type="pct"/>
                  <w:tcBorders>
                    <w:bottom w:val="single" w:sz="6" w:space="0" w:color="BFBFBF"/>
                  </w:tcBorders>
                  <w:shd w:val="clear" w:color="auto" w:fill="auto"/>
                  <w:vAlign w:val="bottom"/>
                </w:tcPr>
                <w:p w:rsidR="00745FEA" w:rsidRPr="00043FDA" w:rsidRDefault="00745FEA" w:rsidP="00745FEA">
                  <w:pPr>
                    <w:pStyle w:val="TableBodyText"/>
                    <w:ind w:right="57"/>
                  </w:pPr>
                  <w:r w:rsidRPr="00043FDA">
                    <w:t>1.5</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61" w:type="dxa"/>
              <w:tblCellMar>
                <w:top w:w="28" w:type="dxa"/>
                <w:left w:w="0" w:type="dxa"/>
                <w:right w:w="0" w:type="dxa"/>
              </w:tblCellMar>
              <w:tblLook w:val="0000" w:firstRow="0" w:lastRow="0" w:firstColumn="0" w:lastColumn="0" w:noHBand="0" w:noVBand="0"/>
            </w:tblPr>
            <w:tblGrid>
              <w:gridCol w:w="3797"/>
              <w:gridCol w:w="798"/>
              <w:gridCol w:w="794"/>
              <w:gridCol w:w="794"/>
              <w:gridCol w:w="7"/>
              <w:gridCol w:w="788"/>
              <w:gridCol w:w="14"/>
              <w:gridCol w:w="779"/>
              <w:gridCol w:w="38"/>
              <w:gridCol w:w="752"/>
            </w:tblGrid>
            <w:tr w:rsidR="00745FEA" w:rsidTr="00C719FB">
              <w:trPr>
                <w:tblHeader/>
              </w:trPr>
              <w:tc>
                <w:tcPr>
                  <w:tcW w:w="2218"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3"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1"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8" w:type="pct"/>
                  <w:shd w:val="clear" w:color="auto" w:fill="auto"/>
                </w:tcPr>
                <w:p w:rsidR="00745FEA" w:rsidRPr="00D156E2" w:rsidRDefault="00745FEA" w:rsidP="00745FEA">
                  <w:pPr>
                    <w:pStyle w:val="TableBodyText"/>
                    <w:spacing w:before="40" w:after="0"/>
                    <w:ind w:left="113"/>
                    <w:jc w:val="left"/>
                    <w:rPr>
                      <w:i/>
                    </w:rPr>
                  </w:pPr>
                  <w:r w:rsidRPr="00D156E2">
                    <w:rPr>
                      <w:i/>
                    </w:rPr>
                    <w:t>General export measures</w:t>
                  </w:r>
                </w:p>
              </w:tc>
              <w:tc>
                <w:tcPr>
                  <w:tcW w:w="466"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8" w:type="pct"/>
                  <w:gridSpan w:val="2"/>
                  <w:vAlign w:val="bottom"/>
                </w:tcPr>
                <w:p w:rsidR="00745FEA" w:rsidRDefault="00745FEA" w:rsidP="00745FEA">
                  <w:pPr>
                    <w:pStyle w:val="TableBodyText"/>
                    <w:spacing w:before="40" w:after="0"/>
                    <w:ind w:left="113" w:right="57"/>
                  </w:pPr>
                </w:p>
              </w:tc>
              <w:tc>
                <w:tcPr>
                  <w:tcW w:w="468" w:type="pct"/>
                  <w:gridSpan w:val="2"/>
                  <w:vAlign w:val="bottom"/>
                </w:tcPr>
                <w:p w:rsidR="00745FEA" w:rsidRDefault="00745FEA" w:rsidP="00745FEA">
                  <w:pPr>
                    <w:pStyle w:val="TableBodyText"/>
                    <w:spacing w:before="40" w:after="0"/>
                    <w:ind w:left="113" w:right="57"/>
                  </w:pPr>
                </w:p>
              </w:tc>
              <w:tc>
                <w:tcPr>
                  <w:tcW w:w="477" w:type="pct"/>
                  <w:gridSpan w:val="2"/>
                  <w:shd w:val="clear" w:color="auto" w:fill="auto"/>
                  <w:vAlign w:val="bottom"/>
                </w:tcPr>
                <w:p w:rsidR="00745FEA" w:rsidRDefault="00745FEA" w:rsidP="00745FEA">
                  <w:pPr>
                    <w:pStyle w:val="TableBodyText"/>
                    <w:spacing w:before="40" w:after="0"/>
                    <w:ind w:left="113" w:right="57"/>
                  </w:pPr>
                </w:p>
              </w:tc>
              <w:tc>
                <w:tcPr>
                  <w:tcW w:w="439" w:type="pct"/>
                  <w:shd w:val="clear" w:color="auto" w:fill="auto"/>
                  <w:vAlign w:val="bottom"/>
                </w:tcPr>
                <w:p w:rsidR="00745FEA" w:rsidRDefault="00745FEA" w:rsidP="00745FEA">
                  <w:pPr>
                    <w:pStyle w:val="TableBodyText"/>
                    <w:spacing w:before="40" w:after="0"/>
                    <w:ind w:left="113" w:right="57"/>
                  </w:pPr>
                </w:p>
              </w:tc>
            </w:tr>
            <w:tr w:rsidR="00745FEA" w:rsidTr="00745FEA">
              <w:tc>
                <w:tcPr>
                  <w:tcW w:w="2218" w:type="pct"/>
                  <w:shd w:val="clear" w:color="auto" w:fill="auto"/>
                </w:tcPr>
                <w:p w:rsidR="00745FEA" w:rsidRPr="00C750BA" w:rsidRDefault="00745FEA" w:rsidP="00745FEA">
                  <w:pPr>
                    <w:pStyle w:val="TableBodyText"/>
                    <w:spacing w:after="0"/>
                    <w:ind w:left="227" w:right="0"/>
                    <w:jc w:val="left"/>
                  </w:pPr>
                  <w:r w:rsidRPr="00C750BA">
                    <w:t>Export Market Development Grants Scheme</w:t>
                  </w:r>
                </w:p>
              </w:tc>
              <w:tc>
                <w:tcPr>
                  <w:tcW w:w="466" w:type="pct"/>
                  <w:vAlign w:val="bottom"/>
                </w:tcPr>
                <w:p w:rsidR="00745FEA" w:rsidRPr="00043FDA" w:rsidRDefault="00745FEA" w:rsidP="00745FEA">
                  <w:pPr>
                    <w:pStyle w:val="TableBodyText"/>
                    <w:ind w:right="57"/>
                  </w:pPr>
                  <w:r w:rsidRPr="00043FDA">
                    <w:t>0.1</w:t>
                  </w:r>
                </w:p>
              </w:tc>
              <w:tc>
                <w:tcPr>
                  <w:tcW w:w="464" w:type="pct"/>
                  <w:vAlign w:val="bottom"/>
                </w:tcPr>
                <w:p w:rsidR="00745FEA" w:rsidRPr="00043FDA" w:rsidRDefault="00745FEA" w:rsidP="00745FEA">
                  <w:pPr>
                    <w:pStyle w:val="TableBodyText"/>
                    <w:ind w:right="57"/>
                  </w:pPr>
                  <w:r w:rsidRPr="00043FDA">
                    <w:t>0.2</w:t>
                  </w:r>
                </w:p>
              </w:tc>
              <w:tc>
                <w:tcPr>
                  <w:tcW w:w="468" w:type="pct"/>
                  <w:gridSpan w:val="2"/>
                  <w:vAlign w:val="bottom"/>
                </w:tcPr>
                <w:p w:rsidR="00745FEA" w:rsidRPr="00043FDA" w:rsidRDefault="00745FEA" w:rsidP="00745FEA">
                  <w:pPr>
                    <w:pStyle w:val="TableBodyText"/>
                    <w:ind w:right="57"/>
                  </w:pPr>
                  <w:r w:rsidRPr="00043FDA">
                    <w:t>0.1</w:t>
                  </w:r>
                </w:p>
              </w:tc>
              <w:tc>
                <w:tcPr>
                  <w:tcW w:w="468" w:type="pct"/>
                  <w:gridSpan w:val="2"/>
                  <w:vAlign w:val="bottom"/>
                </w:tcPr>
                <w:p w:rsidR="00745FEA" w:rsidRPr="00043FDA" w:rsidRDefault="00745FEA" w:rsidP="00745FEA">
                  <w:pPr>
                    <w:pStyle w:val="TableBodyText"/>
                    <w:ind w:right="57"/>
                  </w:pPr>
                  <w:r w:rsidRPr="00043FDA">
                    <w:t>0.2</w:t>
                  </w:r>
                </w:p>
              </w:tc>
              <w:tc>
                <w:tcPr>
                  <w:tcW w:w="477" w:type="pct"/>
                  <w:gridSpan w:val="2"/>
                  <w:shd w:val="clear" w:color="auto" w:fill="auto"/>
                  <w:vAlign w:val="bottom"/>
                </w:tcPr>
                <w:p w:rsidR="00745FEA" w:rsidRPr="00043FDA" w:rsidRDefault="00745FEA" w:rsidP="00745FEA">
                  <w:pPr>
                    <w:pStyle w:val="TableBodyText"/>
                    <w:ind w:right="57"/>
                  </w:pPr>
                  <w:r w:rsidRPr="00043FDA">
                    <w:t>0.1</w:t>
                  </w:r>
                </w:p>
              </w:tc>
              <w:tc>
                <w:tcPr>
                  <w:tcW w:w="439" w:type="pct"/>
                  <w:shd w:val="clear" w:color="auto" w:fill="auto"/>
                  <w:vAlign w:val="bottom"/>
                </w:tcPr>
                <w:p w:rsidR="00745FEA" w:rsidRPr="00043FDA" w:rsidRDefault="00745FEA" w:rsidP="00745FEA">
                  <w:pPr>
                    <w:pStyle w:val="TableBodyText"/>
                    <w:ind w:right="57"/>
                  </w:pPr>
                  <w:r w:rsidRPr="00043FDA">
                    <w:t>0.2</w:t>
                  </w:r>
                </w:p>
              </w:tc>
            </w:tr>
            <w:tr w:rsidR="00745FEA" w:rsidTr="00745FEA">
              <w:tc>
                <w:tcPr>
                  <w:tcW w:w="2218" w:type="pct"/>
                  <w:shd w:val="clear" w:color="auto" w:fill="auto"/>
                </w:tcPr>
                <w:p w:rsidR="00745FEA" w:rsidRPr="00C750BA" w:rsidRDefault="00745FEA" w:rsidP="00745FEA">
                  <w:pPr>
                    <w:pStyle w:val="TableBodyText"/>
                    <w:spacing w:after="0"/>
                    <w:ind w:left="227" w:right="0"/>
                    <w:jc w:val="left"/>
                  </w:pPr>
                  <w:r w:rsidRPr="00C750BA">
                    <w:t>TRADEX</w:t>
                  </w:r>
                </w:p>
              </w:tc>
              <w:tc>
                <w:tcPr>
                  <w:tcW w:w="466" w:type="pct"/>
                  <w:vAlign w:val="bottom"/>
                </w:tcPr>
                <w:p w:rsidR="00745FEA" w:rsidRPr="00043FDA" w:rsidRDefault="00745FEA" w:rsidP="00745FEA">
                  <w:pPr>
                    <w:pStyle w:val="TableBodyText"/>
                    <w:ind w:right="57"/>
                  </w:pPr>
                  <w:r w:rsidRPr="00043FDA">
                    <w:t>0.1</w:t>
                  </w:r>
                </w:p>
              </w:tc>
              <w:tc>
                <w:tcPr>
                  <w:tcW w:w="464" w:type="pct"/>
                  <w:vAlign w:val="bottom"/>
                </w:tcPr>
                <w:p w:rsidR="00745FEA" w:rsidRPr="00043FDA" w:rsidRDefault="00745FEA" w:rsidP="00745FEA">
                  <w:pPr>
                    <w:pStyle w:val="TableBodyText"/>
                    <w:ind w:right="57"/>
                  </w:pPr>
                  <w:r w:rsidRPr="00043FDA">
                    <w:t>0.1</w:t>
                  </w:r>
                </w:p>
              </w:tc>
              <w:tc>
                <w:tcPr>
                  <w:tcW w:w="468" w:type="pct"/>
                  <w:gridSpan w:val="2"/>
                  <w:vAlign w:val="bottom"/>
                </w:tcPr>
                <w:p w:rsidR="00745FEA" w:rsidRPr="00043FDA" w:rsidRDefault="00745FEA" w:rsidP="00745FEA">
                  <w:pPr>
                    <w:pStyle w:val="TableBodyText"/>
                    <w:ind w:right="57"/>
                  </w:pPr>
                  <w:r w:rsidRPr="00043FDA">
                    <w:t>0.1</w:t>
                  </w:r>
                </w:p>
              </w:tc>
              <w:tc>
                <w:tcPr>
                  <w:tcW w:w="468" w:type="pct"/>
                  <w:gridSpan w:val="2"/>
                  <w:vAlign w:val="bottom"/>
                </w:tcPr>
                <w:p w:rsidR="00745FEA" w:rsidRPr="00043FDA" w:rsidRDefault="00745FEA" w:rsidP="00745FEA">
                  <w:pPr>
                    <w:pStyle w:val="TableBodyText"/>
                    <w:ind w:right="57"/>
                  </w:pPr>
                  <w:r w:rsidRPr="00043FDA">
                    <w:t>0.1</w:t>
                  </w:r>
                </w:p>
              </w:tc>
              <w:tc>
                <w:tcPr>
                  <w:tcW w:w="477" w:type="pct"/>
                  <w:gridSpan w:val="2"/>
                  <w:shd w:val="clear" w:color="auto" w:fill="auto"/>
                  <w:vAlign w:val="bottom"/>
                </w:tcPr>
                <w:p w:rsidR="00745FEA" w:rsidRPr="00043FDA" w:rsidRDefault="00745FEA" w:rsidP="00745FEA">
                  <w:pPr>
                    <w:pStyle w:val="TableBodyText"/>
                    <w:ind w:right="57"/>
                  </w:pPr>
                  <w:r w:rsidRPr="00043FDA">
                    <w:t>0.1</w:t>
                  </w:r>
                </w:p>
              </w:tc>
              <w:tc>
                <w:tcPr>
                  <w:tcW w:w="439" w:type="pct"/>
                  <w:shd w:val="clear" w:color="auto" w:fill="auto"/>
                  <w:vAlign w:val="bottom"/>
                </w:tcPr>
                <w:p w:rsidR="00745FEA" w:rsidRPr="00043FDA" w:rsidRDefault="00745FEA" w:rsidP="00745FEA">
                  <w:pPr>
                    <w:pStyle w:val="TableBodyText"/>
                    <w:ind w:right="57"/>
                  </w:pPr>
                  <w:r w:rsidRPr="00043FDA">
                    <w:t>0.1</w:t>
                  </w:r>
                </w:p>
              </w:tc>
            </w:tr>
            <w:tr w:rsidR="00745FEA" w:rsidTr="00745FEA">
              <w:tc>
                <w:tcPr>
                  <w:tcW w:w="2218" w:type="pct"/>
                  <w:shd w:val="clear" w:color="auto" w:fill="auto"/>
                </w:tcPr>
                <w:p w:rsidR="00745FEA" w:rsidRPr="00D156E2" w:rsidRDefault="00745FEA" w:rsidP="00745FEA">
                  <w:pPr>
                    <w:pStyle w:val="TableBodyText"/>
                    <w:spacing w:before="40" w:after="0"/>
                    <w:ind w:left="113"/>
                    <w:jc w:val="left"/>
                    <w:rPr>
                      <w:i/>
                    </w:rPr>
                  </w:pPr>
                  <w:r w:rsidRPr="00D156E2">
                    <w:rPr>
                      <w:i/>
                    </w:rPr>
                    <w:t xml:space="preserve">General </w:t>
                  </w:r>
                  <w:r>
                    <w:rPr>
                      <w:i/>
                    </w:rPr>
                    <w:t xml:space="preserve">R&amp;D </w:t>
                  </w:r>
                  <w:r w:rsidRPr="00D156E2">
                    <w:rPr>
                      <w:i/>
                    </w:rPr>
                    <w:t>measures</w:t>
                  </w:r>
                </w:p>
              </w:tc>
              <w:tc>
                <w:tcPr>
                  <w:tcW w:w="466" w:type="pct"/>
                  <w:vAlign w:val="bottom"/>
                </w:tcPr>
                <w:p w:rsidR="00745FEA" w:rsidRPr="00043FDA" w:rsidRDefault="00745FEA" w:rsidP="00745FEA">
                  <w:pPr>
                    <w:pStyle w:val="TableBodyText"/>
                    <w:ind w:right="57"/>
                  </w:pPr>
                </w:p>
              </w:tc>
              <w:tc>
                <w:tcPr>
                  <w:tcW w:w="464" w:type="pct"/>
                  <w:vAlign w:val="bottom"/>
                </w:tcPr>
                <w:p w:rsidR="00745FEA" w:rsidRPr="00043FDA" w:rsidRDefault="00745FEA" w:rsidP="00745FEA">
                  <w:pPr>
                    <w:pStyle w:val="TableBodyText"/>
                    <w:ind w:right="57"/>
                  </w:pPr>
                </w:p>
              </w:tc>
              <w:tc>
                <w:tcPr>
                  <w:tcW w:w="468" w:type="pct"/>
                  <w:gridSpan w:val="2"/>
                  <w:vAlign w:val="bottom"/>
                </w:tcPr>
                <w:p w:rsidR="00745FEA" w:rsidRPr="00043FDA" w:rsidRDefault="00745FEA" w:rsidP="00745FEA">
                  <w:pPr>
                    <w:pStyle w:val="TableBodyText"/>
                    <w:ind w:right="57"/>
                  </w:pPr>
                </w:p>
              </w:tc>
              <w:tc>
                <w:tcPr>
                  <w:tcW w:w="468" w:type="pct"/>
                  <w:gridSpan w:val="2"/>
                  <w:vAlign w:val="bottom"/>
                </w:tcPr>
                <w:p w:rsidR="00745FEA" w:rsidRPr="00043FDA" w:rsidRDefault="00745FEA" w:rsidP="00745FEA">
                  <w:pPr>
                    <w:pStyle w:val="TableBodyText"/>
                    <w:ind w:right="57"/>
                  </w:pPr>
                </w:p>
              </w:tc>
              <w:tc>
                <w:tcPr>
                  <w:tcW w:w="477" w:type="pct"/>
                  <w:gridSpan w:val="2"/>
                  <w:shd w:val="clear" w:color="auto" w:fill="auto"/>
                  <w:vAlign w:val="bottom"/>
                </w:tcPr>
                <w:p w:rsidR="00745FEA" w:rsidRPr="00043FDA" w:rsidRDefault="00745FEA" w:rsidP="00745FEA">
                  <w:pPr>
                    <w:pStyle w:val="TableBodyText"/>
                    <w:ind w:right="57"/>
                  </w:pPr>
                </w:p>
              </w:tc>
              <w:tc>
                <w:tcPr>
                  <w:tcW w:w="439" w:type="pct"/>
                  <w:shd w:val="clear" w:color="auto" w:fill="auto"/>
                  <w:vAlign w:val="bottom"/>
                </w:tcPr>
                <w:p w:rsidR="00745FEA" w:rsidRPr="00043FDA" w:rsidRDefault="00745FEA" w:rsidP="00745FEA">
                  <w:pPr>
                    <w:pStyle w:val="TableBodyText"/>
                    <w:ind w:right="57"/>
                  </w:pP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Commercialisation Australia</w:t>
                  </w:r>
                </w:p>
              </w:tc>
              <w:tc>
                <w:tcPr>
                  <w:tcW w:w="466" w:type="pct"/>
                  <w:vAlign w:val="bottom"/>
                </w:tcPr>
                <w:p w:rsidR="00745FEA" w:rsidRPr="00043FDA" w:rsidRDefault="00745FEA" w:rsidP="00745FEA">
                  <w:pPr>
                    <w:pStyle w:val="TableBodyText"/>
                    <w:ind w:right="57"/>
                  </w:pPr>
                  <w:r w:rsidRPr="00043FDA">
                    <w:t>0.1</w:t>
                  </w:r>
                </w:p>
              </w:tc>
              <w:tc>
                <w:tcPr>
                  <w:tcW w:w="464" w:type="pct"/>
                  <w:vAlign w:val="bottom"/>
                </w:tcPr>
                <w:p w:rsidR="00745FEA" w:rsidRPr="00043FDA" w:rsidRDefault="00745FEA" w:rsidP="00745FEA">
                  <w:pPr>
                    <w:pStyle w:val="TableBodyText"/>
                    <w:ind w:right="57"/>
                  </w:pPr>
                  <w:r w:rsidRPr="00043FDA">
                    <w:t>0.3</w:t>
                  </w:r>
                </w:p>
              </w:tc>
              <w:tc>
                <w:tcPr>
                  <w:tcW w:w="468" w:type="pct"/>
                  <w:gridSpan w:val="2"/>
                  <w:vAlign w:val="bottom"/>
                </w:tcPr>
                <w:p w:rsidR="00745FEA" w:rsidRPr="00043FDA" w:rsidRDefault="00745FEA" w:rsidP="00745FEA">
                  <w:pPr>
                    <w:pStyle w:val="TableBodyText"/>
                    <w:ind w:right="57"/>
                  </w:pPr>
                  <w:r w:rsidRPr="00043FDA">
                    <w:t>0.1</w:t>
                  </w:r>
                </w:p>
              </w:tc>
              <w:tc>
                <w:tcPr>
                  <w:tcW w:w="468" w:type="pct"/>
                  <w:gridSpan w:val="2"/>
                  <w:vAlign w:val="bottom"/>
                </w:tcPr>
                <w:p w:rsidR="00745FEA" w:rsidRPr="00043FDA" w:rsidRDefault="00745FEA" w:rsidP="00745FEA">
                  <w:pPr>
                    <w:pStyle w:val="TableBodyText"/>
                    <w:ind w:right="57"/>
                  </w:pPr>
                  <w:r w:rsidRPr="00043FDA">
                    <w:t>0.2</w:t>
                  </w:r>
                </w:p>
              </w:tc>
              <w:tc>
                <w:tcPr>
                  <w:tcW w:w="477" w:type="pct"/>
                  <w:gridSpan w:val="2"/>
                  <w:shd w:val="clear" w:color="auto" w:fill="auto"/>
                  <w:vAlign w:val="bottom"/>
                </w:tcPr>
                <w:p w:rsidR="00745FEA" w:rsidRPr="00043FDA" w:rsidRDefault="00745FEA" w:rsidP="00745FEA">
                  <w:pPr>
                    <w:pStyle w:val="TableBodyText"/>
                    <w:ind w:right="57"/>
                  </w:pPr>
                  <w:r w:rsidRPr="00043FDA">
                    <w:t>0.1</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CSIRO</w:t>
                  </w:r>
                </w:p>
              </w:tc>
              <w:tc>
                <w:tcPr>
                  <w:tcW w:w="466" w:type="pct"/>
                  <w:vAlign w:val="bottom"/>
                </w:tcPr>
                <w:p w:rsidR="00745FEA" w:rsidRPr="00043FDA" w:rsidRDefault="00745FEA" w:rsidP="00745FEA">
                  <w:pPr>
                    <w:pStyle w:val="TableBodyText"/>
                    <w:ind w:right="57"/>
                  </w:pPr>
                  <w:r w:rsidRPr="00043FDA">
                    <w:t>7.7</w:t>
                  </w:r>
                </w:p>
              </w:tc>
              <w:tc>
                <w:tcPr>
                  <w:tcW w:w="464" w:type="pct"/>
                  <w:vAlign w:val="bottom"/>
                </w:tcPr>
                <w:p w:rsidR="00745FEA" w:rsidRPr="00043FDA" w:rsidRDefault="00745FEA" w:rsidP="00745FEA">
                  <w:pPr>
                    <w:pStyle w:val="TableBodyText"/>
                    <w:ind w:right="57"/>
                  </w:pPr>
                  <w:r w:rsidRPr="00043FDA">
                    <w:t>5.1</w:t>
                  </w:r>
                </w:p>
              </w:tc>
              <w:tc>
                <w:tcPr>
                  <w:tcW w:w="468" w:type="pct"/>
                  <w:gridSpan w:val="2"/>
                  <w:vAlign w:val="bottom"/>
                </w:tcPr>
                <w:p w:rsidR="00745FEA" w:rsidRPr="00043FDA" w:rsidRDefault="00745FEA" w:rsidP="00745FEA">
                  <w:pPr>
                    <w:pStyle w:val="TableBodyText"/>
                    <w:ind w:right="57"/>
                  </w:pPr>
                  <w:r w:rsidRPr="00043FDA">
                    <w:t>3.7</w:t>
                  </w:r>
                </w:p>
              </w:tc>
              <w:tc>
                <w:tcPr>
                  <w:tcW w:w="468" w:type="pct"/>
                  <w:gridSpan w:val="2"/>
                  <w:vAlign w:val="bottom"/>
                </w:tcPr>
                <w:p w:rsidR="00745FEA" w:rsidRPr="00043FDA" w:rsidRDefault="00745FEA" w:rsidP="00745FEA">
                  <w:pPr>
                    <w:pStyle w:val="TableBodyText"/>
                    <w:ind w:right="57"/>
                  </w:pPr>
                  <w:r w:rsidRPr="00043FDA">
                    <w:t>9.3</w:t>
                  </w:r>
                </w:p>
              </w:tc>
              <w:tc>
                <w:tcPr>
                  <w:tcW w:w="477" w:type="pct"/>
                  <w:gridSpan w:val="2"/>
                  <w:shd w:val="clear" w:color="auto" w:fill="auto"/>
                  <w:vAlign w:val="bottom"/>
                </w:tcPr>
                <w:p w:rsidR="00745FEA" w:rsidRPr="00043FDA" w:rsidRDefault="00745FEA" w:rsidP="00745FEA">
                  <w:pPr>
                    <w:pStyle w:val="TableBodyText"/>
                    <w:ind w:right="57"/>
                  </w:pPr>
                  <w:r w:rsidRPr="00043FDA">
                    <w:t>9.5</w:t>
                  </w:r>
                </w:p>
              </w:tc>
              <w:tc>
                <w:tcPr>
                  <w:tcW w:w="439" w:type="pct"/>
                  <w:shd w:val="clear" w:color="auto" w:fill="auto"/>
                  <w:vAlign w:val="bottom"/>
                </w:tcPr>
                <w:p w:rsidR="00745FEA" w:rsidRPr="00043FDA" w:rsidRDefault="00745FEA" w:rsidP="00745FEA">
                  <w:pPr>
                    <w:pStyle w:val="TableBodyText"/>
                    <w:ind w:right="57"/>
                  </w:pPr>
                  <w:r w:rsidRPr="00043FDA">
                    <w:t>11.7</w:t>
                  </w: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R&amp;D Tax Incentive - refundable tax offset</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4.7</w:t>
                  </w:r>
                </w:p>
              </w:tc>
              <w:tc>
                <w:tcPr>
                  <w:tcW w:w="468" w:type="pct"/>
                  <w:gridSpan w:val="2"/>
                  <w:vAlign w:val="bottom"/>
                </w:tcPr>
                <w:p w:rsidR="00745FEA" w:rsidRPr="00043FDA" w:rsidRDefault="00745FEA" w:rsidP="00745FEA">
                  <w:pPr>
                    <w:pStyle w:val="TableBodyText"/>
                    <w:ind w:right="57"/>
                  </w:pPr>
                  <w:r w:rsidRPr="00043FDA">
                    <w:t>4.6</w:t>
                  </w:r>
                </w:p>
              </w:tc>
              <w:tc>
                <w:tcPr>
                  <w:tcW w:w="468" w:type="pct"/>
                  <w:gridSpan w:val="2"/>
                  <w:vAlign w:val="bottom"/>
                </w:tcPr>
                <w:p w:rsidR="00745FEA" w:rsidRPr="00043FDA" w:rsidRDefault="00745FEA" w:rsidP="00745FEA">
                  <w:pPr>
                    <w:pStyle w:val="TableBodyText"/>
                    <w:ind w:right="57"/>
                  </w:pPr>
                  <w:r w:rsidRPr="00043FDA">
                    <w:t>6.1</w:t>
                  </w:r>
                </w:p>
              </w:tc>
              <w:tc>
                <w:tcPr>
                  <w:tcW w:w="477" w:type="pct"/>
                  <w:gridSpan w:val="2"/>
                  <w:shd w:val="clear" w:color="auto" w:fill="auto"/>
                  <w:vAlign w:val="bottom"/>
                </w:tcPr>
                <w:p w:rsidR="00745FEA" w:rsidRPr="00043FDA" w:rsidRDefault="00745FEA" w:rsidP="00745FEA">
                  <w:pPr>
                    <w:pStyle w:val="TableBodyText"/>
                    <w:ind w:right="57"/>
                  </w:pPr>
                  <w:r w:rsidRPr="00043FDA">
                    <w:t>6.5</w:t>
                  </w:r>
                </w:p>
              </w:tc>
              <w:tc>
                <w:tcPr>
                  <w:tcW w:w="439" w:type="pct"/>
                  <w:shd w:val="clear" w:color="auto" w:fill="auto"/>
                  <w:vAlign w:val="bottom"/>
                </w:tcPr>
                <w:p w:rsidR="00745FEA" w:rsidRPr="00043FDA" w:rsidRDefault="00745FEA" w:rsidP="00745FEA">
                  <w:pPr>
                    <w:pStyle w:val="TableBodyText"/>
                    <w:ind w:right="57"/>
                  </w:pPr>
                  <w:r w:rsidRPr="00043FDA">
                    <w:t>7.9</w:t>
                  </w: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R&amp;D tax offsets - Refundable</w:t>
                  </w:r>
                </w:p>
              </w:tc>
              <w:tc>
                <w:tcPr>
                  <w:tcW w:w="466" w:type="pct"/>
                  <w:vAlign w:val="bottom"/>
                </w:tcPr>
                <w:p w:rsidR="00745FEA" w:rsidRPr="00043FDA" w:rsidRDefault="00745FEA" w:rsidP="00745FEA">
                  <w:pPr>
                    <w:pStyle w:val="TableBodyText"/>
                    <w:ind w:right="57"/>
                  </w:pPr>
                  <w:r w:rsidRPr="00043FDA">
                    <w:t>1.9</w:t>
                  </w:r>
                </w:p>
              </w:tc>
              <w:tc>
                <w:tcPr>
                  <w:tcW w:w="464" w:type="pct"/>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Premium R&amp;D tax concession</w:t>
                  </w:r>
                </w:p>
              </w:tc>
              <w:tc>
                <w:tcPr>
                  <w:tcW w:w="466" w:type="pct"/>
                  <w:vAlign w:val="bottom"/>
                </w:tcPr>
                <w:p w:rsidR="00745FEA" w:rsidRPr="00043FDA" w:rsidRDefault="00745FEA" w:rsidP="00745FEA">
                  <w:pPr>
                    <w:pStyle w:val="TableBodyText"/>
                    <w:ind w:right="57"/>
                  </w:pPr>
                  <w:r w:rsidRPr="00043FDA">
                    <w:t>1.1</w:t>
                  </w:r>
                </w:p>
              </w:tc>
              <w:tc>
                <w:tcPr>
                  <w:tcW w:w="464" w:type="pct"/>
                  <w:vAlign w:val="bottom"/>
                </w:tcPr>
                <w:p w:rsidR="00745FEA" w:rsidRPr="00043FDA" w:rsidRDefault="00745FEA" w:rsidP="00745FEA">
                  <w:pPr>
                    <w:pStyle w:val="TableBodyText"/>
                    <w:ind w:right="57"/>
                  </w:pPr>
                  <w:r w:rsidRPr="00043FDA">
                    <w:t>0.3</w:t>
                  </w:r>
                </w:p>
              </w:tc>
              <w:tc>
                <w:tcPr>
                  <w:tcW w:w="468" w:type="pct"/>
                  <w:gridSpan w:val="2"/>
                  <w:vAlign w:val="bottom"/>
                </w:tcPr>
                <w:p w:rsidR="00745FEA" w:rsidRPr="00043FDA" w:rsidRDefault="00745FEA" w:rsidP="00745FEA">
                  <w:pPr>
                    <w:pStyle w:val="TableBodyText"/>
                    <w:ind w:right="57"/>
                  </w:pPr>
                  <w:r w:rsidRPr="00043FDA">
                    <w:t>0.1</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R&amp;D tax concession</w:t>
                  </w:r>
                </w:p>
              </w:tc>
              <w:tc>
                <w:tcPr>
                  <w:tcW w:w="466" w:type="pct"/>
                  <w:vAlign w:val="bottom"/>
                </w:tcPr>
                <w:p w:rsidR="00745FEA" w:rsidRPr="00043FDA" w:rsidRDefault="00745FEA" w:rsidP="00745FEA">
                  <w:pPr>
                    <w:pStyle w:val="TableBodyText"/>
                    <w:ind w:right="57"/>
                  </w:pPr>
                  <w:r w:rsidRPr="00043FDA">
                    <w:t>1.5</w:t>
                  </w:r>
                </w:p>
              </w:tc>
              <w:tc>
                <w:tcPr>
                  <w:tcW w:w="464" w:type="pct"/>
                  <w:vAlign w:val="bottom"/>
                </w:tcPr>
                <w:p w:rsidR="00745FEA" w:rsidRPr="00043FDA" w:rsidRDefault="00745FEA" w:rsidP="00745FEA">
                  <w:pPr>
                    <w:pStyle w:val="TableBodyText"/>
                    <w:ind w:right="57"/>
                  </w:pPr>
                  <w:r w:rsidRPr="00043FDA">
                    <w:t>0.7</w:t>
                  </w:r>
                </w:p>
              </w:tc>
              <w:tc>
                <w:tcPr>
                  <w:tcW w:w="468" w:type="pct"/>
                  <w:gridSpan w:val="2"/>
                  <w:vAlign w:val="bottom"/>
                </w:tcPr>
                <w:p w:rsidR="00745FEA" w:rsidRPr="00043FDA" w:rsidRDefault="00745FEA" w:rsidP="00745FEA">
                  <w:pPr>
                    <w:pStyle w:val="TableBodyText"/>
                    <w:ind w:right="57"/>
                  </w:pPr>
                  <w:r w:rsidRPr="00043FDA">
                    <w:t>0.2</w:t>
                  </w:r>
                </w:p>
              </w:tc>
              <w:tc>
                <w:tcPr>
                  <w:tcW w:w="468" w:type="pct"/>
                  <w:gridSpan w:val="2"/>
                  <w:vAlign w:val="bottom"/>
                </w:tcPr>
                <w:p w:rsidR="00745FEA" w:rsidRPr="00043FDA" w:rsidRDefault="00745FEA" w:rsidP="00745FEA">
                  <w:pPr>
                    <w:pStyle w:val="TableBodyText"/>
                    <w:ind w:right="57"/>
                  </w:pPr>
                  <w:r w:rsidRPr="00043FDA">
                    <w:t>&lt;0.1</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Pr="00B01749" w:rsidRDefault="00745FEA" w:rsidP="00745FEA">
                  <w:pPr>
                    <w:pStyle w:val="TableBodyText"/>
                    <w:spacing w:after="0"/>
                    <w:ind w:left="227" w:right="0"/>
                    <w:jc w:val="left"/>
                  </w:pPr>
                  <w:r w:rsidRPr="00B01749">
                    <w:t>R&amp;D Tax Incentive - non-refundable tax offset</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2.5</w:t>
                  </w:r>
                </w:p>
              </w:tc>
              <w:tc>
                <w:tcPr>
                  <w:tcW w:w="468" w:type="pct"/>
                  <w:gridSpan w:val="2"/>
                  <w:vAlign w:val="bottom"/>
                </w:tcPr>
                <w:p w:rsidR="00745FEA" w:rsidRPr="00043FDA" w:rsidRDefault="00745FEA" w:rsidP="00745FEA">
                  <w:pPr>
                    <w:pStyle w:val="TableBodyText"/>
                    <w:ind w:right="57"/>
                  </w:pPr>
                  <w:r w:rsidRPr="00043FDA">
                    <w:t>2.2</w:t>
                  </w:r>
                </w:p>
              </w:tc>
              <w:tc>
                <w:tcPr>
                  <w:tcW w:w="468" w:type="pct"/>
                  <w:gridSpan w:val="2"/>
                  <w:vAlign w:val="bottom"/>
                </w:tcPr>
                <w:p w:rsidR="00745FEA" w:rsidRPr="00043FDA" w:rsidRDefault="00745FEA" w:rsidP="00745FEA">
                  <w:pPr>
                    <w:pStyle w:val="TableBodyText"/>
                    <w:ind w:right="57"/>
                  </w:pPr>
                  <w:r w:rsidRPr="00043FDA">
                    <w:t>1.0</w:t>
                  </w:r>
                </w:p>
              </w:tc>
              <w:tc>
                <w:tcPr>
                  <w:tcW w:w="477" w:type="pct"/>
                  <w:gridSpan w:val="2"/>
                  <w:shd w:val="clear" w:color="auto" w:fill="auto"/>
                  <w:vAlign w:val="bottom"/>
                </w:tcPr>
                <w:p w:rsidR="00745FEA" w:rsidRPr="00043FDA" w:rsidRDefault="00745FEA" w:rsidP="00745FEA">
                  <w:pPr>
                    <w:pStyle w:val="TableBodyText"/>
                    <w:ind w:right="57"/>
                  </w:pPr>
                  <w:r w:rsidRPr="00043FDA">
                    <w:t>2.1</w:t>
                  </w:r>
                </w:p>
              </w:tc>
              <w:tc>
                <w:tcPr>
                  <w:tcW w:w="439" w:type="pct"/>
                  <w:shd w:val="clear" w:color="auto" w:fill="auto"/>
                  <w:vAlign w:val="bottom"/>
                </w:tcPr>
                <w:p w:rsidR="00745FEA" w:rsidRPr="00043FDA" w:rsidRDefault="00745FEA" w:rsidP="00745FEA">
                  <w:pPr>
                    <w:pStyle w:val="TableBodyText"/>
                    <w:ind w:right="57"/>
                  </w:pPr>
                  <w:r w:rsidRPr="00043FDA">
                    <w:t>2.2</w:t>
                  </w:r>
                </w:p>
              </w:tc>
            </w:tr>
            <w:tr w:rsidR="00745FEA" w:rsidTr="00745FEA">
              <w:tc>
                <w:tcPr>
                  <w:tcW w:w="2218" w:type="pct"/>
                  <w:shd w:val="clear" w:color="auto" w:fill="auto"/>
                </w:tcPr>
                <w:p w:rsidR="00745FEA" w:rsidRPr="00A70E33" w:rsidRDefault="00745FEA" w:rsidP="00745FEA">
                  <w:pPr>
                    <w:pStyle w:val="TableBodyText"/>
                    <w:spacing w:before="40" w:after="0"/>
                    <w:ind w:left="113"/>
                    <w:jc w:val="left"/>
                    <w:rPr>
                      <w:i/>
                    </w:rPr>
                  </w:pPr>
                  <w:r w:rsidRPr="00A70E33">
                    <w:rPr>
                      <w:i/>
                    </w:rPr>
                    <w:t>Other measures</w:t>
                  </w:r>
                </w:p>
              </w:tc>
              <w:tc>
                <w:tcPr>
                  <w:tcW w:w="466" w:type="pct"/>
                  <w:vAlign w:val="bottom"/>
                </w:tcPr>
                <w:p w:rsidR="00745FEA" w:rsidRPr="00043FDA" w:rsidRDefault="00745FEA" w:rsidP="00745FEA">
                  <w:pPr>
                    <w:pStyle w:val="TableBodyText"/>
                    <w:ind w:right="57"/>
                  </w:pPr>
                </w:p>
              </w:tc>
              <w:tc>
                <w:tcPr>
                  <w:tcW w:w="464" w:type="pct"/>
                  <w:vAlign w:val="bottom"/>
                </w:tcPr>
                <w:p w:rsidR="00745FEA" w:rsidRPr="00043FDA" w:rsidRDefault="00745FEA" w:rsidP="00745FEA">
                  <w:pPr>
                    <w:pStyle w:val="TableBodyText"/>
                    <w:ind w:right="57"/>
                  </w:pPr>
                </w:p>
              </w:tc>
              <w:tc>
                <w:tcPr>
                  <w:tcW w:w="468" w:type="pct"/>
                  <w:gridSpan w:val="2"/>
                  <w:vAlign w:val="bottom"/>
                </w:tcPr>
                <w:p w:rsidR="00745FEA" w:rsidRPr="00043FDA" w:rsidRDefault="00745FEA" w:rsidP="00745FEA">
                  <w:pPr>
                    <w:pStyle w:val="TableBodyText"/>
                    <w:ind w:right="57"/>
                  </w:pPr>
                </w:p>
              </w:tc>
              <w:tc>
                <w:tcPr>
                  <w:tcW w:w="468" w:type="pct"/>
                  <w:gridSpan w:val="2"/>
                  <w:vAlign w:val="bottom"/>
                </w:tcPr>
                <w:p w:rsidR="00745FEA" w:rsidRPr="00043FDA" w:rsidRDefault="00745FEA" w:rsidP="00745FEA">
                  <w:pPr>
                    <w:pStyle w:val="TableBodyText"/>
                    <w:ind w:right="57"/>
                  </w:pPr>
                </w:p>
              </w:tc>
              <w:tc>
                <w:tcPr>
                  <w:tcW w:w="477" w:type="pct"/>
                  <w:gridSpan w:val="2"/>
                  <w:shd w:val="clear" w:color="auto" w:fill="auto"/>
                  <w:vAlign w:val="bottom"/>
                </w:tcPr>
                <w:p w:rsidR="00745FEA" w:rsidRPr="00043FDA" w:rsidRDefault="00745FEA" w:rsidP="00745FEA">
                  <w:pPr>
                    <w:pStyle w:val="TableBodyText"/>
                    <w:ind w:right="57"/>
                  </w:pPr>
                </w:p>
              </w:tc>
              <w:tc>
                <w:tcPr>
                  <w:tcW w:w="439" w:type="pct"/>
                  <w:shd w:val="clear" w:color="auto" w:fill="auto"/>
                  <w:vAlign w:val="bottom"/>
                </w:tcPr>
                <w:p w:rsidR="00745FEA" w:rsidRPr="00043FDA" w:rsidRDefault="00745FEA" w:rsidP="00745FEA">
                  <w:pPr>
                    <w:pStyle w:val="TableBodyText"/>
                    <w:ind w:right="57"/>
                  </w:pP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Enterprise Connect Innovation Centres</w:t>
                  </w:r>
                </w:p>
              </w:tc>
              <w:tc>
                <w:tcPr>
                  <w:tcW w:w="466" w:type="pct"/>
                  <w:vAlign w:val="bottom"/>
                </w:tcPr>
                <w:p w:rsidR="00745FEA" w:rsidRPr="00043FDA" w:rsidRDefault="00745FEA" w:rsidP="00745FEA">
                  <w:pPr>
                    <w:pStyle w:val="TableBodyText"/>
                    <w:ind w:right="57"/>
                  </w:pPr>
                  <w:r w:rsidRPr="00043FDA">
                    <w:t>0.8</w:t>
                  </w:r>
                </w:p>
              </w:tc>
              <w:tc>
                <w:tcPr>
                  <w:tcW w:w="464" w:type="pct"/>
                  <w:vAlign w:val="bottom"/>
                </w:tcPr>
                <w:p w:rsidR="00745FEA" w:rsidRPr="00043FDA" w:rsidRDefault="00745FEA" w:rsidP="00745FEA">
                  <w:pPr>
                    <w:pStyle w:val="TableBodyText"/>
                    <w:ind w:right="57"/>
                  </w:pPr>
                  <w:r w:rsidRPr="00043FDA">
                    <w:t>&lt;0.1</w:t>
                  </w:r>
                </w:p>
              </w:tc>
              <w:tc>
                <w:tcPr>
                  <w:tcW w:w="468" w:type="pct"/>
                  <w:gridSpan w:val="2"/>
                  <w:vAlign w:val="bottom"/>
                </w:tcPr>
                <w:p w:rsidR="00745FEA" w:rsidRPr="00043FDA" w:rsidRDefault="00745FEA" w:rsidP="00745FEA">
                  <w:pPr>
                    <w:pStyle w:val="TableBodyText"/>
                    <w:ind w:right="57"/>
                  </w:pPr>
                  <w:r w:rsidRPr="00043FDA">
                    <w:t>&lt;0.1</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Default="00745FEA" w:rsidP="00745FEA">
                  <w:pPr>
                    <w:pStyle w:val="TableBodyText"/>
                    <w:spacing w:after="0"/>
                    <w:ind w:left="227" w:right="0"/>
                    <w:jc w:val="left"/>
                  </w:pPr>
                  <w:r w:rsidRPr="00043FDA">
                    <w:t>Entrepreneurs’ Infrastructure Programme - Accelerating Commercialisation</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0.4</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043FDA">
                    <w:t>Entrepreneurs’ Infrastructure Programme - Business Management Skills</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&lt;0.1</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 xml:space="preserve">Small business </w:t>
                  </w:r>
                  <w:r>
                    <w:t>capital gains tax</w:t>
                  </w:r>
                  <w:r w:rsidRPr="005073E3">
                    <w:t xml:space="preserve"> rollover deferral</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0.2</w:t>
                  </w:r>
                </w:p>
              </w:tc>
              <w:tc>
                <w:tcPr>
                  <w:tcW w:w="477" w:type="pct"/>
                  <w:gridSpan w:val="2"/>
                  <w:shd w:val="clear" w:color="auto" w:fill="auto"/>
                  <w:vAlign w:val="bottom"/>
                </w:tcPr>
                <w:p w:rsidR="00745FEA" w:rsidRPr="00043FDA" w:rsidRDefault="00745FEA" w:rsidP="00745FEA">
                  <w:pPr>
                    <w:pStyle w:val="TableBodyText"/>
                    <w:ind w:right="57"/>
                  </w:pPr>
                  <w:r w:rsidRPr="00043FDA">
                    <w:t>0.1</w:t>
                  </w:r>
                </w:p>
              </w:tc>
              <w:tc>
                <w:tcPr>
                  <w:tcW w:w="439" w:type="pct"/>
                  <w:shd w:val="clear" w:color="auto" w:fill="auto"/>
                  <w:vAlign w:val="bottom"/>
                </w:tcPr>
                <w:p w:rsidR="00745FEA" w:rsidRPr="00043FDA" w:rsidRDefault="00745FEA" w:rsidP="00745FEA">
                  <w:pPr>
                    <w:pStyle w:val="TableBodyText"/>
                    <w:ind w:right="57"/>
                  </w:pPr>
                  <w:r w:rsidRPr="00043FDA">
                    <w:t>0.1</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The Small Business and General Business Tax Break</w:t>
                  </w:r>
                </w:p>
              </w:tc>
              <w:tc>
                <w:tcPr>
                  <w:tcW w:w="466" w:type="pct"/>
                  <w:vAlign w:val="bottom"/>
                </w:tcPr>
                <w:p w:rsidR="00745FEA" w:rsidRPr="00043FDA" w:rsidRDefault="00745FEA" w:rsidP="00745FEA">
                  <w:pPr>
                    <w:pStyle w:val="TableBodyText"/>
                    <w:ind w:right="57"/>
                  </w:pPr>
                  <w:r w:rsidRPr="00043FDA">
                    <w:t>0.1</w:t>
                  </w:r>
                </w:p>
              </w:tc>
              <w:tc>
                <w:tcPr>
                  <w:tcW w:w="464" w:type="pct"/>
                  <w:vAlign w:val="bottom"/>
                </w:tcPr>
                <w:p w:rsidR="00745FEA" w:rsidRPr="00043FDA" w:rsidRDefault="00745FEA" w:rsidP="00745FEA">
                  <w:pPr>
                    <w:pStyle w:val="TableBodyText"/>
                    <w:ind w:right="57"/>
                  </w:pPr>
                  <w:r w:rsidRPr="00043FDA">
                    <w:t>&lt;0.1</w:t>
                  </w:r>
                </w:p>
              </w:tc>
              <w:tc>
                <w:tcPr>
                  <w:tcW w:w="468" w:type="pct"/>
                  <w:gridSpan w:val="2"/>
                  <w:vAlign w:val="bottom"/>
                </w:tcPr>
                <w:p w:rsidR="00745FEA" w:rsidRPr="00043FDA" w:rsidRDefault="00745FEA" w:rsidP="00745FEA">
                  <w:pPr>
                    <w:pStyle w:val="TableBodyText"/>
                    <w:ind w:right="57"/>
                  </w:pPr>
                  <w:r w:rsidRPr="00043FDA">
                    <w:t>&lt;0.1</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Small Business - Simplified depreciation rules</w:t>
                  </w:r>
                </w:p>
              </w:tc>
              <w:tc>
                <w:tcPr>
                  <w:tcW w:w="466" w:type="pct"/>
                  <w:vAlign w:val="bottom"/>
                </w:tcPr>
                <w:p w:rsidR="00745FEA" w:rsidRPr="00043FDA" w:rsidRDefault="00745FEA" w:rsidP="00745FEA">
                  <w:pPr>
                    <w:pStyle w:val="TableBodyText"/>
                    <w:ind w:right="57"/>
                  </w:pPr>
                  <w:r w:rsidRPr="00043FDA">
                    <w:t>&lt;0.1</w:t>
                  </w:r>
                </w:p>
              </w:tc>
              <w:tc>
                <w:tcPr>
                  <w:tcW w:w="464" w:type="pct"/>
                  <w:vAlign w:val="bottom"/>
                </w:tcPr>
                <w:p w:rsidR="00745FEA" w:rsidRPr="00043FDA" w:rsidRDefault="00745FEA" w:rsidP="00745FEA">
                  <w:pPr>
                    <w:pStyle w:val="TableBodyText"/>
                    <w:ind w:right="57"/>
                  </w:pPr>
                  <w:r w:rsidRPr="00043FDA">
                    <w:t>-0.2</w:t>
                  </w:r>
                </w:p>
              </w:tc>
              <w:tc>
                <w:tcPr>
                  <w:tcW w:w="468" w:type="pct"/>
                  <w:gridSpan w:val="2"/>
                  <w:vAlign w:val="bottom"/>
                </w:tcPr>
                <w:p w:rsidR="00745FEA" w:rsidRPr="00043FDA" w:rsidRDefault="00745FEA" w:rsidP="00745FEA">
                  <w:pPr>
                    <w:pStyle w:val="TableBodyText"/>
                    <w:ind w:right="57"/>
                  </w:pPr>
                  <w:r w:rsidRPr="00043FDA">
                    <w:t>0.7</w:t>
                  </w:r>
                </w:p>
              </w:tc>
              <w:tc>
                <w:tcPr>
                  <w:tcW w:w="468" w:type="pct"/>
                  <w:gridSpan w:val="2"/>
                  <w:vAlign w:val="bottom"/>
                </w:tcPr>
                <w:p w:rsidR="00745FEA" w:rsidRPr="00043FDA" w:rsidRDefault="00745FEA" w:rsidP="00745FEA">
                  <w:pPr>
                    <w:pStyle w:val="TableBodyText"/>
                    <w:ind w:right="57"/>
                  </w:pPr>
                  <w:r w:rsidRPr="00043FDA">
                    <w:t>-0.3</w:t>
                  </w:r>
                </w:p>
              </w:tc>
              <w:tc>
                <w:tcPr>
                  <w:tcW w:w="477" w:type="pct"/>
                  <w:gridSpan w:val="2"/>
                  <w:shd w:val="clear" w:color="auto" w:fill="auto"/>
                  <w:vAlign w:val="bottom"/>
                </w:tcPr>
                <w:p w:rsidR="00745FEA" w:rsidRPr="00043FDA" w:rsidRDefault="00745FEA" w:rsidP="00745FEA">
                  <w:pPr>
                    <w:pStyle w:val="TableBodyText"/>
                    <w:ind w:right="57"/>
                  </w:pPr>
                  <w:r w:rsidRPr="00043FDA">
                    <w:t>-0.7</w:t>
                  </w:r>
                </w:p>
              </w:tc>
              <w:tc>
                <w:tcPr>
                  <w:tcW w:w="439" w:type="pct"/>
                  <w:shd w:val="clear" w:color="auto" w:fill="auto"/>
                  <w:vAlign w:val="bottom"/>
                </w:tcPr>
                <w:p w:rsidR="00745FEA" w:rsidRPr="00043FDA" w:rsidRDefault="00745FEA" w:rsidP="00745FEA">
                  <w:pPr>
                    <w:pStyle w:val="TableBodyText"/>
                    <w:ind w:right="57"/>
                  </w:pPr>
                  <w:r w:rsidRPr="00043FDA">
                    <w:t>3.7</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 xml:space="preserve">Small business </w:t>
                  </w:r>
                  <w:r>
                    <w:t>capital gains tax</w:t>
                  </w:r>
                  <w:r w:rsidRPr="005073E3">
                    <w:t xml:space="preserve"> 15-year asset exemption</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&lt;0.1</w:t>
                  </w:r>
                </w:p>
              </w:tc>
              <w:tc>
                <w:tcPr>
                  <w:tcW w:w="477" w:type="pct"/>
                  <w:gridSpan w:val="2"/>
                  <w:shd w:val="clear" w:color="auto" w:fill="auto"/>
                  <w:vAlign w:val="bottom"/>
                </w:tcPr>
                <w:p w:rsidR="00745FEA" w:rsidRPr="00043FDA" w:rsidRDefault="00745FEA" w:rsidP="00745FEA">
                  <w:pPr>
                    <w:pStyle w:val="TableBodyText"/>
                    <w:ind w:right="57"/>
                  </w:pPr>
                  <w:r w:rsidRPr="00043FDA">
                    <w:t>0.2</w:t>
                  </w:r>
                </w:p>
              </w:tc>
              <w:tc>
                <w:tcPr>
                  <w:tcW w:w="439" w:type="pct"/>
                  <w:shd w:val="clear" w:color="auto" w:fill="auto"/>
                  <w:vAlign w:val="bottom"/>
                </w:tcPr>
                <w:p w:rsidR="00745FEA" w:rsidRPr="00043FDA" w:rsidRDefault="00745FEA" w:rsidP="00745FEA">
                  <w:pPr>
                    <w:pStyle w:val="TableBodyText"/>
                    <w:ind w:right="57"/>
                  </w:pPr>
                  <w:r w:rsidRPr="00043FDA">
                    <w:t>0.5</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 xml:space="preserve">Small business </w:t>
                  </w:r>
                  <w:r>
                    <w:t>capital gains tax</w:t>
                  </w:r>
                  <w:r w:rsidRPr="005073E3">
                    <w:t xml:space="preserve"> retirement exemption</w:t>
                  </w:r>
                </w:p>
              </w:tc>
              <w:tc>
                <w:tcPr>
                  <w:tcW w:w="466" w:type="pct"/>
                  <w:vAlign w:val="bottom"/>
                </w:tcPr>
                <w:p w:rsidR="00745FEA" w:rsidRPr="00043FDA" w:rsidRDefault="00745FEA" w:rsidP="00745FEA">
                  <w:pPr>
                    <w:pStyle w:val="TableBodyText"/>
                    <w:ind w:right="57"/>
                  </w:pPr>
                  <w:r w:rsidRPr="00043FDA">
                    <w:t>–</w:t>
                  </w:r>
                </w:p>
              </w:tc>
              <w:tc>
                <w:tcPr>
                  <w:tcW w:w="464" w:type="pct"/>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0.4</w:t>
                  </w:r>
                </w:p>
              </w:tc>
              <w:tc>
                <w:tcPr>
                  <w:tcW w:w="477" w:type="pct"/>
                  <w:gridSpan w:val="2"/>
                  <w:shd w:val="clear" w:color="auto" w:fill="auto"/>
                  <w:vAlign w:val="bottom"/>
                </w:tcPr>
                <w:p w:rsidR="00745FEA" w:rsidRPr="00043FDA" w:rsidRDefault="00745FEA" w:rsidP="00745FEA">
                  <w:pPr>
                    <w:pStyle w:val="TableBodyText"/>
                    <w:ind w:right="57"/>
                  </w:pPr>
                  <w:r w:rsidRPr="00043FDA">
                    <w:t>0.6</w:t>
                  </w:r>
                </w:p>
              </w:tc>
              <w:tc>
                <w:tcPr>
                  <w:tcW w:w="439" w:type="pct"/>
                  <w:shd w:val="clear" w:color="auto" w:fill="auto"/>
                  <w:vAlign w:val="bottom"/>
                </w:tcPr>
                <w:p w:rsidR="00745FEA" w:rsidRPr="00043FDA" w:rsidRDefault="00745FEA" w:rsidP="00745FEA">
                  <w:pPr>
                    <w:pStyle w:val="TableBodyText"/>
                    <w:ind w:right="57"/>
                  </w:pPr>
                  <w:r w:rsidRPr="00043FDA">
                    <w:t>0.5</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 xml:space="preserve">Small business </w:t>
                  </w:r>
                  <w:r>
                    <w:t>capital gains tax</w:t>
                  </w:r>
                  <w:r w:rsidRPr="005073E3">
                    <w:t xml:space="preserve"> 50 per cent reduction</w:t>
                  </w:r>
                </w:p>
              </w:tc>
              <w:tc>
                <w:tcPr>
                  <w:tcW w:w="466" w:type="pct"/>
                  <w:vAlign w:val="bottom"/>
                </w:tcPr>
                <w:p w:rsidR="00745FEA" w:rsidRPr="00043FDA" w:rsidRDefault="00745FEA" w:rsidP="00745FEA">
                  <w:pPr>
                    <w:pStyle w:val="TableBodyText"/>
                    <w:ind w:right="57"/>
                  </w:pPr>
                  <w:r w:rsidRPr="00043FDA">
                    <w:t>1.7</w:t>
                  </w:r>
                </w:p>
              </w:tc>
              <w:tc>
                <w:tcPr>
                  <w:tcW w:w="464" w:type="pct"/>
                  <w:vAlign w:val="bottom"/>
                </w:tcPr>
                <w:p w:rsidR="00745FEA" w:rsidRPr="00043FDA" w:rsidRDefault="00745FEA" w:rsidP="00745FEA">
                  <w:pPr>
                    <w:pStyle w:val="TableBodyText"/>
                    <w:ind w:right="57"/>
                  </w:pPr>
                  <w:r w:rsidRPr="00043FDA">
                    <w:t>1.8</w:t>
                  </w:r>
                </w:p>
              </w:tc>
              <w:tc>
                <w:tcPr>
                  <w:tcW w:w="468" w:type="pct"/>
                  <w:gridSpan w:val="2"/>
                  <w:vAlign w:val="bottom"/>
                </w:tcPr>
                <w:p w:rsidR="00745FEA" w:rsidRPr="00043FDA" w:rsidRDefault="00745FEA" w:rsidP="00745FEA">
                  <w:pPr>
                    <w:pStyle w:val="TableBodyText"/>
                    <w:ind w:right="57"/>
                  </w:pPr>
                  <w:r w:rsidRPr="00043FDA">
                    <w:t>1.8</w:t>
                  </w:r>
                </w:p>
              </w:tc>
              <w:tc>
                <w:tcPr>
                  <w:tcW w:w="468" w:type="pct"/>
                  <w:gridSpan w:val="2"/>
                  <w:vAlign w:val="bottom"/>
                </w:tcPr>
                <w:p w:rsidR="00745FEA" w:rsidRPr="00043FDA" w:rsidRDefault="00745FEA" w:rsidP="00745FEA">
                  <w:pPr>
                    <w:pStyle w:val="TableBodyText"/>
                    <w:ind w:right="57"/>
                  </w:pPr>
                  <w:r w:rsidRPr="00043FDA">
                    <w:t>0.8</w:t>
                  </w:r>
                </w:p>
              </w:tc>
              <w:tc>
                <w:tcPr>
                  <w:tcW w:w="477" w:type="pct"/>
                  <w:gridSpan w:val="2"/>
                  <w:shd w:val="clear" w:color="auto" w:fill="auto"/>
                  <w:vAlign w:val="bottom"/>
                </w:tcPr>
                <w:p w:rsidR="00745FEA" w:rsidRPr="00043FDA" w:rsidRDefault="00745FEA" w:rsidP="00745FEA">
                  <w:pPr>
                    <w:pStyle w:val="TableBodyText"/>
                    <w:ind w:right="57"/>
                  </w:pPr>
                  <w:r w:rsidRPr="00043FDA">
                    <w:t>0.9</w:t>
                  </w:r>
                </w:p>
              </w:tc>
              <w:tc>
                <w:tcPr>
                  <w:tcW w:w="439" w:type="pct"/>
                  <w:shd w:val="clear" w:color="auto" w:fill="auto"/>
                  <w:vAlign w:val="bottom"/>
                </w:tcPr>
                <w:p w:rsidR="00745FEA" w:rsidRPr="00043FDA" w:rsidRDefault="00745FEA" w:rsidP="00745FEA">
                  <w:pPr>
                    <w:pStyle w:val="TableBodyText"/>
                    <w:ind w:right="57"/>
                  </w:pPr>
                  <w:r w:rsidRPr="00043FDA">
                    <w:t>0.8</w:t>
                  </w:r>
                </w:p>
              </w:tc>
            </w:tr>
            <w:tr w:rsidR="00745FEA" w:rsidTr="00745FEA">
              <w:tc>
                <w:tcPr>
                  <w:tcW w:w="2218" w:type="pct"/>
                  <w:shd w:val="clear" w:color="auto" w:fill="auto"/>
                </w:tcPr>
                <w:p w:rsidR="00745FEA" w:rsidRPr="005073E3" w:rsidRDefault="00745FEA" w:rsidP="00745FEA">
                  <w:pPr>
                    <w:pStyle w:val="TableBodyText"/>
                    <w:spacing w:after="0"/>
                    <w:ind w:left="227" w:right="0"/>
                    <w:jc w:val="left"/>
                  </w:pPr>
                  <w:r w:rsidRPr="005073E3">
                    <w:t>25 per cent entrepreneurs' tax offset</w:t>
                  </w:r>
                </w:p>
              </w:tc>
              <w:tc>
                <w:tcPr>
                  <w:tcW w:w="466" w:type="pct"/>
                  <w:vAlign w:val="bottom"/>
                </w:tcPr>
                <w:p w:rsidR="00745FEA" w:rsidRPr="00043FDA" w:rsidRDefault="00745FEA" w:rsidP="00745FEA">
                  <w:pPr>
                    <w:pStyle w:val="TableBodyText"/>
                    <w:ind w:right="57"/>
                  </w:pPr>
                  <w:r w:rsidRPr="00043FDA">
                    <w:t>0.8</w:t>
                  </w:r>
                </w:p>
              </w:tc>
              <w:tc>
                <w:tcPr>
                  <w:tcW w:w="464" w:type="pct"/>
                  <w:vAlign w:val="bottom"/>
                </w:tcPr>
                <w:p w:rsidR="00745FEA" w:rsidRPr="00043FDA" w:rsidRDefault="00745FEA" w:rsidP="00745FEA">
                  <w:pPr>
                    <w:pStyle w:val="TableBodyText"/>
                    <w:ind w:right="57"/>
                  </w:pPr>
                  <w:r w:rsidRPr="00043FDA">
                    <w:t>1.1</w:t>
                  </w:r>
                </w:p>
              </w:tc>
              <w:tc>
                <w:tcPr>
                  <w:tcW w:w="468" w:type="pct"/>
                  <w:gridSpan w:val="2"/>
                  <w:vAlign w:val="bottom"/>
                </w:tcPr>
                <w:p w:rsidR="00745FEA" w:rsidRPr="00043FDA" w:rsidRDefault="00745FEA" w:rsidP="00745FEA">
                  <w:pPr>
                    <w:pStyle w:val="TableBodyText"/>
                    <w:ind w:right="57"/>
                  </w:pPr>
                  <w:r w:rsidRPr="00043FDA">
                    <w:t>–</w:t>
                  </w:r>
                </w:p>
              </w:tc>
              <w:tc>
                <w:tcPr>
                  <w:tcW w:w="468" w:type="pct"/>
                  <w:gridSpan w:val="2"/>
                  <w:vAlign w:val="bottom"/>
                </w:tcPr>
                <w:p w:rsidR="00745FEA" w:rsidRPr="00043FDA" w:rsidRDefault="00745FEA" w:rsidP="00745FEA">
                  <w:pPr>
                    <w:pStyle w:val="TableBodyText"/>
                    <w:ind w:right="57"/>
                  </w:pPr>
                  <w:r w:rsidRPr="00043FDA">
                    <w:t>–</w:t>
                  </w:r>
                </w:p>
              </w:tc>
              <w:tc>
                <w:tcPr>
                  <w:tcW w:w="477" w:type="pct"/>
                  <w:gridSpan w:val="2"/>
                  <w:shd w:val="clear" w:color="auto" w:fill="auto"/>
                  <w:vAlign w:val="bottom"/>
                </w:tcPr>
                <w:p w:rsidR="00745FEA" w:rsidRPr="00043FDA" w:rsidRDefault="00745FEA" w:rsidP="00745FEA">
                  <w:pPr>
                    <w:pStyle w:val="TableBodyText"/>
                    <w:ind w:right="57"/>
                  </w:pPr>
                  <w:r w:rsidRPr="00043FDA">
                    <w:t>–</w:t>
                  </w:r>
                </w:p>
              </w:tc>
              <w:tc>
                <w:tcPr>
                  <w:tcW w:w="439" w:type="pct"/>
                  <w:shd w:val="clear" w:color="auto" w:fill="auto"/>
                  <w:vAlign w:val="bottom"/>
                </w:tcPr>
                <w:p w:rsidR="00745FEA" w:rsidRPr="00043FDA" w:rsidRDefault="00745FEA" w:rsidP="00745FEA">
                  <w:pPr>
                    <w:pStyle w:val="TableBodyText"/>
                    <w:ind w:right="57"/>
                  </w:pPr>
                  <w:r w:rsidRPr="00043FDA">
                    <w:t>–</w:t>
                  </w:r>
                </w:p>
              </w:tc>
            </w:tr>
            <w:tr w:rsidR="00745FEA" w:rsidTr="00745FEA">
              <w:tc>
                <w:tcPr>
                  <w:tcW w:w="2218" w:type="pct"/>
                  <w:shd w:val="clear" w:color="auto" w:fill="auto"/>
                </w:tcPr>
                <w:p w:rsidR="00745FEA" w:rsidRPr="00A70E33" w:rsidRDefault="00745FEA" w:rsidP="00745FEA">
                  <w:pPr>
                    <w:pStyle w:val="TableBodyText"/>
                    <w:spacing w:before="20" w:after="20"/>
                    <w:jc w:val="left"/>
                    <w:rPr>
                      <w:i/>
                    </w:rPr>
                  </w:pPr>
                  <w:r w:rsidRPr="00A70E33">
                    <w:rPr>
                      <w:i/>
                    </w:rPr>
                    <w:t>Total</w:t>
                  </w:r>
                </w:p>
              </w:tc>
              <w:tc>
                <w:tcPr>
                  <w:tcW w:w="466" w:type="pct"/>
                  <w:vAlign w:val="bottom"/>
                </w:tcPr>
                <w:p w:rsidR="00745FEA" w:rsidRPr="00AE2156" w:rsidRDefault="00745FEA" w:rsidP="00745FEA">
                  <w:pPr>
                    <w:pStyle w:val="TableBodyText"/>
                    <w:spacing w:before="20" w:after="20"/>
                    <w:ind w:right="57"/>
                    <w:rPr>
                      <w:i/>
                    </w:rPr>
                  </w:pPr>
                  <w:r>
                    <w:rPr>
                      <w:i/>
                    </w:rPr>
                    <w:t>15.9</w:t>
                  </w:r>
                </w:p>
              </w:tc>
              <w:tc>
                <w:tcPr>
                  <w:tcW w:w="464" w:type="pct"/>
                  <w:vAlign w:val="bottom"/>
                </w:tcPr>
                <w:p w:rsidR="00745FEA" w:rsidRPr="00AE2156" w:rsidRDefault="00745FEA" w:rsidP="00745FEA">
                  <w:pPr>
                    <w:pStyle w:val="TableBodyText"/>
                    <w:spacing w:before="20" w:after="20"/>
                    <w:ind w:right="57"/>
                    <w:rPr>
                      <w:i/>
                    </w:rPr>
                  </w:pPr>
                  <w:r>
                    <w:rPr>
                      <w:i/>
                    </w:rPr>
                    <w:t>16.6</w:t>
                  </w:r>
                </w:p>
              </w:tc>
              <w:tc>
                <w:tcPr>
                  <w:tcW w:w="468" w:type="pct"/>
                  <w:gridSpan w:val="2"/>
                </w:tcPr>
                <w:p w:rsidR="00745FEA" w:rsidRPr="004D718B" w:rsidRDefault="00745FEA" w:rsidP="00745FEA">
                  <w:pPr>
                    <w:pStyle w:val="TableBodyText"/>
                    <w:spacing w:before="20" w:after="20"/>
                    <w:ind w:right="57"/>
                    <w:rPr>
                      <w:i/>
                    </w:rPr>
                  </w:pPr>
                  <w:r>
                    <w:rPr>
                      <w:i/>
                    </w:rPr>
                    <w:t>13.7</w:t>
                  </w:r>
                </w:p>
              </w:tc>
              <w:tc>
                <w:tcPr>
                  <w:tcW w:w="468" w:type="pct"/>
                  <w:gridSpan w:val="2"/>
                </w:tcPr>
                <w:p w:rsidR="00745FEA" w:rsidRPr="004D718B" w:rsidRDefault="00745FEA" w:rsidP="00745FEA">
                  <w:pPr>
                    <w:pStyle w:val="TableBodyText"/>
                    <w:spacing w:before="20" w:after="20"/>
                    <w:ind w:right="57"/>
                    <w:rPr>
                      <w:i/>
                    </w:rPr>
                  </w:pPr>
                  <w:r>
                    <w:rPr>
                      <w:i/>
                    </w:rPr>
                    <w:t>18.2</w:t>
                  </w:r>
                </w:p>
              </w:tc>
              <w:tc>
                <w:tcPr>
                  <w:tcW w:w="477" w:type="pct"/>
                  <w:gridSpan w:val="2"/>
                  <w:shd w:val="clear" w:color="auto" w:fill="auto"/>
                </w:tcPr>
                <w:p w:rsidR="00745FEA" w:rsidRPr="004D718B" w:rsidRDefault="00745FEA" w:rsidP="00745FEA">
                  <w:pPr>
                    <w:pStyle w:val="TableBodyText"/>
                    <w:spacing w:before="20" w:after="20"/>
                    <w:ind w:right="57"/>
                    <w:rPr>
                      <w:i/>
                    </w:rPr>
                  </w:pPr>
                  <w:r>
                    <w:rPr>
                      <w:i/>
                    </w:rPr>
                    <w:t>20.1</w:t>
                  </w:r>
                </w:p>
              </w:tc>
              <w:tc>
                <w:tcPr>
                  <w:tcW w:w="439" w:type="pct"/>
                  <w:shd w:val="clear" w:color="auto" w:fill="auto"/>
                </w:tcPr>
                <w:p w:rsidR="00745FEA" w:rsidRPr="004D718B" w:rsidRDefault="00745FEA" w:rsidP="00745FEA">
                  <w:pPr>
                    <w:pStyle w:val="TableBodyText"/>
                    <w:spacing w:before="20" w:after="20"/>
                    <w:ind w:right="57"/>
                    <w:rPr>
                      <w:i/>
                    </w:rPr>
                  </w:pPr>
                  <w:r>
                    <w:rPr>
                      <w:i/>
                    </w:rPr>
                    <w:t>29.5</w:t>
                  </w:r>
                </w:p>
              </w:tc>
            </w:tr>
            <w:tr w:rsidR="00745FEA" w:rsidTr="00745FEA">
              <w:tc>
                <w:tcPr>
                  <w:tcW w:w="2218" w:type="pct"/>
                </w:tcPr>
                <w:p w:rsidR="00745FEA" w:rsidRPr="003D4CC9" w:rsidRDefault="00745FEA" w:rsidP="00745FEA">
                  <w:pPr>
                    <w:pStyle w:val="TableUnitsRow"/>
                    <w:jc w:val="left"/>
                    <w:rPr>
                      <w:b/>
                    </w:rPr>
                  </w:pPr>
                  <w:r w:rsidRPr="003D4CC9">
                    <w:rPr>
                      <w:b/>
                    </w:rPr>
                    <w:t>Education and training</w:t>
                  </w:r>
                </w:p>
              </w:tc>
              <w:tc>
                <w:tcPr>
                  <w:tcW w:w="466"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vAlign w:val="bottom"/>
                </w:tcPr>
                <w:p w:rsidR="00745FEA" w:rsidRDefault="00745FEA" w:rsidP="00745FEA">
                  <w:pPr>
                    <w:pStyle w:val="TableUnitsRow"/>
                    <w:ind w:right="57"/>
                  </w:pPr>
                </w:p>
              </w:tc>
              <w:tc>
                <w:tcPr>
                  <w:tcW w:w="464" w:type="pct"/>
                  <w:gridSpan w:val="2"/>
                  <w:vAlign w:val="bottom"/>
                </w:tcPr>
                <w:p w:rsidR="00745FEA" w:rsidRDefault="00745FEA" w:rsidP="00745FEA">
                  <w:pPr>
                    <w:pStyle w:val="TableUnitsRow"/>
                    <w:ind w:right="57"/>
                  </w:pPr>
                </w:p>
              </w:tc>
              <w:tc>
                <w:tcPr>
                  <w:tcW w:w="463" w:type="pct"/>
                  <w:gridSpan w:val="2"/>
                  <w:vAlign w:val="bottom"/>
                </w:tcPr>
                <w:p w:rsidR="00745FEA" w:rsidRDefault="00745FEA" w:rsidP="00745FEA">
                  <w:pPr>
                    <w:pStyle w:val="TableUnitsRow"/>
                    <w:ind w:right="57"/>
                  </w:pPr>
                </w:p>
              </w:tc>
              <w:tc>
                <w:tcPr>
                  <w:tcW w:w="461" w:type="pct"/>
                  <w:gridSpan w:val="2"/>
                  <w:vAlign w:val="bottom"/>
                </w:tcPr>
                <w:p w:rsidR="00745FEA" w:rsidRDefault="00745FEA" w:rsidP="00745FEA">
                  <w:pPr>
                    <w:pStyle w:val="TableUnitsRow"/>
                    <w:ind w:right="57"/>
                  </w:pPr>
                </w:p>
              </w:tc>
            </w:tr>
            <w:tr w:rsidR="00745FEA" w:rsidTr="00745FEA">
              <w:tc>
                <w:tcPr>
                  <w:tcW w:w="2218" w:type="pct"/>
                </w:tcPr>
                <w:p w:rsidR="00745FEA" w:rsidRPr="003D4CC9" w:rsidRDefault="00745FEA" w:rsidP="00745FEA">
                  <w:pPr>
                    <w:pStyle w:val="TableBodyText"/>
                    <w:spacing w:before="40" w:after="0"/>
                    <w:ind w:left="113"/>
                    <w:jc w:val="left"/>
                    <w:rPr>
                      <w:i/>
                    </w:rPr>
                  </w:pPr>
                  <w:r w:rsidRPr="003D4CC9">
                    <w:rPr>
                      <w:i/>
                    </w:rPr>
                    <w:t>General export measures</w:t>
                  </w:r>
                </w:p>
              </w:tc>
              <w:tc>
                <w:tcPr>
                  <w:tcW w:w="466"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vAlign w:val="bottom"/>
                </w:tcPr>
                <w:p w:rsidR="00745FEA" w:rsidRDefault="00745FEA" w:rsidP="00745FEA">
                  <w:pPr>
                    <w:pStyle w:val="TableBodyText"/>
                    <w:spacing w:before="40" w:after="0"/>
                    <w:ind w:left="113" w:right="57"/>
                  </w:pPr>
                </w:p>
              </w:tc>
              <w:tc>
                <w:tcPr>
                  <w:tcW w:w="464" w:type="pct"/>
                  <w:gridSpan w:val="2"/>
                  <w:vAlign w:val="bottom"/>
                </w:tcPr>
                <w:p w:rsidR="00745FEA" w:rsidRDefault="00745FEA" w:rsidP="00745FEA">
                  <w:pPr>
                    <w:pStyle w:val="TableBodyText"/>
                    <w:spacing w:before="40" w:after="0"/>
                    <w:ind w:left="113" w:right="57"/>
                  </w:pPr>
                </w:p>
              </w:tc>
              <w:tc>
                <w:tcPr>
                  <w:tcW w:w="463" w:type="pct"/>
                  <w:gridSpan w:val="2"/>
                  <w:vAlign w:val="bottom"/>
                </w:tcPr>
                <w:p w:rsidR="00745FEA" w:rsidRDefault="00745FEA" w:rsidP="00745FEA">
                  <w:pPr>
                    <w:pStyle w:val="TableBodyText"/>
                    <w:spacing w:before="40" w:after="0"/>
                    <w:ind w:left="113" w:right="57"/>
                  </w:pPr>
                </w:p>
              </w:tc>
              <w:tc>
                <w:tcPr>
                  <w:tcW w:w="461" w:type="pct"/>
                  <w:gridSpan w:val="2"/>
                  <w:vAlign w:val="bottom"/>
                </w:tcPr>
                <w:p w:rsidR="00745FEA" w:rsidRDefault="00745FEA" w:rsidP="00745FEA">
                  <w:pPr>
                    <w:pStyle w:val="TableBodyText"/>
                    <w:spacing w:before="40" w:after="0"/>
                    <w:ind w:left="113" w:right="57"/>
                  </w:pPr>
                </w:p>
              </w:tc>
            </w:tr>
            <w:tr w:rsidR="00745FEA" w:rsidTr="00745FEA">
              <w:tc>
                <w:tcPr>
                  <w:tcW w:w="2218" w:type="pct"/>
                  <w:shd w:val="clear" w:color="auto" w:fill="auto"/>
                </w:tcPr>
                <w:p w:rsidR="00745FEA" w:rsidRPr="00FC6480" w:rsidRDefault="00745FEA" w:rsidP="00745FEA">
                  <w:pPr>
                    <w:pStyle w:val="TableBodyText"/>
                    <w:spacing w:after="0"/>
                    <w:ind w:left="227" w:right="0"/>
                    <w:jc w:val="left"/>
                  </w:pPr>
                  <w:r w:rsidRPr="00FC6480">
                    <w:t>Export Market Development Grants Scheme</w:t>
                  </w:r>
                </w:p>
              </w:tc>
              <w:tc>
                <w:tcPr>
                  <w:tcW w:w="466" w:type="pct"/>
                  <w:vAlign w:val="bottom"/>
                </w:tcPr>
                <w:p w:rsidR="00745FEA" w:rsidRPr="00FC6480" w:rsidRDefault="00745FEA" w:rsidP="00745FEA">
                  <w:pPr>
                    <w:pStyle w:val="TableBodyText"/>
                    <w:ind w:right="57"/>
                  </w:pPr>
                  <w:r w:rsidRPr="00E06D58">
                    <w:t>9.2</w:t>
                  </w:r>
                </w:p>
              </w:tc>
              <w:tc>
                <w:tcPr>
                  <w:tcW w:w="464" w:type="pct"/>
                  <w:vAlign w:val="bottom"/>
                </w:tcPr>
                <w:p w:rsidR="00745FEA" w:rsidRPr="00FC6480" w:rsidRDefault="00745FEA" w:rsidP="00745FEA">
                  <w:pPr>
                    <w:pStyle w:val="TableBodyText"/>
                    <w:ind w:right="57"/>
                  </w:pPr>
                  <w:r w:rsidRPr="00E06D58">
                    <w:t>7.6</w:t>
                  </w:r>
                </w:p>
              </w:tc>
              <w:tc>
                <w:tcPr>
                  <w:tcW w:w="464" w:type="pct"/>
                  <w:vAlign w:val="bottom"/>
                </w:tcPr>
                <w:p w:rsidR="00745FEA" w:rsidRPr="00FC6480" w:rsidRDefault="00745FEA" w:rsidP="00745FEA">
                  <w:pPr>
                    <w:pStyle w:val="TableBodyText"/>
                    <w:ind w:right="57"/>
                  </w:pPr>
                  <w:r w:rsidRPr="00E06D58">
                    <w:t>7.0</w:t>
                  </w:r>
                </w:p>
              </w:tc>
              <w:tc>
                <w:tcPr>
                  <w:tcW w:w="464" w:type="pct"/>
                  <w:gridSpan w:val="2"/>
                  <w:vAlign w:val="bottom"/>
                </w:tcPr>
                <w:p w:rsidR="00745FEA" w:rsidRPr="00FC6480" w:rsidRDefault="00745FEA" w:rsidP="00745FEA">
                  <w:pPr>
                    <w:pStyle w:val="TableBodyText"/>
                    <w:ind w:right="57"/>
                  </w:pPr>
                  <w:r w:rsidRPr="00E06D58">
                    <w:t>8.0</w:t>
                  </w:r>
                </w:p>
              </w:tc>
              <w:tc>
                <w:tcPr>
                  <w:tcW w:w="463" w:type="pct"/>
                  <w:gridSpan w:val="2"/>
                  <w:shd w:val="clear" w:color="auto" w:fill="auto"/>
                  <w:vAlign w:val="bottom"/>
                </w:tcPr>
                <w:p w:rsidR="00745FEA" w:rsidRPr="00FC6480" w:rsidRDefault="00745FEA" w:rsidP="00745FEA">
                  <w:pPr>
                    <w:pStyle w:val="TableBodyText"/>
                    <w:ind w:right="57"/>
                  </w:pPr>
                  <w:r w:rsidRPr="00E06D58">
                    <w:t>7.4</w:t>
                  </w:r>
                </w:p>
              </w:tc>
              <w:tc>
                <w:tcPr>
                  <w:tcW w:w="461" w:type="pct"/>
                  <w:gridSpan w:val="2"/>
                  <w:shd w:val="clear" w:color="auto" w:fill="auto"/>
                  <w:vAlign w:val="bottom"/>
                </w:tcPr>
                <w:p w:rsidR="00745FEA" w:rsidRDefault="00745FEA" w:rsidP="00745FEA">
                  <w:pPr>
                    <w:pStyle w:val="TableBodyText"/>
                    <w:ind w:right="57"/>
                  </w:pPr>
                  <w:r w:rsidRPr="00E06D58">
                    <w:t>7.0</w:t>
                  </w:r>
                </w:p>
              </w:tc>
            </w:tr>
            <w:tr w:rsidR="00745FEA" w:rsidTr="00745FEA">
              <w:tc>
                <w:tcPr>
                  <w:tcW w:w="2218" w:type="pct"/>
                  <w:shd w:val="clear" w:color="auto" w:fill="auto"/>
                </w:tcPr>
                <w:p w:rsidR="00745FEA" w:rsidRPr="003D4CC9" w:rsidRDefault="00745FEA" w:rsidP="00745FEA">
                  <w:pPr>
                    <w:pStyle w:val="TableBodyText"/>
                    <w:spacing w:before="40" w:after="0"/>
                    <w:ind w:left="113"/>
                    <w:jc w:val="left"/>
                    <w:rPr>
                      <w:i/>
                    </w:rPr>
                  </w:pPr>
                  <w:r w:rsidRPr="003D4CC9">
                    <w:rPr>
                      <w:i/>
                    </w:rPr>
                    <w:t>General R&amp;D measures</w:t>
                  </w:r>
                </w:p>
              </w:tc>
              <w:tc>
                <w:tcPr>
                  <w:tcW w:w="466"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vAlign w:val="bottom"/>
                </w:tcPr>
                <w:p w:rsidR="00745FEA" w:rsidRDefault="00745FEA" w:rsidP="00745FEA">
                  <w:pPr>
                    <w:pStyle w:val="TableBodyText"/>
                    <w:ind w:right="57"/>
                  </w:pPr>
                </w:p>
              </w:tc>
              <w:tc>
                <w:tcPr>
                  <w:tcW w:w="464" w:type="pct"/>
                  <w:gridSpan w:val="2"/>
                  <w:vAlign w:val="bottom"/>
                </w:tcPr>
                <w:p w:rsidR="00745FEA" w:rsidRDefault="00745FEA" w:rsidP="00745FEA">
                  <w:pPr>
                    <w:pStyle w:val="TableBodyText"/>
                    <w:ind w:right="57"/>
                  </w:pPr>
                </w:p>
              </w:tc>
              <w:tc>
                <w:tcPr>
                  <w:tcW w:w="463" w:type="pct"/>
                  <w:gridSpan w:val="2"/>
                  <w:shd w:val="clear" w:color="auto" w:fill="auto"/>
                  <w:vAlign w:val="bottom"/>
                </w:tcPr>
                <w:p w:rsidR="00745FEA" w:rsidRDefault="00745FEA" w:rsidP="00745FEA">
                  <w:pPr>
                    <w:pStyle w:val="TableBodyText"/>
                    <w:ind w:right="57"/>
                  </w:pPr>
                </w:p>
              </w:tc>
              <w:tc>
                <w:tcPr>
                  <w:tcW w:w="461" w:type="pct"/>
                  <w:gridSpan w:val="2"/>
                  <w:shd w:val="clear" w:color="auto" w:fill="auto"/>
                  <w:vAlign w:val="bottom"/>
                </w:tcPr>
                <w:p w:rsidR="00745FEA" w:rsidRDefault="00745FEA" w:rsidP="00745FEA">
                  <w:pPr>
                    <w:pStyle w:val="TableBodyText"/>
                    <w:ind w:right="57"/>
                  </w:pP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Commercialisation Australia</w:t>
                  </w:r>
                </w:p>
              </w:tc>
              <w:tc>
                <w:tcPr>
                  <w:tcW w:w="466" w:type="pct"/>
                  <w:vAlign w:val="bottom"/>
                </w:tcPr>
                <w:p w:rsidR="00745FEA" w:rsidRPr="00ED18CA" w:rsidRDefault="00745FEA" w:rsidP="00745FEA">
                  <w:pPr>
                    <w:pStyle w:val="TableBodyText"/>
                    <w:ind w:right="57"/>
                  </w:pPr>
                  <w:r w:rsidRPr="001E3630">
                    <w:t>0.8</w:t>
                  </w:r>
                </w:p>
              </w:tc>
              <w:tc>
                <w:tcPr>
                  <w:tcW w:w="464" w:type="pct"/>
                  <w:vAlign w:val="bottom"/>
                </w:tcPr>
                <w:p w:rsidR="00745FEA" w:rsidRPr="00ED18CA" w:rsidRDefault="00745FEA" w:rsidP="00745FEA">
                  <w:pPr>
                    <w:pStyle w:val="TableBodyText"/>
                    <w:ind w:right="57"/>
                  </w:pPr>
                  <w:r w:rsidRPr="001E3630">
                    <w:t>1.2</w:t>
                  </w:r>
                </w:p>
              </w:tc>
              <w:tc>
                <w:tcPr>
                  <w:tcW w:w="464" w:type="pct"/>
                  <w:vAlign w:val="bottom"/>
                </w:tcPr>
                <w:p w:rsidR="00745FEA" w:rsidRPr="00ED18CA" w:rsidRDefault="00745FEA" w:rsidP="00745FEA">
                  <w:pPr>
                    <w:pStyle w:val="TableBodyText"/>
                    <w:ind w:right="57"/>
                  </w:pPr>
                  <w:r w:rsidRPr="001E3630">
                    <w:t>0.2</w:t>
                  </w:r>
                </w:p>
              </w:tc>
              <w:tc>
                <w:tcPr>
                  <w:tcW w:w="464" w:type="pct"/>
                  <w:gridSpan w:val="2"/>
                  <w:vAlign w:val="bottom"/>
                </w:tcPr>
                <w:p w:rsidR="00745FEA" w:rsidRPr="00ED18CA" w:rsidRDefault="00745FEA" w:rsidP="00745FEA">
                  <w:pPr>
                    <w:pStyle w:val="TableBodyText"/>
                    <w:ind w:right="57"/>
                  </w:pPr>
                  <w:r w:rsidRPr="001E3630">
                    <w:t>0.5</w:t>
                  </w:r>
                </w:p>
              </w:tc>
              <w:tc>
                <w:tcPr>
                  <w:tcW w:w="463" w:type="pct"/>
                  <w:gridSpan w:val="2"/>
                  <w:shd w:val="clear" w:color="auto" w:fill="auto"/>
                  <w:vAlign w:val="bottom"/>
                </w:tcPr>
                <w:p w:rsidR="00745FEA" w:rsidRPr="00ED18CA" w:rsidRDefault="00745FEA" w:rsidP="00745FEA">
                  <w:pPr>
                    <w:pStyle w:val="TableBodyText"/>
                    <w:ind w:right="57"/>
                  </w:pPr>
                  <w:r w:rsidRPr="001E3630">
                    <w:t>&lt;0.1</w:t>
                  </w:r>
                </w:p>
              </w:tc>
              <w:tc>
                <w:tcPr>
                  <w:tcW w:w="461" w:type="pct"/>
                  <w:gridSpan w:val="2"/>
                  <w:shd w:val="clear" w:color="auto" w:fill="auto"/>
                  <w:vAlign w:val="bottom"/>
                </w:tcPr>
                <w:p w:rsidR="00745FEA" w:rsidRPr="00ED18CA" w:rsidRDefault="00745FEA" w:rsidP="00745FEA">
                  <w:pPr>
                    <w:pStyle w:val="TableBodyText"/>
                    <w:ind w:right="57"/>
                  </w:pPr>
                  <w:r w:rsidRPr="001E3630">
                    <w:t>–</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COMET Program</w:t>
                  </w:r>
                </w:p>
              </w:tc>
              <w:tc>
                <w:tcPr>
                  <w:tcW w:w="466" w:type="pct"/>
                  <w:vAlign w:val="bottom"/>
                </w:tcPr>
                <w:p w:rsidR="00745FEA" w:rsidRPr="00ED18CA" w:rsidRDefault="00745FEA" w:rsidP="00745FEA">
                  <w:pPr>
                    <w:pStyle w:val="TableBodyText"/>
                    <w:ind w:right="57"/>
                  </w:pPr>
                  <w:r w:rsidRPr="001E3630">
                    <w:t>0.1</w:t>
                  </w:r>
                </w:p>
              </w:tc>
              <w:tc>
                <w:tcPr>
                  <w:tcW w:w="464" w:type="pct"/>
                  <w:vAlign w:val="bottom"/>
                </w:tcPr>
                <w:p w:rsidR="00745FEA" w:rsidRPr="00ED18CA" w:rsidRDefault="00745FEA" w:rsidP="00745FEA">
                  <w:pPr>
                    <w:pStyle w:val="TableBodyText"/>
                    <w:ind w:right="57"/>
                  </w:pPr>
                  <w:r w:rsidRPr="001E3630">
                    <w:t>–</w:t>
                  </w:r>
                </w:p>
              </w:tc>
              <w:tc>
                <w:tcPr>
                  <w:tcW w:w="464" w:type="pct"/>
                  <w:vAlign w:val="bottom"/>
                </w:tcPr>
                <w:p w:rsidR="00745FEA" w:rsidRPr="00ED18CA" w:rsidRDefault="00745FEA" w:rsidP="00745FEA">
                  <w:pPr>
                    <w:pStyle w:val="TableBodyText"/>
                    <w:ind w:right="57"/>
                  </w:pPr>
                  <w:r w:rsidRPr="001E3630">
                    <w:t>–</w:t>
                  </w:r>
                </w:p>
              </w:tc>
              <w:tc>
                <w:tcPr>
                  <w:tcW w:w="464" w:type="pct"/>
                  <w:gridSpan w:val="2"/>
                  <w:vAlign w:val="bottom"/>
                </w:tcPr>
                <w:p w:rsidR="00745FEA" w:rsidRPr="00ED18CA" w:rsidRDefault="00745FEA" w:rsidP="00745FEA">
                  <w:pPr>
                    <w:pStyle w:val="TableBodyText"/>
                    <w:ind w:right="57"/>
                  </w:pPr>
                  <w:r w:rsidRPr="001E3630">
                    <w:t>–</w:t>
                  </w:r>
                </w:p>
              </w:tc>
              <w:tc>
                <w:tcPr>
                  <w:tcW w:w="463" w:type="pct"/>
                  <w:gridSpan w:val="2"/>
                  <w:shd w:val="clear" w:color="auto" w:fill="auto"/>
                  <w:vAlign w:val="bottom"/>
                </w:tcPr>
                <w:p w:rsidR="00745FEA" w:rsidRPr="00ED18CA" w:rsidRDefault="00745FEA" w:rsidP="00745FEA">
                  <w:pPr>
                    <w:pStyle w:val="TableBodyText"/>
                    <w:ind w:right="57"/>
                  </w:pPr>
                  <w:r w:rsidRPr="001E3630">
                    <w:t>–</w:t>
                  </w:r>
                </w:p>
              </w:tc>
              <w:tc>
                <w:tcPr>
                  <w:tcW w:w="461" w:type="pct"/>
                  <w:gridSpan w:val="2"/>
                  <w:shd w:val="clear" w:color="auto" w:fill="auto"/>
                  <w:vAlign w:val="bottom"/>
                </w:tcPr>
                <w:p w:rsidR="00745FEA" w:rsidRPr="00ED18CA" w:rsidRDefault="00745FEA" w:rsidP="00745FEA">
                  <w:pPr>
                    <w:pStyle w:val="TableBodyText"/>
                    <w:ind w:right="57"/>
                  </w:pPr>
                  <w:r w:rsidRPr="001E3630">
                    <w:t>–</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Commercial Ready Program</w:t>
                  </w:r>
                </w:p>
              </w:tc>
              <w:tc>
                <w:tcPr>
                  <w:tcW w:w="466" w:type="pct"/>
                  <w:vAlign w:val="bottom"/>
                </w:tcPr>
                <w:p w:rsidR="00745FEA" w:rsidRPr="00ED18CA" w:rsidRDefault="00745FEA" w:rsidP="00745FEA">
                  <w:pPr>
                    <w:pStyle w:val="TableBodyText"/>
                    <w:ind w:right="57"/>
                  </w:pPr>
                  <w:r w:rsidRPr="001E3630">
                    <w:t>0.1</w:t>
                  </w:r>
                </w:p>
              </w:tc>
              <w:tc>
                <w:tcPr>
                  <w:tcW w:w="464" w:type="pct"/>
                  <w:vAlign w:val="bottom"/>
                </w:tcPr>
                <w:p w:rsidR="00745FEA" w:rsidRPr="00ED18CA" w:rsidRDefault="00745FEA" w:rsidP="00745FEA">
                  <w:pPr>
                    <w:pStyle w:val="TableBodyText"/>
                    <w:ind w:right="57"/>
                  </w:pPr>
                  <w:r w:rsidRPr="001E3630">
                    <w:t>–</w:t>
                  </w:r>
                </w:p>
              </w:tc>
              <w:tc>
                <w:tcPr>
                  <w:tcW w:w="464" w:type="pct"/>
                  <w:vAlign w:val="bottom"/>
                </w:tcPr>
                <w:p w:rsidR="00745FEA" w:rsidRPr="00ED18CA" w:rsidRDefault="00745FEA" w:rsidP="00745FEA">
                  <w:pPr>
                    <w:pStyle w:val="TableBodyText"/>
                    <w:ind w:right="57"/>
                  </w:pPr>
                  <w:r w:rsidRPr="001E3630">
                    <w:t>–</w:t>
                  </w:r>
                </w:p>
              </w:tc>
              <w:tc>
                <w:tcPr>
                  <w:tcW w:w="464" w:type="pct"/>
                  <w:gridSpan w:val="2"/>
                  <w:vAlign w:val="bottom"/>
                </w:tcPr>
                <w:p w:rsidR="00745FEA" w:rsidRPr="00ED18CA" w:rsidRDefault="00745FEA" w:rsidP="00745FEA">
                  <w:pPr>
                    <w:pStyle w:val="TableBodyText"/>
                    <w:ind w:right="57"/>
                  </w:pPr>
                  <w:r w:rsidRPr="001E3630">
                    <w:t>–</w:t>
                  </w:r>
                </w:p>
              </w:tc>
              <w:tc>
                <w:tcPr>
                  <w:tcW w:w="463" w:type="pct"/>
                  <w:gridSpan w:val="2"/>
                  <w:shd w:val="clear" w:color="auto" w:fill="auto"/>
                  <w:vAlign w:val="bottom"/>
                </w:tcPr>
                <w:p w:rsidR="00745FEA" w:rsidRPr="00ED18CA" w:rsidRDefault="00745FEA" w:rsidP="00745FEA">
                  <w:pPr>
                    <w:pStyle w:val="TableBodyText"/>
                    <w:ind w:right="57"/>
                  </w:pPr>
                  <w:r w:rsidRPr="001E3630">
                    <w:t>–</w:t>
                  </w:r>
                </w:p>
              </w:tc>
              <w:tc>
                <w:tcPr>
                  <w:tcW w:w="461" w:type="pct"/>
                  <w:gridSpan w:val="2"/>
                  <w:shd w:val="clear" w:color="auto" w:fill="auto"/>
                  <w:vAlign w:val="bottom"/>
                </w:tcPr>
                <w:p w:rsidR="00745FEA" w:rsidRPr="00ED18CA" w:rsidRDefault="00745FEA" w:rsidP="00745FEA">
                  <w:pPr>
                    <w:pStyle w:val="TableBodyText"/>
                    <w:ind w:right="57"/>
                  </w:pPr>
                  <w:r w:rsidRPr="001E3630">
                    <w:t>–</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CSIRO</w:t>
                  </w:r>
                </w:p>
              </w:tc>
              <w:tc>
                <w:tcPr>
                  <w:tcW w:w="466" w:type="pct"/>
                  <w:vAlign w:val="bottom"/>
                </w:tcPr>
                <w:p w:rsidR="00745FEA" w:rsidRPr="00ED18CA" w:rsidRDefault="00745FEA" w:rsidP="00745FEA">
                  <w:pPr>
                    <w:pStyle w:val="TableBodyText"/>
                    <w:ind w:right="57"/>
                  </w:pPr>
                  <w:r w:rsidRPr="001E3630">
                    <w:t>2.2</w:t>
                  </w:r>
                </w:p>
              </w:tc>
              <w:tc>
                <w:tcPr>
                  <w:tcW w:w="464" w:type="pct"/>
                  <w:vAlign w:val="bottom"/>
                </w:tcPr>
                <w:p w:rsidR="00745FEA" w:rsidRPr="00ED18CA" w:rsidRDefault="00745FEA" w:rsidP="00745FEA">
                  <w:pPr>
                    <w:pStyle w:val="TableBodyText"/>
                    <w:ind w:right="57"/>
                  </w:pPr>
                  <w:r w:rsidRPr="001E3630">
                    <w:t>3.1</w:t>
                  </w:r>
                </w:p>
              </w:tc>
              <w:tc>
                <w:tcPr>
                  <w:tcW w:w="464" w:type="pct"/>
                  <w:vAlign w:val="bottom"/>
                </w:tcPr>
                <w:p w:rsidR="00745FEA" w:rsidRPr="00ED18CA" w:rsidRDefault="00745FEA" w:rsidP="00745FEA">
                  <w:pPr>
                    <w:pStyle w:val="TableBodyText"/>
                    <w:ind w:right="57"/>
                  </w:pPr>
                  <w:r w:rsidRPr="001E3630">
                    <w:t>3.1</w:t>
                  </w:r>
                </w:p>
              </w:tc>
              <w:tc>
                <w:tcPr>
                  <w:tcW w:w="464" w:type="pct"/>
                  <w:gridSpan w:val="2"/>
                  <w:vAlign w:val="bottom"/>
                </w:tcPr>
                <w:p w:rsidR="00745FEA" w:rsidRPr="00ED18CA" w:rsidRDefault="00745FEA" w:rsidP="00745FEA">
                  <w:pPr>
                    <w:pStyle w:val="TableBodyText"/>
                    <w:ind w:right="57"/>
                  </w:pPr>
                  <w:r w:rsidRPr="001E3630">
                    <w:t>1.5</w:t>
                  </w:r>
                </w:p>
              </w:tc>
              <w:tc>
                <w:tcPr>
                  <w:tcW w:w="463" w:type="pct"/>
                  <w:gridSpan w:val="2"/>
                  <w:shd w:val="clear" w:color="auto" w:fill="auto"/>
                  <w:vAlign w:val="bottom"/>
                </w:tcPr>
                <w:p w:rsidR="00745FEA" w:rsidRPr="00ED18CA" w:rsidRDefault="00745FEA" w:rsidP="00745FEA">
                  <w:pPr>
                    <w:pStyle w:val="TableBodyText"/>
                    <w:ind w:right="57"/>
                  </w:pPr>
                  <w:r w:rsidRPr="001E3630">
                    <w:t>1.2</w:t>
                  </w:r>
                </w:p>
              </w:tc>
              <w:tc>
                <w:tcPr>
                  <w:tcW w:w="461" w:type="pct"/>
                  <w:gridSpan w:val="2"/>
                  <w:shd w:val="clear" w:color="auto" w:fill="auto"/>
                  <w:vAlign w:val="bottom"/>
                </w:tcPr>
                <w:p w:rsidR="00745FEA" w:rsidRPr="00ED18CA" w:rsidRDefault="00745FEA" w:rsidP="00745FEA">
                  <w:pPr>
                    <w:pStyle w:val="TableBodyText"/>
                    <w:ind w:right="57"/>
                  </w:pPr>
                  <w:r w:rsidRPr="001E3630">
                    <w:t>2.3</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R&amp;D Tax Incentive - refundable tax offset</w:t>
                  </w:r>
                </w:p>
              </w:tc>
              <w:tc>
                <w:tcPr>
                  <w:tcW w:w="466" w:type="pct"/>
                  <w:vAlign w:val="bottom"/>
                </w:tcPr>
                <w:p w:rsidR="00745FEA" w:rsidRPr="00ED18CA" w:rsidRDefault="00745FEA" w:rsidP="00745FEA">
                  <w:pPr>
                    <w:pStyle w:val="TableBodyText"/>
                    <w:ind w:right="57"/>
                  </w:pPr>
                  <w:r w:rsidRPr="001E3630">
                    <w:t>–</w:t>
                  </w:r>
                </w:p>
              </w:tc>
              <w:tc>
                <w:tcPr>
                  <w:tcW w:w="464" w:type="pct"/>
                  <w:vAlign w:val="bottom"/>
                </w:tcPr>
                <w:p w:rsidR="00745FEA" w:rsidRPr="00ED18CA" w:rsidRDefault="00745FEA" w:rsidP="00745FEA">
                  <w:pPr>
                    <w:pStyle w:val="TableBodyText"/>
                    <w:ind w:right="57"/>
                  </w:pPr>
                  <w:r w:rsidRPr="001E3630">
                    <w:t>9.5</w:t>
                  </w:r>
                </w:p>
              </w:tc>
              <w:tc>
                <w:tcPr>
                  <w:tcW w:w="464" w:type="pct"/>
                  <w:vAlign w:val="bottom"/>
                </w:tcPr>
                <w:p w:rsidR="00745FEA" w:rsidRPr="00ED18CA" w:rsidRDefault="00745FEA" w:rsidP="00745FEA">
                  <w:pPr>
                    <w:pStyle w:val="TableBodyText"/>
                    <w:ind w:right="57"/>
                  </w:pPr>
                  <w:r w:rsidRPr="001E3630">
                    <w:t>9.2</w:t>
                  </w:r>
                </w:p>
              </w:tc>
              <w:tc>
                <w:tcPr>
                  <w:tcW w:w="464" w:type="pct"/>
                  <w:gridSpan w:val="2"/>
                  <w:vAlign w:val="bottom"/>
                </w:tcPr>
                <w:p w:rsidR="00745FEA" w:rsidRPr="00ED18CA" w:rsidRDefault="00745FEA" w:rsidP="00745FEA">
                  <w:pPr>
                    <w:pStyle w:val="TableBodyText"/>
                    <w:ind w:right="57"/>
                  </w:pPr>
                  <w:r w:rsidRPr="001E3630">
                    <w:t>12.4</w:t>
                  </w:r>
                </w:p>
              </w:tc>
              <w:tc>
                <w:tcPr>
                  <w:tcW w:w="463" w:type="pct"/>
                  <w:gridSpan w:val="2"/>
                  <w:shd w:val="clear" w:color="auto" w:fill="auto"/>
                  <w:vAlign w:val="bottom"/>
                </w:tcPr>
                <w:p w:rsidR="00745FEA" w:rsidRPr="00ED18CA" w:rsidRDefault="00745FEA" w:rsidP="00745FEA">
                  <w:pPr>
                    <w:pStyle w:val="TableBodyText"/>
                    <w:ind w:right="57"/>
                  </w:pPr>
                  <w:r w:rsidRPr="001E3630">
                    <w:t>13.1</w:t>
                  </w:r>
                </w:p>
              </w:tc>
              <w:tc>
                <w:tcPr>
                  <w:tcW w:w="461" w:type="pct"/>
                  <w:gridSpan w:val="2"/>
                  <w:shd w:val="clear" w:color="auto" w:fill="auto"/>
                  <w:vAlign w:val="bottom"/>
                </w:tcPr>
                <w:p w:rsidR="00745FEA" w:rsidRPr="00ED18CA" w:rsidRDefault="00745FEA" w:rsidP="00745FEA">
                  <w:pPr>
                    <w:pStyle w:val="TableBodyText"/>
                    <w:ind w:right="57"/>
                  </w:pPr>
                  <w:r w:rsidRPr="001E3630">
                    <w:t>15.9</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R&amp;D tax offsets - Refundable</w:t>
                  </w:r>
                </w:p>
              </w:tc>
              <w:tc>
                <w:tcPr>
                  <w:tcW w:w="466" w:type="pct"/>
                  <w:vAlign w:val="bottom"/>
                </w:tcPr>
                <w:p w:rsidR="00745FEA" w:rsidRPr="00ED18CA" w:rsidRDefault="00745FEA" w:rsidP="00745FEA">
                  <w:pPr>
                    <w:pStyle w:val="TableBodyText"/>
                    <w:ind w:right="57"/>
                  </w:pPr>
                  <w:r w:rsidRPr="001E3630">
                    <w:t>3.6</w:t>
                  </w:r>
                </w:p>
              </w:tc>
              <w:tc>
                <w:tcPr>
                  <w:tcW w:w="464" w:type="pct"/>
                  <w:vAlign w:val="bottom"/>
                </w:tcPr>
                <w:p w:rsidR="00745FEA" w:rsidRPr="00ED18CA" w:rsidRDefault="00745FEA" w:rsidP="00745FEA">
                  <w:pPr>
                    <w:pStyle w:val="TableBodyText"/>
                    <w:ind w:right="57"/>
                  </w:pPr>
                  <w:r w:rsidRPr="001E3630">
                    <w:t>–</w:t>
                  </w:r>
                </w:p>
              </w:tc>
              <w:tc>
                <w:tcPr>
                  <w:tcW w:w="464" w:type="pct"/>
                  <w:vAlign w:val="bottom"/>
                </w:tcPr>
                <w:p w:rsidR="00745FEA" w:rsidRPr="00ED18CA" w:rsidRDefault="00745FEA" w:rsidP="00745FEA">
                  <w:pPr>
                    <w:pStyle w:val="TableBodyText"/>
                    <w:ind w:right="57"/>
                  </w:pPr>
                  <w:r w:rsidRPr="001E3630">
                    <w:t>–</w:t>
                  </w:r>
                </w:p>
              </w:tc>
              <w:tc>
                <w:tcPr>
                  <w:tcW w:w="464" w:type="pct"/>
                  <w:gridSpan w:val="2"/>
                  <w:vAlign w:val="bottom"/>
                </w:tcPr>
                <w:p w:rsidR="00745FEA" w:rsidRPr="00ED18CA" w:rsidRDefault="00745FEA" w:rsidP="00745FEA">
                  <w:pPr>
                    <w:pStyle w:val="TableBodyText"/>
                    <w:ind w:right="57"/>
                  </w:pPr>
                  <w:r w:rsidRPr="001E3630">
                    <w:t>–</w:t>
                  </w:r>
                </w:p>
              </w:tc>
              <w:tc>
                <w:tcPr>
                  <w:tcW w:w="463" w:type="pct"/>
                  <w:gridSpan w:val="2"/>
                  <w:shd w:val="clear" w:color="auto" w:fill="auto"/>
                  <w:vAlign w:val="bottom"/>
                </w:tcPr>
                <w:p w:rsidR="00745FEA" w:rsidRPr="00ED18CA" w:rsidRDefault="00745FEA" w:rsidP="00745FEA">
                  <w:pPr>
                    <w:pStyle w:val="TableBodyText"/>
                    <w:ind w:right="57"/>
                  </w:pPr>
                  <w:r w:rsidRPr="001E3630">
                    <w:t>–</w:t>
                  </w:r>
                </w:p>
              </w:tc>
              <w:tc>
                <w:tcPr>
                  <w:tcW w:w="461" w:type="pct"/>
                  <w:gridSpan w:val="2"/>
                  <w:shd w:val="clear" w:color="auto" w:fill="auto"/>
                  <w:vAlign w:val="bottom"/>
                </w:tcPr>
                <w:p w:rsidR="00745FEA" w:rsidRPr="00ED18CA" w:rsidRDefault="00745FEA" w:rsidP="00745FEA">
                  <w:pPr>
                    <w:pStyle w:val="TableBodyText"/>
                    <w:ind w:right="57"/>
                  </w:pPr>
                  <w:r w:rsidRPr="001E3630">
                    <w:t>–</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Premium R&amp;D tax concession</w:t>
                  </w:r>
                </w:p>
              </w:tc>
              <w:tc>
                <w:tcPr>
                  <w:tcW w:w="466" w:type="pct"/>
                  <w:vAlign w:val="bottom"/>
                </w:tcPr>
                <w:p w:rsidR="00745FEA" w:rsidRPr="00ED18CA" w:rsidRDefault="00745FEA" w:rsidP="00745FEA">
                  <w:pPr>
                    <w:pStyle w:val="TableBodyText"/>
                    <w:ind w:right="57"/>
                  </w:pPr>
                  <w:r w:rsidRPr="001E3630">
                    <w:t>0.2</w:t>
                  </w:r>
                </w:p>
              </w:tc>
              <w:tc>
                <w:tcPr>
                  <w:tcW w:w="464" w:type="pct"/>
                  <w:vAlign w:val="bottom"/>
                </w:tcPr>
                <w:p w:rsidR="00745FEA" w:rsidRPr="00ED18CA" w:rsidRDefault="00745FEA" w:rsidP="00745FEA">
                  <w:pPr>
                    <w:pStyle w:val="TableBodyText"/>
                    <w:ind w:right="57"/>
                  </w:pPr>
                  <w:r w:rsidRPr="001E3630">
                    <w:t>0.1</w:t>
                  </w:r>
                </w:p>
              </w:tc>
              <w:tc>
                <w:tcPr>
                  <w:tcW w:w="464" w:type="pct"/>
                  <w:vAlign w:val="bottom"/>
                </w:tcPr>
                <w:p w:rsidR="00745FEA" w:rsidRPr="00ED18CA" w:rsidRDefault="00745FEA" w:rsidP="00745FEA">
                  <w:pPr>
                    <w:pStyle w:val="TableBodyText"/>
                    <w:ind w:right="57"/>
                  </w:pPr>
                  <w:r w:rsidRPr="001E3630">
                    <w:t>&lt;0.1</w:t>
                  </w:r>
                </w:p>
              </w:tc>
              <w:tc>
                <w:tcPr>
                  <w:tcW w:w="464" w:type="pct"/>
                  <w:gridSpan w:val="2"/>
                  <w:vAlign w:val="bottom"/>
                </w:tcPr>
                <w:p w:rsidR="00745FEA" w:rsidRPr="00ED18CA" w:rsidRDefault="00745FEA" w:rsidP="00745FEA">
                  <w:pPr>
                    <w:pStyle w:val="TableBodyText"/>
                    <w:ind w:right="57"/>
                  </w:pPr>
                  <w:r w:rsidRPr="001E3630">
                    <w:t>–</w:t>
                  </w:r>
                </w:p>
              </w:tc>
              <w:tc>
                <w:tcPr>
                  <w:tcW w:w="463" w:type="pct"/>
                  <w:gridSpan w:val="2"/>
                  <w:shd w:val="clear" w:color="auto" w:fill="auto"/>
                  <w:vAlign w:val="bottom"/>
                </w:tcPr>
                <w:p w:rsidR="00745FEA" w:rsidRPr="00ED18CA" w:rsidRDefault="00745FEA" w:rsidP="00745FEA">
                  <w:pPr>
                    <w:pStyle w:val="TableBodyText"/>
                    <w:ind w:right="57"/>
                  </w:pPr>
                  <w:r w:rsidRPr="001E3630">
                    <w:t>–</w:t>
                  </w:r>
                </w:p>
              </w:tc>
              <w:tc>
                <w:tcPr>
                  <w:tcW w:w="461" w:type="pct"/>
                  <w:gridSpan w:val="2"/>
                  <w:shd w:val="clear" w:color="auto" w:fill="auto"/>
                  <w:vAlign w:val="bottom"/>
                </w:tcPr>
                <w:p w:rsidR="00745FEA" w:rsidRPr="00ED18CA" w:rsidRDefault="00745FEA" w:rsidP="00745FEA">
                  <w:pPr>
                    <w:pStyle w:val="TableBodyText"/>
                    <w:ind w:right="57"/>
                  </w:pPr>
                  <w:r w:rsidRPr="001E3630">
                    <w:t>–</w:t>
                  </w:r>
                </w:p>
              </w:tc>
            </w:tr>
            <w:tr w:rsidR="00745FEA" w:rsidTr="00745FEA">
              <w:tc>
                <w:tcPr>
                  <w:tcW w:w="2218" w:type="pct"/>
                  <w:shd w:val="clear" w:color="auto" w:fill="auto"/>
                </w:tcPr>
                <w:p w:rsidR="00745FEA" w:rsidRPr="00ED18CA" w:rsidRDefault="00745FEA" w:rsidP="00745FEA">
                  <w:pPr>
                    <w:pStyle w:val="TableBodyText"/>
                    <w:spacing w:after="0"/>
                    <w:ind w:left="227" w:right="0"/>
                    <w:jc w:val="left"/>
                  </w:pPr>
                  <w:r w:rsidRPr="00ED18CA">
                    <w:t>R&amp;D tax concession</w:t>
                  </w:r>
                </w:p>
              </w:tc>
              <w:tc>
                <w:tcPr>
                  <w:tcW w:w="466" w:type="pct"/>
                  <w:vAlign w:val="bottom"/>
                </w:tcPr>
                <w:p w:rsidR="00745FEA" w:rsidRPr="00ED18CA" w:rsidRDefault="00745FEA" w:rsidP="00745FEA">
                  <w:pPr>
                    <w:pStyle w:val="TableBodyText"/>
                    <w:ind w:right="57"/>
                  </w:pPr>
                  <w:r w:rsidRPr="001E3630">
                    <w:t>1.5</w:t>
                  </w:r>
                </w:p>
              </w:tc>
              <w:tc>
                <w:tcPr>
                  <w:tcW w:w="464" w:type="pct"/>
                  <w:vAlign w:val="bottom"/>
                </w:tcPr>
                <w:p w:rsidR="00745FEA" w:rsidRPr="00ED18CA" w:rsidRDefault="00745FEA" w:rsidP="00745FEA">
                  <w:pPr>
                    <w:pStyle w:val="TableBodyText"/>
                    <w:ind w:right="57"/>
                  </w:pPr>
                  <w:r w:rsidRPr="001E3630">
                    <w:t>0.7</w:t>
                  </w:r>
                </w:p>
              </w:tc>
              <w:tc>
                <w:tcPr>
                  <w:tcW w:w="464" w:type="pct"/>
                  <w:vAlign w:val="bottom"/>
                </w:tcPr>
                <w:p w:rsidR="00745FEA" w:rsidRPr="00ED18CA" w:rsidRDefault="00745FEA" w:rsidP="00745FEA">
                  <w:pPr>
                    <w:pStyle w:val="TableBodyText"/>
                    <w:ind w:right="57"/>
                  </w:pPr>
                  <w:r w:rsidRPr="001E3630">
                    <w:t>0.2</w:t>
                  </w:r>
                </w:p>
              </w:tc>
              <w:tc>
                <w:tcPr>
                  <w:tcW w:w="464" w:type="pct"/>
                  <w:gridSpan w:val="2"/>
                  <w:vAlign w:val="bottom"/>
                </w:tcPr>
                <w:p w:rsidR="00745FEA" w:rsidRPr="00ED18CA" w:rsidRDefault="00745FEA" w:rsidP="00745FEA">
                  <w:pPr>
                    <w:pStyle w:val="TableBodyText"/>
                    <w:ind w:right="57"/>
                  </w:pPr>
                  <w:r w:rsidRPr="001E3630">
                    <w:t>&lt;0.1</w:t>
                  </w:r>
                </w:p>
              </w:tc>
              <w:tc>
                <w:tcPr>
                  <w:tcW w:w="463" w:type="pct"/>
                  <w:gridSpan w:val="2"/>
                  <w:shd w:val="clear" w:color="auto" w:fill="auto"/>
                  <w:vAlign w:val="bottom"/>
                </w:tcPr>
                <w:p w:rsidR="00745FEA" w:rsidRPr="00ED18CA" w:rsidRDefault="00745FEA" w:rsidP="00745FEA">
                  <w:pPr>
                    <w:pStyle w:val="TableBodyText"/>
                    <w:ind w:right="57"/>
                  </w:pPr>
                  <w:r w:rsidRPr="001E3630">
                    <w:t>–</w:t>
                  </w:r>
                </w:p>
              </w:tc>
              <w:tc>
                <w:tcPr>
                  <w:tcW w:w="461" w:type="pct"/>
                  <w:gridSpan w:val="2"/>
                  <w:shd w:val="clear" w:color="auto" w:fill="auto"/>
                  <w:vAlign w:val="bottom"/>
                </w:tcPr>
                <w:p w:rsidR="00745FEA" w:rsidRPr="00ED18CA" w:rsidRDefault="00745FEA" w:rsidP="00745FEA">
                  <w:pPr>
                    <w:pStyle w:val="TableBodyText"/>
                    <w:ind w:right="57"/>
                  </w:pPr>
                  <w:r w:rsidRPr="001E3630">
                    <w:t>–</w:t>
                  </w:r>
                </w:p>
              </w:tc>
            </w:tr>
            <w:tr w:rsidR="00745FEA" w:rsidTr="00745FEA">
              <w:tc>
                <w:tcPr>
                  <w:tcW w:w="2218" w:type="pct"/>
                  <w:tcBorders>
                    <w:bottom w:val="single" w:sz="6" w:space="0" w:color="BFBFBF"/>
                  </w:tcBorders>
                  <w:shd w:val="clear" w:color="auto" w:fill="auto"/>
                </w:tcPr>
                <w:p w:rsidR="00745FEA" w:rsidRPr="00ED18CA" w:rsidRDefault="00745FEA" w:rsidP="00745FEA">
                  <w:pPr>
                    <w:pStyle w:val="TableBodyText"/>
                    <w:ind w:left="227" w:right="0"/>
                    <w:jc w:val="left"/>
                  </w:pPr>
                  <w:r w:rsidRPr="00ED18CA">
                    <w:t>R&amp;D Tax Incentive - non-refundable tax offset</w:t>
                  </w:r>
                </w:p>
              </w:tc>
              <w:tc>
                <w:tcPr>
                  <w:tcW w:w="466" w:type="pct"/>
                  <w:tcBorders>
                    <w:bottom w:val="single" w:sz="6" w:space="0" w:color="BFBFBF"/>
                  </w:tcBorders>
                  <w:vAlign w:val="bottom"/>
                </w:tcPr>
                <w:p w:rsidR="00745FEA" w:rsidRPr="00ED18CA" w:rsidRDefault="00745FEA" w:rsidP="00745FEA">
                  <w:pPr>
                    <w:pStyle w:val="TableBodyText"/>
                    <w:ind w:right="57"/>
                  </w:pPr>
                  <w:r w:rsidRPr="001E3630">
                    <w:t>–</w:t>
                  </w:r>
                </w:p>
              </w:tc>
              <w:tc>
                <w:tcPr>
                  <w:tcW w:w="464" w:type="pct"/>
                  <w:tcBorders>
                    <w:bottom w:val="single" w:sz="6" w:space="0" w:color="BFBFBF"/>
                  </w:tcBorders>
                  <w:vAlign w:val="bottom"/>
                </w:tcPr>
                <w:p w:rsidR="00745FEA" w:rsidRPr="00ED18CA" w:rsidRDefault="00745FEA" w:rsidP="00745FEA">
                  <w:pPr>
                    <w:pStyle w:val="TableBodyText"/>
                    <w:ind w:right="57"/>
                  </w:pPr>
                  <w:r w:rsidRPr="001E3630">
                    <w:t>1.6</w:t>
                  </w:r>
                </w:p>
              </w:tc>
              <w:tc>
                <w:tcPr>
                  <w:tcW w:w="464" w:type="pct"/>
                  <w:tcBorders>
                    <w:bottom w:val="single" w:sz="6" w:space="0" w:color="BFBFBF"/>
                  </w:tcBorders>
                  <w:vAlign w:val="bottom"/>
                </w:tcPr>
                <w:p w:rsidR="00745FEA" w:rsidRPr="00ED18CA" w:rsidRDefault="00745FEA" w:rsidP="00745FEA">
                  <w:pPr>
                    <w:pStyle w:val="TableBodyText"/>
                    <w:ind w:right="57"/>
                  </w:pPr>
                  <w:r w:rsidRPr="001E3630">
                    <w:t>0.3</w:t>
                  </w:r>
                </w:p>
              </w:tc>
              <w:tc>
                <w:tcPr>
                  <w:tcW w:w="464" w:type="pct"/>
                  <w:gridSpan w:val="2"/>
                  <w:tcBorders>
                    <w:bottom w:val="single" w:sz="6" w:space="0" w:color="BFBFBF"/>
                  </w:tcBorders>
                  <w:vAlign w:val="bottom"/>
                </w:tcPr>
                <w:p w:rsidR="00745FEA" w:rsidRPr="00ED18CA" w:rsidRDefault="00745FEA" w:rsidP="00745FEA">
                  <w:pPr>
                    <w:pStyle w:val="TableBodyText"/>
                    <w:ind w:right="57"/>
                  </w:pPr>
                  <w:r w:rsidRPr="001E3630">
                    <w:t>1.1</w:t>
                  </w:r>
                </w:p>
              </w:tc>
              <w:tc>
                <w:tcPr>
                  <w:tcW w:w="463" w:type="pct"/>
                  <w:gridSpan w:val="2"/>
                  <w:tcBorders>
                    <w:bottom w:val="single" w:sz="6" w:space="0" w:color="BFBFBF"/>
                  </w:tcBorders>
                  <w:shd w:val="clear" w:color="auto" w:fill="auto"/>
                  <w:vAlign w:val="bottom"/>
                </w:tcPr>
                <w:p w:rsidR="00745FEA" w:rsidRPr="00ED18CA" w:rsidRDefault="00745FEA" w:rsidP="00745FEA">
                  <w:pPr>
                    <w:pStyle w:val="TableBodyText"/>
                    <w:ind w:right="57"/>
                  </w:pPr>
                  <w:r w:rsidRPr="001E3630">
                    <w:t>0.2</w:t>
                  </w:r>
                </w:p>
              </w:tc>
              <w:tc>
                <w:tcPr>
                  <w:tcW w:w="461" w:type="pct"/>
                  <w:gridSpan w:val="2"/>
                  <w:tcBorders>
                    <w:bottom w:val="single" w:sz="6" w:space="0" w:color="BFBFBF"/>
                  </w:tcBorders>
                  <w:shd w:val="clear" w:color="auto" w:fill="auto"/>
                  <w:vAlign w:val="bottom"/>
                </w:tcPr>
                <w:p w:rsidR="00745FEA" w:rsidRDefault="00745FEA" w:rsidP="00745FEA">
                  <w:pPr>
                    <w:pStyle w:val="TableBodyText"/>
                    <w:ind w:right="57"/>
                  </w:pPr>
                  <w:r w:rsidRPr="001E3630">
                    <w:t>0.2</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798"/>
              <w:gridCol w:w="794"/>
              <w:gridCol w:w="794"/>
              <w:gridCol w:w="794"/>
              <w:gridCol w:w="794"/>
              <w:gridCol w:w="788"/>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3"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shd w:val="clear" w:color="auto" w:fill="auto"/>
                </w:tcPr>
                <w:p w:rsidR="00745FEA" w:rsidRPr="002056C2" w:rsidRDefault="00745FEA" w:rsidP="00745FEA">
                  <w:pPr>
                    <w:pStyle w:val="TableBodyText"/>
                    <w:spacing w:before="40" w:after="0"/>
                    <w:ind w:left="113"/>
                    <w:jc w:val="left"/>
                    <w:rPr>
                      <w:i/>
                    </w:rPr>
                  </w:pPr>
                  <w:r w:rsidRPr="002056C2">
                    <w:rPr>
                      <w:i/>
                    </w:rPr>
                    <w:t>Other measures</w:t>
                  </w:r>
                </w:p>
              </w:tc>
              <w:tc>
                <w:tcPr>
                  <w:tcW w:w="469"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shd w:val="clear" w:color="auto" w:fill="auto"/>
                  <w:vAlign w:val="bottom"/>
                </w:tcPr>
                <w:p w:rsidR="00745FEA" w:rsidRDefault="00745FEA" w:rsidP="00745FEA">
                  <w:pPr>
                    <w:pStyle w:val="TableBodyText"/>
                    <w:spacing w:before="40" w:after="0"/>
                    <w:ind w:left="113" w:right="57"/>
                  </w:pPr>
                </w:p>
              </w:tc>
              <w:tc>
                <w:tcPr>
                  <w:tcW w:w="463" w:type="pct"/>
                  <w:shd w:val="clear" w:color="auto" w:fill="auto"/>
                  <w:vAlign w:val="bottom"/>
                </w:tcPr>
                <w:p w:rsidR="00745FEA" w:rsidRDefault="00745FEA" w:rsidP="00745FEA">
                  <w:pPr>
                    <w:pStyle w:val="TableBodyText"/>
                    <w:spacing w:before="40" w:after="0"/>
                    <w:ind w:left="113" w:right="57"/>
                  </w:pP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Enterprise Connect Innovation Centres</w:t>
                  </w:r>
                </w:p>
              </w:tc>
              <w:tc>
                <w:tcPr>
                  <w:tcW w:w="469" w:type="pct"/>
                  <w:vAlign w:val="bottom"/>
                </w:tcPr>
                <w:p w:rsidR="00745FEA" w:rsidRPr="00113695" w:rsidRDefault="00745FEA" w:rsidP="00745FEA">
                  <w:pPr>
                    <w:pStyle w:val="TableBodyText"/>
                    <w:ind w:right="57"/>
                  </w:pPr>
                  <w:r w:rsidRPr="00187448">
                    <w:t>2.6</w:t>
                  </w:r>
                </w:p>
              </w:tc>
              <w:tc>
                <w:tcPr>
                  <w:tcW w:w="467"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0.1</w:t>
                  </w:r>
                </w:p>
              </w:tc>
              <w:tc>
                <w:tcPr>
                  <w:tcW w:w="467" w:type="pct"/>
                  <w:shd w:val="clear" w:color="auto" w:fill="auto"/>
                  <w:vAlign w:val="bottom"/>
                </w:tcPr>
                <w:p w:rsidR="00745FEA" w:rsidRPr="00113695" w:rsidRDefault="00745FEA" w:rsidP="00745FEA">
                  <w:pPr>
                    <w:pStyle w:val="TableBodyText"/>
                    <w:ind w:right="57"/>
                  </w:pPr>
                  <w:r w:rsidRPr="00187448">
                    <w:t>0.1</w:t>
                  </w:r>
                </w:p>
              </w:tc>
              <w:tc>
                <w:tcPr>
                  <w:tcW w:w="463" w:type="pct"/>
                  <w:shd w:val="clear" w:color="auto" w:fill="auto"/>
                  <w:vAlign w:val="bottom"/>
                </w:tcPr>
                <w:p w:rsidR="00745FEA" w:rsidRPr="00113695" w:rsidRDefault="00745FEA" w:rsidP="00745FEA">
                  <w:pPr>
                    <w:pStyle w:val="TableBodyText"/>
                    <w:ind w:right="57"/>
                  </w:pPr>
                  <w:r w:rsidRPr="00187448">
                    <w:t>–</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Entrepreneurs’ Infrastructure Programme - Accelerating Commercialisation</w:t>
                  </w:r>
                </w:p>
              </w:tc>
              <w:tc>
                <w:tcPr>
                  <w:tcW w:w="469"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0.1</w:t>
                  </w:r>
                </w:p>
              </w:tc>
              <w:tc>
                <w:tcPr>
                  <w:tcW w:w="467" w:type="pct"/>
                  <w:shd w:val="clear" w:color="auto" w:fill="auto"/>
                  <w:vAlign w:val="bottom"/>
                </w:tcPr>
                <w:p w:rsidR="00745FEA" w:rsidRPr="00113695" w:rsidRDefault="00745FEA" w:rsidP="00745FEA">
                  <w:pPr>
                    <w:pStyle w:val="TableBodyText"/>
                    <w:ind w:right="57"/>
                  </w:pPr>
                  <w:r w:rsidRPr="00187448">
                    <w:t>0.7</w:t>
                  </w:r>
                </w:p>
              </w:tc>
              <w:tc>
                <w:tcPr>
                  <w:tcW w:w="463" w:type="pct"/>
                  <w:shd w:val="clear" w:color="auto" w:fill="auto"/>
                  <w:vAlign w:val="bottom"/>
                </w:tcPr>
                <w:p w:rsidR="00745FEA" w:rsidRPr="00113695" w:rsidRDefault="00745FEA" w:rsidP="00745FEA">
                  <w:pPr>
                    <w:pStyle w:val="TableBodyText"/>
                    <w:ind w:right="57"/>
                  </w:pPr>
                  <w:r w:rsidRPr="00187448">
                    <w:t>1.2</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Entrepreneurs’ Infrastructure Programme - Business Management Skills</w:t>
                  </w:r>
                </w:p>
              </w:tc>
              <w:tc>
                <w:tcPr>
                  <w:tcW w:w="469"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&lt;0.1</w:t>
                  </w:r>
                </w:p>
              </w:tc>
              <w:tc>
                <w:tcPr>
                  <w:tcW w:w="467" w:type="pct"/>
                  <w:shd w:val="clear" w:color="auto" w:fill="auto"/>
                  <w:vAlign w:val="bottom"/>
                </w:tcPr>
                <w:p w:rsidR="00745FEA" w:rsidRPr="00113695" w:rsidRDefault="00745FEA" w:rsidP="00745FEA">
                  <w:pPr>
                    <w:pStyle w:val="TableBodyText"/>
                    <w:ind w:right="57"/>
                  </w:pPr>
                  <w:r w:rsidRPr="00187448">
                    <w:t>&lt;0.1</w:t>
                  </w:r>
                </w:p>
              </w:tc>
              <w:tc>
                <w:tcPr>
                  <w:tcW w:w="463" w:type="pct"/>
                  <w:shd w:val="clear" w:color="auto" w:fill="auto"/>
                  <w:vAlign w:val="bottom"/>
                </w:tcPr>
                <w:p w:rsidR="00745FEA" w:rsidRPr="00113695" w:rsidRDefault="00745FEA" w:rsidP="00745FEA">
                  <w:pPr>
                    <w:pStyle w:val="TableBodyText"/>
                    <w:ind w:right="57"/>
                  </w:pPr>
                  <w:r w:rsidRPr="00187448">
                    <w:t>0.1</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South East South Australia Innovation and Investment Fund</w:t>
                  </w:r>
                </w:p>
              </w:tc>
              <w:tc>
                <w:tcPr>
                  <w:tcW w:w="469"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shd w:val="clear" w:color="auto" w:fill="auto"/>
                  <w:vAlign w:val="bottom"/>
                </w:tcPr>
                <w:p w:rsidR="00745FEA" w:rsidRPr="00113695" w:rsidRDefault="00745FEA" w:rsidP="00745FEA">
                  <w:pPr>
                    <w:pStyle w:val="TableBodyText"/>
                    <w:ind w:right="57"/>
                  </w:pPr>
                  <w:r w:rsidRPr="00187448">
                    <w:t>–</w:t>
                  </w:r>
                </w:p>
              </w:tc>
              <w:tc>
                <w:tcPr>
                  <w:tcW w:w="463" w:type="pct"/>
                  <w:shd w:val="clear" w:color="auto" w:fill="auto"/>
                  <w:vAlign w:val="bottom"/>
                </w:tcPr>
                <w:p w:rsidR="00745FEA" w:rsidRPr="00113695" w:rsidRDefault="00745FEA" w:rsidP="00745FEA">
                  <w:pPr>
                    <w:pStyle w:val="TableBodyText"/>
                    <w:ind w:right="57"/>
                  </w:pPr>
                  <w:r w:rsidRPr="00187448">
                    <w:t>–</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Temporary Assistance for Tasmanian Exporters</w:t>
                  </w:r>
                </w:p>
              </w:tc>
              <w:tc>
                <w:tcPr>
                  <w:tcW w:w="469" w:type="pct"/>
                  <w:vAlign w:val="bottom"/>
                </w:tcPr>
                <w:p w:rsidR="00745FEA" w:rsidRPr="00113695" w:rsidRDefault="00745FEA" w:rsidP="00745FEA">
                  <w:pPr>
                    <w:pStyle w:val="TableBodyText"/>
                    <w:ind w:right="57"/>
                  </w:pPr>
                  <w:r w:rsidRPr="00187448">
                    <w:t>&lt;0.1</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shd w:val="clear" w:color="auto" w:fill="auto"/>
                  <w:vAlign w:val="bottom"/>
                </w:tcPr>
                <w:p w:rsidR="00745FEA" w:rsidRPr="00113695" w:rsidRDefault="00745FEA" w:rsidP="00745FEA">
                  <w:pPr>
                    <w:pStyle w:val="TableBodyText"/>
                    <w:ind w:right="57"/>
                  </w:pPr>
                  <w:r w:rsidRPr="00187448">
                    <w:t>–</w:t>
                  </w:r>
                </w:p>
              </w:tc>
              <w:tc>
                <w:tcPr>
                  <w:tcW w:w="463" w:type="pct"/>
                  <w:shd w:val="clear" w:color="auto" w:fill="auto"/>
                  <w:vAlign w:val="bottom"/>
                </w:tcPr>
                <w:p w:rsidR="00745FEA" w:rsidRPr="00113695" w:rsidRDefault="00745FEA" w:rsidP="00745FEA">
                  <w:pPr>
                    <w:pStyle w:val="TableBodyText"/>
                    <w:ind w:right="57"/>
                  </w:pPr>
                  <w:r w:rsidRPr="00187448">
                    <w:t>–</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Tasmanian Freight Equalisation Scheme</w:t>
                  </w:r>
                </w:p>
              </w:tc>
              <w:tc>
                <w:tcPr>
                  <w:tcW w:w="469"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0.1</w:t>
                  </w:r>
                </w:p>
              </w:tc>
              <w:tc>
                <w:tcPr>
                  <w:tcW w:w="467" w:type="pct"/>
                  <w:shd w:val="clear" w:color="auto" w:fill="auto"/>
                  <w:vAlign w:val="bottom"/>
                </w:tcPr>
                <w:p w:rsidR="00745FEA" w:rsidRPr="00113695" w:rsidRDefault="00745FEA" w:rsidP="00745FEA">
                  <w:pPr>
                    <w:pStyle w:val="TableBodyText"/>
                    <w:ind w:right="57"/>
                  </w:pPr>
                  <w:r w:rsidRPr="00187448">
                    <w:t>0.1</w:t>
                  </w:r>
                </w:p>
              </w:tc>
              <w:tc>
                <w:tcPr>
                  <w:tcW w:w="463" w:type="pct"/>
                  <w:shd w:val="clear" w:color="auto" w:fill="auto"/>
                  <w:vAlign w:val="bottom"/>
                </w:tcPr>
                <w:p w:rsidR="00745FEA" w:rsidRPr="00113695" w:rsidRDefault="00745FEA" w:rsidP="00745FEA">
                  <w:pPr>
                    <w:pStyle w:val="TableBodyText"/>
                    <w:ind w:right="57"/>
                  </w:pPr>
                  <w:r w:rsidRPr="00187448">
                    <w:t>0.1</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Tasmanian Jobs and Investment Fund</w:t>
                  </w:r>
                </w:p>
              </w:tc>
              <w:tc>
                <w:tcPr>
                  <w:tcW w:w="469"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shd w:val="clear" w:color="auto" w:fill="auto"/>
                  <w:vAlign w:val="bottom"/>
                </w:tcPr>
                <w:p w:rsidR="00745FEA" w:rsidRPr="00113695" w:rsidRDefault="00745FEA" w:rsidP="00745FEA">
                  <w:pPr>
                    <w:pStyle w:val="TableBodyText"/>
                    <w:ind w:right="57"/>
                  </w:pPr>
                  <w:r w:rsidRPr="00187448">
                    <w:t>0.1</w:t>
                  </w:r>
                </w:p>
              </w:tc>
              <w:tc>
                <w:tcPr>
                  <w:tcW w:w="463" w:type="pct"/>
                  <w:shd w:val="clear" w:color="auto" w:fill="auto"/>
                  <w:vAlign w:val="bottom"/>
                </w:tcPr>
                <w:p w:rsidR="00745FEA" w:rsidRPr="00113695" w:rsidRDefault="00745FEA" w:rsidP="00745FEA">
                  <w:pPr>
                    <w:pStyle w:val="TableBodyText"/>
                    <w:ind w:right="57"/>
                  </w:pPr>
                  <w:r w:rsidRPr="00187448">
                    <w:t>0.3</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 xml:space="preserve">Small business </w:t>
                  </w:r>
                  <w:r>
                    <w:t>capital gains tax</w:t>
                  </w:r>
                  <w:r w:rsidRPr="00113695">
                    <w:t xml:space="preserve"> rollover deferral</w:t>
                  </w:r>
                </w:p>
              </w:tc>
              <w:tc>
                <w:tcPr>
                  <w:tcW w:w="469"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2.3</w:t>
                  </w:r>
                </w:p>
              </w:tc>
              <w:tc>
                <w:tcPr>
                  <w:tcW w:w="467" w:type="pct"/>
                  <w:shd w:val="clear" w:color="auto" w:fill="auto"/>
                  <w:vAlign w:val="bottom"/>
                </w:tcPr>
                <w:p w:rsidR="00745FEA" w:rsidRPr="00113695" w:rsidRDefault="00745FEA" w:rsidP="00745FEA">
                  <w:pPr>
                    <w:pStyle w:val="TableBodyText"/>
                    <w:ind w:right="57"/>
                  </w:pPr>
                  <w:r w:rsidRPr="00187448">
                    <w:t>1.6</w:t>
                  </w:r>
                </w:p>
              </w:tc>
              <w:tc>
                <w:tcPr>
                  <w:tcW w:w="463" w:type="pct"/>
                  <w:shd w:val="clear" w:color="auto" w:fill="auto"/>
                  <w:vAlign w:val="bottom"/>
                </w:tcPr>
                <w:p w:rsidR="00745FEA" w:rsidRPr="00113695" w:rsidRDefault="00745FEA" w:rsidP="00745FEA">
                  <w:pPr>
                    <w:pStyle w:val="TableBodyText"/>
                    <w:ind w:right="57"/>
                  </w:pPr>
                  <w:r w:rsidRPr="00187448">
                    <w:t>0.8</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The Small Business and General Business Tax Break</w:t>
                  </w:r>
                </w:p>
              </w:tc>
              <w:tc>
                <w:tcPr>
                  <w:tcW w:w="469" w:type="pct"/>
                  <w:vAlign w:val="bottom"/>
                </w:tcPr>
                <w:p w:rsidR="00745FEA" w:rsidRPr="00113695" w:rsidRDefault="00745FEA" w:rsidP="00745FEA">
                  <w:pPr>
                    <w:pStyle w:val="TableBodyText"/>
                    <w:ind w:right="57"/>
                  </w:pPr>
                  <w:r w:rsidRPr="00187448">
                    <w:t>2.5</w:t>
                  </w:r>
                </w:p>
              </w:tc>
              <w:tc>
                <w:tcPr>
                  <w:tcW w:w="467" w:type="pct"/>
                  <w:vAlign w:val="bottom"/>
                </w:tcPr>
                <w:p w:rsidR="00745FEA" w:rsidRPr="00113695" w:rsidRDefault="00745FEA" w:rsidP="00745FEA">
                  <w:pPr>
                    <w:pStyle w:val="TableBodyText"/>
                    <w:ind w:right="57"/>
                  </w:pPr>
                  <w:r w:rsidRPr="00187448">
                    <w:t>0.9</w:t>
                  </w:r>
                </w:p>
              </w:tc>
              <w:tc>
                <w:tcPr>
                  <w:tcW w:w="467"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w:t>
                  </w:r>
                </w:p>
              </w:tc>
              <w:tc>
                <w:tcPr>
                  <w:tcW w:w="467" w:type="pct"/>
                  <w:shd w:val="clear" w:color="auto" w:fill="auto"/>
                  <w:vAlign w:val="bottom"/>
                </w:tcPr>
                <w:p w:rsidR="00745FEA" w:rsidRPr="00113695" w:rsidRDefault="00745FEA" w:rsidP="00745FEA">
                  <w:pPr>
                    <w:pStyle w:val="TableBodyText"/>
                    <w:ind w:right="57"/>
                  </w:pPr>
                  <w:r w:rsidRPr="00187448">
                    <w:t>–</w:t>
                  </w:r>
                </w:p>
              </w:tc>
              <w:tc>
                <w:tcPr>
                  <w:tcW w:w="463" w:type="pct"/>
                  <w:shd w:val="clear" w:color="auto" w:fill="auto"/>
                  <w:vAlign w:val="bottom"/>
                </w:tcPr>
                <w:p w:rsidR="00745FEA" w:rsidRPr="00113695" w:rsidRDefault="00745FEA" w:rsidP="00745FEA">
                  <w:pPr>
                    <w:pStyle w:val="TableBodyText"/>
                    <w:ind w:right="57"/>
                  </w:pPr>
                  <w:r w:rsidRPr="00187448">
                    <w:t>–</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Small Business - Simplified depreciation rules</w:t>
                  </w:r>
                </w:p>
              </w:tc>
              <w:tc>
                <w:tcPr>
                  <w:tcW w:w="469" w:type="pct"/>
                  <w:vAlign w:val="bottom"/>
                </w:tcPr>
                <w:p w:rsidR="00745FEA" w:rsidRPr="00113695" w:rsidRDefault="00745FEA" w:rsidP="00745FEA">
                  <w:pPr>
                    <w:pStyle w:val="TableBodyText"/>
                    <w:ind w:right="57"/>
                  </w:pPr>
                  <w:r w:rsidRPr="00187448">
                    <w:t>0.1</w:t>
                  </w:r>
                </w:p>
              </w:tc>
              <w:tc>
                <w:tcPr>
                  <w:tcW w:w="467" w:type="pct"/>
                  <w:vAlign w:val="bottom"/>
                </w:tcPr>
                <w:p w:rsidR="00745FEA" w:rsidRPr="00113695" w:rsidRDefault="00745FEA" w:rsidP="00745FEA">
                  <w:pPr>
                    <w:pStyle w:val="TableBodyText"/>
                    <w:ind w:right="57"/>
                  </w:pPr>
                  <w:r w:rsidRPr="00187448">
                    <w:t>-0.7</w:t>
                  </w:r>
                </w:p>
              </w:tc>
              <w:tc>
                <w:tcPr>
                  <w:tcW w:w="467" w:type="pct"/>
                  <w:vAlign w:val="bottom"/>
                </w:tcPr>
                <w:p w:rsidR="00745FEA" w:rsidRPr="00113695" w:rsidRDefault="00745FEA" w:rsidP="00745FEA">
                  <w:pPr>
                    <w:pStyle w:val="TableBodyText"/>
                    <w:ind w:right="57"/>
                  </w:pPr>
                  <w:r w:rsidRPr="00187448">
                    <w:t>2.5</w:t>
                  </w:r>
                </w:p>
              </w:tc>
              <w:tc>
                <w:tcPr>
                  <w:tcW w:w="467" w:type="pct"/>
                  <w:vAlign w:val="bottom"/>
                </w:tcPr>
                <w:p w:rsidR="00745FEA" w:rsidRPr="00113695" w:rsidRDefault="00745FEA" w:rsidP="00745FEA">
                  <w:pPr>
                    <w:pStyle w:val="TableBodyText"/>
                    <w:ind w:right="57"/>
                  </w:pPr>
                  <w:r w:rsidRPr="00187448">
                    <w:t>-1.3</w:t>
                  </w:r>
                </w:p>
              </w:tc>
              <w:tc>
                <w:tcPr>
                  <w:tcW w:w="467" w:type="pct"/>
                  <w:shd w:val="clear" w:color="auto" w:fill="auto"/>
                  <w:vAlign w:val="bottom"/>
                </w:tcPr>
                <w:p w:rsidR="00745FEA" w:rsidRPr="00113695" w:rsidRDefault="00745FEA" w:rsidP="00745FEA">
                  <w:pPr>
                    <w:pStyle w:val="TableBodyText"/>
                    <w:ind w:right="57"/>
                  </w:pPr>
                  <w:r w:rsidRPr="00187448">
                    <w:t>-2.6</w:t>
                  </w:r>
                </w:p>
              </w:tc>
              <w:tc>
                <w:tcPr>
                  <w:tcW w:w="463" w:type="pct"/>
                  <w:shd w:val="clear" w:color="auto" w:fill="auto"/>
                  <w:vAlign w:val="bottom"/>
                </w:tcPr>
                <w:p w:rsidR="00745FEA" w:rsidRPr="00113695" w:rsidRDefault="00745FEA" w:rsidP="00745FEA">
                  <w:pPr>
                    <w:pStyle w:val="TableBodyText"/>
                    <w:ind w:right="57"/>
                  </w:pPr>
                  <w:r w:rsidRPr="00187448">
                    <w:t>14.5</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 xml:space="preserve">Small business </w:t>
                  </w:r>
                  <w:r>
                    <w:t>capital gains tax</w:t>
                  </w:r>
                  <w:r w:rsidRPr="00113695">
                    <w:t xml:space="preserve"> 15-year asset exemption</w:t>
                  </w:r>
                </w:p>
              </w:tc>
              <w:tc>
                <w:tcPr>
                  <w:tcW w:w="469" w:type="pct"/>
                  <w:vAlign w:val="bottom"/>
                </w:tcPr>
                <w:p w:rsidR="00745FEA" w:rsidRPr="00113695" w:rsidRDefault="00745FEA" w:rsidP="00745FEA">
                  <w:pPr>
                    <w:pStyle w:val="TableBodyText"/>
                    <w:ind w:right="57"/>
                  </w:pPr>
                  <w:r w:rsidRPr="00187448">
                    <w:t>0.2</w:t>
                  </w:r>
                </w:p>
              </w:tc>
              <w:tc>
                <w:tcPr>
                  <w:tcW w:w="467" w:type="pct"/>
                  <w:vAlign w:val="bottom"/>
                </w:tcPr>
                <w:p w:rsidR="00745FEA" w:rsidRPr="00113695" w:rsidRDefault="00745FEA" w:rsidP="00745FEA">
                  <w:pPr>
                    <w:pStyle w:val="TableBodyText"/>
                    <w:ind w:right="57"/>
                  </w:pPr>
                  <w:r w:rsidRPr="00187448">
                    <w:t>0.2</w:t>
                  </w:r>
                </w:p>
              </w:tc>
              <w:tc>
                <w:tcPr>
                  <w:tcW w:w="467" w:type="pct"/>
                  <w:vAlign w:val="bottom"/>
                </w:tcPr>
                <w:p w:rsidR="00745FEA" w:rsidRPr="00113695" w:rsidRDefault="00745FEA" w:rsidP="00745FEA">
                  <w:pPr>
                    <w:pStyle w:val="TableBodyText"/>
                    <w:ind w:right="57"/>
                  </w:pPr>
                  <w:r w:rsidRPr="00187448">
                    <w:t>0.2</w:t>
                  </w:r>
                </w:p>
              </w:tc>
              <w:tc>
                <w:tcPr>
                  <w:tcW w:w="467" w:type="pct"/>
                  <w:vAlign w:val="bottom"/>
                </w:tcPr>
                <w:p w:rsidR="00745FEA" w:rsidRPr="00113695" w:rsidRDefault="00745FEA" w:rsidP="00745FEA">
                  <w:pPr>
                    <w:pStyle w:val="TableBodyText"/>
                    <w:ind w:right="57"/>
                  </w:pPr>
                  <w:r w:rsidRPr="00187448">
                    <w:t>1.1</w:t>
                  </w:r>
                </w:p>
              </w:tc>
              <w:tc>
                <w:tcPr>
                  <w:tcW w:w="467" w:type="pct"/>
                  <w:shd w:val="clear" w:color="auto" w:fill="auto"/>
                  <w:vAlign w:val="bottom"/>
                </w:tcPr>
                <w:p w:rsidR="00745FEA" w:rsidRPr="00113695" w:rsidRDefault="00745FEA" w:rsidP="00745FEA">
                  <w:pPr>
                    <w:pStyle w:val="TableBodyText"/>
                    <w:ind w:right="57"/>
                  </w:pPr>
                  <w:r w:rsidRPr="00187448">
                    <w:t>0.4</w:t>
                  </w:r>
                </w:p>
              </w:tc>
              <w:tc>
                <w:tcPr>
                  <w:tcW w:w="463" w:type="pct"/>
                  <w:shd w:val="clear" w:color="auto" w:fill="auto"/>
                  <w:vAlign w:val="bottom"/>
                </w:tcPr>
                <w:p w:rsidR="00745FEA" w:rsidRPr="00113695" w:rsidRDefault="00745FEA" w:rsidP="00745FEA">
                  <w:pPr>
                    <w:pStyle w:val="TableBodyText"/>
                    <w:ind w:right="57"/>
                  </w:pPr>
                  <w:r w:rsidRPr="00187448">
                    <w:t>0.3</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 xml:space="preserve">Small business </w:t>
                  </w:r>
                  <w:r>
                    <w:t>capital gains tax</w:t>
                  </w:r>
                  <w:r w:rsidRPr="00113695">
                    <w:t xml:space="preserve"> retirement exemption</w:t>
                  </w:r>
                </w:p>
              </w:tc>
              <w:tc>
                <w:tcPr>
                  <w:tcW w:w="469"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2.6</w:t>
                  </w:r>
                </w:p>
              </w:tc>
              <w:tc>
                <w:tcPr>
                  <w:tcW w:w="467" w:type="pct"/>
                  <w:shd w:val="clear" w:color="auto" w:fill="auto"/>
                  <w:vAlign w:val="bottom"/>
                </w:tcPr>
                <w:p w:rsidR="00745FEA" w:rsidRPr="00113695" w:rsidRDefault="00745FEA" w:rsidP="00745FEA">
                  <w:pPr>
                    <w:pStyle w:val="TableBodyText"/>
                    <w:ind w:right="57"/>
                  </w:pPr>
                  <w:r w:rsidRPr="00187448">
                    <w:t>1.9</w:t>
                  </w:r>
                </w:p>
              </w:tc>
              <w:tc>
                <w:tcPr>
                  <w:tcW w:w="463" w:type="pct"/>
                  <w:shd w:val="clear" w:color="auto" w:fill="auto"/>
                  <w:vAlign w:val="bottom"/>
                </w:tcPr>
                <w:p w:rsidR="00745FEA" w:rsidRPr="00113695" w:rsidRDefault="00745FEA" w:rsidP="00745FEA">
                  <w:pPr>
                    <w:pStyle w:val="TableBodyText"/>
                    <w:ind w:right="57"/>
                  </w:pPr>
                  <w:r w:rsidRPr="00187448">
                    <w:t>1.1</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 xml:space="preserve">Small business </w:t>
                  </w:r>
                  <w:r>
                    <w:t>capital gains tax</w:t>
                  </w:r>
                  <w:r w:rsidRPr="00113695">
                    <w:t xml:space="preserve"> 50 per cent reduction</w:t>
                  </w:r>
                </w:p>
              </w:tc>
              <w:tc>
                <w:tcPr>
                  <w:tcW w:w="469" w:type="pct"/>
                  <w:vAlign w:val="bottom"/>
                </w:tcPr>
                <w:p w:rsidR="00745FEA" w:rsidRPr="00113695" w:rsidRDefault="00745FEA" w:rsidP="00745FEA">
                  <w:pPr>
                    <w:pStyle w:val="TableBodyText"/>
                    <w:ind w:right="57"/>
                  </w:pPr>
                  <w:r w:rsidRPr="00187448">
                    <w:t>4.4</w:t>
                  </w:r>
                </w:p>
              </w:tc>
              <w:tc>
                <w:tcPr>
                  <w:tcW w:w="467" w:type="pct"/>
                  <w:vAlign w:val="bottom"/>
                </w:tcPr>
                <w:p w:rsidR="00745FEA" w:rsidRPr="00113695" w:rsidRDefault="00745FEA" w:rsidP="00745FEA">
                  <w:pPr>
                    <w:pStyle w:val="TableBodyText"/>
                    <w:ind w:right="57"/>
                  </w:pPr>
                  <w:r w:rsidRPr="00187448">
                    <w:t>4.6</w:t>
                  </w:r>
                </w:p>
              </w:tc>
              <w:tc>
                <w:tcPr>
                  <w:tcW w:w="467" w:type="pct"/>
                  <w:vAlign w:val="bottom"/>
                </w:tcPr>
                <w:p w:rsidR="00745FEA" w:rsidRPr="00113695" w:rsidRDefault="00745FEA" w:rsidP="00745FEA">
                  <w:pPr>
                    <w:pStyle w:val="TableBodyText"/>
                    <w:ind w:right="57"/>
                  </w:pPr>
                  <w:r w:rsidRPr="00187448">
                    <w:t>4.6</w:t>
                  </w:r>
                </w:p>
              </w:tc>
              <w:tc>
                <w:tcPr>
                  <w:tcW w:w="467" w:type="pct"/>
                  <w:vAlign w:val="bottom"/>
                </w:tcPr>
                <w:p w:rsidR="00745FEA" w:rsidRPr="00113695" w:rsidRDefault="00745FEA" w:rsidP="00745FEA">
                  <w:pPr>
                    <w:pStyle w:val="TableBodyText"/>
                    <w:ind w:right="57"/>
                  </w:pPr>
                  <w:r w:rsidRPr="00187448">
                    <w:t>4.0</w:t>
                  </w:r>
                </w:p>
              </w:tc>
              <w:tc>
                <w:tcPr>
                  <w:tcW w:w="467" w:type="pct"/>
                  <w:shd w:val="clear" w:color="auto" w:fill="auto"/>
                  <w:vAlign w:val="bottom"/>
                </w:tcPr>
                <w:p w:rsidR="00745FEA" w:rsidRPr="00113695" w:rsidRDefault="00745FEA" w:rsidP="00745FEA">
                  <w:pPr>
                    <w:pStyle w:val="TableBodyText"/>
                    <w:ind w:right="57"/>
                  </w:pPr>
                  <w:r w:rsidRPr="00187448">
                    <w:t>4.0</w:t>
                  </w:r>
                </w:p>
              </w:tc>
              <w:tc>
                <w:tcPr>
                  <w:tcW w:w="463" w:type="pct"/>
                  <w:shd w:val="clear" w:color="auto" w:fill="auto"/>
                  <w:vAlign w:val="bottom"/>
                </w:tcPr>
                <w:p w:rsidR="00745FEA" w:rsidRPr="00113695" w:rsidRDefault="00745FEA" w:rsidP="00745FEA">
                  <w:pPr>
                    <w:pStyle w:val="TableBodyText"/>
                    <w:ind w:right="57"/>
                  </w:pPr>
                  <w:r w:rsidRPr="00187448">
                    <w:t>3.0</w:t>
                  </w:r>
                </w:p>
              </w:tc>
            </w:tr>
            <w:tr w:rsidR="00745FEA" w:rsidTr="00745FEA">
              <w:tc>
                <w:tcPr>
                  <w:tcW w:w="2200" w:type="pct"/>
                  <w:shd w:val="clear" w:color="auto" w:fill="auto"/>
                </w:tcPr>
                <w:p w:rsidR="00745FEA" w:rsidRPr="00113695" w:rsidRDefault="00745FEA" w:rsidP="00745FEA">
                  <w:pPr>
                    <w:pStyle w:val="TableBodyText"/>
                    <w:spacing w:after="0"/>
                    <w:ind w:left="227" w:right="0"/>
                    <w:jc w:val="left"/>
                  </w:pPr>
                  <w:r w:rsidRPr="00113695">
                    <w:t>25 per cent entrepreneurs' tax offset</w:t>
                  </w:r>
                </w:p>
              </w:tc>
              <w:tc>
                <w:tcPr>
                  <w:tcW w:w="469" w:type="pct"/>
                  <w:vAlign w:val="bottom"/>
                </w:tcPr>
                <w:p w:rsidR="00745FEA" w:rsidRPr="00113695" w:rsidRDefault="00745FEA" w:rsidP="00745FEA">
                  <w:pPr>
                    <w:pStyle w:val="TableBodyText"/>
                    <w:ind w:right="57"/>
                  </w:pPr>
                  <w:r w:rsidRPr="00187448">
                    <w:t>5.3</w:t>
                  </w:r>
                </w:p>
              </w:tc>
              <w:tc>
                <w:tcPr>
                  <w:tcW w:w="467" w:type="pct"/>
                  <w:vAlign w:val="bottom"/>
                </w:tcPr>
                <w:p w:rsidR="00745FEA" w:rsidRPr="00113695" w:rsidRDefault="00745FEA" w:rsidP="00745FEA">
                  <w:pPr>
                    <w:pStyle w:val="TableBodyText"/>
                    <w:ind w:right="57"/>
                  </w:pPr>
                  <w:r w:rsidRPr="00187448">
                    <w:t>6.2</w:t>
                  </w:r>
                </w:p>
              </w:tc>
              <w:tc>
                <w:tcPr>
                  <w:tcW w:w="467" w:type="pct"/>
                  <w:vAlign w:val="bottom"/>
                </w:tcPr>
                <w:p w:rsidR="00745FEA" w:rsidRPr="00113695" w:rsidRDefault="00745FEA" w:rsidP="00745FEA">
                  <w:pPr>
                    <w:pStyle w:val="TableBodyText"/>
                    <w:ind w:right="57"/>
                  </w:pPr>
                  <w:r w:rsidRPr="00187448">
                    <w:t>–</w:t>
                  </w:r>
                </w:p>
              </w:tc>
              <w:tc>
                <w:tcPr>
                  <w:tcW w:w="467" w:type="pct"/>
                  <w:vAlign w:val="bottom"/>
                </w:tcPr>
                <w:p w:rsidR="00745FEA" w:rsidRPr="00113695" w:rsidRDefault="00745FEA" w:rsidP="00745FEA">
                  <w:pPr>
                    <w:pStyle w:val="TableBodyText"/>
                    <w:ind w:right="57"/>
                  </w:pPr>
                  <w:r w:rsidRPr="00187448">
                    <w:t>–</w:t>
                  </w:r>
                </w:p>
              </w:tc>
              <w:tc>
                <w:tcPr>
                  <w:tcW w:w="467" w:type="pct"/>
                  <w:shd w:val="clear" w:color="auto" w:fill="auto"/>
                  <w:vAlign w:val="bottom"/>
                </w:tcPr>
                <w:p w:rsidR="00745FEA" w:rsidRPr="00113695" w:rsidRDefault="00745FEA" w:rsidP="00745FEA">
                  <w:pPr>
                    <w:pStyle w:val="TableBodyText"/>
                    <w:ind w:right="57"/>
                  </w:pPr>
                  <w:r w:rsidRPr="00187448">
                    <w:t>–</w:t>
                  </w:r>
                </w:p>
              </w:tc>
              <w:tc>
                <w:tcPr>
                  <w:tcW w:w="463" w:type="pct"/>
                  <w:shd w:val="clear" w:color="auto" w:fill="auto"/>
                  <w:vAlign w:val="bottom"/>
                </w:tcPr>
                <w:p w:rsidR="00745FEA" w:rsidRDefault="00745FEA" w:rsidP="00745FEA">
                  <w:pPr>
                    <w:pStyle w:val="TableBodyText"/>
                    <w:ind w:right="57"/>
                  </w:pPr>
                  <w:r w:rsidRPr="00187448">
                    <w:t>–</w:t>
                  </w:r>
                </w:p>
              </w:tc>
            </w:tr>
            <w:tr w:rsidR="00745FEA" w:rsidRPr="002056C2" w:rsidTr="00745FEA">
              <w:tc>
                <w:tcPr>
                  <w:tcW w:w="2200" w:type="pct"/>
                  <w:shd w:val="clear" w:color="auto" w:fill="auto"/>
                </w:tcPr>
                <w:p w:rsidR="00745FEA" w:rsidRPr="002056C2" w:rsidRDefault="00745FEA" w:rsidP="00745FEA">
                  <w:pPr>
                    <w:pStyle w:val="TableBodyText"/>
                    <w:spacing w:before="20" w:after="20"/>
                    <w:jc w:val="left"/>
                    <w:rPr>
                      <w:i/>
                    </w:rPr>
                  </w:pPr>
                  <w:r w:rsidRPr="002056C2">
                    <w:rPr>
                      <w:i/>
                    </w:rPr>
                    <w:t>Total</w:t>
                  </w:r>
                </w:p>
              </w:tc>
              <w:tc>
                <w:tcPr>
                  <w:tcW w:w="469" w:type="pct"/>
                  <w:vAlign w:val="bottom"/>
                </w:tcPr>
                <w:p w:rsidR="00745FEA" w:rsidRPr="00AE2156" w:rsidRDefault="00745FEA" w:rsidP="00745FEA">
                  <w:pPr>
                    <w:pStyle w:val="TableBodyText"/>
                    <w:spacing w:before="20" w:after="20"/>
                    <w:ind w:right="57"/>
                    <w:rPr>
                      <w:i/>
                    </w:rPr>
                  </w:pPr>
                  <w:r>
                    <w:rPr>
                      <w:i/>
                    </w:rPr>
                    <w:t>32.7</w:t>
                  </w:r>
                </w:p>
              </w:tc>
              <w:tc>
                <w:tcPr>
                  <w:tcW w:w="467" w:type="pct"/>
                  <w:vAlign w:val="bottom"/>
                </w:tcPr>
                <w:p w:rsidR="00745FEA" w:rsidRPr="00AE2156" w:rsidRDefault="00745FEA" w:rsidP="00745FEA">
                  <w:pPr>
                    <w:pStyle w:val="TableBodyText"/>
                    <w:spacing w:before="20" w:after="20"/>
                    <w:ind w:right="57"/>
                    <w:rPr>
                      <w:i/>
                    </w:rPr>
                  </w:pPr>
                  <w:r>
                    <w:rPr>
                      <w:i/>
                    </w:rPr>
                    <w:t>35.1</w:t>
                  </w:r>
                </w:p>
              </w:tc>
              <w:tc>
                <w:tcPr>
                  <w:tcW w:w="467" w:type="pct"/>
                </w:tcPr>
                <w:p w:rsidR="00745FEA" w:rsidRPr="00DE6FB8" w:rsidRDefault="00745FEA" w:rsidP="00745FEA">
                  <w:pPr>
                    <w:pStyle w:val="TableBodyText"/>
                    <w:spacing w:before="20" w:after="20"/>
                    <w:ind w:right="57"/>
                    <w:rPr>
                      <w:i/>
                    </w:rPr>
                  </w:pPr>
                  <w:r>
                    <w:rPr>
                      <w:i/>
                    </w:rPr>
                    <w:t>27.8</w:t>
                  </w:r>
                </w:p>
              </w:tc>
              <w:tc>
                <w:tcPr>
                  <w:tcW w:w="467" w:type="pct"/>
                </w:tcPr>
                <w:p w:rsidR="00745FEA" w:rsidRPr="00DE6FB8" w:rsidRDefault="00745FEA" w:rsidP="00745FEA">
                  <w:pPr>
                    <w:pStyle w:val="TableBodyText"/>
                    <w:spacing w:before="20" w:after="20"/>
                    <w:ind w:right="57"/>
                    <w:rPr>
                      <w:i/>
                    </w:rPr>
                  </w:pPr>
                  <w:r>
                    <w:rPr>
                      <w:i/>
                    </w:rPr>
                    <w:t>32.4</w:t>
                  </w:r>
                </w:p>
              </w:tc>
              <w:tc>
                <w:tcPr>
                  <w:tcW w:w="467" w:type="pct"/>
                  <w:shd w:val="clear" w:color="auto" w:fill="auto"/>
                </w:tcPr>
                <w:p w:rsidR="00745FEA" w:rsidRPr="00DE6FB8" w:rsidRDefault="00745FEA" w:rsidP="00745FEA">
                  <w:pPr>
                    <w:pStyle w:val="TableBodyText"/>
                    <w:spacing w:before="20" w:after="20"/>
                    <w:ind w:right="57"/>
                    <w:rPr>
                      <w:i/>
                    </w:rPr>
                  </w:pPr>
                  <w:r>
                    <w:rPr>
                      <w:i/>
                    </w:rPr>
                    <w:t>28.5</w:t>
                  </w:r>
                </w:p>
              </w:tc>
              <w:tc>
                <w:tcPr>
                  <w:tcW w:w="463" w:type="pct"/>
                  <w:shd w:val="clear" w:color="auto" w:fill="auto"/>
                </w:tcPr>
                <w:p w:rsidR="00745FEA" w:rsidRPr="00DE6FB8" w:rsidRDefault="00745FEA" w:rsidP="00745FEA">
                  <w:pPr>
                    <w:pStyle w:val="TableBodyText"/>
                    <w:spacing w:before="20" w:after="20"/>
                    <w:ind w:right="57"/>
                    <w:rPr>
                      <w:i/>
                    </w:rPr>
                  </w:pPr>
                  <w:r>
                    <w:rPr>
                      <w:i/>
                    </w:rPr>
                    <w:t>46.7</w:t>
                  </w:r>
                </w:p>
              </w:tc>
            </w:tr>
            <w:tr w:rsidR="00745FEA" w:rsidRPr="00FD557B" w:rsidTr="00745FEA">
              <w:tc>
                <w:tcPr>
                  <w:tcW w:w="2200" w:type="pct"/>
                  <w:shd w:val="clear" w:color="auto" w:fill="auto"/>
                </w:tcPr>
                <w:p w:rsidR="00745FEA" w:rsidRPr="00FD557B" w:rsidRDefault="00745FEA" w:rsidP="00745FEA">
                  <w:pPr>
                    <w:spacing w:before="40" w:after="40"/>
                    <w:rPr>
                      <w:rFonts w:ascii="Arial" w:hAnsi="Arial" w:cs="Arial"/>
                      <w:b/>
                      <w:sz w:val="18"/>
                      <w:szCs w:val="18"/>
                    </w:rPr>
                  </w:pPr>
                  <w:r w:rsidRPr="00FD557B">
                    <w:rPr>
                      <w:rFonts w:ascii="Arial" w:hAnsi="Arial" w:cs="Arial"/>
                      <w:b/>
                      <w:sz w:val="18"/>
                      <w:szCs w:val="18"/>
                    </w:rPr>
                    <w:t>Health care and social assistance</w:t>
                  </w:r>
                </w:p>
              </w:tc>
              <w:tc>
                <w:tcPr>
                  <w:tcW w:w="469" w:type="pct"/>
                  <w:vAlign w:val="bottom"/>
                </w:tcPr>
                <w:p w:rsidR="00745FEA" w:rsidRPr="00FD557B" w:rsidRDefault="00745FEA" w:rsidP="00745FEA">
                  <w:pPr>
                    <w:spacing w:before="40" w:after="40"/>
                    <w:ind w:right="57"/>
                    <w:jc w:val="right"/>
                    <w:rPr>
                      <w:rFonts w:ascii="Arial" w:hAnsi="Arial" w:cs="Arial"/>
                      <w:sz w:val="18"/>
                      <w:szCs w:val="18"/>
                    </w:rPr>
                  </w:pPr>
                </w:p>
              </w:tc>
              <w:tc>
                <w:tcPr>
                  <w:tcW w:w="467" w:type="pct"/>
                  <w:vAlign w:val="bottom"/>
                </w:tcPr>
                <w:p w:rsidR="00745FEA" w:rsidRPr="00FD557B" w:rsidRDefault="00745FEA" w:rsidP="00745FEA">
                  <w:pPr>
                    <w:spacing w:before="40" w:after="40"/>
                    <w:ind w:right="57"/>
                    <w:jc w:val="right"/>
                    <w:rPr>
                      <w:rFonts w:ascii="Arial" w:hAnsi="Arial" w:cs="Arial"/>
                      <w:sz w:val="18"/>
                      <w:szCs w:val="18"/>
                    </w:rPr>
                  </w:pPr>
                </w:p>
              </w:tc>
              <w:tc>
                <w:tcPr>
                  <w:tcW w:w="467" w:type="pct"/>
                  <w:vAlign w:val="bottom"/>
                </w:tcPr>
                <w:p w:rsidR="00745FEA" w:rsidRPr="00FD557B" w:rsidRDefault="00745FEA" w:rsidP="00745FEA">
                  <w:pPr>
                    <w:spacing w:before="40" w:after="40"/>
                    <w:ind w:right="57"/>
                    <w:jc w:val="right"/>
                    <w:rPr>
                      <w:rFonts w:ascii="Arial" w:hAnsi="Arial" w:cs="Arial"/>
                      <w:sz w:val="18"/>
                      <w:szCs w:val="18"/>
                    </w:rPr>
                  </w:pPr>
                </w:p>
              </w:tc>
              <w:tc>
                <w:tcPr>
                  <w:tcW w:w="467" w:type="pct"/>
                  <w:vAlign w:val="bottom"/>
                </w:tcPr>
                <w:p w:rsidR="00745FEA" w:rsidRPr="00FD557B" w:rsidRDefault="00745FEA" w:rsidP="00745FEA">
                  <w:pPr>
                    <w:spacing w:before="40" w:after="40"/>
                    <w:ind w:right="57"/>
                    <w:jc w:val="right"/>
                    <w:rPr>
                      <w:rFonts w:ascii="Arial" w:hAnsi="Arial" w:cs="Arial"/>
                      <w:sz w:val="18"/>
                      <w:szCs w:val="18"/>
                    </w:rPr>
                  </w:pPr>
                </w:p>
              </w:tc>
              <w:tc>
                <w:tcPr>
                  <w:tcW w:w="467" w:type="pct"/>
                  <w:shd w:val="clear" w:color="auto" w:fill="auto"/>
                  <w:vAlign w:val="bottom"/>
                </w:tcPr>
                <w:p w:rsidR="00745FEA" w:rsidRPr="00FD557B" w:rsidRDefault="00745FEA" w:rsidP="00745FEA">
                  <w:pPr>
                    <w:spacing w:before="40" w:after="40"/>
                    <w:ind w:right="57"/>
                    <w:jc w:val="right"/>
                    <w:rPr>
                      <w:rFonts w:ascii="Arial" w:hAnsi="Arial" w:cs="Arial"/>
                      <w:sz w:val="18"/>
                      <w:szCs w:val="18"/>
                    </w:rPr>
                  </w:pPr>
                </w:p>
              </w:tc>
              <w:tc>
                <w:tcPr>
                  <w:tcW w:w="463" w:type="pct"/>
                  <w:shd w:val="clear" w:color="auto" w:fill="auto"/>
                  <w:vAlign w:val="bottom"/>
                </w:tcPr>
                <w:p w:rsidR="00745FEA" w:rsidRPr="00FD557B" w:rsidRDefault="00745FEA" w:rsidP="00745FEA">
                  <w:pPr>
                    <w:spacing w:before="40" w:after="40"/>
                    <w:ind w:right="57"/>
                    <w:jc w:val="right"/>
                    <w:rPr>
                      <w:rFonts w:ascii="Arial" w:hAnsi="Arial" w:cs="Arial"/>
                      <w:sz w:val="18"/>
                      <w:szCs w:val="18"/>
                    </w:rPr>
                  </w:pPr>
                </w:p>
              </w:tc>
            </w:tr>
            <w:tr w:rsidR="00745FEA" w:rsidRPr="00FD557B" w:rsidTr="00745FEA">
              <w:tc>
                <w:tcPr>
                  <w:tcW w:w="2200" w:type="pct"/>
                  <w:shd w:val="clear" w:color="auto" w:fill="auto"/>
                </w:tcPr>
                <w:p w:rsidR="00745FEA" w:rsidRPr="00FD557B" w:rsidRDefault="00745FEA" w:rsidP="00745FEA">
                  <w:pPr>
                    <w:spacing w:before="40"/>
                    <w:ind w:left="113"/>
                    <w:rPr>
                      <w:rFonts w:ascii="Arial" w:hAnsi="Arial" w:cs="Arial"/>
                      <w:i/>
                      <w:sz w:val="18"/>
                      <w:szCs w:val="18"/>
                    </w:rPr>
                  </w:pPr>
                  <w:r w:rsidRPr="00FD557B">
                    <w:rPr>
                      <w:rFonts w:ascii="Arial" w:hAnsi="Arial" w:cs="Arial"/>
                      <w:i/>
                      <w:sz w:val="18"/>
                      <w:szCs w:val="18"/>
                    </w:rPr>
                    <w:t>Industry-specific measures</w:t>
                  </w:r>
                </w:p>
              </w:tc>
              <w:tc>
                <w:tcPr>
                  <w:tcW w:w="469" w:type="pct"/>
                  <w:vAlign w:val="bottom"/>
                </w:tcPr>
                <w:p w:rsidR="00745FEA" w:rsidRPr="00FD557B" w:rsidRDefault="00745FEA" w:rsidP="00745FEA">
                  <w:pPr>
                    <w:spacing w:before="40"/>
                    <w:ind w:left="113" w:right="57"/>
                    <w:jc w:val="right"/>
                    <w:rPr>
                      <w:rFonts w:ascii="Arial" w:hAnsi="Arial" w:cs="Arial"/>
                      <w:sz w:val="18"/>
                      <w:szCs w:val="18"/>
                    </w:rPr>
                  </w:pPr>
                </w:p>
              </w:tc>
              <w:tc>
                <w:tcPr>
                  <w:tcW w:w="467" w:type="pct"/>
                  <w:vAlign w:val="bottom"/>
                </w:tcPr>
                <w:p w:rsidR="00745FEA" w:rsidRPr="00FD557B" w:rsidRDefault="00745FEA" w:rsidP="00745FEA">
                  <w:pPr>
                    <w:spacing w:before="40"/>
                    <w:ind w:left="113" w:right="57"/>
                    <w:jc w:val="right"/>
                    <w:rPr>
                      <w:rFonts w:ascii="Arial" w:hAnsi="Arial" w:cs="Arial"/>
                      <w:sz w:val="18"/>
                      <w:szCs w:val="18"/>
                    </w:rPr>
                  </w:pPr>
                </w:p>
              </w:tc>
              <w:tc>
                <w:tcPr>
                  <w:tcW w:w="467" w:type="pct"/>
                  <w:vAlign w:val="bottom"/>
                </w:tcPr>
                <w:p w:rsidR="00745FEA" w:rsidRPr="00FD557B" w:rsidRDefault="00745FEA" w:rsidP="00745FEA">
                  <w:pPr>
                    <w:spacing w:before="40"/>
                    <w:ind w:left="113" w:right="57"/>
                    <w:jc w:val="right"/>
                    <w:rPr>
                      <w:rFonts w:ascii="Arial" w:hAnsi="Arial" w:cs="Arial"/>
                      <w:sz w:val="18"/>
                      <w:szCs w:val="18"/>
                    </w:rPr>
                  </w:pPr>
                </w:p>
              </w:tc>
              <w:tc>
                <w:tcPr>
                  <w:tcW w:w="467" w:type="pct"/>
                  <w:vAlign w:val="bottom"/>
                </w:tcPr>
                <w:p w:rsidR="00745FEA" w:rsidRPr="00FD557B" w:rsidRDefault="00745FEA" w:rsidP="00745FEA">
                  <w:pPr>
                    <w:spacing w:before="40"/>
                    <w:ind w:left="113" w:right="57"/>
                    <w:jc w:val="right"/>
                    <w:rPr>
                      <w:rFonts w:ascii="Arial" w:hAnsi="Arial" w:cs="Arial"/>
                      <w:sz w:val="18"/>
                      <w:szCs w:val="18"/>
                    </w:rPr>
                  </w:pPr>
                </w:p>
              </w:tc>
              <w:tc>
                <w:tcPr>
                  <w:tcW w:w="467" w:type="pct"/>
                  <w:shd w:val="clear" w:color="auto" w:fill="auto"/>
                  <w:vAlign w:val="bottom"/>
                </w:tcPr>
                <w:p w:rsidR="00745FEA" w:rsidRPr="00FD557B" w:rsidRDefault="00745FEA" w:rsidP="00745FEA">
                  <w:pPr>
                    <w:spacing w:before="40"/>
                    <w:ind w:left="113" w:right="57"/>
                    <w:jc w:val="right"/>
                    <w:rPr>
                      <w:rFonts w:ascii="Arial" w:hAnsi="Arial" w:cs="Arial"/>
                      <w:sz w:val="18"/>
                      <w:szCs w:val="18"/>
                    </w:rPr>
                  </w:pPr>
                </w:p>
              </w:tc>
              <w:tc>
                <w:tcPr>
                  <w:tcW w:w="463" w:type="pct"/>
                  <w:shd w:val="clear" w:color="auto" w:fill="auto"/>
                  <w:vAlign w:val="bottom"/>
                </w:tcPr>
                <w:p w:rsidR="00745FEA" w:rsidRPr="00FD557B" w:rsidRDefault="00745FEA" w:rsidP="00745FEA">
                  <w:pPr>
                    <w:spacing w:before="40"/>
                    <w:ind w:left="113" w:right="57"/>
                    <w:jc w:val="right"/>
                    <w:rPr>
                      <w:rFonts w:ascii="Arial" w:hAnsi="Arial" w:cs="Arial"/>
                      <w:sz w:val="18"/>
                      <w:szCs w:val="18"/>
                    </w:rPr>
                  </w:pPr>
                </w:p>
              </w:tc>
            </w:tr>
            <w:tr w:rsidR="00745FEA" w:rsidRPr="00FD557B" w:rsidTr="00745FEA">
              <w:tc>
                <w:tcPr>
                  <w:tcW w:w="2200" w:type="pct"/>
                  <w:shd w:val="clear" w:color="auto" w:fill="auto"/>
                </w:tcPr>
                <w:p w:rsidR="00745FEA" w:rsidRPr="00C80406" w:rsidRDefault="00745FEA" w:rsidP="00745FEA">
                  <w:pPr>
                    <w:pStyle w:val="TableBodyText"/>
                    <w:spacing w:after="0"/>
                    <w:ind w:left="227" w:right="0"/>
                    <w:jc w:val="left"/>
                  </w:pPr>
                  <w:r w:rsidRPr="00C80406">
                    <w:t>Premium Support Scheme</w:t>
                  </w:r>
                </w:p>
              </w:tc>
              <w:tc>
                <w:tcPr>
                  <w:tcW w:w="469" w:type="pct"/>
                  <w:vAlign w:val="bottom"/>
                </w:tcPr>
                <w:p w:rsidR="00745FEA" w:rsidRPr="00C80406" w:rsidRDefault="00745FEA" w:rsidP="00745FEA">
                  <w:pPr>
                    <w:pStyle w:val="TableBodyText"/>
                    <w:ind w:right="57"/>
                  </w:pPr>
                  <w:r w:rsidRPr="00110A55">
                    <w:t>11.4</w:t>
                  </w:r>
                </w:p>
              </w:tc>
              <w:tc>
                <w:tcPr>
                  <w:tcW w:w="467" w:type="pct"/>
                  <w:vAlign w:val="bottom"/>
                </w:tcPr>
                <w:p w:rsidR="00745FEA" w:rsidRPr="00C80406" w:rsidRDefault="00745FEA" w:rsidP="00745FEA">
                  <w:pPr>
                    <w:pStyle w:val="TableBodyText"/>
                    <w:ind w:right="57"/>
                  </w:pPr>
                  <w:r w:rsidRPr="00110A55">
                    <w:t>9.3</w:t>
                  </w:r>
                </w:p>
              </w:tc>
              <w:tc>
                <w:tcPr>
                  <w:tcW w:w="467" w:type="pct"/>
                  <w:vAlign w:val="bottom"/>
                </w:tcPr>
                <w:p w:rsidR="00745FEA" w:rsidRPr="00C80406" w:rsidRDefault="00745FEA" w:rsidP="00745FEA">
                  <w:pPr>
                    <w:pStyle w:val="TableBodyText"/>
                    <w:ind w:right="57"/>
                  </w:pPr>
                  <w:r w:rsidRPr="00110A55">
                    <w:t>9.3</w:t>
                  </w:r>
                </w:p>
              </w:tc>
              <w:tc>
                <w:tcPr>
                  <w:tcW w:w="467" w:type="pct"/>
                  <w:vAlign w:val="bottom"/>
                </w:tcPr>
                <w:p w:rsidR="00745FEA" w:rsidRPr="00C80406" w:rsidRDefault="00745FEA" w:rsidP="00745FEA">
                  <w:pPr>
                    <w:pStyle w:val="TableBodyText"/>
                    <w:ind w:right="57"/>
                  </w:pPr>
                  <w:r w:rsidRPr="00110A55">
                    <w:t>7.8</w:t>
                  </w:r>
                </w:p>
              </w:tc>
              <w:tc>
                <w:tcPr>
                  <w:tcW w:w="467" w:type="pct"/>
                  <w:shd w:val="clear" w:color="auto" w:fill="auto"/>
                  <w:vAlign w:val="bottom"/>
                </w:tcPr>
                <w:p w:rsidR="00745FEA" w:rsidRPr="00C80406" w:rsidRDefault="00745FEA" w:rsidP="00745FEA">
                  <w:pPr>
                    <w:pStyle w:val="TableBodyText"/>
                    <w:ind w:right="57"/>
                  </w:pPr>
                  <w:r w:rsidRPr="00110A55">
                    <w:t>8.0</w:t>
                  </w:r>
                </w:p>
              </w:tc>
              <w:tc>
                <w:tcPr>
                  <w:tcW w:w="463" w:type="pct"/>
                  <w:shd w:val="clear" w:color="auto" w:fill="auto"/>
                  <w:vAlign w:val="bottom"/>
                </w:tcPr>
                <w:p w:rsidR="00745FEA" w:rsidRDefault="00745FEA" w:rsidP="00745FEA">
                  <w:pPr>
                    <w:pStyle w:val="TableBodyText"/>
                    <w:ind w:right="57"/>
                  </w:pPr>
                  <w:r w:rsidRPr="00110A55">
                    <w:t>7.6</w:t>
                  </w:r>
                </w:p>
              </w:tc>
            </w:tr>
            <w:tr w:rsidR="00745FEA" w:rsidRPr="00FD557B" w:rsidTr="00745FEA">
              <w:tc>
                <w:tcPr>
                  <w:tcW w:w="2200" w:type="pct"/>
                  <w:shd w:val="clear" w:color="auto" w:fill="auto"/>
                </w:tcPr>
                <w:p w:rsidR="00745FEA" w:rsidRPr="00FD557B" w:rsidRDefault="00745FEA" w:rsidP="00745FEA">
                  <w:pPr>
                    <w:spacing w:before="40"/>
                    <w:ind w:left="113"/>
                    <w:rPr>
                      <w:rFonts w:ascii="Arial" w:hAnsi="Arial" w:cs="Arial"/>
                      <w:i/>
                      <w:sz w:val="18"/>
                      <w:szCs w:val="18"/>
                    </w:rPr>
                  </w:pPr>
                  <w:r w:rsidRPr="00FD557B">
                    <w:rPr>
                      <w:rFonts w:ascii="Arial" w:hAnsi="Arial" w:cs="Arial"/>
                      <w:i/>
                      <w:sz w:val="18"/>
                      <w:szCs w:val="18"/>
                    </w:rPr>
                    <w:t>General export measures</w:t>
                  </w:r>
                </w:p>
              </w:tc>
              <w:tc>
                <w:tcPr>
                  <w:tcW w:w="469" w:type="pct"/>
                  <w:vAlign w:val="bottom"/>
                </w:tcPr>
                <w:p w:rsidR="00745FEA" w:rsidRPr="00FD557B" w:rsidRDefault="00745FEA" w:rsidP="00745FEA">
                  <w:pPr>
                    <w:pStyle w:val="TableBodyText"/>
                    <w:ind w:right="57"/>
                    <w:rPr>
                      <w:rFonts w:cs="Arial"/>
                      <w:szCs w:val="18"/>
                    </w:rPr>
                  </w:pPr>
                </w:p>
              </w:tc>
              <w:tc>
                <w:tcPr>
                  <w:tcW w:w="467" w:type="pct"/>
                  <w:vAlign w:val="bottom"/>
                </w:tcPr>
                <w:p w:rsidR="00745FEA" w:rsidRPr="00FD557B" w:rsidRDefault="00745FEA" w:rsidP="00745FEA">
                  <w:pPr>
                    <w:pStyle w:val="TableBodyText"/>
                    <w:ind w:right="57"/>
                    <w:rPr>
                      <w:rFonts w:cs="Arial"/>
                      <w:szCs w:val="18"/>
                    </w:rPr>
                  </w:pPr>
                </w:p>
              </w:tc>
              <w:tc>
                <w:tcPr>
                  <w:tcW w:w="467" w:type="pct"/>
                  <w:vAlign w:val="bottom"/>
                </w:tcPr>
                <w:p w:rsidR="00745FEA" w:rsidRPr="00FD557B" w:rsidRDefault="00745FEA" w:rsidP="00745FEA">
                  <w:pPr>
                    <w:pStyle w:val="TableBodyText"/>
                    <w:ind w:right="57"/>
                    <w:rPr>
                      <w:rFonts w:cs="Arial"/>
                      <w:szCs w:val="18"/>
                    </w:rPr>
                  </w:pPr>
                </w:p>
              </w:tc>
              <w:tc>
                <w:tcPr>
                  <w:tcW w:w="467" w:type="pct"/>
                  <w:vAlign w:val="bottom"/>
                </w:tcPr>
                <w:p w:rsidR="00745FEA" w:rsidRPr="00FD557B" w:rsidRDefault="00745FEA" w:rsidP="00745FEA">
                  <w:pPr>
                    <w:pStyle w:val="TableBodyText"/>
                    <w:ind w:right="57"/>
                    <w:rPr>
                      <w:rFonts w:cs="Arial"/>
                      <w:szCs w:val="18"/>
                    </w:rPr>
                  </w:pPr>
                </w:p>
              </w:tc>
              <w:tc>
                <w:tcPr>
                  <w:tcW w:w="467" w:type="pct"/>
                  <w:shd w:val="clear" w:color="auto" w:fill="auto"/>
                  <w:vAlign w:val="bottom"/>
                </w:tcPr>
                <w:p w:rsidR="00745FEA" w:rsidRPr="00FD557B" w:rsidRDefault="00745FEA" w:rsidP="00745FEA">
                  <w:pPr>
                    <w:pStyle w:val="TableBodyText"/>
                    <w:ind w:right="57"/>
                    <w:rPr>
                      <w:rFonts w:cs="Arial"/>
                      <w:szCs w:val="18"/>
                    </w:rPr>
                  </w:pPr>
                </w:p>
              </w:tc>
              <w:tc>
                <w:tcPr>
                  <w:tcW w:w="463" w:type="pct"/>
                  <w:shd w:val="clear" w:color="auto" w:fill="auto"/>
                  <w:vAlign w:val="bottom"/>
                </w:tcPr>
                <w:p w:rsidR="00745FEA" w:rsidRPr="00FD557B" w:rsidRDefault="00745FEA" w:rsidP="00745FEA">
                  <w:pPr>
                    <w:pStyle w:val="TableBodyText"/>
                    <w:ind w:right="57"/>
                    <w:rPr>
                      <w:rFonts w:cs="Arial"/>
                      <w:szCs w:val="18"/>
                    </w:rPr>
                  </w:pPr>
                </w:p>
              </w:tc>
            </w:tr>
            <w:tr w:rsidR="00745FEA" w:rsidRPr="00FD557B" w:rsidTr="00745FEA">
              <w:tc>
                <w:tcPr>
                  <w:tcW w:w="2200" w:type="pct"/>
                  <w:shd w:val="clear" w:color="auto" w:fill="auto"/>
                </w:tcPr>
                <w:p w:rsidR="00745FEA" w:rsidRPr="003332D1" w:rsidRDefault="00745FEA" w:rsidP="00745FEA">
                  <w:pPr>
                    <w:pStyle w:val="TableBodyText"/>
                    <w:spacing w:after="0"/>
                    <w:ind w:left="227" w:right="0"/>
                    <w:jc w:val="left"/>
                  </w:pPr>
                  <w:r w:rsidRPr="003332D1">
                    <w:t>Export Market Development Grants Scheme</w:t>
                  </w:r>
                </w:p>
              </w:tc>
              <w:tc>
                <w:tcPr>
                  <w:tcW w:w="469" w:type="pct"/>
                  <w:vAlign w:val="bottom"/>
                </w:tcPr>
                <w:p w:rsidR="00745FEA" w:rsidRPr="003332D1" w:rsidRDefault="00745FEA" w:rsidP="00745FEA">
                  <w:pPr>
                    <w:pStyle w:val="TableBodyText"/>
                    <w:ind w:right="57"/>
                  </w:pPr>
                  <w:r w:rsidRPr="00F723E9">
                    <w:t>1.6</w:t>
                  </w:r>
                </w:p>
              </w:tc>
              <w:tc>
                <w:tcPr>
                  <w:tcW w:w="467" w:type="pct"/>
                  <w:vAlign w:val="bottom"/>
                </w:tcPr>
                <w:p w:rsidR="00745FEA" w:rsidRPr="003332D1" w:rsidRDefault="00745FEA" w:rsidP="00745FEA">
                  <w:pPr>
                    <w:pStyle w:val="TableBodyText"/>
                    <w:ind w:right="57"/>
                  </w:pPr>
                  <w:r w:rsidRPr="00F723E9">
                    <w:t>1.2</w:t>
                  </w:r>
                </w:p>
              </w:tc>
              <w:tc>
                <w:tcPr>
                  <w:tcW w:w="467" w:type="pct"/>
                  <w:vAlign w:val="bottom"/>
                </w:tcPr>
                <w:p w:rsidR="00745FEA" w:rsidRPr="003332D1" w:rsidRDefault="00745FEA" w:rsidP="00745FEA">
                  <w:pPr>
                    <w:pStyle w:val="TableBodyText"/>
                    <w:ind w:right="57"/>
                  </w:pPr>
                  <w:r w:rsidRPr="00F723E9">
                    <w:t>2.2</w:t>
                  </w:r>
                </w:p>
              </w:tc>
              <w:tc>
                <w:tcPr>
                  <w:tcW w:w="467" w:type="pct"/>
                  <w:vAlign w:val="bottom"/>
                </w:tcPr>
                <w:p w:rsidR="00745FEA" w:rsidRPr="003332D1" w:rsidRDefault="00745FEA" w:rsidP="00745FEA">
                  <w:pPr>
                    <w:pStyle w:val="TableBodyText"/>
                    <w:ind w:right="57"/>
                  </w:pPr>
                  <w:r w:rsidRPr="00F723E9">
                    <w:t>2.2</w:t>
                  </w:r>
                </w:p>
              </w:tc>
              <w:tc>
                <w:tcPr>
                  <w:tcW w:w="467" w:type="pct"/>
                  <w:shd w:val="clear" w:color="auto" w:fill="auto"/>
                  <w:vAlign w:val="bottom"/>
                </w:tcPr>
                <w:p w:rsidR="00745FEA" w:rsidRPr="003332D1" w:rsidRDefault="00745FEA" w:rsidP="00745FEA">
                  <w:pPr>
                    <w:pStyle w:val="TableBodyText"/>
                    <w:ind w:right="57"/>
                  </w:pPr>
                  <w:r w:rsidRPr="00F723E9">
                    <w:t>1.6</w:t>
                  </w:r>
                </w:p>
              </w:tc>
              <w:tc>
                <w:tcPr>
                  <w:tcW w:w="463" w:type="pct"/>
                  <w:shd w:val="clear" w:color="auto" w:fill="auto"/>
                  <w:vAlign w:val="bottom"/>
                </w:tcPr>
                <w:p w:rsidR="00745FEA" w:rsidRPr="003332D1" w:rsidRDefault="00745FEA" w:rsidP="00745FEA">
                  <w:pPr>
                    <w:pStyle w:val="TableBodyText"/>
                    <w:ind w:right="57"/>
                  </w:pPr>
                  <w:r w:rsidRPr="00F723E9">
                    <w:t>2.0</w:t>
                  </w:r>
                </w:p>
              </w:tc>
            </w:tr>
            <w:tr w:rsidR="00745FEA" w:rsidRPr="00FD557B" w:rsidTr="00745FEA">
              <w:tc>
                <w:tcPr>
                  <w:tcW w:w="2200" w:type="pct"/>
                  <w:shd w:val="clear" w:color="auto" w:fill="auto"/>
                </w:tcPr>
                <w:p w:rsidR="00745FEA" w:rsidRPr="003332D1" w:rsidRDefault="00745FEA" w:rsidP="00745FEA">
                  <w:pPr>
                    <w:pStyle w:val="TableBodyText"/>
                    <w:spacing w:after="0"/>
                    <w:ind w:left="227" w:right="0"/>
                    <w:jc w:val="left"/>
                  </w:pPr>
                  <w:r w:rsidRPr="003332D1">
                    <w:t>TRADEX</w:t>
                  </w:r>
                </w:p>
              </w:tc>
              <w:tc>
                <w:tcPr>
                  <w:tcW w:w="469" w:type="pct"/>
                  <w:vAlign w:val="bottom"/>
                </w:tcPr>
                <w:p w:rsidR="00745FEA" w:rsidRPr="003332D1" w:rsidRDefault="00745FEA" w:rsidP="00745FEA">
                  <w:pPr>
                    <w:pStyle w:val="TableBodyText"/>
                    <w:ind w:right="57"/>
                  </w:pPr>
                  <w:r w:rsidRPr="00F723E9">
                    <w:t>0.2</w:t>
                  </w:r>
                </w:p>
              </w:tc>
              <w:tc>
                <w:tcPr>
                  <w:tcW w:w="467" w:type="pct"/>
                  <w:vAlign w:val="bottom"/>
                </w:tcPr>
                <w:p w:rsidR="00745FEA" w:rsidRPr="003332D1" w:rsidRDefault="00745FEA" w:rsidP="00745FEA">
                  <w:pPr>
                    <w:pStyle w:val="TableBodyText"/>
                    <w:ind w:right="57"/>
                  </w:pPr>
                  <w:r w:rsidRPr="00F723E9">
                    <w:t>0.2</w:t>
                  </w:r>
                </w:p>
              </w:tc>
              <w:tc>
                <w:tcPr>
                  <w:tcW w:w="467" w:type="pct"/>
                  <w:vAlign w:val="bottom"/>
                </w:tcPr>
                <w:p w:rsidR="00745FEA" w:rsidRPr="003332D1" w:rsidRDefault="00745FEA" w:rsidP="00745FEA">
                  <w:pPr>
                    <w:pStyle w:val="TableBodyText"/>
                    <w:ind w:right="57"/>
                  </w:pPr>
                  <w:r w:rsidRPr="00F723E9">
                    <w:t>0.2</w:t>
                  </w:r>
                </w:p>
              </w:tc>
              <w:tc>
                <w:tcPr>
                  <w:tcW w:w="467" w:type="pct"/>
                  <w:vAlign w:val="bottom"/>
                </w:tcPr>
                <w:p w:rsidR="00745FEA" w:rsidRPr="003332D1" w:rsidRDefault="00745FEA" w:rsidP="00745FEA">
                  <w:pPr>
                    <w:pStyle w:val="TableBodyText"/>
                    <w:ind w:right="57"/>
                  </w:pPr>
                  <w:r w:rsidRPr="00F723E9">
                    <w:t>0.2</w:t>
                  </w:r>
                </w:p>
              </w:tc>
              <w:tc>
                <w:tcPr>
                  <w:tcW w:w="467" w:type="pct"/>
                  <w:shd w:val="clear" w:color="auto" w:fill="auto"/>
                  <w:vAlign w:val="bottom"/>
                </w:tcPr>
                <w:p w:rsidR="00745FEA" w:rsidRPr="003332D1" w:rsidRDefault="00745FEA" w:rsidP="00745FEA">
                  <w:pPr>
                    <w:pStyle w:val="TableBodyText"/>
                    <w:ind w:right="57"/>
                  </w:pPr>
                  <w:r w:rsidRPr="00F723E9">
                    <w:t>0.2</w:t>
                  </w:r>
                </w:p>
              </w:tc>
              <w:tc>
                <w:tcPr>
                  <w:tcW w:w="463" w:type="pct"/>
                  <w:shd w:val="clear" w:color="auto" w:fill="auto"/>
                  <w:vAlign w:val="bottom"/>
                </w:tcPr>
                <w:p w:rsidR="00745FEA" w:rsidRDefault="00745FEA" w:rsidP="00745FEA">
                  <w:pPr>
                    <w:pStyle w:val="TableBodyText"/>
                    <w:ind w:right="57"/>
                  </w:pPr>
                  <w:r w:rsidRPr="00F723E9">
                    <w:t>0.2</w:t>
                  </w:r>
                </w:p>
              </w:tc>
            </w:tr>
            <w:tr w:rsidR="00745FEA" w:rsidTr="00745FEA">
              <w:tc>
                <w:tcPr>
                  <w:tcW w:w="2200" w:type="pct"/>
                  <w:shd w:val="clear" w:color="auto" w:fill="auto"/>
                </w:tcPr>
                <w:p w:rsidR="00745FEA" w:rsidRPr="0085010C" w:rsidRDefault="00745FEA" w:rsidP="00745FEA">
                  <w:pPr>
                    <w:pStyle w:val="TableBodyText"/>
                    <w:spacing w:before="40" w:after="0"/>
                    <w:ind w:left="113"/>
                    <w:jc w:val="left"/>
                    <w:rPr>
                      <w:i/>
                    </w:rPr>
                  </w:pPr>
                  <w:r w:rsidRPr="0085010C">
                    <w:rPr>
                      <w:i/>
                    </w:rPr>
                    <w:t>General R&amp;D measures</w:t>
                  </w:r>
                </w:p>
              </w:tc>
              <w:tc>
                <w:tcPr>
                  <w:tcW w:w="469"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shd w:val="clear" w:color="auto" w:fill="auto"/>
                  <w:vAlign w:val="bottom"/>
                </w:tcPr>
                <w:p w:rsidR="00745FEA" w:rsidRDefault="00745FEA" w:rsidP="00745FEA">
                  <w:pPr>
                    <w:pStyle w:val="TableBodyText"/>
                    <w:ind w:right="57"/>
                  </w:pPr>
                </w:p>
              </w:tc>
              <w:tc>
                <w:tcPr>
                  <w:tcW w:w="463" w:type="pct"/>
                  <w:shd w:val="clear" w:color="auto" w:fill="auto"/>
                  <w:vAlign w:val="bottom"/>
                </w:tcPr>
                <w:p w:rsidR="00745FEA" w:rsidRDefault="00745FEA" w:rsidP="00745FEA">
                  <w:pPr>
                    <w:pStyle w:val="TableBodyText"/>
                    <w:ind w:right="57"/>
                  </w:pP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Commercialisation Australia</w:t>
                  </w:r>
                </w:p>
              </w:tc>
              <w:tc>
                <w:tcPr>
                  <w:tcW w:w="469" w:type="pct"/>
                  <w:vAlign w:val="bottom"/>
                </w:tcPr>
                <w:p w:rsidR="00745FEA" w:rsidRPr="00044B71" w:rsidRDefault="00745FEA" w:rsidP="00745FEA">
                  <w:pPr>
                    <w:pStyle w:val="TableBodyText"/>
                    <w:ind w:right="57"/>
                  </w:pPr>
                  <w:r w:rsidRPr="005E03F9">
                    <w:t>1.4</w:t>
                  </w:r>
                </w:p>
              </w:tc>
              <w:tc>
                <w:tcPr>
                  <w:tcW w:w="467" w:type="pct"/>
                  <w:vAlign w:val="bottom"/>
                </w:tcPr>
                <w:p w:rsidR="00745FEA" w:rsidRPr="00044B71" w:rsidRDefault="00745FEA" w:rsidP="00745FEA">
                  <w:pPr>
                    <w:pStyle w:val="TableBodyText"/>
                    <w:ind w:right="57"/>
                  </w:pPr>
                  <w:r w:rsidRPr="005E03F9">
                    <w:t>1.5</w:t>
                  </w:r>
                </w:p>
              </w:tc>
              <w:tc>
                <w:tcPr>
                  <w:tcW w:w="467" w:type="pct"/>
                  <w:vAlign w:val="bottom"/>
                </w:tcPr>
                <w:p w:rsidR="00745FEA" w:rsidRPr="00044B71" w:rsidRDefault="00745FEA" w:rsidP="00745FEA">
                  <w:pPr>
                    <w:pStyle w:val="TableBodyText"/>
                    <w:ind w:right="57"/>
                  </w:pPr>
                  <w:r w:rsidRPr="005E03F9">
                    <w:t>3.2</w:t>
                  </w:r>
                </w:p>
              </w:tc>
              <w:tc>
                <w:tcPr>
                  <w:tcW w:w="467" w:type="pct"/>
                  <w:vAlign w:val="bottom"/>
                </w:tcPr>
                <w:p w:rsidR="00745FEA" w:rsidRPr="00044B71" w:rsidRDefault="00745FEA" w:rsidP="00745FEA">
                  <w:pPr>
                    <w:pStyle w:val="TableBodyText"/>
                    <w:ind w:right="57"/>
                  </w:pPr>
                  <w:r w:rsidRPr="005E03F9">
                    <w:t>2.9</w:t>
                  </w:r>
                </w:p>
              </w:tc>
              <w:tc>
                <w:tcPr>
                  <w:tcW w:w="467" w:type="pct"/>
                  <w:shd w:val="clear" w:color="auto" w:fill="auto"/>
                  <w:vAlign w:val="bottom"/>
                </w:tcPr>
                <w:p w:rsidR="00745FEA" w:rsidRPr="00044B71" w:rsidRDefault="00745FEA" w:rsidP="00745FEA">
                  <w:pPr>
                    <w:pStyle w:val="TableBodyText"/>
                    <w:ind w:right="57"/>
                  </w:pPr>
                  <w:r w:rsidRPr="005E03F9">
                    <w:t>0.8</w:t>
                  </w:r>
                </w:p>
              </w:tc>
              <w:tc>
                <w:tcPr>
                  <w:tcW w:w="463" w:type="pct"/>
                  <w:shd w:val="clear" w:color="auto" w:fill="auto"/>
                  <w:vAlign w:val="bottom"/>
                </w:tcPr>
                <w:p w:rsidR="00745FEA" w:rsidRPr="00044B71" w:rsidRDefault="00745FEA" w:rsidP="00745FEA">
                  <w:pPr>
                    <w:pStyle w:val="TableBodyText"/>
                    <w:ind w:right="57"/>
                  </w:pPr>
                  <w:r w:rsidRPr="005E03F9">
                    <w:t>–</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COMET Program</w:t>
                  </w:r>
                </w:p>
              </w:tc>
              <w:tc>
                <w:tcPr>
                  <w:tcW w:w="469" w:type="pct"/>
                  <w:vAlign w:val="bottom"/>
                </w:tcPr>
                <w:p w:rsidR="00745FEA" w:rsidRPr="00044B71" w:rsidRDefault="00745FEA" w:rsidP="00745FEA">
                  <w:pPr>
                    <w:pStyle w:val="TableBodyText"/>
                    <w:ind w:right="57"/>
                  </w:pPr>
                  <w:r w:rsidRPr="005E03F9">
                    <w:t>&lt;0.1</w:t>
                  </w:r>
                </w:p>
              </w:tc>
              <w:tc>
                <w:tcPr>
                  <w:tcW w:w="467" w:type="pct"/>
                  <w:vAlign w:val="bottom"/>
                </w:tcPr>
                <w:p w:rsidR="00745FEA" w:rsidRPr="00044B71" w:rsidRDefault="00745FEA" w:rsidP="00745FEA">
                  <w:pPr>
                    <w:pStyle w:val="TableBodyText"/>
                    <w:ind w:right="57"/>
                  </w:pPr>
                  <w:r w:rsidRPr="005E03F9">
                    <w:t>–</w:t>
                  </w:r>
                </w:p>
              </w:tc>
              <w:tc>
                <w:tcPr>
                  <w:tcW w:w="467" w:type="pct"/>
                  <w:vAlign w:val="bottom"/>
                </w:tcPr>
                <w:p w:rsidR="00745FEA" w:rsidRPr="00044B71" w:rsidRDefault="00745FEA" w:rsidP="00745FEA">
                  <w:pPr>
                    <w:pStyle w:val="TableBodyText"/>
                    <w:ind w:right="57"/>
                  </w:pPr>
                  <w:r w:rsidRPr="005E03F9">
                    <w:t>–</w:t>
                  </w:r>
                </w:p>
              </w:tc>
              <w:tc>
                <w:tcPr>
                  <w:tcW w:w="467" w:type="pct"/>
                  <w:vAlign w:val="bottom"/>
                </w:tcPr>
                <w:p w:rsidR="00745FEA" w:rsidRPr="00044B71" w:rsidRDefault="00745FEA" w:rsidP="00745FEA">
                  <w:pPr>
                    <w:pStyle w:val="TableBodyText"/>
                    <w:ind w:right="57"/>
                  </w:pPr>
                  <w:r w:rsidRPr="005E03F9">
                    <w:t>–</w:t>
                  </w:r>
                </w:p>
              </w:tc>
              <w:tc>
                <w:tcPr>
                  <w:tcW w:w="467" w:type="pct"/>
                  <w:shd w:val="clear" w:color="auto" w:fill="auto"/>
                  <w:vAlign w:val="bottom"/>
                </w:tcPr>
                <w:p w:rsidR="00745FEA" w:rsidRPr="00044B71" w:rsidRDefault="00745FEA" w:rsidP="00745FEA">
                  <w:pPr>
                    <w:pStyle w:val="TableBodyText"/>
                    <w:ind w:right="57"/>
                  </w:pPr>
                  <w:r w:rsidRPr="005E03F9">
                    <w:t>–</w:t>
                  </w:r>
                </w:p>
              </w:tc>
              <w:tc>
                <w:tcPr>
                  <w:tcW w:w="463" w:type="pct"/>
                  <w:shd w:val="clear" w:color="auto" w:fill="auto"/>
                  <w:vAlign w:val="bottom"/>
                </w:tcPr>
                <w:p w:rsidR="00745FEA" w:rsidRPr="00044B71" w:rsidRDefault="00745FEA" w:rsidP="00745FEA">
                  <w:pPr>
                    <w:pStyle w:val="TableBodyText"/>
                    <w:ind w:right="57"/>
                  </w:pPr>
                  <w:r w:rsidRPr="005E03F9">
                    <w:t>–</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Cooperative Research Centres</w:t>
                  </w:r>
                </w:p>
              </w:tc>
              <w:tc>
                <w:tcPr>
                  <w:tcW w:w="469" w:type="pct"/>
                  <w:vAlign w:val="bottom"/>
                </w:tcPr>
                <w:p w:rsidR="00745FEA" w:rsidRPr="00044B71" w:rsidRDefault="00745FEA" w:rsidP="00745FEA">
                  <w:pPr>
                    <w:pStyle w:val="TableBodyText"/>
                    <w:ind w:right="57"/>
                  </w:pPr>
                  <w:r w:rsidRPr="005E03F9">
                    <w:t>38.9</w:t>
                  </w:r>
                </w:p>
              </w:tc>
              <w:tc>
                <w:tcPr>
                  <w:tcW w:w="467" w:type="pct"/>
                  <w:vAlign w:val="bottom"/>
                </w:tcPr>
                <w:p w:rsidR="00745FEA" w:rsidRPr="00044B71" w:rsidRDefault="00745FEA" w:rsidP="00745FEA">
                  <w:pPr>
                    <w:pStyle w:val="TableBodyText"/>
                    <w:ind w:right="57"/>
                  </w:pPr>
                  <w:r w:rsidRPr="005E03F9">
                    <w:t>35.4</w:t>
                  </w:r>
                </w:p>
              </w:tc>
              <w:tc>
                <w:tcPr>
                  <w:tcW w:w="467" w:type="pct"/>
                  <w:vAlign w:val="bottom"/>
                </w:tcPr>
                <w:p w:rsidR="00745FEA" w:rsidRPr="00044B71" w:rsidRDefault="00745FEA" w:rsidP="00745FEA">
                  <w:pPr>
                    <w:pStyle w:val="TableBodyText"/>
                    <w:ind w:right="57"/>
                  </w:pPr>
                  <w:r w:rsidRPr="005E03F9">
                    <w:t>43.8</w:t>
                  </w:r>
                </w:p>
              </w:tc>
              <w:tc>
                <w:tcPr>
                  <w:tcW w:w="467" w:type="pct"/>
                  <w:vAlign w:val="bottom"/>
                </w:tcPr>
                <w:p w:rsidR="00745FEA" w:rsidRPr="00044B71" w:rsidRDefault="00745FEA" w:rsidP="00745FEA">
                  <w:pPr>
                    <w:pStyle w:val="TableBodyText"/>
                    <w:ind w:right="57"/>
                  </w:pPr>
                  <w:r w:rsidRPr="005E03F9">
                    <w:t>38.0</w:t>
                  </w:r>
                </w:p>
              </w:tc>
              <w:tc>
                <w:tcPr>
                  <w:tcW w:w="467" w:type="pct"/>
                  <w:shd w:val="clear" w:color="auto" w:fill="auto"/>
                  <w:vAlign w:val="bottom"/>
                </w:tcPr>
                <w:p w:rsidR="00745FEA" w:rsidRPr="00044B71" w:rsidRDefault="00745FEA" w:rsidP="00745FEA">
                  <w:pPr>
                    <w:pStyle w:val="TableBodyText"/>
                    <w:ind w:right="57"/>
                  </w:pPr>
                  <w:r w:rsidRPr="005E03F9">
                    <w:t>37.4</w:t>
                  </w:r>
                </w:p>
              </w:tc>
              <w:tc>
                <w:tcPr>
                  <w:tcW w:w="463" w:type="pct"/>
                  <w:shd w:val="clear" w:color="auto" w:fill="auto"/>
                  <w:vAlign w:val="bottom"/>
                </w:tcPr>
                <w:p w:rsidR="00745FEA" w:rsidRPr="00044B71" w:rsidRDefault="00745FEA" w:rsidP="00745FEA">
                  <w:pPr>
                    <w:pStyle w:val="TableBodyText"/>
                    <w:ind w:right="57"/>
                  </w:pPr>
                  <w:r w:rsidRPr="005E03F9">
                    <w:t>32.0</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CSIRO</w:t>
                  </w:r>
                </w:p>
              </w:tc>
              <w:tc>
                <w:tcPr>
                  <w:tcW w:w="469" w:type="pct"/>
                  <w:vAlign w:val="bottom"/>
                </w:tcPr>
                <w:p w:rsidR="00745FEA" w:rsidRPr="00044B71" w:rsidRDefault="00745FEA" w:rsidP="00745FEA">
                  <w:pPr>
                    <w:pStyle w:val="TableBodyText"/>
                    <w:ind w:right="57"/>
                  </w:pPr>
                  <w:r w:rsidRPr="005E03F9">
                    <w:t>53.1</w:t>
                  </w:r>
                </w:p>
              </w:tc>
              <w:tc>
                <w:tcPr>
                  <w:tcW w:w="467" w:type="pct"/>
                  <w:vAlign w:val="bottom"/>
                </w:tcPr>
                <w:p w:rsidR="00745FEA" w:rsidRPr="00044B71" w:rsidRDefault="00745FEA" w:rsidP="00745FEA">
                  <w:pPr>
                    <w:pStyle w:val="TableBodyText"/>
                    <w:ind w:right="57"/>
                  </w:pPr>
                  <w:r w:rsidRPr="005E03F9">
                    <w:t>53.4</w:t>
                  </w:r>
                </w:p>
              </w:tc>
              <w:tc>
                <w:tcPr>
                  <w:tcW w:w="467" w:type="pct"/>
                  <w:vAlign w:val="bottom"/>
                </w:tcPr>
                <w:p w:rsidR="00745FEA" w:rsidRPr="00044B71" w:rsidRDefault="00745FEA" w:rsidP="00745FEA">
                  <w:pPr>
                    <w:pStyle w:val="TableBodyText"/>
                    <w:ind w:right="57"/>
                  </w:pPr>
                  <w:r w:rsidRPr="005E03F9">
                    <w:t>55.4</w:t>
                  </w:r>
                </w:p>
              </w:tc>
              <w:tc>
                <w:tcPr>
                  <w:tcW w:w="467" w:type="pct"/>
                  <w:vAlign w:val="bottom"/>
                </w:tcPr>
                <w:p w:rsidR="00745FEA" w:rsidRPr="00044B71" w:rsidRDefault="00745FEA" w:rsidP="00745FEA">
                  <w:pPr>
                    <w:pStyle w:val="TableBodyText"/>
                    <w:ind w:right="57"/>
                  </w:pPr>
                  <w:r w:rsidRPr="005E03F9">
                    <w:t>33.4</w:t>
                  </w:r>
                </w:p>
              </w:tc>
              <w:tc>
                <w:tcPr>
                  <w:tcW w:w="467" w:type="pct"/>
                  <w:shd w:val="clear" w:color="auto" w:fill="auto"/>
                  <w:vAlign w:val="bottom"/>
                </w:tcPr>
                <w:p w:rsidR="00745FEA" w:rsidRPr="00044B71" w:rsidRDefault="00745FEA" w:rsidP="00745FEA">
                  <w:pPr>
                    <w:pStyle w:val="TableBodyText"/>
                    <w:ind w:right="57"/>
                  </w:pPr>
                  <w:r w:rsidRPr="005E03F9">
                    <w:t>32.5</w:t>
                  </w:r>
                </w:p>
              </w:tc>
              <w:tc>
                <w:tcPr>
                  <w:tcW w:w="463" w:type="pct"/>
                  <w:shd w:val="clear" w:color="auto" w:fill="auto"/>
                  <w:vAlign w:val="bottom"/>
                </w:tcPr>
                <w:p w:rsidR="00745FEA" w:rsidRPr="00044B71" w:rsidRDefault="00745FEA" w:rsidP="00745FEA">
                  <w:pPr>
                    <w:pStyle w:val="TableBodyText"/>
                    <w:ind w:right="57"/>
                  </w:pPr>
                  <w:r w:rsidRPr="005E03F9">
                    <w:t>33.8</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Innovation Investment Fund</w:t>
                  </w:r>
                </w:p>
              </w:tc>
              <w:tc>
                <w:tcPr>
                  <w:tcW w:w="469" w:type="pct"/>
                  <w:vAlign w:val="bottom"/>
                </w:tcPr>
                <w:p w:rsidR="00745FEA" w:rsidRPr="00044B71" w:rsidRDefault="00745FEA" w:rsidP="00745FEA">
                  <w:pPr>
                    <w:pStyle w:val="TableBodyText"/>
                    <w:ind w:right="57"/>
                  </w:pPr>
                  <w:r w:rsidRPr="005E03F9">
                    <w:t>1.6</w:t>
                  </w:r>
                </w:p>
              </w:tc>
              <w:tc>
                <w:tcPr>
                  <w:tcW w:w="467" w:type="pct"/>
                  <w:vAlign w:val="bottom"/>
                </w:tcPr>
                <w:p w:rsidR="00745FEA" w:rsidRPr="00044B71" w:rsidRDefault="00745FEA" w:rsidP="00745FEA">
                  <w:pPr>
                    <w:pStyle w:val="TableBodyText"/>
                    <w:ind w:right="57"/>
                  </w:pPr>
                  <w:r w:rsidRPr="005E03F9">
                    <w:t>1.9</w:t>
                  </w:r>
                </w:p>
              </w:tc>
              <w:tc>
                <w:tcPr>
                  <w:tcW w:w="467" w:type="pct"/>
                  <w:vAlign w:val="bottom"/>
                </w:tcPr>
                <w:p w:rsidR="00745FEA" w:rsidRPr="00044B71" w:rsidRDefault="00745FEA" w:rsidP="00745FEA">
                  <w:pPr>
                    <w:pStyle w:val="TableBodyText"/>
                    <w:ind w:right="57"/>
                  </w:pPr>
                  <w:r w:rsidRPr="005E03F9">
                    <w:t>2.2</w:t>
                  </w:r>
                </w:p>
              </w:tc>
              <w:tc>
                <w:tcPr>
                  <w:tcW w:w="467" w:type="pct"/>
                  <w:vAlign w:val="bottom"/>
                </w:tcPr>
                <w:p w:rsidR="00745FEA" w:rsidRPr="00044B71" w:rsidRDefault="00745FEA" w:rsidP="00745FEA">
                  <w:pPr>
                    <w:pStyle w:val="TableBodyText"/>
                    <w:ind w:right="57"/>
                  </w:pPr>
                  <w:r w:rsidRPr="005E03F9">
                    <w:t>2.2</w:t>
                  </w:r>
                </w:p>
              </w:tc>
              <w:tc>
                <w:tcPr>
                  <w:tcW w:w="467" w:type="pct"/>
                  <w:shd w:val="clear" w:color="auto" w:fill="auto"/>
                  <w:vAlign w:val="bottom"/>
                </w:tcPr>
                <w:p w:rsidR="00745FEA" w:rsidRPr="00044B71" w:rsidRDefault="00745FEA" w:rsidP="00745FEA">
                  <w:pPr>
                    <w:pStyle w:val="TableBodyText"/>
                    <w:ind w:right="57"/>
                  </w:pPr>
                  <w:r w:rsidRPr="005E03F9">
                    <w:t>4.4</w:t>
                  </w:r>
                </w:p>
              </w:tc>
              <w:tc>
                <w:tcPr>
                  <w:tcW w:w="463" w:type="pct"/>
                  <w:shd w:val="clear" w:color="auto" w:fill="auto"/>
                  <w:vAlign w:val="bottom"/>
                </w:tcPr>
                <w:p w:rsidR="00745FEA" w:rsidRPr="00044B71" w:rsidRDefault="00745FEA" w:rsidP="00745FEA">
                  <w:pPr>
                    <w:pStyle w:val="TableBodyText"/>
                    <w:ind w:right="57"/>
                  </w:pPr>
                  <w:r w:rsidRPr="005E03F9">
                    <w:t>3.1</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R&amp;D Tax Incentive - refundable tax offset</w:t>
                  </w:r>
                </w:p>
              </w:tc>
              <w:tc>
                <w:tcPr>
                  <w:tcW w:w="469" w:type="pct"/>
                  <w:vAlign w:val="bottom"/>
                </w:tcPr>
                <w:p w:rsidR="00745FEA" w:rsidRPr="00044B71" w:rsidRDefault="00745FEA" w:rsidP="00745FEA">
                  <w:pPr>
                    <w:pStyle w:val="TableBodyText"/>
                    <w:ind w:right="57"/>
                  </w:pPr>
                  <w:r w:rsidRPr="005E03F9">
                    <w:t>–</w:t>
                  </w:r>
                </w:p>
              </w:tc>
              <w:tc>
                <w:tcPr>
                  <w:tcW w:w="467" w:type="pct"/>
                  <w:vAlign w:val="bottom"/>
                </w:tcPr>
                <w:p w:rsidR="00745FEA" w:rsidRPr="00044B71" w:rsidRDefault="00745FEA" w:rsidP="00745FEA">
                  <w:pPr>
                    <w:pStyle w:val="TableBodyText"/>
                    <w:ind w:right="57"/>
                  </w:pPr>
                  <w:r w:rsidRPr="005E03F9">
                    <w:t>18.0</w:t>
                  </w:r>
                </w:p>
              </w:tc>
              <w:tc>
                <w:tcPr>
                  <w:tcW w:w="467" w:type="pct"/>
                  <w:vAlign w:val="bottom"/>
                </w:tcPr>
                <w:p w:rsidR="00745FEA" w:rsidRPr="00044B71" w:rsidRDefault="00745FEA" w:rsidP="00745FEA">
                  <w:pPr>
                    <w:pStyle w:val="TableBodyText"/>
                    <w:ind w:right="57"/>
                  </w:pPr>
                  <w:r w:rsidRPr="005E03F9">
                    <w:t>17.5</w:t>
                  </w:r>
                </w:p>
              </w:tc>
              <w:tc>
                <w:tcPr>
                  <w:tcW w:w="467" w:type="pct"/>
                  <w:vAlign w:val="bottom"/>
                </w:tcPr>
                <w:p w:rsidR="00745FEA" w:rsidRPr="00044B71" w:rsidRDefault="00745FEA" w:rsidP="00745FEA">
                  <w:pPr>
                    <w:pStyle w:val="TableBodyText"/>
                    <w:ind w:right="57"/>
                  </w:pPr>
                  <w:r w:rsidRPr="005E03F9">
                    <w:t>23.4</w:t>
                  </w:r>
                </w:p>
              </w:tc>
              <w:tc>
                <w:tcPr>
                  <w:tcW w:w="467" w:type="pct"/>
                  <w:shd w:val="clear" w:color="auto" w:fill="auto"/>
                  <w:vAlign w:val="bottom"/>
                </w:tcPr>
                <w:p w:rsidR="00745FEA" w:rsidRPr="00044B71" w:rsidRDefault="00745FEA" w:rsidP="00745FEA">
                  <w:pPr>
                    <w:pStyle w:val="TableBodyText"/>
                    <w:ind w:right="57"/>
                  </w:pPr>
                  <w:r w:rsidRPr="005E03F9">
                    <w:t>24.8</w:t>
                  </w:r>
                </w:p>
              </w:tc>
              <w:tc>
                <w:tcPr>
                  <w:tcW w:w="463" w:type="pct"/>
                  <w:shd w:val="clear" w:color="auto" w:fill="auto"/>
                  <w:vAlign w:val="bottom"/>
                </w:tcPr>
                <w:p w:rsidR="00745FEA" w:rsidRPr="00044B71" w:rsidRDefault="00745FEA" w:rsidP="00745FEA">
                  <w:pPr>
                    <w:pStyle w:val="TableBodyText"/>
                    <w:ind w:right="57"/>
                  </w:pPr>
                  <w:r w:rsidRPr="005E03F9">
                    <w:t>30.1</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R&amp;D tax offsets - Refundable</w:t>
                  </w:r>
                </w:p>
              </w:tc>
              <w:tc>
                <w:tcPr>
                  <w:tcW w:w="469" w:type="pct"/>
                  <w:vAlign w:val="bottom"/>
                </w:tcPr>
                <w:p w:rsidR="00745FEA" w:rsidRPr="00044B71" w:rsidRDefault="00745FEA" w:rsidP="00745FEA">
                  <w:pPr>
                    <w:pStyle w:val="TableBodyText"/>
                    <w:ind w:right="57"/>
                  </w:pPr>
                  <w:r w:rsidRPr="005E03F9">
                    <w:t>5.5</w:t>
                  </w:r>
                </w:p>
              </w:tc>
              <w:tc>
                <w:tcPr>
                  <w:tcW w:w="467" w:type="pct"/>
                  <w:vAlign w:val="bottom"/>
                </w:tcPr>
                <w:p w:rsidR="00745FEA" w:rsidRPr="00044B71" w:rsidRDefault="00745FEA" w:rsidP="00745FEA">
                  <w:pPr>
                    <w:pStyle w:val="TableBodyText"/>
                    <w:ind w:right="57"/>
                  </w:pPr>
                  <w:r w:rsidRPr="005E03F9">
                    <w:t>–</w:t>
                  </w:r>
                </w:p>
              </w:tc>
              <w:tc>
                <w:tcPr>
                  <w:tcW w:w="467" w:type="pct"/>
                  <w:vAlign w:val="bottom"/>
                </w:tcPr>
                <w:p w:rsidR="00745FEA" w:rsidRPr="00044B71" w:rsidRDefault="00745FEA" w:rsidP="00745FEA">
                  <w:pPr>
                    <w:pStyle w:val="TableBodyText"/>
                    <w:ind w:right="57"/>
                  </w:pPr>
                  <w:r w:rsidRPr="005E03F9">
                    <w:t>–</w:t>
                  </w:r>
                </w:p>
              </w:tc>
              <w:tc>
                <w:tcPr>
                  <w:tcW w:w="467" w:type="pct"/>
                  <w:vAlign w:val="bottom"/>
                </w:tcPr>
                <w:p w:rsidR="00745FEA" w:rsidRPr="00044B71" w:rsidRDefault="00745FEA" w:rsidP="00745FEA">
                  <w:pPr>
                    <w:pStyle w:val="TableBodyText"/>
                    <w:ind w:right="57"/>
                  </w:pPr>
                  <w:r w:rsidRPr="005E03F9">
                    <w:t>–</w:t>
                  </w:r>
                </w:p>
              </w:tc>
              <w:tc>
                <w:tcPr>
                  <w:tcW w:w="467" w:type="pct"/>
                  <w:shd w:val="clear" w:color="auto" w:fill="auto"/>
                  <w:vAlign w:val="bottom"/>
                </w:tcPr>
                <w:p w:rsidR="00745FEA" w:rsidRPr="00044B71" w:rsidRDefault="00745FEA" w:rsidP="00745FEA">
                  <w:pPr>
                    <w:pStyle w:val="TableBodyText"/>
                    <w:ind w:right="57"/>
                  </w:pPr>
                  <w:r w:rsidRPr="005E03F9">
                    <w:t>–</w:t>
                  </w:r>
                </w:p>
              </w:tc>
              <w:tc>
                <w:tcPr>
                  <w:tcW w:w="463" w:type="pct"/>
                  <w:shd w:val="clear" w:color="auto" w:fill="auto"/>
                  <w:vAlign w:val="bottom"/>
                </w:tcPr>
                <w:p w:rsidR="00745FEA" w:rsidRPr="00044B71" w:rsidRDefault="00745FEA" w:rsidP="00745FEA">
                  <w:pPr>
                    <w:pStyle w:val="TableBodyText"/>
                    <w:ind w:right="57"/>
                  </w:pPr>
                  <w:r w:rsidRPr="005E03F9">
                    <w:t>–</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Premium R&amp;D tax concession</w:t>
                  </w:r>
                </w:p>
              </w:tc>
              <w:tc>
                <w:tcPr>
                  <w:tcW w:w="469" w:type="pct"/>
                  <w:vAlign w:val="bottom"/>
                </w:tcPr>
                <w:p w:rsidR="00745FEA" w:rsidRPr="00044B71" w:rsidRDefault="00745FEA" w:rsidP="00745FEA">
                  <w:pPr>
                    <w:pStyle w:val="TableBodyText"/>
                    <w:ind w:right="57"/>
                  </w:pPr>
                  <w:r w:rsidRPr="005E03F9">
                    <w:t>1.0</w:t>
                  </w:r>
                </w:p>
              </w:tc>
              <w:tc>
                <w:tcPr>
                  <w:tcW w:w="467" w:type="pct"/>
                  <w:vAlign w:val="bottom"/>
                </w:tcPr>
                <w:p w:rsidR="00745FEA" w:rsidRPr="00044B71" w:rsidRDefault="00745FEA" w:rsidP="00745FEA">
                  <w:pPr>
                    <w:pStyle w:val="TableBodyText"/>
                    <w:ind w:right="57"/>
                  </w:pPr>
                  <w:r w:rsidRPr="005E03F9">
                    <w:t>0.3</w:t>
                  </w:r>
                </w:p>
              </w:tc>
              <w:tc>
                <w:tcPr>
                  <w:tcW w:w="467" w:type="pct"/>
                  <w:vAlign w:val="bottom"/>
                </w:tcPr>
                <w:p w:rsidR="00745FEA" w:rsidRPr="00044B71" w:rsidRDefault="00745FEA" w:rsidP="00745FEA">
                  <w:pPr>
                    <w:pStyle w:val="TableBodyText"/>
                    <w:ind w:right="57"/>
                  </w:pPr>
                  <w:r w:rsidRPr="005E03F9">
                    <w:t>0.1</w:t>
                  </w:r>
                </w:p>
              </w:tc>
              <w:tc>
                <w:tcPr>
                  <w:tcW w:w="467" w:type="pct"/>
                  <w:vAlign w:val="bottom"/>
                </w:tcPr>
                <w:p w:rsidR="00745FEA" w:rsidRPr="00044B71" w:rsidRDefault="00745FEA" w:rsidP="00745FEA">
                  <w:pPr>
                    <w:pStyle w:val="TableBodyText"/>
                    <w:ind w:right="57"/>
                  </w:pPr>
                  <w:r w:rsidRPr="005E03F9">
                    <w:t>–</w:t>
                  </w:r>
                </w:p>
              </w:tc>
              <w:tc>
                <w:tcPr>
                  <w:tcW w:w="467" w:type="pct"/>
                  <w:shd w:val="clear" w:color="auto" w:fill="auto"/>
                  <w:vAlign w:val="bottom"/>
                </w:tcPr>
                <w:p w:rsidR="00745FEA" w:rsidRPr="00044B71" w:rsidRDefault="00745FEA" w:rsidP="00745FEA">
                  <w:pPr>
                    <w:pStyle w:val="TableBodyText"/>
                    <w:ind w:right="57"/>
                  </w:pPr>
                  <w:r w:rsidRPr="005E03F9">
                    <w:t>–</w:t>
                  </w:r>
                </w:p>
              </w:tc>
              <w:tc>
                <w:tcPr>
                  <w:tcW w:w="463" w:type="pct"/>
                  <w:shd w:val="clear" w:color="auto" w:fill="auto"/>
                  <w:vAlign w:val="bottom"/>
                </w:tcPr>
                <w:p w:rsidR="00745FEA" w:rsidRPr="00044B71" w:rsidRDefault="00745FEA" w:rsidP="00745FEA">
                  <w:pPr>
                    <w:pStyle w:val="TableBodyText"/>
                    <w:ind w:right="57"/>
                  </w:pPr>
                  <w:r w:rsidRPr="005E03F9">
                    <w:t>–</w:t>
                  </w:r>
                </w:p>
              </w:tc>
            </w:tr>
            <w:tr w:rsidR="00745FEA" w:rsidTr="00745FEA">
              <w:tc>
                <w:tcPr>
                  <w:tcW w:w="2200" w:type="pct"/>
                  <w:shd w:val="clear" w:color="auto" w:fill="auto"/>
                </w:tcPr>
                <w:p w:rsidR="00745FEA" w:rsidRPr="00044B71" w:rsidRDefault="00745FEA" w:rsidP="00745FEA">
                  <w:pPr>
                    <w:pStyle w:val="TableBodyText"/>
                    <w:spacing w:after="0"/>
                    <w:ind w:left="227" w:right="0"/>
                    <w:jc w:val="left"/>
                  </w:pPr>
                  <w:r w:rsidRPr="00044B71">
                    <w:t>R&amp;D tax concession</w:t>
                  </w:r>
                </w:p>
              </w:tc>
              <w:tc>
                <w:tcPr>
                  <w:tcW w:w="469" w:type="pct"/>
                  <w:vAlign w:val="bottom"/>
                </w:tcPr>
                <w:p w:rsidR="00745FEA" w:rsidRPr="00044B71" w:rsidRDefault="00745FEA" w:rsidP="00745FEA">
                  <w:pPr>
                    <w:pStyle w:val="TableBodyText"/>
                    <w:ind w:right="57"/>
                  </w:pPr>
                  <w:r w:rsidRPr="005E03F9">
                    <w:t>4.2</w:t>
                  </w:r>
                </w:p>
              </w:tc>
              <w:tc>
                <w:tcPr>
                  <w:tcW w:w="467" w:type="pct"/>
                  <w:vAlign w:val="bottom"/>
                </w:tcPr>
                <w:p w:rsidR="00745FEA" w:rsidRPr="00044B71" w:rsidRDefault="00745FEA" w:rsidP="00745FEA">
                  <w:pPr>
                    <w:pStyle w:val="TableBodyText"/>
                    <w:ind w:right="57"/>
                  </w:pPr>
                  <w:r w:rsidRPr="005E03F9">
                    <w:t>1.9</w:t>
                  </w:r>
                </w:p>
              </w:tc>
              <w:tc>
                <w:tcPr>
                  <w:tcW w:w="467" w:type="pct"/>
                  <w:vAlign w:val="bottom"/>
                </w:tcPr>
                <w:p w:rsidR="00745FEA" w:rsidRPr="00044B71" w:rsidRDefault="00745FEA" w:rsidP="00745FEA">
                  <w:pPr>
                    <w:pStyle w:val="TableBodyText"/>
                    <w:ind w:right="57"/>
                  </w:pPr>
                  <w:r w:rsidRPr="005E03F9">
                    <w:t>0.6</w:t>
                  </w:r>
                </w:p>
              </w:tc>
              <w:tc>
                <w:tcPr>
                  <w:tcW w:w="467" w:type="pct"/>
                  <w:vAlign w:val="bottom"/>
                </w:tcPr>
                <w:p w:rsidR="00745FEA" w:rsidRPr="00044B71" w:rsidRDefault="00745FEA" w:rsidP="00745FEA">
                  <w:pPr>
                    <w:pStyle w:val="TableBodyText"/>
                    <w:ind w:right="57"/>
                  </w:pPr>
                  <w:r w:rsidRPr="005E03F9">
                    <w:t>0.1</w:t>
                  </w:r>
                </w:p>
              </w:tc>
              <w:tc>
                <w:tcPr>
                  <w:tcW w:w="467" w:type="pct"/>
                  <w:shd w:val="clear" w:color="auto" w:fill="auto"/>
                  <w:vAlign w:val="bottom"/>
                </w:tcPr>
                <w:p w:rsidR="00745FEA" w:rsidRPr="00044B71" w:rsidRDefault="00745FEA" w:rsidP="00745FEA">
                  <w:pPr>
                    <w:pStyle w:val="TableBodyText"/>
                    <w:ind w:right="57"/>
                  </w:pPr>
                  <w:r w:rsidRPr="005E03F9">
                    <w:t>–</w:t>
                  </w:r>
                </w:p>
              </w:tc>
              <w:tc>
                <w:tcPr>
                  <w:tcW w:w="463" w:type="pct"/>
                  <w:shd w:val="clear" w:color="auto" w:fill="auto"/>
                  <w:vAlign w:val="bottom"/>
                </w:tcPr>
                <w:p w:rsidR="00745FEA" w:rsidRPr="00044B71" w:rsidRDefault="00745FEA" w:rsidP="00745FEA">
                  <w:pPr>
                    <w:pStyle w:val="TableBodyText"/>
                    <w:ind w:right="57"/>
                  </w:pPr>
                  <w:r w:rsidRPr="005E03F9">
                    <w:t>–</w:t>
                  </w:r>
                </w:p>
              </w:tc>
            </w:tr>
            <w:tr w:rsidR="00745FEA" w:rsidTr="00745FEA">
              <w:tc>
                <w:tcPr>
                  <w:tcW w:w="2200" w:type="pct"/>
                  <w:tcBorders>
                    <w:bottom w:val="single" w:sz="6" w:space="0" w:color="BFBFBF"/>
                  </w:tcBorders>
                  <w:shd w:val="clear" w:color="auto" w:fill="auto"/>
                </w:tcPr>
                <w:p w:rsidR="00745FEA" w:rsidRPr="00044B71" w:rsidRDefault="00745FEA" w:rsidP="00745FEA">
                  <w:pPr>
                    <w:pStyle w:val="TableBodyText"/>
                    <w:ind w:left="227" w:right="0"/>
                    <w:jc w:val="left"/>
                  </w:pPr>
                  <w:r w:rsidRPr="00044B71">
                    <w:t>R&amp;D Tax Incentive - non-refundable tax offset</w:t>
                  </w:r>
                </w:p>
              </w:tc>
              <w:tc>
                <w:tcPr>
                  <w:tcW w:w="469" w:type="pct"/>
                  <w:tcBorders>
                    <w:bottom w:val="single" w:sz="6" w:space="0" w:color="BFBFBF"/>
                  </w:tcBorders>
                  <w:vAlign w:val="bottom"/>
                </w:tcPr>
                <w:p w:rsidR="00745FEA" w:rsidRPr="00044B71" w:rsidRDefault="00745FEA" w:rsidP="00745FEA">
                  <w:pPr>
                    <w:pStyle w:val="TableBodyText"/>
                    <w:ind w:right="57"/>
                  </w:pPr>
                  <w:r w:rsidRPr="005E03F9">
                    <w:t>–</w:t>
                  </w:r>
                </w:p>
              </w:tc>
              <w:tc>
                <w:tcPr>
                  <w:tcW w:w="467" w:type="pct"/>
                  <w:tcBorders>
                    <w:bottom w:val="single" w:sz="6" w:space="0" w:color="BFBFBF"/>
                  </w:tcBorders>
                  <w:vAlign w:val="bottom"/>
                </w:tcPr>
                <w:p w:rsidR="00745FEA" w:rsidRPr="00044B71" w:rsidRDefault="00745FEA" w:rsidP="00745FEA">
                  <w:pPr>
                    <w:pStyle w:val="TableBodyText"/>
                    <w:ind w:right="57"/>
                  </w:pPr>
                  <w:r w:rsidRPr="005E03F9">
                    <w:t>2.3</w:t>
                  </w:r>
                </w:p>
              </w:tc>
              <w:tc>
                <w:tcPr>
                  <w:tcW w:w="467" w:type="pct"/>
                  <w:tcBorders>
                    <w:bottom w:val="single" w:sz="6" w:space="0" w:color="BFBFBF"/>
                  </w:tcBorders>
                  <w:vAlign w:val="bottom"/>
                </w:tcPr>
                <w:p w:rsidR="00745FEA" w:rsidRPr="00044B71" w:rsidRDefault="00745FEA" w:rsidP="00745FEA">
                  <w:pPr>
                    <w:pStyle w:val="TableBodyText"/>
                    <w:ind w:right="57"/>
                  </w:pPr>
                  <w:r w:rsidRPr="005E03F9">
                    <w:t>4.4</w:t>
                  </w:r>
                </w:p>
              </w:tc>
              <w:tc>
                <w:tcPr>
                  <w:tcW w:w="467" w:type="pct"/>
                  <w:tcBorders>
                    <w:bottom w:val="single" w:sz="6" w:space="0" w:color="BFBFBF"/>
                  </w:tcBorders>
                  <w:vAlign w:val="bottom"/>
                </w:tcPr>
                <w:p w:rsidR="00745FEA" w:rsidRPr="00044B71" w:rsidRDefault="00745FEA" w:rsidP="00745FEA">
                  <w:pPr>
                    <w:pStyle w:val="TableBodyText"/>
                    <w:ind w:right="57"/>
                  </w:pPr>
                  <w:r w:rsidRPr="005E03F9">
                    <w:t>4.1</w:t>
                  </w:r>
                </w:p>
              </w:tc>
              <w:tc>
                <w:tcPr>
                  <w:tcW w:w="467" w:type="pct"/>
                  <w:tcBorders>
                    <w:bottom w:val="single" w:sz="6" w:space="0" w:color="BFBFBF"/>
                  </w:tcBorders>
                  <w:shd w:val="clear" w:color="auto" w:fill="auto"/>
                  <w:vAlign w:val="bottom"/>
                </w:tcPr>
                <w:p w:rsidR="00745FEA" w:rsidRPr="00044B71" w:rsidRDefault="00745FEA" w:rsidP="00745FEA">
                  <w:pPr>
                    <w:pStyle w:val="TableBodyText"/>
                    <w:ind w:right="57"/>
                  </w:pPr>
                  <w:r w:rsidRPr="005E03F9">
                    <w:t>2.9</w:t>
                  </w:r>
                </w:p>
              </w:tc>
              <w:tc>
                <w:tcPr>
                  <w:tcW w:w="463" w:type="pct"/>
                  <w:tcBorders>
                    <w:bottom w:val="single" w:sz="6" w:space="0" w:color="BFBFBF"/>
                  </w:tcBorders>
                  <w:shd w:val="clear" w:color="auto" w:fill="auto"/>
                  <w:vAlign w:val="bottom"/>
                </w:tcPr>
                <w:p w:rsidR="00745FEA" w:rsidRDefault="00745FEA" w:rsidP="00745FEA">
                  <w:pPr>
                    <w:pStyle w:val="TableBodyText"/>
                    <w:ind w:right="57"/>
                  </w:pPr>
                  <w:r w:rsidRPr="005E03F9">
                    <w:t>3.4</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3"/>
              <w:gridCol w:w="798"/>
              <w:gridCol w:w="794"/>
              <w:gridCol w:w="794"/>
              <w:gridCol w:w="794"/>
              <w:gridCol w:w="794"/>
              <w:gridCol w:w="788"/>
            </w:tblGrid>
            <w:tr w:rsidR="00745FEA" w:rsidTr="00C719FB">
              <w:trPr>
                <w:tblHeader/>
              </w:trPr>
              <w:tc>
                <w:tcPr>
                  <w:tcW w:w="220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7"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3"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0" w:type="pct"/>
                  <w:tcBorders>
                    <w:top w:val="single" w:sz="6" w:space="0" w:color="BFBFBF"/>
                  </w:tcBorders>
                </w:tcPr>
                <w:p w:rsidR="00745FEA" w:rsidRPr="0059660A" w:rsidRDefault="00745FEA" w:rsidP="00745FEA">
                  <w:pPr>
                    <w:pStyle w:val="TableUnitsRow"/>
                    <w:spacing w:after="0"/>
                    <w:ind w:left="113"/>
                    <w:jc w:val="left"/>
                    <w:rPr>
                      <w:i/>
                    </w:rPr>
                  </w:pPr>
                  <w:r w:rsidRPr="0059660A">
                    <w:rPr>
                      <w:i/>
                    </w:rPr>
                    <w:t>Other measures</w:t>
                  </w:r>
                </w:p>
              </w:tc>
              <w:tc>
                <w:tcPr>
                  <w:tcW w:w="469"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3"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Enterprise Connect Innovation Centres</w:t>
                  </w:r>
                </w:p>
              </w:tc>
              <w:tc>
                <w:tcPr>
                  <w:tcW w:w="469" w:type="pct"/>
                  <w:vAlign w:val="bottom"/>
                </w:tcPr>
                <w:p w:rsidR="00745FEA" w:rsidRPr="00DE10AB" w:rsidRDefault="00745FEA" w:rsidP="00745FEA">
                  <w:pPr>
                    <w:pStyle w:val="TableBodyText"/>
                    <w:ind w:right="57"/>
                  </w:pPr>
                  <w:r w:rsidRPr="00DE10AB">
                    <w:t>&lt;0.1</w:t>
                  </w:r>
                </w:p>
              </w:tc>
              <w:tc>
                <w:tcPr>
                  <w:tcW w:w="467" w:type="pct"/>
                  <w:vAlign w:val="bottom"/>
                </w:tcPr>
                <w:p w:rsidR="00745FEA" w:rsidRPr="00DE10AB" w:rsidRDefault="00745FEA" w:rsidP="00745FEA">
                  <w:pPr>
                    <w:pStyle w:val="TableBodyText"/>
                    <w:ind w:right="57"/>
                  </w:pPr>
                  <w:r w:rsidRPr="00DE10AB">
                    <w:t>0.1</w:t>
                  </w:r>
                </w:p>
              </w:tc>
              <w:tc>
                <w:tcPr>
                  <w:tcW w:w="467" w:type="pct"/>
                  <w:vAlign w:val="bottom"/>
                </w:tcPr>
                <w:p w:rsidR="00745FEA" w:rsidRPr="00DE10AB" w:rsidRDefault="00745FEA" w:rsidP="00745FEA">
                  <w:pPr>
                    <w:pStyle w:val="TableBodyText"/>
                    <w:ind w:right="57"/>
                  </w:pPr>
                  <w:r w:rsidRPr="00DE10AB">
                    <w:t>&lt;0.1</w:t>
                  </w:r>
                </w:p>
              </w:tc>
              <w:tc>
                <w:tcPr>
                  <w:tcW w:w="467" w:type="pct"/>
                  <w:vAlign w:val="bottom"/>
                </w:tcPr>
                <w:p w:rsidR="00745FEA" w:rsidRPr="00DE10AB" w:rsidRDefault="00745FEA" w:rsidP="00745FEA">
                  <w:pPr>
                    <w:pStyle w:val="TableBodyText"/>
                    <w:ind w:right="57"/>
                  </w:pPr>
                  <w:r w:rsidRPr="00DE10AB">
                    <w:t>&lt;0.1</w:t>
                  </w:r>
                </w:p>
              </w:tc>
              <w:tc>
                <w:tcPr>
                  <w:tcW w:w="467" w:type="pct"/>
                  <w:shd w:val="clear" w:color="auto" w:fill="auto"/>
                  <w:vAlign w:val="bottom"/>
                </w:tcPr>
                <w:p w:rsidR="00745FEA" w:rsidRPr="00DE10AB" w:rsidRDefault="00745FEA" w:rsidP="00745FEA">
                  <w:pPr>
                    <w:pStyle w:val="TableBodyText"/>
                    <w:ind w:right="57"/>
                  </w:pPr>
                  <w:r w:rsidRPr="00DE10AB">
                    <w:t>&lt;0.1</w:t>
                  </w:r>
                </w:p>
              </w:tc>
              <w:tc>
                <w:tcPr>
                  <w:tcW w:w="463" w:type="pct"/>
                  <w:shd w:val="clear" w:color="auto" w:fill="auto"/>
                  <w:vAlign w:val="bottom"/>
                </w:tcPr>
                <w:p w:rsidR="00745FEA" w:rsidRPr="00DE10AB" w:rsidRDefault="00745FEA" w:rsidP="00745FEA">
                  <w:pPr>
                    <w:pStyle w:val="TableBodyText"/>
                    <w:ind w:right="57"/>
                  </w:pPr>
                  <w:r w:rsidRPr="00DE10AB">
                    <w:t>–</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Entrepreneurs’ Infrastructure Programme - Accelerating Commercialisation</w:t>
                  </w:r>
                </w:p>
              </w:tc>
              <w:tc>
                <w:tcPr>
                  <w:tcW w:w="469"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0.2</w:t>
                  </w:r>
                </w:p>
              </w:tc>
              <w:tc>
                <w:tcPr>
                  <w:tcW w:w="467" w:type="pct"/>
                  <w:shd w:val="clear" w:color="auto" w:fill="auto"/>
                  <w:vAlign w:val="bottom"/>
                </w:tcPr>
                <w:p w:rsidR="00745FEA" w:rsidRPr="00DE10AB" w:rsidRDefault="00745FEA" w:rsidP="00745FEA">
                  <w:pPr>
                    <w:pStyle w:val="TableBodyText"/>
                    <w:ind w:right="57"/>
                  </w:pPr>
                  <w:r w:rsidRPr="00DE10AB">
                    <w:t>2.0</w:t>
                  </w:r>
                </w:p>
              </w:tc>
              <w:tc>
                <w:tcPr>
                  <w:tcW w:w="463" w:type="pct"/>
                  <w:shd w:val="clear" w:color="auto" w:fill="auto"/>
                  <w:vAlign w:val="bottom"/>
                </w:tcPr>
                <w:p w:rsidR="00745FEA" w:rsidRPr="00DE10AB" w:rsidRDefault="00745FEA" w:rsidP="00745FEA">
                  <w:pPr>
                    <w:pStyle w:val="TableBodyText"/>
                    <w:ind w:right="57"/>
                  </w:pPr>
                  <w:r w:rsidRPr="00DE10AB">
                    <w:t>1.0</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Entrepreneurs’ Infrastructure Programme - Business Management Skills</w:t>
                  </w:r>
                </w:p>
              </w:tc>
              <w:tc>
                <w:tcPr>
                  <w:tcW w:w="469"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&lt;0.1</w:t>
                  </w:r>
                </w:p>
              </w:tc>
              <w:tc>
                <w:tcPr>
                  <w:tcW w:w="467" w:type="pct"/>
                  <w:shd w:val="clear" w:color="auto" w:fill="auto"/>
                  <w:vAlign w:val="bottom"/>
                </w:tcPr>
                <w:p w:rsidR="00745FEA" w:rsidRPr="00DE10AB" w:rsidRDefault="00745FEA" w:rsidP="00745FEA">
                  <w:pPr>
                    <w:pStyle w:val="TableBodyText"/>
                    <w:ind w:right="57"/>
                  </w:pPr>
                  <w:r w:rsidRPr="00DE10AB">
                    <w:t>&lt;0.1</w:t>
                  </w:r>
                </w:p>
              </w:tc>
              <w:tc>
                <w:tcPr>
                  <w:tcW w:w="463" w:type="pct"/>
                  <w:shd w:val="clear" w:color="auto" w:fill="auto"/>
                  <w:vAlign w:val="bottom"/>
                </w:tcPr>
                <w:p w:rsidR="00745FEA" w:rsidRPr="00DE10AB" w:rsidRDefault="00745FEA" w:rsidP="00745FEA">
                  <w:pPr>
                    <w:pStyle w:val="TableBodyText"/>
                    <w:ind w:right="57"/>
                  </w:pPr>
                  <w:r w:rsidRPr="00DE10AB">
                    <w:t>0.1</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Illawarra Region Innovation and Investment Fund</w:t>
                  </w:r>
                </w:p>
              </w:tc>
              <w:tc>
                <w:tcPr>
                  <w:tcW w:w="469"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2.0</w:t>
                  </w:r>
                </w:p>
              </w:tc>
              <w:tc>
                <w:tcPr>
                  <w:tcW w:w="467"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w:t>
                  </w:r>
                </w:p>
              </w:tc>
              <w:tc>
                <w:tcPr>
                  <w:tcW w:w="467" w:type="pct"/>
                  <w:shd w:val="clear" w:color="auto" w:fill="auto"/>
                  <w:vAlign w:val="bottom"/>
                </w:tcPr>
                <w:p w:rsidR="00745FEA" w:rsidRPr="00DE10AB" w:rsidRDefault="00745FEA" w:rsidP="00745FEA">
                  <w:pPr>
                    <w:pStyle w:val="TableBodyText"/>
                    <w:ind w:right="57"/>
                  </w:pPr>
                  <w:r w:rsidRPr="00DE10AB">
                    <w:t>–</w:t>
                  </w:r>
                </w:p>
              </w:tc>
              <w:tc>
                <w:tcPr>
                  <w:tcW w:w="463" w:type="pct"/>
                  <w:shd w:val="clear" w:color="auto" w:fill="auto"/>
                  <w:vAlign w:val="bottom"/>
                </w:tcPr>
                <w:p w:rsidR="00745FEA" w:rsidRPr="00DE10AB" w:rsidRDefault="00745FEA" w:rsidP="00745FEA">
                  <w:pPr>
                    <w:pStyle w:val="TableBodyText"/>
                    <w:ind w:right="57"/>
                  </w:pPr>
                  <w:r w:rsidRPr="00DE10AB">
                    <w:t>–</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 xml:space="preserve">Small business </w:t>
                  </w:r>
                  <w:r>
                    <w:t>capital gains tax</w:t>
                  </w:r>
                  <w:r w:rsidRPr="000C7AEB">
                    <w:t xml:space="preserve"> rollover deferral</w:t>
                  </w:r>
                </w:p>
              </w:tc>
              <w:tc>
                <w:tcPr>
                  <w:tcW w:w="469" w:type="pct"/>
                  <w:vAlign w:val="bottom"/>
                </w:tcPr>
                <w:p w:rsidR="00745FEA" w:rsidRPr="00DE10AB" w:rsidRDefault="00745FEA" w:rsidP="00745FEA">
                  <w:pPr>
                    <w:pStyle w:val="TableBodyText"/>
                    <w:ind w:right="57"/>
                  </w:pPr>
                  <w:r w:rsidRPr="00DE10AB">
                    <w:t>0.8</w:t>
                  </w:r>
                </w:p>
              </w:tc>
              <w:tc>
                <w:tcPr>
                  <w:tcW w:w="467" w:type="pct"/>
                  <w:vAlign w:val="bottom"/>
                </w:tcPr>
                <w:p w:rsidR="00745FEA" w:rsidRPr="00DE10AB" w:rsidRDefault="00745FEA" w:rsidP="00745FEA">
                  <w:pPr>
                    <w:pStyle w:val="TableBodyText"/>
                    <w:ind w:right="57"/>
                  </w:pPr>
                  <w:r w:rsidRPr="00DE10AB">
                    <w:t>1.0</w:t>
                  </w:r>
                </w:p>
              </w:tc>
              <w:tc>
                <w:tcPr>
                  <w:tcW w:w="467" w:type="pct"/>
                  <w:vAlign w:val="bottom"/>
                </w:tcPr>
                <w:p w:rsidR="00745FEA" w:rsidRPr="00DE10AB" w:rsidRDefault="00745FEA" w:rsidP="00745FEA">
                  <w:pPr>
                    <w:pStyle w:val="TableBodyText"/>
                    <w:ind w:right="57"/>
                  </w:pPr>
                  <w:r w:rsidRPr="00DE10AB">
                    <w:t>1.0</w:t>
                  </w:r>
                </w:p>
              </w:tc>
              <w:tc>
                <w:tcPr>
                  <w:tcW w:w="467" w:type="pct"/>
                  <w:vAlign w:val="bottom"/>
                </w:tcPr>
                <w:p w:rsidR="00745FEA" w:rsidRPr="00DE10AB" w:rsidRDefault="00745FEA" w:rsidP="00745FEA">
                  <w:pPr>
                    <w:pStyle w:val="TableBodyText"/>
                    <w:ind w:right="57"/>
                  </w:pPr>
                  <w:r w:rsidRPr="00DE10AB">
                    <w:t>14.9</w:t>
                  </w:r>
                </w:p>
              </w:tc>
              <w:tc>
                <w:tcPr>
                  <w:tcW w:w="467" w:type="pct"/>
                  <w:shd w:val="clear" w:color="auto" w:fill="auto"/>
                  <w:vAlign w:val="bottom"/>
                </w:tcPr>
                <w:p w:rsidR="00745FEA" w:rsidRPr="00DE10AB" w:rsidRDefault="00745FEA" w:rsidP="00745FEA">
                  <w:pPr>
                    <w:pStyle w:val="TableBodyText"/>
                    <w:ind w:right="57"/>
                  </w:pPr>
                  <w:r w:rsidRPr="00DE10AB">
                    <w:t>6.4</w:t>
                  </w:r>
                </w:p>
              </w:tc>
              <w:tc>
                <w:tcPr>
                  <w:tcW w:w="463" w:type="pct"/>
                  <w:shd w:val="clear" w:color="auto" w:fill="auto"/>
                  <w:vAlign w:val="bottom"/>
                </w:tcPr>
                <w:p w:rsidR="00745FEA" w:rsidRPr="00DE10AB" w:rsidRDefault="00745FEA" w:rsidP="00745FEA">
                  <w:pPr>
                    <w:pStyle w:val="TableBodyText"/>
                    <w:ind w:right="57"/>
                  </w:pPr>
                  <w:r w:rsidRPr="00DE10AB">
                    <w:t>10.0</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The Small Business and General Business Tax Break</w:t>
                  </w:r>
                </w:p>
              </w:tc>
              <w:tc>
                <w:tcPr>
                  <w:tcW w:w="469" w:type="pct"/>
                  <w:vAlign w:val="bottom"/>
                </w:tcPr>
                <w:p w:rsidR="00745FEA" w:rsidRPr="00DE10AB" w:rsidRDefault="00745FEA" w:rsidP="00745FEA">
                  <w:pPr>
                    <w:pStyle w:val="TableBodyText"/>
                    <w:ind w:right="57"/>
                  </w:pPr>
                  <w:r w:rsidRPr="00DE10AB">
                    <w:t>13.9</w:t>
                  </w:r>
                </w:p>
              </w:tc>
              <w:tc>
                <w:tcPr>
                  <w:tcW w:w="467" w:type="pct"/>
                  <w:vAlign w:val="bottom"/>
                </w:tcPr>
                <w:p w:rsidR="00745FEA" w:rsidRPr="00DE10AB" w:rsidRDefault="00745FEA" w:rsidP="00745FEA">
                  <w:pPr>
                    <w:pStyle w:val="TableBodyText"/>
                    <w:ind w:right="57"/>
                  </w:pPr>
                  <w:r w:rsidRPr="00DE10AB">
                    <w:t>4.8</w:t>
                  </w:r>
                </w:p>
              </w:tc>
              <w:tc>
                <w:tcPr>
                  <w:tcW w:w="467" w:type="pct"/>
                  <w:vAlign w:val="bottom"/>
                </w:tcPr>
                <w:p w:rsidR="00745FEA" w:rsidRPr="00DE10AB" w:rsidRDefault="00745FEA" w:rsidP="00745FEA">
                  <w:pPr>
                    <w:pStyle w:val="TableBodyText"/>
                    <w:ind w:right="57"/>
                  </w:pPr>
                  <w:r w:rsidRPr="00DE10AB">
                    <w:t>0.6</w:t>
                  </w:r>
                </w:p>
              </w:tc>
              <w:tc>
                <w:tcPr>
                  <w:tcW w:w="467" w:type="pct"/>
                  <w:vAlign w:val="bottom"/>
                </w:tcPr>
                <w:p w:rsidR="00745FEA" w:rsidRPr="00DE10AB" w:rsidRDefault="00745FEA" w:rsidP="00745FEA">
                  <w:pPr>
                    <w:pStyle w:val="TableBodyText"/>
                    <w:ind w:right="57"/>
                  </w:pPr>
                  <w:r w:rsidRPr="00DE10AB">
                    <w:t>–</w:t>
                  </w:r>
                </w:p>
              </w:tc>
              <w:tc>
                <w:tcPr>
                  <w:tcW w:w="467" w:type="pct"/>
                  <w:shd w:val="clear" w:color="auto" w:fill="auto"/>
                  <w:vAlign w:val="bottom"/>
                </w:tcPr>
                <w:p w:rsidR="00745FEA" w:rsidRPr="00DE10AB" w:rsidRDefault="00745FEA" w:rsidP="00745FEA">
                  <w:pPr>
                    <w:pStyle w:val="TableBodyText"/>
                    <w:ind w:right="57"/>
                  </w:pPr>
                  <w:r w:rsidRPr="00DE10AB">
                    <w:t>–</w:t>
                  </w:r>
                </w:p>
              </w:tc>
              <w:tc>
                <w:tcPr>
                  <w:tcW w:w="463" w:type="pct"/>
                  <w:shd w:val="clear" w:color="auto" w:fill="auto"/>
                  <w:vAlign w:val="bottom"/>
                </w:tcPr>
                <w:p w:rsidR="00745FEA" w:rsidRPr="00DE10AB" w:rsidRDefault="00745FEA" w:rsidP="00745FEA">
                  <w:pPr>
                    <w:pStyle w:val="TableBodyText"/>
                    <w:ind w:right="57"/>
                  </w:pPr>
                  <w:r w:rsidRPr="00DE10AB">
                    <w:t>–</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Small Business - Simplified depreciation rules</w:t>
                  </w:r>
                </w:p>
              </w:tc>
              <w:tc>
                <w:tcPr>
                  <w:tcW w:w="469" w:type="pct"/>
                  <w:vAlign w:val="bottom"/>
                </w:tcPr>
                <w:p w:rsidR="00745FEA" w:rsidRPr="00DE10AB" w:rsidRDefault="00745FEA" w:rsidP="00745FEA">
                  <w:pPr>
                    <w:pStyle w:val="TableBodyText"/>
                    <w:ind w:right="57"/>
                  </w:pPr>
                  <w:r w:rsidRPr="00DE10AB">
                    <w:t>0.5</w:t>
                  </w:r>
                </w:p>
              </w:tc>
              <w:tc>
                <w:tcPr>
                  <w:tcW w:w="467" w:type="pct"/>
                  <w:vAlign w:val="bottom"/>
                </w:tcPr>
                <w:p w:rsidR="00745FEA" w:rsidRPr="00DE10AB" w:rsidRDefault="00745FEA" w:rsidP="00745FEA">
                  <w:pPr>
                    <w:pStyle w:val="TableBodyText"/>
                    <w:ind w:right="57"/>
                  </w:pPr>
                  <w:r w:rsidRPr="00DE10AB">
                    <w:t>-2.8</w:t>
                  </w:r>
                </w:p>
              </w:tc>
              <w:tc>
                <w:tcPr>
                  <w:tcW w:w="467" w:type="pct"/>
                  <w:vAlign w:val="bottom"/>
                </w:tcPr>
                <w:p w:rsidR="00745FEA" w:rsidRPr="00DE10AB" w:rsidRDefault="00745FEA" w:rsidP="00745FEA">
                  <w:pPr>
                    <w:pStyle w:val="TableBodyText"/>
                    <w:ind w:right="57"/>
                  </w:pPr>
                  <w:r w:rsidRPr="00DE10AB">
                    <w:t>10.8</w:t>
                  </w:r>
                </w:p>
              </w:tc>
              <w:tc>
                <w:tcPr>
                  <w:tcW w:w="467" w:type="pct"/>
                  <w:vAlign w:val="bottom"/>
                </w:tcPr>
                <w:p w:rsidR="00745FEA" w:rsidRPr="00DE10AB" w:rsidRDefault="00745FEA" w:rsidP="00745FEA">
                  <w:pPr>
                    <w:pStyle w:val="TableBodyText"/>
                    <w:ind w:right="57"/>
                  </w:pPr>
                  <w:r w:rsidRPr="00DE10AB">
                    <w:t>-5.6</w:t>
                  </w:r>
                </w:p>
              </w:tc>
              <w:tc>
                <w:tcPr>
                  <w:tcW w:w="467" w:type="pct"/>
                  <w:shd w:val="clear" w:color="auto" w:fill="auto"/>
                  <w:vAlign w:val="bottom"/>
                </w:tcPr>
                <w:p w:rsidR="00745FEA" w:rsidRPr="00DE10AB" w:rsidRDefault="00745FEA" w:rsidP="00745FEA">
                  <w:pPr>
                    <w:pStyle w:val="TableBodyText"/>
                    <w:ind w:right="57"/>
                  </w:pPr>
                  <w:r w:rsidRPr="00DE10AB">
                    <w:t>-11.5</w:t>
                  </w:r>
                </w:p>
              </w:tc>
              <w:tc>
                <w:tcPr>
                  <w:tcW w:w="463" w:type="pct"/>
                  <w:shd w:val="clear" w:color="auto" w:fill="auto"/>
                  <w:vAlign w:val="bottom"/>
                </w:tcPr>
                <w:p w:rsidR="00745FEA" w:rsidRPr="00DE10AB" w:rsidRDefault="00745FEA" w:rsidP="00745FEA">
                  <w:pPr>
                    <w:pStyle w:val="TableBodyText"/>
                    <w:ind w:right="57"/>
                  </w:pPr>
                  <w:r w:rsidRPr="00DE10AB">
                    <w:t>63.5</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 xml:space="preserve">Small business </w:t>
                  </w:r>
                  <w:r>
                    <w:t>capital gains tax</w:t>
                  </w:r>
                  <w:r w:rsidRPr="000C7AEB">
                    <w:t xml:space="preserve"> 15-year asset exemption</w:t>
                  </w:r>
                </w:p>
              </w:tc>
              <w:tc>
                <w:tcPr>
                  <w:tcW w:w="469" w:type="pct"/>
                  <w:vAlign w:val="bottom"/>
                </w:tcPr>
                <w:p w:rsidR="00745FEA" w:rsidRPr="00DE10AB" w:rsidRDefault="00745FEA" w:rsidP="00745FEA">
                  <w:pPr>
                    <w:pStyle w:val="TableBodyText"/>
                    <w:ind w:right="57"/>
                  </w:pPr>
                  <w:r w:rsidRPr="00DE10AB">
                    <w:t>2.7</w:t>
                  </w:r>
                </w:p>
              </w:tc>
              <w:tc>
                <w:tcPr>
                  <w:tcW w:w="467" w:type="pct"/>
                  <w:vAlign w:val="bottom"/>
                </w:tcPr>
                <w:p w:rsidR="00745FEA" w:rsidRPr="00DE10AB" w:rsidRDefault="00745FEA" w:rsidP="00745FEA">
                  <w:pPr>
                    <w:pStyle w:val="TableBodyText"/>
                    <w:ind w:right="57"/>
                  </w:pPr>
                  <w:r w:rsidRPr="00DE10AB">
                    <w:t>2.8</w:t>
                  </w:r>
                </w:p>
              </w:tc>
              <w:tc>
                <w:tcPr>
                  <w:tcW w:w="467" w:type="pct"/>
                  <w:vAlign w:val="bottom"/>
                </w:tcPr>
                <w:p w:rsidR="00745FEA" w:rsidRPr="00DE10AB" w:rsidRDefault="00745FEA" w:rsidP="00745FEA">
                  <w:pPr>
                    <w:pStyle w:val="TableBodyText"/>
                    <w:ind w:right="57"/>
                  </w:pPr>
                  <w:r w:rsidRPr="00DE10AB">
                    <w:t>3.2</w:t>
                  </w:r>
                </w:p>
              </w:tc>
              <w:tc>
                <w:tcPr>
                  <w:tcW w:w="467" w:type="pct"/>
                  <w:vAlign w:val="bottom"/>
                </w:tcPr>
                <w:p w:rsidR="00745FEA" w:rsidRPr="00DE10AB" w:rsidRDefault="00745FEA" w:rsidP="00745FEA">
                  <w:pPr>
                    <w:pStyle w:val="TableBodyText"/>
                    <w:ind w:right="57"/>
                  </w:pPr>
                  <w:r w:rsidRPr="00DE10AB">
                    <w:t>8.0</w:t>
                  </w:r>
                </w:p>
              </w:tc>
              <w:tc>
                <w:tcPr>
                  <w:tcW w:w="467" w:type="pct"/>
                  <w:shd w:val="clear" w:color="auto" w:fill="auto"/>
                  <w:vAlign w:val="bottom"/>
                </w:tcPr>
                <w:p w:rsidR="00745FEA" w:rsidRPr="00DE10AB" w:rsidRDefault="00745FEA" w:rsidP="00745FEA">
                  <w:pPr>
                    <w:pStyle w:val="TableBodyText"/>
                    <w:ind w:right="57"/>
                  </w:pPr>
                  <w:r w:rsidRPr="00DE10AB">
                    <w:t>8.4</w:t>
                  </w:r>
                </w:p>
              </w:tc>
              <w:tc>
                <w:tcPr>
                  <w:tcW w:w="463" w:type="pct"/>
                  <w:shd w:val="clear" w:color="auto" w:fill="auto"/>
                  <w:vAlign w:val="bottom"/>
                </w:tcPr>
                <w:p w:rsidR="00745FEA" w:rsidRPr="00DE10AB" w:rsidRDefault="00745FEA" w:rsidP="00745FEA">
                  <w:pPr>
                    <w:pStyle w:val="TableBodyText"/>
                    <w:ind w:right="57"/>
                  </w:pPr>
                  <w:r w:rsidRPr="00DE10AB">
                    <w:t>8.3</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 xml:space="preserve">Small business </w:t>
                  </w:r>
                  <w:r>
                    <w:t>capital gains tax</w:t>
                  </w:r>
                  <w:r w:rsidRPr="000C7AEB">
                    <w:t xml:space="preserve"> retirement exemption</w:t>
                  </w:r>
                </w:p>
              </w:tc>
              <w:tc>
                <w:tcPr>
                  <w:tcW w:w="469" w:type="pct"/>
                  <w:vAlign w:val="bottom"/>
                </w:tcPr>
                <w:p w:rsidR="00745FEA" w:rsidRPr="00DE10AB" w:rsidRDefault="00745FEA" w:rsidP="00745FEA">
                  <w:pPr>
                    <w:pStyle w:val="TableBodyText"/>
                    <w:ind w:right="57"/>
                  </w:pPr>
                  <w:r w:rsidRPr="00DE10AB">
                    <w:t>18.2</w:t>
                  </w:r>
                </w:p>
              </w:tc>
              <w:tc>
                <w:tcPr>
                  <w:tcW w:w="467" w:type="pct"/>
                  <w:vAlign w:val="bottom"/>
                </w:tcPr>
                <w:p w:rsidR="00745FEA" w:rsidRPr="00DE10AB" w:rsidRDefault="00745FEA" w:rsidP="00745FEA">
                  <w:pPr>
                    <w:pStyle w:val="TableBodyText"/>
                    <w:ind w:right="57"/>
                  </w:pPr>
                  <w:r w:rsidRPr="00DE10AB">
                    <w:t>18.7</w:t>
                  </w:r>
                </w:p>
              </w:tc>
              <w:tc>
                <w:tcPr>
                  <w:tcW w:w="467" w:type="pct"/>
                  <w:vAlign w:val="bottom"/>
                </w:tcPr>
                <w:p w:rsidR="00745FEA" w:rsidRPr="00DE10AB" w:rsidRDefault="00745FEA" w:rsidP="00745FEA">
                  <w:pPr>
                    <w:pStyle w:val="TableBodyText"/>
                    <w:ind w:right="57"/>
                  </w:pPr>
                  <w:r w:rsidRPr="00DE10AB">
                    <w:t>19.1</w:t>
                  </w:r>
                </w:p>
              </w:tc>
              <w:tc>
                <w:tcPr>
                  <w:tcW w:w="467" w:type="pct"/>
                  <w:vAlign w:val="bottom"/>
                </w:tcPr>
                <w:p w:rsidR="00745FEA" w:rsidRPr="00DE10AB" w:rsidRDefault="00745FEA" w:rsidP="00745FEA">
                  <w:pPr>
                    <w:pStyle w:val="TableBodyText"/>
                    <w:ind w:right="57"/>
                  </w:pPr>
                  <w:r w:rsidRPr="00DE10AB">
                    <w:t>26.5</w:t>
                  </w:r>
                </w:p>
              </w:tc>
              <w:tc>
                <w:tcPr>
                  <w:tcW w:w="467" w:type="pct"/>
                  <w:shd w:val="clear" w:color="auto" w:fill="auto"/>
                  <w:vAlign w:val="bottom"/>
                </w:tcPr>
                <w:p w:rsidR="00745FEA" w:rsidRPr="00DE10AB" w:rsidRDefault="00745FEA" w:rsidP="00745FEA">
                  <w:pPr>
                    <w:pStyle w:val="TableBodyText"/>
                    <w:ind w:right="57"/>
                  </w:pPr>
                  <w:r w:rsidRPr="00DE10AB">
                    <w:t>26.2</w:t>
                  </w:r>
                </w:p>
              </w:tc>
              <w:tc>
                <w:tcPr>
                  <w:tcW w:w="463" w:type="pct"/>
                  <w:shd w:val="clear" w:color="auto" w:fill="auto"/>
                  <w:vAlign w:val="bottom"/>
                </w:tcPr>
                <w:p w:rsidR="00745FEA" w:rsidRPr="00DE10AB" w:rsidRDefault="00745FEA" w:rsidP="00745FEA">
                  <w:pPr>
                    <w:pStyle w:val="TableBodyText"/>
                    <w:ind w:right="57"/>
                  </w:pPr>
                  <w:r w:rsidRPr="00DE10AB">
                    <w:t>20.4</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 xml:space="preserve">Small business </w:t>
                  </w:r>
                  <w:r>
                    <w:t>capital gains tax</w:t>
                  </w:r>
                  <w:r w:rsidRPr="000C7AEB">
                    <w:t xml:space="preserve"> 50 per cent reduction</w:t>
                  </w:r>
                </w:p>
              </w:tc>
              <w:tc>
                <w:tcPr>
                  <w:tcW w:w="469" w:type="pct"/>
                  <w:vAlign w:val="bottom"/>
                </w:tcPr>
                <w:p w:rsidR="00745FEA" w:rsidRPr="00DE10AB" w:rsidRDefault="00745FEA" w:rsidP="00745FEA">
                  <w:pPr>
                    <w:pStyle w:val="TableBodyText"/>
                    <w:ind w:right="57"/>
                  </w:pPr>
                  <w:r w:rsidRPr="00DE10AB">
                    <w:t>19.3</w:t>
                  </w:r>
                </w:p>
              </w:tc>
              <w:tc>
                <w:tcPr>
                  <w:tcW w:w="467" w:type="pct"/>
                  <w:vAlign w:val="bottom"/>
                </w:tcPr>
                <w:p w:rsidR="00745FEA" w:rsidRPr="00DE10AB" w:rsidRDefault="00745FEA" w:rsidP="00745FEA">
                  <w:pPr>
                    <w:pStyle w:val="TableBodyText"/>
                    <w:ind w:right="57"/>
                  </w:pPr>
                  <w:r w:rsidRPr="00DE10AB">
                    <w:t>20.4</w:t>
                  </w:r>
                </w:p>
              </w:tc>
              <w:tc>
                <w:tcPr>
                  <w:tcW w:w="467" w:type="pct"/>
                  <w:vAlign w:val="bottom"/>
                </w:tcPr>
                <w:p w:rsidR="00745FEA" w:rsidRPr="00DE10AB" w:rsidRDefault="00745FEA" w:rsidP="00745FEA">
                  <w:pPr>
                    <w:pStyle w:val="TableBodyText"/>
                    <w:ind w:right="57"/>
                  </w:pPr>
                  <w:r w:rsidRPr="00DE10AB">
                    <w:t>20.4</w:t>
                  </w:r>
                </w:p>
              </w:tc>
              <w:tc>
                <w:tcPr>
                  <w:tcW w:w="467" w:type="pct"/>
                  <w:vAlign w:val="bottom"/>
                </w:tcPr>
                <w:p w:rsidR="00745FEA" w:rsidRPr="00DE10AB" w:rsidRDefault="00745FEA" w:rsidP="00745FEA">
                  <w:pPr>
                    <w:pStyle w:val="TableBodyText"/>
                    <w:ind w:right="57"/>
                  </w:pPr>
                  <w:r w:rsidRPr="00DE10AB">
                    <w:t>38.9</w:t>
                  </w:r>
                </w:p>
              </w:tc>
              <w:tc>
                <w:tcPr>
                  <w:tcW w:w="467" w:type="pct"/>
                  <w:shd w:val="clear" w:color="auto" w:fill="auto"/>
                  <w:vAlign w:val="bottom"/>
                </w:tcPr>
                <w:p w:rsidR="00745FEA" w:rsidRPr="00DE10AB" w:rsidRDefault="00745FEA" w:rsidP="00745FEA">
                  <w:pPr>
                    <w:pStyle w:val="TableBodyText"/>
                    <w:ind w:right="57"/>
                  </w:pPr>
                  <w:r w:rsidRPr="00DE10AB">
                    <w:t>43.4</w:t>
                  </w:r>
                </w:p>
              </w:tc>
              <w:tc>
                <w:tcPr>
                  <w:tcW w:w="463" w:type="pct"/>
                  <w:shd w:val="clear" w:color="auto" w:fill="auto"/>
                  <w:vAlign w:val="bottom"/>
                </w:tcPr>
                <w:p w:rsidR="00745FEA" w:rsidRPr="00DE10AB" w:rsidRDefault="00745FEA" w:rsidP="00745FEA">
                  <w:pPr>
                    <w:pStyle w:val="TableBodyText"/>
                    <w:ind w:right="57"/>
                  </w:pPr>
                  <w:r w:rsidRPr="00DE10AB">
                    <w:t>29.5</w:t>
                  </w:r>
                </w:p>
              </w:tc>
            </w:tr>
            <w:tr w:rsidR="00745FEA" w:rsidTr="00745FEA">
              <w:tc>
                <w:tcPr>
                  <w:tcW w:w="2200" w:type="pct"/>
                  <w:shd w:val="clear" w:color="auto" w:fill="auto"/>
                </w:tcPr>
                <w:p w:rsidR="00745FEA" w:rsidRPr="000C7AEB" w:rsidRDefault="00745FEA" w:rsidP="00745FEA">
                  <w:pPr>
                    <w:pStyle w:val="TableBodyText"/>
                    <w:spacing w:after="0"/>
                    <w:ind w:left="227" w:right="0"/>
                    <w:jc w:val="left"/>
                  </w:pPr>
                  <w:r w:rsidRPr="000C7AEB">
                    <w:t>25 per cent entrepreneurs' tax offset</w:t>
                  </w:r>
                </w:p>
              </w:tc>
              <w:tc>
                <w:tcPr>
                  <w:tcW w:w="469" w:type="pct"/>
                  <w:vAlign w:val="bottom"/>
                </w:tcPr>
                <w:p w:rsidR="00745FEA" w:rsidRPr="00DE10AB" w:rsidRDefault="00745FEA" w:rsidP="00745FEA">
                  <w:pPr>
                    <w:pStyle w:val="TableBodyText"/>
                    <w:ind w:right="57"/>
                  </w:pPr>
                  <w:r w:rsidRPr="00DE10AB">
                    <w:t>10.2</w:t>
                  </w:r>
                </w:p>
              </w:tc>
              <w:tc>
                <w:tcPr>
                  <w:tcW w:w="467" w:type="pct"/>
                  <w:vAlign w:val="bottom"/>
                </w:tcPr>
                <w:p w:rsidR="00745FEA" w:rsidRPr="00DE10AB" w:rsidRDefault="00745FEA" w:rsidP="00745FEA">
                  <w:pPr>
                    <w:pStyle w:val="TableBodyText"/>
                    <w:ind w:right="57"/>
                  </w:pPr>
                  <w:r w:rsidRPr="00DE10AB">
                    <w:t>11.6</w:t>
                  </w:r>
                </w:p>
              </w:tc>
              <w:tc>
                <w:tcPr>
                  <w:tcW w:w="467" w:type="pct"/>
                  <w:vAlign w:val="bottom"/>
                </w:tcPr>
                <w:p w:rsidR="00745FEA" w:rsidRPr="00DE10AB" w:rsidRDefault="00745FEA" w:rsidP="00745FEA">
                  <w:pPr>
                    <w:pStyle w:val="TableBodyText"/>
                    <w:ind w:right="57"/>
                  </w:pPr>
                  <w:r w:rsidRPr="00DE10AB">
                    <w:t>–</w:t>
                  </w:r>
                </w:p>
              </w:tc>
              <w:tc>
                <w:tcPr>
                  <w:tcW w:w="467" w:type="pct"/>
                  <w:vAlign w:val="bottom"/>
                </w:tcPr>
                <w:p w:rsidR="00745FEA" w:rsidRPr="00DE10AB" w:rsidRDefault="00745FEA" w:rsidP="00745FEA">
                  <w:pPr>
                    <w:pStyle w:val="TableBodyText"/>
                    <w:ind w:right="57"/>
                  </w:pPr>
                  <w:r w:rsidRPr="00DE10AB">
                    <w:t>–</w:t>
                  </w:r>
                </w:p>
              </w:tc>
              <w:tc>
                <w:tcPr>
                  <w:tcW w:w="467" w:type="pct"/>
                  <w:shd w:val="clear" w:color="auto" w:fill="auto"/>
                  <w:vAlign w:val="bottom"/>
                </w:tcPr>
                <w:p w:rsidR="00745FEA" w:rsidRPr="00DE10AB" w:rsidRDefault="00745FEA" w:rsidP="00745FEA">
                  <w:pPr>
                    <w:pStyle w:val="TableBodyText"/>
                    <w:ind w:right="57"/>
                  </w:pPr>
                  <w:r w:rsidRPr="00DE10AB">
                    <w:t>–</w:t>
                  </w:r>
                </w:p>
              </w:tc>
              <w:tc>
                <w:tcPr>
                  <w:tcW w:w="463" w:type="pct"/>
                  <w:shd w:val="clear" w:color="auto" w:fill="auto"/>
                  <w:vAlign w:val="bottom"/>
                </w:tcPr>
                <w:p w:rsidR="00745FEA" w:rsidRPr="00DE10AB" w:rsidRDefault="00745FEA" w:rsidP="00745FEA">
                  <w:pPr>
                    <w:pStyle w:val="TableBodyText"/>
                    <w:ind w:right="57"/>
                  </w:pPr>
                  <w:r w:rsidRPr="00DE10AB">
                    <w:t>–</w:t>
                  </w:r>
                </w:p>
              </w:tc>
            </w:tr>
            <w:tr w:rsidR="00745FEA" w:rsidRPr="00FD557B" w:rsidTr="00745FEA">
              <w:tc>
                <w:tcPr>
                  <w:tcW w:w="2200" w:type="pct"/>
                  <w:shd w:val="clear" w:color="auto" w:fill="auto"/>
                </w:tcPr>
                <w:p w:rsidR="00745FEA" w:rsidRPr="00FD557B" w:rsidRDefault="00745FEA" w:rsidP="00745FEA">
                  <w:pPr>
                    <w:pStyle w:val="TableBodyText"/>
                    <w:spacing w:before="20" w:after="20"/>
                    <w:jc w:val="left"/>
                    <w:rPr>
                      <w:i/>
                    </w:rPr>
                  </w:pPr>
                  <w:r w:rsidRPr="00FD557B">
                    <w:rPr>
                      <w:i/>
                    </w:rPr>
                    <w:t>Total</w:t>
                  </w:r>
                </w:p>
              </w:tc>
              <w:tc>
                <w:tcPr>
                  <w:tcW w:w="469" w:type="pct"/>
                  <w:vAlign w:val="bottom"/>
                </w:tcPr>
                <w:p w:rsidR="00745FEA" w:rsidRPr="00AE2156" w:rsidRDefault="00745FEA" w:rsidP="00745FEA">
                  <w:pPr>
                    <w:pStyle w:val="TableBodyText"/>
                    <w:spacing w:before="20" w:after="20"/>
                    <w:ind w:right="57"/>
                    <w:rPr>
                      <w:i/>
                    </w:rPr>
                  </w:pPr>
                  <w:r>
                    <w:rPr>
                      <w:i/>
                    </w:rPr>
                    <w:t>184.4</w:t>
                  </w:r>
                </w:p>
              </w:tc>
              <w:tc>
                <w:tcPr>
                  <w:tcW w:w="467" w:type="pct"/>
                  <w:vAlign w:val="bottom"/>
                </w:tcPr>
                <w:p w:rsidR="00745FEA" w:rsidRPr="00AE2156" w:rsidRDefault="00745FEA" w:rsidP="00745FEA">
                  <w:pPr>
                    <w:pStyle w:val="TableBodyText"/>
                    <w:spacing w:before="20" w:after="20"/>
                    <w:ind w:right="57"/>
                    <w:rPr>
                      <w:i/>
                    </w:rPr>
                  </w:pPr>
                  <w:r>
                    <w:rPr>
                      <w:i/>
                    </w:rPr>
                    <w:t>183.8</w:t>
                  </w:r>
                </w:p>
              </w:tc>
              <w:tc>
                <w:tcPr>
                  <w:tcW w:w="467" w:type="pct"/>
                </w:tcPr>
                <w:p w:rsidR="00745FEA" w:rsidRPr="00566EF6" w:rsidRDefault="00745FEA" w:rsidP="00745FEA">
                  <w:pPr>
                    <w:pStyle w:val="TableBodyText"/>
                    <w:spacing w:before="20" w:after="20"/>
                    <w:ind w:right="57"/>
                    <w:rPr>
                      <w:i/>
                    </w:rPr>
                  </w:pPr>
                  <w:r>
                    <w:rPr>
                      <w:i/>
                    </w:rPr>
                    <w:t>194.2</w:t>
                  </w:r>
                </w:p>
              </w:tc>
              <w:tc>
                <w:tcPr>
                  <w:tcW w:w="467" w:type="pct"/>
                </w:tcPr>
                <w:p w:rsidR="00745FEA" w:rsidRPr="00566EF6" w:rsidRDefault="00745FEA" w:rsidP="00745FEA">
                  <w:pPr>
                    <w:pStyle w:val="TableBodyText"/>
                    <w:spacing w:before="20" w:after="20"/>
                    <w:ind w:right="57"/>
                    <w:rPr>
                      <w:i/>
                    </w:rPr>
                  </w:pPr>
                  <w:r>
                    <w:rPr>
                      <w:i/>
                    </w:rPr>
                    <w:t>197.2</w:t>
                  </w:r>
                </w:p>
              </w:tc>
              <w:tc>
                <w:tcPr>
                  <w:tcW w:w="467" w:type="pct"/>
                  <w:shd w:val="clear" w:color="auto" w:fill="auto"/>
                </w:tcPr>
                <w:p w:rsidR="00745FEA" w:rsidRPr="00566EF6" w:rsidRDefault="00745FEA" w:rsidP="00745FEA">
                  <w:pPr>
                    <w:pStyle w:val="TableBodyText"/>
                    <w:spacing w:before="20" w:after="20"/>
                    <w:ind w:right="57"/>
                    <w:rPr>
                      <w:i/>
                    </w:rPr>
                  </w:pPr>
                  <w:r>
                    <w:rPr>
                      <w:i/>
                    </w:rPr>
                    <w:t>187.4</w:t>
                  </w:r>
                </w:p>
              </w:tc>
              <w:tc>
                <w:tcPr>
                  <w:tcW w:w="463" w:type="pct"/>
                  <w:shd w:val="clear" w:color="auto" w:fill="auto"/>
                </w:tcPr>
                <w:p w:rsidR="00745FEA" w:rsidRPr="00566EF6" w:rsidRDefault="00745FEA" w:rsidP="00745FEA">
                  <w:pPr>
                    <w:pStyle w:val="TableBodyText"/>
                    <w:spacing w:before="20" w:after="20"/>
                    <w:ind w:right="57"/>
                    <w:rPr>
                      <w:i/>
                    </w:rPr>
                  </w:pPr>
                  <w:r>
                    <w:rPr>
                      <w:i/>
                    </w:rPr>
                    <w:t>244.9</w:t>
                  </w:r>
                </w:p>
              </w:tc>
            </w:tr>
            <w:tr w:rsidR="00745FEA" w:rsidTr="00745FEA">
              <w:tc>
                <w:tcPr>
                  <w:tcW w:w="2200" w:type="pct"/>
                  <w:shd w:val="clear" w:color="auto" w:fill="auto"/>
                </w:tcPr>
                <w:p w:rsidR="00745FEA" w:rsidRPr="00900EA0" w:rsidRDefault="00745FEA" w:rsidP="00745FEA">
                  <w:pPr>
                    <w:pStyle w:val="TableBodyText"/>
                    <w:spacing w:before="40"/>
                    <w:jc w:val="left"/>
                    <w:rPr>
                      <w:b/>
                    </w:rPr>
                  </w:pPr>
                  <w:r w:rsidRPr="00900EA0">
                    <w:rPr>
                      <w:b/>
                    </w:rPr>
                    <w:t>Arts and recreation services</w:t>
                  </w:r>
                </w:p>
              </w:tc>
              <w:tc>
                <w:tcPr>
                  <w:tcW w:w="469" w:type="pct"/>
                  <w:vAlign w:val="bottom"/>
                </w:tcPr>
                <w:p w:rsidR="00745FEA" w:rsidRDefault="00745FEA" w:rsidP="00745FEA">
                  <w:pPr>
                    <w:spacing w:before="40" w:after="40"/>
                    <w:ind w:right="57"/>
                    <w:jc w:val="right"/>
                    <w:rPr>
                      <w:rFonts w:ascii="Arial" w:hAnsi="Arial" w:cs="Arial"/>
                      <w:sz w:val="18"/>
                      <w:szCs w:val="18"/>
                    </w:rPr>
                  </w:pPr>
                </w:p>
              </w:tc>
              <w:tc>
                <w:tcPr>
                  <w:tcW w:w="467" w:type="pct"/>
                  <w:vAlign w:val="bottom"/>
                </w:tcPr>
                <w:p w:rsidR="00745FEA" w:rsidRDefault="00745FEA" w:rsidP="00745FEA">
                  <w:pPr>
                    <w:spacing w:before="40" w:after="40"/>
                    <w:ind w:right="57"/>
                    <w:jc w:val="right"/>
                    <w:rPr>
                      <w:rFonts w:ascii="Arial" w:hAnsi="Arial" w:cs="Arial"/>
                      <w:sz w:val="18"/>
                      <w:szCs w:val="18"/>
                    </w:rPr>
                  </w:pPr>
                </w:p>
              </w:tc>
              <w:tc>
                <w:tcPr>
                  <w:tcW w:w="467" w:type="pct"/>
                  <w:vAlign w:val="bottom"/>
                </w:tcPr>
                <w:p w:rsidR="00745FEA" w:rsidRDefault="00745FEA" w:rsidP="00745FEA">
                  <w:pPr>
                    <w:spacing w:before="40" w:after="40"/>
                    <w:ind w:right="57"/>
                    <w:jc w:val="right"/>
                    <w:rPr>
                      <w:rFonts w:ascii="Arial" w:hAnsi="Arial" w:cs="Arial"/>
                      <w:sz w:val="18"/>
                      <w:szCs w:val="18"/>
                    </w:rPr>
                  </w:pPr>
                </w:p>
              </w:tc>
              <w:tc>
                <w:tcPr>
                  <w:tcW w:w="467" w:type="pct"/>
                  <w:vAlign w:val="bottom"/>
                </w:tcPr>
                <w:p w:rsidR="00745FEA" w:rsidRDefault="00745FEA" w:rsidP="00745FEA">
                  <w:pPr>
                    <w:spacing w:before="40" w:after="40"/>
                    <w:ind w:right="57"/>
                    <w:jc w:val="right"/>
                    <w:rPr>
                      <w:rFonts w:ascii="Arial" w:hAnsi="Arial" w:cs="Arial"/>
                      <w:sz w:val="18"/>
                      <w:szCs w:val="18"/>
                    </w:rPr>
                  </w:pPr>
                </w:p>
              </w:tc>
              <w:tc>
                <w:tcPr>
                  <w:tcW w:w="467" w:type="pct"/>
                  <w:shd w:val="clear" w:color="auto" w:fill="auto"/>
                  <w:vAlign w:val="bottom"/>
                </w:tcPr>
                <w:p w:rsidR="00745FEA" w:rsidRDefault="00745FEA" w:rsidP="00745FEA">
                  <w:pPr>
                    <w:spacing w:before="40" w:after="40"/>
                    <w:ind w:right="57"/>
                    <w:jc w:val="right"/>
                    <w:rPr>
                      <w:rFonts w:ascii="Arial" w:hAnsi="Arial" w:cs="Arial"/>
                      <w:sz w:val="18"/>
                      <w:szCs w:val="18"/>
                    </w:rPr>
                  </w:pPr>
                </w:p>
              </w:tc>
              <w:tc>
                <w:tcPr>
                  <w:tcW w:w="463" w:type="pct"/>
                  <w:shd w:val="clear" w:color="auto" w:fill="auto"/>
                  <w:vAlign w:val="bottom"/>
                </w:tcPr>
                <w:p w:rsidR="00745FEA" w:rsidRDefault="00745FEA" w:rsidP="00745FEA">
                  <w:pPr>
                    <w:spacing w:before="40" w:after="40"/>
                    <w:ind w:right="57"/>
                    <w:jc w:val="right"/>
                    <w:rPr>
                      <w:rFonts w:ascii="Arial" w:hAnsi="Arial" w:cs="Arial"/>
                      <w:sz w:val="18"/>
                      <w:szCs w:val="18"/>
                    </w:rPr>
                  </w:pPr>
                </w:p>
              </w:tc>
            </w:tr>
            <w:tr w:rsidR="00745FEA" w:rsidTr="00745FEA">
              <w:tc>
                <w:tcPr>
                  <w:tcW w:w="2200" w:type="pct"/>
                  <w:shd w:val="clear" w:color="auto" w:fill="auto"/>
                </w:tcPr>
                <w:p w:rsidR="00745FEA" w:rsidRPr="00900EA0" w:rsidRDefault="00745FEA" w:rsidP="00745FEA">
                  <w:pPr>
                    <w:pStyle w:val="TableBodyText"/>
                    <w:spacing w:before="40" w:after="0"/>
                    <w:ind w:left="113"/>
                    <w:jc w:val="left"/>
                    <w:rPr>
                      <w:i/>
                    </w:rPr>
                  </w:pPr>
                  <w:r w:rsidRPr="00900EA0">
                    <w:rPr>
                      <w:i/>
                    </w:rPr>
                    <w:t>Industry-specific measures</w:t>
                  </w:r>
                </w:p>
              </w:tc>
              <w:tc>
                <w:tcPr>
                  <w:tcW w:w="469" w:type="pct"/>
                  <w:vAlign w:val="bottom"/>
                </w:tcPr>
                <w:p w:rsidR="00745FEA" w:rsidRDefault="00745FEA" w:rsidP="00745FEA">
                  <w:pPr>
                    <w:spacing w:before="40"/>
                    <w:ind w:left="113" w:right="57"/>
                    <w:jc w:val="right"/>
                    <w:rPr>
                      <w:rFonts w:ascii="Arial" w:hAnsi="Arial" w:cs="Arial"/>
                      <w:sz w:val="18"/>
                      <w:szCs w:val="18"/>
                    </w:rPr>
                  </w:pPr>
                </w:p>
              </w:tc>
              <w:tc>
                <w:tcPr>
                  <w:tcW w:w="467" w:type="pct"/>
                  <w:vAlign w:val="bottom"/>
                </w:tcPr>
                <w:p w:rsidR="00745FEA" w:rsidRDefault="00745FEA" w:rsidP="00745FEA">
                  <w:pPr>
                    <w:spacing w:before="40"/>
                    <w:ind w:left="113" w:right="57"/>
                    <w:jc w:val="right"/>
                    <w:rPr>
                      <w:rFonts w:ascii="Arial" w:hAnsi="Arial" w:cs="Arial"/>
                      <w:sz w:val="18"/>
                      <w:szCs w:val="18"/>
                    </w:rPr>
                  </w:pPr>
                </w:p>
              </w:tc>
              <w:tc>
                <w:tcPr>
                  <w:tcW w:w="467" w:type="pct"/>
                  <w:vAlign w:val="bottom"/>
                </w:tcPr>
                <w:p w:rsidR="00745FEA" w:rsidRDefault="00745FEA" w:rsidP="00745FEA">
                  <w:pPr>
                    <w:spacing w:before="40"/>
                    <w:ind w:left="113" w:right="57"/>
                    <w:jc w:val="right"/>
                    <w:rPr>
                      <w:rFonts w:ascii="Arial" w:hAnsi="Arial" w:cs="Arial"/>
                      <w:sz w:val="18"/>
                      <w:szCs w:val="18"/>
                    </w:rPr>
                  </w:pPr>
                </w:p>
              </w:tc>
              <w:tc>
                <w:tcPr>
                  <w:tcW w:w="467" w:type="pct"/>
                  <w:vAlign w:val="bottom"/>
                </w:tcPr>
                <w:p w:rsidR="00745FEA" w:rsidRDefault="00745FEA" w:rsidP="00745FEA">
                  <w:pPr>
                    <w:spacing w:before="40"/>
                    <w:ind w:left="113" w:right="57"/>
                    <w:jc w:val="right"/>
                    <w:rPr>
                      <w:rFonts w:ascii="Arial" w:hAnsi="Arial" w:cs="Arial"/>
                      <w:sz w:val="18"/>
                      <w:szCs w:val="18"/>
                    </w:rPr>
                  </w:pPr>
                </w:p>
              </w:tc>
              <w:tc>
                <w:tcPr>
                  <w:tcW w:w="467" w:type="pct"/>
                  <w:shd w:val="clear" w:color="auto" w:fill="auto"/>
                  <w:vAlign w:val="bottom"/>
                </w:tcPr>
                <w:p w:rsidR="00745FEA" w:rsidRDefault="00745FEA" w:rsidP="00745FEA">
                  <w:pPr>
                    <w:spacing w:before="40"/>
                    <w:ind w:left="113" w:right="57"/>
                    <w:jc w:val="right"/>
                    <w:rPr>
                      <w:rFonts w:ascii="Arial" w:hAnsi="Arial" w:cs="Arial"/>
                      <w:sz w:val="18"/>
                      <w:szCs w:val="18"/>
                    </w:rPr>
                  </w:pPr>
                </w:p>
              </w:tc>
              <w:tc>
                <w:tcPr>
                  <w:tcW w:w="463" w:type="pct"/>
                  <w:shd w:val="clear" w:color="auto" w:fill="auto"/>
                  <w:vAlign w:val="bottom"/>
                </w:tcPr>
                <w:p w:rsidR="00745FEA" w:rsidRDefault="00745FEA" w:rsidP="00745FEA">
                  <w:pPr>
                    <w:spacing w:before="40"/>
                    <w:ind w:left="113" w:right="57"/>
                    <w:jc w:val="right"/>
                    <w:rPr>
                      <w:rFonts w:ascii="Arial" w:hAnsi="Arial" w:cs="Arial"/>
                      <w:sz w:val="18"/>
                      <w:szCs w:val="18"/>
                    </w:rPr>
                  </w:pP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F662A0">
                    <w:t>Funding for major films - Alien: Covenant and Thor: Ragnarok</w:t>
                  </w:r>
                </w:p>
              </w:tc>
              <w:tc>
                <w:tcPr>
                  <w:tcW w:w="469"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shd w:val="clear" w:color="auto" w:fill="auto"/>
                  <w:vAlign w:val="bottom"/>
                </w:tcPr>
                <w:p w:rsidR="00745FEA" w:rsidRPr="00885BE9" w:rsidRDefault="00745FEA" w:rsidP="00745FEA">
                  <w:pPr>
                    <w:pStyle w:val="TableBodyText"/>
                    <w:ind w:right="57"/>
                  </w:pPr>
                  <w:r w:rsidRPr="00D355BD">
                    <w:t>–</w:t>
                  </w:r>
                </w:p>
              </w:tc>
              <w:tc>
                <w:tcPr>
                  <w:tcW w:w="463" w:type="pct"/>
                  <w:shd w:val="clear" w:color="auto" w:fill="auto"/>
                  <w:vAlign w:val="bottom"/>
                </w:tcPr>
                <w:p w:rsidR="00745FEA" w:rsidRPr="00885BE9" w:rsidRDefault="00745FEA" w:rsidP="00745FEA">
                  <w:pPr>
                    <w:pStyle w:val="TableBodyText"/>
                    <w:ind w:right="57"/>
                  </w:pPr>
                  <w:r w:rsidRPr="00D355BD">
                    <w:t>17.6</w:t>
                  </w:r>
                </w:p>
              </w:tc>
            </w:tr>
            <w:tr w:rsidR="00745FEA" w:rsidTr="00745FEA">
              <w:tc>
                <w:tcPr>
                  <w:tcW w:w="2200" w:type="pct"/>
                  <w:shd w:val="clear" w:color="auto" w:fill="auto"/>
                </w:tcPr>
                <w:p w:rsidR="00745FEA" w:rsidRPr="00885BE9" w:rsidRDefault="00745FEA" w:rsidP="00FC1CDB">
                  <w:pPr>
                    <w:pStyle w:val="TableBodyText"/>
                    <w:spacing w:after="0"/>
                    <w:ind w:left="227" w:right="0"/>
                    <w:jc w:val="left"/>
                  </w:pPr>
                  <w:r w:rsidRPr="00F662A0">
                    <w:t>Funding for major films - Pirates of the Caribbean: Dead Men tell No Tales</w:t>
                  </w:r>
                </w:p>
              </w:tc>
              <w:tc>
                <w:tcPr>
                  <w:tcW w:w="469"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shd w:val="clear" w:color="auto" w:fill="auto"/>
                  <w:vAlign w:val="bottom"/>
                </w:tcPr>
                <w:p w:rsidR="00745FEA" w:rsidRPr="00885BE9" w:rsidRDefault="00745FEA" w:rsidP="00745FEA">
                  <w:pPr>
                    <w:pStyle w:val="TableBodyText"/>
                    <w:ind w:right="57"/>
                  </w:pPr>
                  <w:r w:rsidRPr="00D355BD">
                    <w:t>–</w:t>
                  </w:r>
                </w:p>
              </w:tc>
              <w:tc>
                <w:tcPr>
                  <w:tcW w:w="463" w:type="pct"/>
                  <w:shd w:val="clear" w:color="auto" w:fill="auto"/>
                  <w:vAlign w:val="bottom"/>
                </w:tcPr>
                <w:p w:rsidR="00745FEA" w:rsidRPr="00885BE9" w:rsidRDefault="00745FEA" w:rsidP="00745FEA">
                  <w:pPr>
                    <w:pStyle w:val="TableBodyText"/>
                    <w:ind w:right="57"/>
                  </w:pPr>
                  <w:r w:rsidRPr="00D355BD">
                    <w:t>21.6</w:t>
                  </w: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885BE9">
                    <w:t>Funding for major films - Wolverine</w:t>
                  </w:r>
                </w:p>
              </w:tc>
              <w:tc>
                <w:tcPr>
                  <w:tcW w:w="469" w:type="pct"/>
                  <w:vAlign w:val="bottom"/>
                </w:tcPr>
                <w:p w:rsidR="00745FEA" w:rsidRPr="00885BE9" w:rsidRDefault="00745FEA" w:rsidP="00745FEA">
                  <w:pPr>
                    <w:pStyle w:val="TableBodyText"/>
                    <w:ind w:right="57"/>
                  </w:pPr>
                  <w:r w:rsidRPr="00D355BD">
                    <w:t>12.8</w:t>
                  </w:r>
                </w:p>
              </w:tc>
              <w:tc>
                <w:tcPr>
                  <w:tcW w:w="467"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vAlign w:val="bottom"/>
                </w:tcPr>
                <w:p w:rsidR="00745FEA" w:rsidRPr="00885BE9" w:rsidRDefault="00745FEA" w:rsidP="00745FEA">
                  <w:pPr>
                    <w:pStyle w:val="TableBodyText"/>
                    <w:ind w:right="57"/>
                  </w:pPr>
                  <w:r w:rsidRPr="00D355BD">
                    <w:t>–</w:t>
                  </w:r>
                </w:p>
              </w:tc>
              <w:tc>
                <w:tcPr>
                  <w:tcW w:w="467" w:type="pct"/>
                  <w:shd w:val="clear" w:color="auto" w:fill="auto"/>
                  <w:vAlign w:val="bottom"/>
                </w:tcPr>
                <w:p w:rsidR="00745FEA" w:rsidRPr="00885BE9" w:rsidRDefault="00745FEA" w:rsidP="00745FEA">
                  <w:pPr>
                    <w:pStyle w:val="TableBodyText"/>
                    <w:ind w:right="57"/>
                  </w:pPr>
                  <w:r w:rsidRPr="00D355BD">
                    <w:t>–</w:t>
                  </w:r>
                </w:p>
              </w:tc>
              <w:tc>
                <w:tcPr>
                  <w:tcW w:w="463" w:type="pct"/>
                  <w:shd w:val="clear" w:color="auto" w:fill="auto"/>
                  <w:vAlign w:val="bottom"/>
                </w:tcPr>
                <w:p w:rsidR="00745FEA" w:rsidRPr="00885BE9" w:rsidRDefault="00745FEA" w:rsidP="00745FEA">
                  <w:pPr>
                    <w:pStyle w:val="TableBodyText"/>
                    <w:ind w:right="57"/>
                  </w:pPr>
                  <w:r w:rsidRPr="00D355BD">
                    <w:t>–</w:t>
                  </w: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885BE9">
                    <w:t>Indigenous Broadcasting Program</w:t>
                  </w:r>
                </w:p>
              </w:tc>
              <w:tc>
                <w:tcPr>
                  <w:tcW w:w="469" w:type="pct"/>
                  <w:vAlign w:val="bottom"/>
                </w:tcPr>
                <w:p w:rsidR="00745FEA" w:rsidRPr="00885BE9" w:rsidRDefault="00745FEA" w:rsidP="00745FEA">
                  <w:pPr>
                    <w:pStyle w:val="TableBodyText"/>
                    <w:ind w:right="57"/>
                  </w:pPr>
                  <w:r w:rsidRPr="00D355BD">
                    <w:t>15.0</w:t>
                  </w:r>
                </w:p>
              </w:tc>
              <w:tc>
                <w:tcPr>
                  <w:tcW w:w="467" w:type="pct"/>
                  <w:vAlign w:val="bottom"/>
                </w:tcPr>
                <w:p w:rsidR="00745FEA" w:rsidRPr="00885BE9" w:rsidRDefault="00745FEA" w:rsidP="00745FEA">
                  <w:pPr>
                    <w:pStyle w:val="TableBodyText"/>
                    <w:ind w:right="57"/>
                  </w:pPr>
                  <w:r w:rsidRPr="00D355BD">
                    <w:t>15.4</w:t>
                  </w:r>
                </w:p>
              </w:tc>
              <w:tc>
                <w:tcPr>
                  <w:tcW w:w="467" w:type="pct"/>
                  <w:vAlign w:val="bottom"/>
                </w:tcPr>
                <w:p w:rsidR="00745FEA" w:rsidRPr="00885BE9" w:rsidRDefault="00745FEA" w:rsidP="00745FEA">
                  <w:pPr>
                    <w:pStyle w:val="TableBodyText"/>
                    <w:ind w:right="57"/>
                  </w:pPr>
                  <w:r w:rsidRPr="00D355BD">
                    <w:t>16.0</w:t>
                  </w:r>
                </w:p>
              </w:tc>
              <w:tc>
                <w:tcPr>
                  <w:tcW w:w="467" w:type="pct"/>
                  <w:vAlign w:val="bottom"/>
                </w:tcPr>
                <w:p w:rsidR="00745FEA" w:rsidRPr="00885BE9" w:rsidRDefault="00745FEA" w:rsidP="00745FEA">
                  <w:pPr>
                    <w:pStyle w:val="TableBodyText"/>
                    <w:ind w:right="57"/>
                  </w:pPr>
                  <w:r w:rsidRPr="00D355BD">
                    <w:t>–</w:t>
                  </w:r>
                </w:p>
              </w:tc>
              <w:tc>
                <w:tcPr>
                  <w:tcW w:w="467" w:type="pct"/>
                  <w:shd w:val="clear" w:color="auto" w:fill="auto"/>
                  <w:vAlign w:val="bottom"/>
                </w:tcPr>
                <w:p w:rsidR="00745FEA" w:rsidRPr="00885BE9" w:rsidRDefault="00745FEA" w:rsidP="00745FEA">
                  <w:pPr>
                    <w:pStyle w:val="TableBodyText"/>
                    <w:ind w:right="57"/>
                  </w:pPr>
                  <w:r w:rsidRPr="00D355BD">
                    <w:t>–</w:t>
                  </w:r>
                </w:p>
              </w:tc>
              <w:tc>
                <w:tcPr>
                  <w:tcW w:w="463" w:type="pct"/>
                  <w:shd w:val="clear" w:color="auto" w:fill="auto"/>
                  <w:vAlign w:val="bottom"/>
                </w:tcPr>
                <w:p w:rsidR="00745FEA" w:rsidRPr="00885BE9" w:rsidRDefault="00745FEA" w:rsidP="00745FEA">
                  <w:pPr>
                    <w:pStyle w:val="TableBodyText"/>
                    <w:ind w:right="57"/>
                  </w:pPr>
                  <w:r w:rsidRPr="00D355BD">
                    <w:t>–</w:t>
                  </w: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885BE9">
                    <w:t>Screen Australia</w:t>
                  </w:r>
                </w:p>
              </w:tc>
              <w:tc>
                <w:tcPr>
                  <w:tcW w:w="469" w:type="pct"/>
                  <w:vAlign w:val="bottom"/>
                </w:tcPr>
                <w:p w:rsidR="00745FEA" w:rsidRPr="00885BE9" w:rsidRDefault="00745FEA" w:rsidP="00745FEA">
                  <w:pPr>
                    <w:pStyle w:val="TableBodyText"/>
                    <w:ind w:right="57"/>
                  </w:pPr>
                  <w:r w:rsidRPr="00D355BD">
                    <w:t>91.8</w:t>
                  </w:r>
                </w:p>
              </w:tc>
              <w:tc>
                <w:tcPr>
                  <w:tcW w:w="467" w:type="pct"/>
                  <w:vAlign w:val="bottom"/>
                </w:tcPr>
                <w:p w:rsidR="00745FEA" w:rsidRPr="00885BE9" w:rsidRDefault="00745FEA" w:rsidP="00745FEA">
                  <w:pPr>
                    <w:pStyle w:val="TableBodyText"/>
                    <w:ind w:right="57"/>
                  </w:pPr>
                  <w:r w:rsidRPr="00D355BD">
                    <w:t>98.1</w:t>
                  </w:r>
                </w:p>
              </w:tc>
              <w:tc>
                <w:tcPr>
                  <w:tcW w:w="467" w:type="pct"/>
                  <w:vAlign w:val="bottom"/>
                </w:tcPr>
                <w:p w:rsidR="00745FEA" w:rsidRPr="00885BE9" w:rsidRDefault="00745FEA" w:rsidP="00745FEA">
                  <w:pPr>
                    <w:pStyle w:val="TableBodyText"/>
                    <w:ind w:right="57"/>
                  </w:pPr>
                  <w:r w:rsidRPr="00D355BD">
                    <w:t>101.1</w:t>
                  </w:r>
                </w:p>
              </w:tc>
              <w:tc>
                <w:tcPr>
                  <w:tcW w:w="467" w:type="pct"/>
                  <w:vAlign w:val="bottom"/>
                </w:tcPr>
                <w:p w:rsidR="00745FEA" w:rsidRPr="00885BE9" w:rsidRDefault="00745FEA" w:rsidP="00745FEA">
                  <w:pPr>
                    <w:pStyle w:val="TableBodyText"/>
                    <w:ind w:right="57"/>
                  </w:pPr>
                  <w:r w:rsidRPr="00D355BD">
                    <w:t>89.9</w:t>
                  </w:r>
                </w:p>
              </w:tc>
              <w:tc>
                <w:tcPr>
                  <w:tcW w:w="467" w:type="pct"/>
                  <w:shd w:val="clear" w:color="auto" w:fill="auto"/>
                  <w:vAlign w:val="bottom"/>
                </w:tcPr>
                <w:p w:rsidR="00745FEA" w:rsidRPr="00885BE9" w:rsidRDefault="00745FEA" w:rsidP="00745FEA">
                  <w:pPr>
                    <w:pStyle w:val="TableBodyText"/>
                    <w:ind w:right="57"/>
                  </w:pPr>
                  <w:r w:rsidRPr="00D355BD">
                    <w:t>84.4</w:t>
                  </w:r>
                </w:p>
              </w:tc>
              <w:tc>
                <w:tcPr>
                  <w:tcW w:w="463" w:type="pct"/>
                  <w:shd w:val="clear" w:color="auto" w:fill="auto"/>
                  <w:vAlign w:val="bottom"/>
                </w:tcPr>
                <w:p w:rsidR="00745FEA" w:rsidRPr="00885BE9" w:rsidRDefault="00745FEA" w:rsidP="00745FEA">
                  <w:pPr>
                    <w:pStyle w:val="TableBodyText"/>
                    <w:ind w:right="57"/>
                  </w:pPr>
                  <w:r w:rsidRPr="00D355BD">
                    <w:t>84.4</w:t>
                  </w: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885BE9">
                    <w:t>Tax incentives for film investment</w:t>
                  </w:r>
                </w:p>
              </w:tc>
              <w:tc>
                <w:tcPr>
                  <w:tcW w:w="469" w:type="pct"/>
                  <w:vAlign w:val="bottom"/>
                </w:tcPr>
                <w:p w:rsidR="00745FEA" w:rsidRPr="00885BE9" w:rsidRDefault="00745FEA" w:rsidP="00745FEA">
                  <w:pPr>
                    <w:pStyle w:val="TableBodyText"/>
                    <w:ind w:right="57"/>
                  </w:pPr>
                  <w:r w:rsidRPr="00D355BD">
                    <w:t>-17.0</w:t>
                  </w:r>
                </w:p>
              </w:tc>
              <w:tc>
                <w:tcPr>
                  <w:tcW w:w="467" w:type="pct"/>
                  <w:vAlign w:val="bottom"/>
                </w:tcPr>
                <w:p w:rsidR="00745FEA" w:rsidRPr="00885BE9" w:rsidRDefault="00745FEA" w:rsidP="00745FEA">
                  <w:pPr>
                    <w:pStyle w:val="TableBodyText"/>
                    <w:ind w:right="57"/>
                  </w:pPr>
                  <w:r w:rsidRPr="00D355BD">
                    <w:t>-14.0</w:t>
                  </w:r>
                </w:p>
              </w:tc>
              <w:tc>
                <w:tcPr>
                  <w:tcW w:w="467" w:type="pct"/>
                  <w:vAlign w:val="bottom"/>
                </w:tcPr>
                <w:p w:rsidR="00745FEA" w:rsidRPr="00885BE9" w:rsidRDefault="00745FEA" w:rsidP="00745FEA">
                  <w:pPr>
                    <w:pStyle w:val="TableBodyText"/>
                    <w:ind w:right="57"/>
                  </w:pPr>
                  <w:r w:rsidRPr="00D355BD">
                    <w:t>-11.0</w:t>
                  </w:r>
                </w:p>
              </w:tc>
              <w:tc>
                <w:tcPr>
                  <w:tcW w:w="467" w:type="pct"/>
                  <w:vAlign w:val="bottom"/>
                </w:tcPr>
                <w:p w:rsidR="00745FEA" w:rsidRPr="00885BE9" w:rsidRDefault="00745FEA" w:rsidP="00745FEA">
                  <w:pPr>
                    <w:pStyle w:val="TableBodyText"/>
                    <w:ind w:right="57"/>
                  </w:pPr>
                  <w:r w:rsidRPr="00D355BD">
                    <w:t>-9.0</w:t>
                  </w:r>
                </w:p>
              </w:tc>
              <w:tc>
                <w:tcPr>
                  <w:tcW w:w="467" w:type="pct"/>
                  <w:shd w:val="clear" w:color="auto" w:fill="auto"/>
                  <w:vAlign w:val="bottom"/>
                </w:tcPr>
                <w:p w:rsidR="00745FEA" w:rsidRPr="00885BE9" w:rsidRDefault="00745FEA" w:rsidP="00745FEA">
                  <w:pPr>
                    <w:pStyle w:val="TableBodyText"/>
                    <w:ind w:right="57"/>
                  </w:pPr>
                  <w:r w:rsidRPr="00D355BD">
                    <w:t>-7.0</w:t>
                  </w:r>
                </w:p>
              </w:tc>
              <w:tc>
                <w:tcPr>
                  <w:tcW w:w="463" w:type="pct"/>
                  <w:shd w:val="clear" w:color="auto" w:fill="auto"/>
                  <w:vAlign w:val="bottom"/>
                </w:tcPr>
                <w:p w:rsidR="00745FEA" w:rsidRPr="00885BE9" w:rsidRDefault="00745FEA" w:rsidP="00745FEA">
                  <w:pPr>
                    <w:pStyle w:val="TableBodyText"/>
                    <w:ind w:right="57"/>
                  </w:pPr>
                  <w:r w:rsidRPr="00D355BD">
                    <w:t>-6.0</w:t>
                  </w: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885BE9">
                    <w:t>Exemption of film tax offset payments</w:t>
                  </w:r>
                </w:p>
              </w:tc>
              <w:tc>
                <w:tcPr>
                  <w:tcW w:w="469" w:type="pct"/>
                  <w:vAlign w:val="bottom"/>
                </w:tcPr>
                <w:p w:rsidR="00745FEA" w:rsidRPr="00885BE9" w:rsidRDefault="00745FEA" w:rsidP="00745FEA">
                  <w:pPr>
                    <w:pStyle w:val="TableBodyText"/>
                    <w:ind w:right="57"/>
                  </w:pPr>
                  <w:r w:rsidRPr="00D355BD">
                    <w:t>32.0</w:t>
                  </w:r>
                </w:p>
              </w:tc>
              <w:tc>
                <w:tcPr>
                  <w:tcW w:w="467" w:type="pct"/>
                  <w:vAlign w:val="bottom"/>
                </w:tcPr>
                <w:p w:rsidR="00745FEA" w:rsidRPr="00885BE9" w:rsidRDefault="00745FEA" w:rsidP="00745FEA">
                  <w:pPr>
                    <w:pStyle w:val="TableBodyText"/>
                    <w:ind w:right="57"/>
                  </w:pPr>
                  <w:r w:rsidRPr="00D355BD">
                    <w:t>55.0</w:t>
                  </w:r>
                </w:p>
              </w:tc>
              <w:tc>
                <w:tcPr>
                  <w:tcW w:w="467" w:type="pct"/>
                  <w:vAlign w:val="bottom"/>
                </w:tcPr>
                <w:p w:rsidR="00745FEA" w:rsidRPr="00885BE9" w:rsidRDefault="00745FEA" w:rsidP="00745FEA">
                  <w:pPr>
                    <w:pStyle w:val="TableBodyText"/>
                    <w:ind w:right="57"/>
                  </w:pPr>
                  <w:r w:rsidRPr="00D355BD">
                    <w:t>61.0</w:t>
                  </w:r>
                </w:p>
              </w:tc>
              <w:tc>
                <w:tcPr>
                  <w:tcW w:w="467" w:type="pct"/>
                  <w:vAlign w:val="bottom"/>
                </w:tcPr>
                <w:p w:rsidR="00745FEA" w:rsidRPr="00885BE9" w:rsidRDefault="00745FEA" w:rsidP="00745FEA">
                  <w:pPr>
                    <w:pStyle w:val="TableBodyText"/>
                    <w:ind w:right="57"/>
                  </w:pPr>
                  <w:r w:rsidRPr="00D355BD">
                    <w:t>69.0</w:t>
                  </w:r>
                </w:p>
              </w:tc>
              <w:tc>
                <w:tcPr>
                  <w:tcW w:w="467" w:type="pct"/>
                  <w:shd w:val="clear" w:color="auto" w:fill="auto"/>
                  <w:vAlign w:val="bottom"/>
                </w:tcPr>
                <w:p w:rsidR="00745FEA" w:rsidRPr="00885BE9" w:rsidRDefault="00745FEA" w:rsidP="00745FEA">
                  <w:pPr>
                    <w:pStyle w:val="TableBodyText"/>
                    <w:ind w:right="57"/>
                  </w:pPr>
                  <w:r w:rsidRPr="00D355BD">
                    <w:t>50.0</w:t>
                  </w:r>
                </w:p>
              </w:tc>
              <w:tc>
                <w:tcPr>
                  <w:tcW w:w="463" w:type="pct"/>
                  <w:shd w:val="clear" w:color="auto" w:fill="auto"/>
                  <w:vAlign w:val="bottom"/>
                </w:tcPr>
                <w:p w:rsidR="00745FEA" w:rsidRPr="00885BE9" w:rsidRDefault="00745FEA" w:rsidP="00745FEA">
                  <w:pPr>
                    <w:pStyle w:val="TableBodyText"/>
                    <w:ind w:right="57"/>
                  </w:pPr>
                  <w:r w:rsidRPr="00D355BD">
                    <w:t>62.0</w:t>
                  </w:r>
                </w:p>
              </w:tc>
            </w:tr>
            <w:tr w:rsidR="00745FEA" w:rsidTr="00745FEA">
              <w:tc>
                <w:tcPr>
                  <w:tcW w:w="2200" w:type="pct"/>
                  <w:shd w:val="clear" w:color="auto" w:fill="auto"/>
                </w:tcPr>
                <w:p w:rsidR="00745FEA" w:rsidRPr="00885BE9" w:rsidRDefault="00745FEA" w:rsidP="00745FEA">
                  <w:pPr>
                    <w:pStyle w:val="TableBodyText"/>
                    <w:spacing w:after="0"/>
                    <w:ind w:left="227" w:right="0"/>
                    <w:jc w:val="left"/>
                  </w:pPr>
                  <w:r w:rsidRPr="00885BE9">
                    <w:t>Film industry offsets</w:t>
                  </w:r>
                </w:p>
              </w:tc>
              <w:tc>
                <w:tcPr>
                  <w:tcW w:w="469" w:type="pct"/>
                  <w:vAlign w:val="bottom"/>
                </w:tcPr>
                <w:p w:rsidR="00745FEA" w:rsidRPr="00885BE9" w:rsidRDefault="00745FEA" w:rsidP="00745FEA">
                  <w:pPr>
                    <w:pStyle w:val="TableBodyText"/>
                    <w:ind w:right="57"/>
                  </w:pPr>
                  <w:r w:rsidRPr="00D355BD">
                    <w:t>204.0</w:t>
                  </w:r>
                </w:p>
              </w:tc>
              <w:tc>
                <w:tcPr>
                  <w:tcW w:w="467" w:type="pct"/>
                  <w:vAlign w:val="bottom"/>
                </w:tcPr>
                <w:p w:rsidR="00745FEA" w:rsidRPr="00885BE9" w:rsidRDefault="00745FEA" w:rsidP="00745FEA">
                  <w:pPr>
                    <w:pStyle w:val="TableBodyText"/>
                    <w:ind w:right="57"/>
                  </w:pPr>
                  <w:r w:rsidRPr="00D355BD">
                    <w:t>226.0</w:t>
                  </w:r>
                </w:p>
              </w:tc>
              <w:tc>
                <w:tcPr>
                  <w:tcW w:w="467" w:type="pct"/>
                  <w:vAlign w:val="bottom"/>
                </w:tcPr>
                <w:p w:rsidR="00745FEA" w:rsidRPr="00885BE9" w:rsidRDefault="00745FEA" w:rsidP="00745FEA">
                  <w:pPr>
                    <w:pStyle w:val="TableBodyText"/>
                    <w:ind w:right="57"/>
                  </w:pPr>
                  <w:r w:rsidRPr="00D355BD">
                    <w:t>252.0</w:t>
                  </w:r>
                </w:p>
              </w:tc>
              <w:tc>
                <w:tcPr>
                  <w:tcW w:w="467" w:type="pct"/>
                  <w:vAlign w:val="bottom"/>
                </w:tcPr>
                <w:p w:rsidR="00745FEA" w:rsidRPr="00885BE9" w:rsidRDefault="00745FEA" w:rsidP="00745FEA">
                  <w:pPr>
                    <w:pStyle w:val="TableBodyText"/>
                    <w:ind w:right="57"/>
                  </w:pPr>
                  <w:r w:rsidRPr="00D355BD">
                    <w:t>143.0</w:t>
                  </w:r>
                </w:p>
              </w:tc>
              <w:tc>
                <w:tcPr>
                  <w:tcW w:w="467" w:type="pct"/>
                  <w:shd w:val="clear" w:color="auto" w:fill="auto"/>
                  <w:vAlign w:val="bottom"/>
                </w:tcPr>
                <w:p w:rsidR="00745FEA" w:rsidRPr="00885BE9" w:rsidRDefault="00745FEA" w:rsidP="00745FEA">
                  <w:pPr>
                    <w:pStyle w:val="TableBodyText"/>
                    <w:ind w:right="57"/>
                  </w:pPr>
                  <w:r w:rsidRPr="00D355BD">
                    <w:t>325.0</w:t>
                  </w:r>
                </w:p>
              </w:tc>
              <w:tc>
                <w:tcPr>
                  <w:tcW w:w="463" w:type="pct"/>
                  <w:shd w:val="clear" w:color="auto" w:fill="auto"/>
                  <w:vAlign w:val="bottom"/>
                </w:tcPr>
                <w:p w:rsidR="00745FEA" w:rsidRDefault="00745FEA" w:rsidP="00745FEA">
                  <w:pPr>
                    <w:pStyle w:val="TableBodyText"/>
                    <w:ind w:right="57"/>
                  </w:pPr>
                  <w:r w:rsidRPr="00D355BD">
                    <w:t>280.0</w:t>
                  </w:r>
                </w:p>
              </w:tc>
            </w:tr>
            <w:tr w:rsidR="00745FEA" w:rsidTr="00745FEA">
              <w:tc>
                <w:tcPr>
                  <w:tcW w:w="2200" w:type="pct"/>
                  <w:shd w:val="clear" w:color="auto" w:fill="auto"/>
                </w:tcPr>
                <w:p w:rsidR="00745FEA" w:rsidRPr="00900EA0" w:rsidRDefault="00745FEA" w:rsidP="00745FEA">
                  <w:pPr>
                    <w:pStyle w:val="TableBodyText"/>
                    <w:spacing w:before="40" w:after="0"/>
                    <w:ind w:left="113"/>
                    <w:jc w:val="left"/>
                    <w:rPr>
                      <w:i/>
                    </w:rPr>
                  </w:pPr>
                  <w:r w:rsidRPr="00900EA0">
                    <w:rPr>
                      <w:i/>
                    </w:rPr>
                    <w:t>General export measures</w:t>
                  </w:r>
                </w:p>
              </w:tc>
              <w:tc>
                <w:tcPr>
                  <w:tcW w:w="469" w:type="pct"/>
                  <w:vAlign w:val="bottom"/>
                </w:tcPr>
                <w:p w:rsidR="00745FEA" w:rsidRDefault="00745FEA" w:rsidP="00745FEA">
                  <w:pPr>
                    <w:pStyle w:val="TableBodyText"/>
                    <w:ind w:right="57"/>
                    <w:rPr>
                      <w:rFonts w:cs="Arial"/>
                      <w:szCs w:val="18"/>
                    </w:rPr>
                  </w:pPr>
                </w:p>
              </w:tc>
              <w:tc>
                <w:tcPr>
                  <w:tcW w:w="467" w:type="pct"/>
                  <w:vAlign w:val="bottom"/>
                </w:tcPr>
                <w:p w:rsidR="00745FEA" w:rsidRDefault="00745FEA" w:rsidP="00745FEA">
                  <w:pPr>
                    <w:pStyle w:val="TableBodyText"/>
                    <w:ind w:right="57"/>
                    <w:rPr>
                      <w:rFonts w:cs="Arial"/>
                      <w:szCs w:val="18"/>
                    </w:rPr>
                  </w:pPr>
                </w:p>
              </w:tc>
              <w:tc>
                <w:tcPr>
                  <w:tcW w:w="467" w:type="pct"/>
                  <w:vAlign w:val="bottom"/>
                </w:tcPr>
                <w:p w:rsidR="00745FEA" w:rsidRDefault="00745FEA" w:rsidP="00745FEA">
                  <w:pPr>
                    <w:pStyle w:val="TableBodyText"/>
                    <w:ind w:right="57"/>
                    <w:rPr>
                      <w:rFonts w:cs="Arial"/>
                      <w:szCs w:val="18"/>
                    </w:rPr>
                  </w:pPr>
                </w:p>
              </w:tc>
              <w:tc>
                <w:tcPr>
                  <w:tcW w:w="467" w:type="pct"/>
                  <w:vAlign w:val="bottom"/>
                </w:tcPr>
                <w:p w:rsidR="00745FEA" w:rsidRDefault="00745FEA" w:rsidP="00745FEA">
                  <w:pPr>
                    <w:pStyle w:val="TableBodyText"/>
                    <w:ind w:right="57"/>
                    <w:rPr>
                      <w:rFonts w:cs="Arial"/>
                      <w:szCs w:val="18"/>
                    </w:rPr>
                  </w:pPr>
                </w:p>
              </w:tc>
              <w:tc>
                <w:tcPr>
                  <w:tcW w:w="467" w:type="pct"/>
                  <w:shd w:val="clear" w:color="auto" w:fill="auto"/>
                  <w:vAlign w:val="bottom"/>
                </w:tcPr>
                <w:p w:rsidR="00745FEA" w:rsidRDefault="00745FEA" w:rsidP="00745FEA">
                  <w:pPr>
                    <w:pStyle w:val="TableBodyText"/>
                    <w:ind w:right="57"/>
                    <w:rPr>
                      <w:rFonts w:cs="Arial"/>
                      <w:szCs w:val="18"/>
                    </w:rPr>
                  </w:pPr>
                </w:p>
              </w:tc>
              <w:tc>
                <w:tcPr>
                  <w:tcW w:w="463" w:type="pct"/>
                  <w:shd w:val="clear" w:color="auto" w:fill="auto"/>
                  <w:vAlign w:val="bottom"/>
                </w:tcPr>
                <w:p w:rsidR="00745FEA" w:rsidRDefault="00745FEA" w:rsidP="00745FEA">
                  <w:pPr>
                    <w:pStyle w:val="TableBodyText"/>
                    <w:ind w:right="57"/>
                    <w:rPr>
                      <w:rFonts w:cs="Arial"/>
                      <w:szCs w:val="18"/>
                    </w:rPr>
                  </w:pPr>
                </w:p>
              </w:tc>
            </w:tr>
            <w:tr w:rsidR="00745FEA" w:rsidTr="00745FEA">
              <w:tc>
                <w:tcPr>
                  <w:tcW w:w="2200" w:type="pct"/>
                  <w:shd w:val="clear" w:color="auto" w:fill="auto"/>
                </w:tcPr>
                <w:p w:rsidR="00745FEA" w:rsidRPr="00A50A43" w:rsidRDefault="00745FEA" w:rsidP="00745FEA">
                  <w:pPr>
                    <w:pStyle w:val="TableBodyText"/>
                    <w:spacing w:after="0"/>
                    <w:ind w:left="227" w:right="0"/>
                    <w:jc w:val="left"/>
                  </w:pPr>
                  <w:r w:rsidRPr="00A50A43">
                    <w:t>Export Market Development Grants Scheme</w:t>
                  </w:r>
                </w:p>
              </w:tc>
              <w:tc>
                <w:tcPr>
                  <w:tcW w:w="469" w:type="pct"/>
                  <w:vAlign w:val="bottom"/>
                </w:tcPr>
                <w:p w:rsidR="00745FEA" w:rsidRPr="00A50A43" w:rsidRDefault="00745FEA" w:rsidP="00745FEA">
                  <w:pPr>
                    <w:pStyle w:val="TableBodyText"/>
                    <w:ind w:right="57"/>
                  </w:pPr>
                  <w:r w:rsidRPr="002C3BD4">
                    <w:t>4.6</w:t>
                  </w:r>
                </w:p>
              </w:tc>
              <w:tc>
                <w:tcPr>
                  <w:tcW w:w="467" w:type="pct"/>
                  <w:vAlign w:val="bottom"/>
                </w:tcPr>
                <w:p w:rsidR="00745FEA" w:rsidRPr="00A50A43" w:rsidRDefault="00745FEA" w:rsidP="00745FEA">
                  <w:pPr>
                    <w:pStyle w:val="TableBodyText"/>
                    <w:ind w:right="57"/>
                  </w:pPr>
                  <w:r w:rsidRPr="002C3BD4">
                    <w:t>4.1</w:t>
                  </w:r>
                </w:p>
              </w:tc>
              <w:tc>
                <w:tcPr>
                  <w:tcW w:w="467" w:type="pct"/>
                  <w:vAlign w:val="bottom"/>
                </w:tcPr>
                <w:p w:rsidR="00745FEA" w:rsidRPr="00A50A43" w:rsidRDefault="00745FEA" w:rsidP="00745FEA">
                  <w:pPr>
                    <w:pStyle w:val="TableBodyText"/>
                    <w:ind w:right="57"/>
                  </w:pPr>
                  <w:r w:rsidRPr="002C3BD4">
                    <w:t>5.1</w:t>
                  </w:r>
                </w:p>
              </w:tc>
              <w:tc>
                <w:tcPr>
                  <w:tcW w:w="467" w:type="pct"/>
                  <w:vAlign w:val="bottom"/>
                </w:tcPr>
                <w:p w:rsidR="00745FEA" w:rsidRPr="00A50A43" w:rsidRDefault="00745FEA" w:rsidP="00745FEA">
                  <w:pPr>
                    <w:pStyle w:val="TableBodyText"/>
                    <w:ind w:right="57"/>
                  </w:pPr>
                  <w:r w:rsidRPr="002C3BD4">
                    <w:t>7.1</w:t>
                  </w:r>
                </w:p>
              </w:tc>
              <w:tc>
                <w:tcPr>
                  <w:tcW w:w="467" w:type="pct"/>
                  <w:shd w:val="clear" w:color="auto" w:fill="auto"/>
                  <w:vAlign w:val="bottom"/>
                </w:tcPr>
                <w:p w:rsidR="00745FEA" w:rsidRPr="00A50A43" w:rsidRDefault="00745FEA" w:rsidP="00745FEA">
                  <w:pPr>
                    <w:pStyle w:val="TableBodyText"/>
                    <w:ind w:right="57"/>
                  </w:pPr>
                  <w:r w:rsidRPr="002C3BD4">
                    <w:t>6.5</w:t>
                  </w:r>
                </w:p>
              </w:tc>
              <w:tc>
                <w:tcPr>
                  <w:tcW w:w="463" w:type="pct"/>
                  <w:shd w:val="clear" w:color="auto" w:fill="auto"/>
                  <w:vAlign w:val="bottom"/>
                </w:tcPr>
                <w:p w:rsidR="00745FEA" w:rsidRDefault="00745FEA" w:rsidP="00745FEA">
                  <w:pPr>
                    <w:pStyle w:val="TableBodyText"/>
                    <w:ind w:right="57"/>
                  </w:pPr>
                  <w:r w:rsidRPr="002C3BD4">
                    <w:t>6.9</w:t>
                  </w:r>
                </w:p>
              </w:tc>
            </w:tr>
            <w:tr w:rsidR="00745FEA" w:rsidTr="00745FEA">
              <w:tc>
                <w:tcPr>
                  <w:tcW w:w="2200" w:type="pct"/>
                  <w:shd w:val="clear" w:color="auto" w:fill="auto"/>
                  <w:vAlign w:val="bottom"/>
                </w:tcPr>
                <w:p w:rsidR="00745FEA" w:rsidRPr="00F25BCD" w:rsidRDefault="00745FEA" w:rsidP="00745FEA">
                  <w:pPr>
                    <w:spacing w:before="40"/>
                    <w:ind w:left="113"/>
                    <w:rPr>
                      <w:rFonts w:ascii="Arial" w:hAnsi="Arial" w:cs="Arial"/>
                      <w:i/>
                      <w:color w:val="000000"/>
                      <w:sz w:val="18"/>
                      <w:szCs w:val="18"/>
                    </w:rPr>
                  </w:pPr>
                  <w:r w:rsidRPr="00F25BCD">
                    <w:rPr>
                      <w:rFonts w:ascii="Arial" w:hAnsi="Arial" w:cs="Arial"/>
                      <w:i/>
                      <w:color w:val="000000"/>
                      <w:sz w:val="18"/>
                      <w:szCs w:val="18"/>
                    </w:rPr>
                    <w:t>General R&amp;D measures</w:t>
                  </w:r>
                </w:p>
              </w:tc>
              <w:tc>
                <w:tcPr>
                  <w:tcW w:w="469" w:type="pct"/>
                  <w:vAlign w:val="bottom"/>
                </w:tcPr>
                <w:p w:rsidR="00745FEA" w:rsidRDefault="00745FEA" w:rsidP="00745FEA">
                  <w:pPr>
                    <w:pStyle w:val="TableBodyText"/>
                    <w:ind w:right="57"/>
                    <w:rPr>
                      <w:rFonts w:cs="Arial"/>
                      <w:szCs w:val="18"/>
                    </w:rPr>
                  </w:pPr>
                </w:p>
              </w:tc>
              <w:tc>
                <w:tcPr>
                  <w:tcW w:w="467" w:type="pct"/>
                  <w:vAlign w:val="bottom"/>
                </w:tcPr>
                <w:p w:rsidR="00745FEA" w:rsidRDefault="00745FEA" w:rsidP="00745FEA">
                  <w:pPr>
                    <w:pStyle w:val="TableBodyText"/>
                    <w:ind w:right="57"/>
                    <w:rPr>
                      <w:rFonts w:cs="Arial"/>
                      <w:szCs w:val="18"/>
                    </w:rPr>
                  </w:pPr>
                </w:p>
              </w:tc>
              <w:tc>
                <w:tcPr>
                  <w:tcW w:w="467" w:type="pct"/>
                  <w:vAlign w:val="bottom"/>
                </w:tcPr>
                <w:p w:rsidR="00745FEA" w:rsidRDefault="00745FEA" w:rsidP="00745FEA">
                  <w:pPr>
                    <w:pStyle w:val="TableBodyText"/>
                    <w:ind w:right="57"/>
                    <w:rPr>
                      <w:rFonts w:cs="Arial"/>
                      <w:szCs w:val="18"/>
                    </w:rPr>
                  </w:pPr>
                </w:p>
              </w:tc>
              <w:tc>
                <w:tcPr>
                  <w:tcW w:w="467" w:type="pct"/>
                  <w:vAlign w:val="bottom"/>
                </w:tcPr>
                <w:p w:rsidR="00745FEA" w:rsidRDefault="00745FEA" w:rsidP="00745FEA">
                  <w:pPr>
                    <w:pStyle w:val="TableBodyText"/>
                    <w:ind w:right="57"/>
                    <w:rPr>
                      <w:rFonts w:cs="Arial"/>
                      <w:szCs w:val="18"/>
                    </w:rPr>
                  </w:pPr>
                </w:p>
              </w:tc>
              <w:tc>
                <w:tcPr>
                  <w:tcW w:w="467" w:type="pct"/>
                  <w:shd w:val="clear" w:color="auto" w:fill="auto"/>
                  <w:vAlign w:val="bottom"/>
                </w:tcPr>
                <w:p w:rsidR="00745FEA" w:rsidRDefault="00745FEA" w:rsidP="00745FEA">
                  <w:pPr>
                    <w:pStyle w:val="TableBodyText"/>
                    <w:ind w:right="57"/>
                    <w:rPr>
                      <w:rFonts w:cs="Arial"/>
                      <w:szCs w:val="18"/>
                    </w:rPr>
                  </w:pPr>
                </w:p>
              </w:tc>
              <w:tc>
                <w:tcPr>
                  <w:tcW w:w="463" w:type="pct"/>
                  <w:shd w:val="clear" w:color="auto" w:fill="auto"/>
                  <w:vAlign w:val="bottom"/>
                </w:tcPr>
                <w:p w:rsidR="00745FEA" w:rsidRDefault="00745FEA" w:rsidP="00745FEA">
                  <w:pPr>
                    <w:pStyle w:val="TableBodyText"/>
                    <w:ind w:right="57"/>
                    <w:rPr>
                      <w:rFonts w:cs="Arial"/>
                      <w:szCs w:val="18"/>
                    </w:rPr>
                  </w:pPr>
                </w:p>
              </w:tc>
            </w:tr>
            <w:tr w:rsidR="00745FEA" w:rsidTr="00745FEA">
              <w:tc>
                <w:tcPr>
                  <w:tcW w:w="2200" w:type="pct"/>
                  <w:shd w:val="clear" w:color="auto" w:fill="auto"/>
                </w:tcPr>
                <w:p w:rsidR="00745FEA" w:rsidRPr="001041C4" w:rsidRDefault="00745FEA" w:rsidP="00745FEA">
                  <w:pPr>
                    <w:pStyle w:val="TableBodyText"/>
                    <w:spacing w:after="0"/>
                    <w:ind w:left="227" w:right="0"/>
                    <w:jc w:val="left"/>
                  </w:pPr>
                  <w:r w:rsidRPr="001041C4">
                    <w:t>Commercialisation Australia</w:t>
                  </w:r>
                </w:p>
              </w:tc>
              <w:tc>
                <w:tcPr>
                  <w:tcW w:w="469" w:type="pct"/>
                  <w:vAlign w:val="bottom"/>
                </w:tcPr>
                <w:p w:rsidR="00745FEA" w:rsidRPr="001041C4" w:rsidRDefault="00745FEA" w:rsidP="00745FEA">
                  <w:pPr>
                    <w:pStyle w:val="TableBodyText"/>
                    <w:ind w:right="57"/>
                  </w:pPr>
                  <w:r w:rsidRPr="003B6A77">
                    <w:t>–</w:t>
                  </w:r>
                </w:p>
              </w:tc>
              <w:tc>
                <w:tcPr>
                  <w:tcW w:w="467" w:type="pct"/>
                  <w:vAlign w:val="bottom"/>
                </w:tcPr>
                <w:p w:rsidR="00745FEA" w:rsidRPr="001041C4" w:rsidRDefault="00745FEA" w:rsidP="00745FEA">
                  <w:pPr>
                    <w:pStyle w:val="TableBodyText"/>
                    <w:ind w:right="57"/>
                  </w:pPr>
                  <w:r w:rsidRPr="003B6A77">
                    <w:t>0.1</w:t>
                  </w:r>
                </w:p>
              </w:tc>
              <w:tc>
                <w:tcPr>
                  <w:tcW w:w="467" w:type="pct"/>
                  <w:vAlign w:val="bottom"/>
                </w:tcPr>
                <w:p w:rsidR="00745FEA" w:rsidRPr="001041C4" w:rsidRDefault="00745FEA" w:rsidP="00745FEA">
                  <w:pPr>
                    <w:pStyle w:val="TableBodyText"/>
                    <w:ind w:right="57"/>
                  </w:pPr>
                  <w:r w:rsidRPr="003B6A77">
                    <w:t>0.1</w:t>
                  </w:r>
                </w:p>
              </w:tc>
              <w:tc>
                <w:tcPr>
                  <w:tcW w:w="467" w:type="pct"/>
                  <w:vAlign w:val="bottom"/>
                </w:tcPr>
                <w:p w:rsidR="00745FEA" w:rsidRPr="001041C4" w:rsidRDefault="00745FEA" w:rsidP="00745FEA">
                  <w:pPr>
                    <w:pStyle w:val="TableBodyText"/>
                    <w:ind w:right="57"/>
                  </w:pPr>
                  <w:r w:rsidRPr="003B6A77">
                    <w:t>–</w:t>
                  </w:r>
                </w:p>
              </w:tc>
              <w:tc>
                <w:tcPr>
                  <w:tcW w:w="467" w:type="pct"/>
                  <w:shd w:val="clear" w:color="auto" w:fill="auto"/>
                  <w:vAlign w:val="bottom"/>
                </w:tcPr>
                <w:p w:rsidR="00745FEA" w:rsidRPr="001041C4" w:rsidRDefault="00745FEA" w:rsidP="00745FEA">
                  <w:pPr>
                    <w:pStyle w:val="TableBodyText"/>
                    <w:ind w:right="57"/>
                  </w:pPr>
                  <w:r w:rsidRPr="003B6A77">
                    <w:t>–</w:t>
                  </w:r>
                </w:p>
              </w:tc>
              <w:tc>
                <w:tcPr>
                  <w:tcW w:w="463" w:type="pct"/>
                  <w:shd w:val="clear" w:color="auto" w:fill="auto"/>
                  <w:vAlign w:val="bottom"/>
                </w:tcPr>
                <w:p w:rsidR="00745FEA" w:rsidRPr="001041C4" w:rsidRDefault="00745FEA" w:rsidP="00745FEA">
                  <w:pPr>
                    <w:pStyle w:val="TableBodyText"/>
                    <w:ind w:right="57"/>
                  </w:pPr>
                  <w:r w:rsidRPr="003B6A77">
                    <w:t>–</w:t>
                  </w:r>
                </w:p>
              </w:tc>
            </w:tr>
            <w:tr w:rsidR="00745FEA" w:rsidTr="00745FEA">
              <w:tc>
                <w:tcPr>
                  <w:tcW w:w="2200" w:type="pct"/>
                  <w:shd w:val="clear" w:color="auto" w:fill="auto"/>
                </w:tcPr>
                <w:p w:rsidR="00745FEA" w:rsidRPr="001041C4" w:rsidRDefault="00745FEA" w:rsidP="00745FEA">
                  <w:pPr>
                    <w:pStyle w:val="TableBodyText"/>
                    <w:spacing w:after="0"/>
                    <w:ind w:left="227" w:right="0"/>
                    <w:jc w:val="left"/>
                  </w:pPr>
                  <w:r w:rsidRPr="001041C4">
                    <w:t>CSIRO</w:t>
                  </w:r>
                </w:p>
              </w:tc>
              <w:tc>
                <w:tcPr>
                  <w:tcW w:w="469" w:type="pct"/>
                  <w:vAlign w:val="bottom"/>
                </w:tcPr>
                <w:p w:rsidR="00745FEA" w:rsidRPr="001041C4" w:rsidRDefault="00745FEA" w:rsidP="00745FEA">
                  <w:pPr>
                    <w:pStyle w:val="TableBodyText"/>
                    <w:ind w:right="57"/>
                  </w:pPr>
                  <w:r w:rsidRPr="003B6A77">
                    <w:t>1.2</w:t>
                  </w:r>
                </w:p>
              </w:tc>
              <w:tc>
                <w:tcPr>
                  <w:tcW w:w="467" w:type="pct"/>
                  <w:vAlign w:val="bottom"/>
                </w:tcPr>
                <w:p w:rsidR="00745FEA" w:rsidRPr="001041C4" w:rsidRDefault="00745FEA" w:rsidP="00745FEA">
                  <w:pPr>
                    <w:pStyle w:val="TableBodyText"/>
                    <w:ind w:right="57"/>
                  </w:pPr>
                  <w:r w:rsidRPr="003B6A77">
                    <w:t>1.1</w:t>
                  </w:r>
                </w:p>
              </w:tc>
              <w:tc>
                <w:tcPr>
                  <w:tcW w:w="467" w:type="pct"/>
                  <w:vAlign w:val="bottom"/>
                </w:tcPr>
                <w:p w:rsidR="00745FEA" w:rsidRPr="001041C4" w:rsidRDefault="00745FEA" w:rsidP="00745FEA">
                  <w:pPr>
                    <w:pStyle w:val="TableBodyText"/>
                    <w:ind w:right="57"/>
                  </w:pPr>
                  <w:r w:rsidRPr="003B6A77">
                    <w:t>1.3</w:t>
                  </w:r>
                </w:p>
              </w:tc>
              <w:tc>
                <w:tcPr>
                  <w:tcW w:w="467" w:type="pct"/>
                  <w:vAlign w:val="bottom"/>
                </w:tcPr>
                <w:p w:rsidR="00745FEA" w:rsidRPr="001041C4" w:rsidRDefault="00745FEA" w:rsidP="00745FEA">
                  <w:pPr>
                    <w:pStyle w:val="TableBodyText"/>
                    <w:ind w:right="57"/>
                  </w:pPr>
                  <w:r w:rsidRPr="003B6A77">
                    <w:t>1.3</w:t>
                  </w:r>
                </w:p>
              </w:tc>
              <w:tc>
                <w:tcPr>
                  <w:tcW w:w="467" w:type="pct"/>
                  <w:shd w:val="clear" w:color="auto" w:fill="auto"/>
                  <w:vAlign w:val="bottom"/>
                </w:tcPr>
                <w:p w:rsidR="00745FEA" w:rsidRPr="001041C4" w:rsidRDefault="00745FEA" w:rsidP="00745FEA">
                  <w:pPr>
                    <w:pStyle w:val="TableBodyText"/>
                    <w:ind w:right="57"/>
                  </w:pPr>
                  <w:r w:rsidRPr="003B6A77">
                    <w:t>1.3</w:t>
                  </w:r>
                </w:p>
              </w:tc>
              <w:tc>
                <w:tcPr>
                  <w:tcW w:w="463" w:type="pct"/>
                  <w:shd w:val="clear" w:color="auto" w:fill="auto"/>
                  <w:vAlign w:val="bottom"/>
                </w:tcPr>
                <w:p w:rsidR="00745FEA" w:rsidRPr="001041C4" w:rsidRDefault="00745FEA" w:rsidP="00745FEA">
                  <w:pPr>
                    <w:pStyle w:val="TableBodyText"/>
                    <w:ind w:right="57"/>
                  </w:pPr>
                  <w:r w:rsidRPr="003B6A77">
                    <w:t>1.3</w:t>
                  </w:r>
                </w:p>
              </w:tc>
            </w:tr>
            <w:tr w:rsidR="00745FEA" w:rsidTr="00745FEA">
              <w:tc>
                <w:tcPr>
                  <w:tcW w:w="2200" w:type="pct"/>
                  <w:shd w:val="clear" w:color="auto" w:fill="auto"/>
                </w:tcPr>
                <w:p w:rsidR="00745FEA" w:rsidRPr="001041C4" w:rsidRDefault="00745FEA" w:rsidP="00745FEA">
                  <w:pPr>
                    <w:pStyle w:val="TableBodyText"/>
                    <w:spacing w:after="0"/>
                    <w:ind w:left="227" w:right="0"/>
                    <w:jc w:val="left"/>
                  </w:pPr>
                  <w:r w:rsidRPr="001041C4">
                    <w:t>R&amp;D Tax Incentive - refundable tax offset</w:t>
                  </w:r>
                </w:p>
              </w:tc>
              <w:tc>
                <w:tcPr>
                  <w:tcW w:w="469" w:type="pct"/>
                  <w:vAlign w:val="bottom"/>
                </w:tcPr>
                <w:p w:rsidR="00745FEA" w:rsidRPr="001041C4" w:rsidRDefault="00745FEA" w:rsidP="00745FEA">
                  <w:pPr>
                    <w:pStyle w:val="TableBodyText"/>
                    <w:ind w:right="57"/>
                  </w:pPr>
                  <w:r w:rsidRPr="003B6A77">
                    <w:t>–</w:t>
                  </w:r>
                </w:p>
              </w:tc>
              <w:tc>
                <w:tcPr>
                  <w:tcW w:w="467" w:type="pct"/>
                  <w:vAlign w:val="bottom"/>
                </w:tcPr>
                <w:p w:rsidR="00745FEA" w:rsidRPr="001041C4" w:rsidRDefault="00745FEA" w:rsidP="00745FEA">
                  <w:pPr>
                    <w:pStyle w:val="TableBodyText"/>
                    <w:ind w:right="57"/>
                  </w:pPr>
                  <w:r w:rsidRPr="003B6A77">
                    <w:t>10.4</w:t>
                  </w:r>
                </w:p>
              </w:tc>
              <w:tc>
                <w:tcPr>
                  <w:tcW w:w="467" w:type="pct"/>
                  <w:vAlign w:val="bottom"/>
                </w:tcPr>
                <w:p w:rsidR="00745FEA" w:rsidRPr="001041C4" w:rsidRDefault="00745FEA" w:rsidP="00745FEA">
                  <w:pPr>
                    <w:pStyle w:val="TableBodyText"/>
                    <w:ind w:right="57"/>
                  </w:pPr>
                  <w:r w:rsidRPr="003B6A77">
                    <w:t>10.1</w:t>
                  </w:r>
                </w:p>
              </w:tc>
              <w:tc>
                <w:tcPr>
                  <w:tcW w:w="467" w:type="pct"/>
                  <w:vAlign w:val="bottom"/>
                </w:tcPr>
                <w:p w:rsidR="00745FEA" w:rsidRPr="001041C4" w:rsidRDefault="00745FEA" w:rsidP="00745FEA">
                  <w:pPr>
                    <w:pStyle w:val="TableBodyText"/>
                    <w:ind w:right="57"/>
                  </w:pPr>
                  <w:r w:rsidRPr="003B6A77">
                    <w:t>13.5</w:t>
                  </w:r>
                </w:p>
              </w:tc>
              <w:tc>
                <w:tcPr>
                  <w:tcW w:w="467" w:type="pct"/>
                  <w:shd w:val="clear" w:color="auto" w:fill="auto"/>
                  <w:vAlign w:val="bottom"/>
                </w:tcPr>
                <w:p w:rsidR="00745FEA" w:rsidRPr="001041C4" w:rsidRDefault="00745FEA" w:rsidP="00745FEA">
                  <w:pPr>
                    <w:pStyle w:val="TableBodyText"/>
                    <w:ind w:right="57"/>
                  </w:pPr>
                  <w:r w:rsidRPr="003B6A77">
                    <w:t>14.3</w:t>
                  </w:r>
                </w:p>
              </w:tc>
              <w:tc>
                <w:tcPr>
                  <w:tcW w:w="463" w:type="pct"/>
                  <w:shd w:val="clear" w:color="auto" w:fill="auto"/>
                  <w:vAlign w:val="bottom"/>
                </w:tcPr>
                <w:p w:rsidR="00745FEA" w:rsidRPr="001041C4" w:rsidRDefault="00745FEA" w:rsidP="00745FEA">
                  <w:pPr>
                    <w:pStyle w:val="TableBodyText"/>
                    <w:ind w:right="57"/>
                  </w:pPr>
                  <w:r w:rsidRPr="003B6A77">
                    <w:t>17.4</w:t>
                  </w:r>
                </w:p>
              </w:tc>
            </w:tr>
            <w:tr w:rsidR="00745FEA" w:rsidTr="00745FEA">
              <w:tc>
                <w:tcPr>
                  <w:tcW w:w="2200" w:type="pct"/>
                  <w:shd w:val="clear" w:color="auto" w:fill="auto"/>
                </w:tcPr>
                <w:p w:rsidR="00745FEA" w:rsidRPr="001041C4" w:rsidRDefault="00745FEA" w:rsidP="00745FEA">
                  <w:pPr>
                    <w:pStyle w:val="TableBodyText"/>
                    <w:spacing w:after="0"/>
                    <w:ind w:left="227" w:right="0"/>
                    <w:jc w:val="left"/>
                  </w:pPr>
                  <w:r w:rsidRPr="001041C4">
                    <w:t>R&amp;D tax offsets - Refundable</w:t>
                  </w:r>
                </w:p>
              </w:tc>
              <w:tc>
                <w:tcPr>
                  <w:tcW w:w="469" w:type="pct"/>
                  <w:vAlign w:val="bottom"/>
                </w:tcPr>
                <w:p w:rsidR="00745FEA" w:rsidRPr="001041C4" w:rsidRDefault="00745FEA" w:rsidP="00745FEA">
                  <w:pPr>
                    <w:pStyle w:val="TableBodyText"/>
                    <w:ind w:right="57"/>
                  </w:pPr>
                  <w:r w:rsidRPr="003B6A77">
                    <w:t>1.2</w:t>
                  </w:r>
                </w:p>
              </w:tc>
              <w:tc>
                <w:tcPr>
                  <w:tcW w:w="467" w:type="pct"/>
                  <w:vAlign w:val="bottom"/>
                </w:tcPr>
                <w:p w:rsidR="00745FEA" w:rsidRPr="001041C4" w:rsidRDefault="00745FEA" w:rsidP="00745FEA">
                  <w:pPr>
                    <w:pStyle w:val="TableBodyText"/>
                    <w:ind w:right="57"/>
                  </w:pPr>
                  <w:r w:rsidRPr="003B6A77">
                    <w:t>–</w:t>
                  </w:r>
                </w:p>
              </w:tc>
              <w:tc>
                <w:tcPr>
                  <w:tcW w:w="467" w:type="pct"/>
                  <w:vAlign w:val="bottom"/>
                </w:tcPr>
                <w:p w:rsidR="00745FEA" w:rsidRPr="001041C4" w:rsidRDefault="00745FEA" w:rsidP="00745FEA">
                  <w:pPr>
                    <w:pStyle w:val="TableBodyText"/>
                    <w:ind w:right="57"/>
                  </w:pPr>
                  <w:r w:rsidRPr="003B6A77">
                    <w:t>–</w:t>
                  </w:r>
                </w:p>
              </w:tc>
              <w:tc>
                <w:tcPr>
                  <w:tcW w:w="467" w:type="pct"/>
                  <w:vAlign w:val="bottom"/>
                </w:tcPr>
                <w:p w:rsidR="00745FEA" w:rsidRPr="001041C4" w:rsidRDefault="00745FEA" w:rsidP="00745FEA">
                  <w:pPr>
                    <w:pStyle w:val="TableBodyText"/>
                    <w:ind w:right="57"/>
                  </w:pPr>
                  <w:r w:rsidRPr="003B6A77">
                    <w:t>–</w:t>
                  </w:r>
                </w:p>
              </w:tc>
              <w:tc>
                <w:tcPr>
                  <w:tcW w:w="467" w:type="pct"/>
                  <w:shd w:val="clear" w:color="auto" w:fill="auto"/>
                  <w:vAlign w:val="bottom"/>
                </w:tcPr>
                <w:p w:rsidR="00745FEA" w:rsidRPr="001041C4" w:rsidRDefault="00745FEA" w:rsidP="00745FEA">
                  <w:pPr>
                    <w:pStyle w:val="TableBodyText"/>
                    <w:ind w:right="57"/>
                  </w:pPr>
                  <w:r w:rsidRPr="003B6A77">
                    <w:t>–</w:t>
                  </w:r>
                </w:p>
              </w:tc>
              <w:tc>
                <w:tcPr>
                  <w:tcW w:w="463" w:type="pct"/>
                  <w:shd w:val="clear" w:color="auto" w:fill="auto"/>
                  <w:vAlign w:val="bottom"/>
                </w:tcPr>
                <w:p w:rsidR="00745FEA" w:rsidRPr="001041C4" w:rsidRDefault="00745FEA" w:rsidP="00745FEA">
                  <w:pPr>
                    <w:pStyle w:val="TableBodyText"/>
                    <w:ind w:right="57"/>
                  </w:pPr>
                  <w:r w:rsidRPr="003B6A77">
                    <w:t>–</w:t>
                  </w:r>
                </w:p>
              </w:tc>
            </w:tr>
            <w:tr w:rsidR="00745FEA" w:rsidTr="00745FEA">
              <w:tc>
                <w:tcPr>
                  <w:tcW w:w="2200" w:type="pct"/>
                  <w:shd w:val="clear" w:color="auto" w:fill="auto"/>
                </w:tcPr>
                <w:p w:rsidR="00745FEA" w:rsidRPr="001041C4" w:rsidRDefault="00745FEA" w:rsidP="00745FEA">
                  <w:pPr>
                    <w:pStyle w:val="TableBodyText"/>
                    <w:spacing w:after="0"/>
                    <w:ind w:left="227" w:right="0"/>
                    <w:jc w:val="left"/>
                  </w:pPr>
                  <w:r w:rsidRPr="001041C4">
                    <w:t>Premium R&amp;D tax concession</w:t>
                  </w:r>
                </w:p>
              </w:tc>
              <w:tc>
                <w:tcPr>
                  <w:tcW w:w="469" w:type="pct"/>
                  <w:vAlign w:val="bottom"/>
                </w:tcPr>
                <w:p w:rsidR="00745FEA" w:rsidRPr="001041C4" w:rsidRDefault="00745FEA" w:rsidP="00745FEA">
                  <w:pPr>
                    <w:pStyle w:val="TableBodyText"/>
                    <w:ind w:right="57"/>
                  </w:pPr>
                  <w:r w:rsidRPr="003B6A77">
                    <w:t>0.4</w:t>
                  </w:r>
                </w:p>
              </w:tc>
              <w:tc>
                <w:tcPr>
                  <w:tcW w:w="467" w:type="pct"/>
                  <w:vAlign w:val="bottom"/>
                </w:tcPr>
                <w:p w:rsidR="00745FEA" w:rsidRPr="001041C4" w:rsidRDefault="00745FEA" w:rsidP="00745FEA">
                  <w:pPr>
                    <w:pStyle w:val="TableBodyText"/>
                    <w:ind w:right="57"/>
                  </w:pPr>
                  <w:r w:rsidRPr="003B6A77">
                    <w:t>0.1</w:t>
                  </w:r>
                </w:p>
              </w:tc>
              <w:tc>
                <w:tcPr>
                  <w:tcW w:w="467" w:type="pct"/>
                  <w:vAlign w:val="bottom"/>
                </w:tcPr>
                <w:p w:rsidR="00745FEA" w:rsidRPr="001041C4" w:rsidRDefault="00745FEA" w:rsidP="00745FEA">
                  <w:pPr>
                    <w:pStyle w:val="TableBodyText"/>
                    <w:ind w:right="57"/>
                  </w:pPr>
                  <w:r w:rsidRPr="003B6A77">
                    <w:t>&lt;0.1</w:t>
                  </w:r>
                </w:p>
              </w:tc>
              <w:tc>
                <w:tcPr>
                  <w:tcW w:w="467" w:type="pct"/>
                  <w:vAlign w:val="bottom"/>
                </w:tcPr>
                <w:p w:rsidR="00745FEA" w:rsidRPr="001041C4" w:rsidRDefault="00745FEA" w:rsidP="00745FEA">
                  <w:pPr>
                    <w:pStyle w:val="TableBodyText"/>
                    <w:ind w:right="57"/>
                  </w:pPr>
                  <w:r w:rsidRPr="003B6A77">
                    <w:t>–</w:t>
                  </w:r>
                </w:p>
              </w:tc>
              <w:tc>
                <w:tcPr>
                  <w:tcW w:w="467" w:type="pct"/>
                  <w:shd w:val="clear" w:color="auto" w:fill="auto"/>
                  <w:vAlign w:val="bottom"/>
                </w:tcPr>
                <w:p w:rsidR="00745FEA" w:rsidRPr="001041C4" w:rsidRDefault="00745FEA" w:rsidP="00745FEA">
                  <w:pPr>
                    <w:pStyle w:val="TableBodyText"/>
                    <w:ind w:right="57"/>
                  </w:pPr>
                  <w:r w:rsidRPr="003B6A77">
                    <w:t>–</w:t>
                  </w:r>
                </w:p>
              </w:tc>
              <w:tc>
                <w:tcPr>
                  <w:tcW w:w="463" w:type="pct"/>
                  <w:shd w:val="clear" w:color="auto" w:fill="auto"/>
                  <w:vAlign w:val="bottom"/>
                </w:tcPr>
                <w:p w:rsidR="00745FEA" w:rsidRPr="001041C4" w:rsidRDefault="00745FEA" w:rsidP="00745FEA">
                  <w:pPr>
                    <w:pStyle w:val="TableBodyText"/>
                    <w:ind w:right="57"/>
                  </w:pPr>
                  <w:r w:rsidRPr="003B6A77">
                    <w:t>–</w:t>
                  </w:r>
                </w:p>
              </w:tc>
            </w:tr>
            <w:tr w:rsidR="00745FEA" w:rsidTr="00745FEA">
              <w:tc>
                <w:tcPr>
                  <w:tcW w:w="2200" w:type="pct"/>
                  <w:shd w:val="clear" w:color="auto" w:fill="auto"/>
                </w:tcPr>
                <w:p w:rsidR="00745FEA" w:rsidRPr="001041C4" w:rsidRDefault="00745FEA" w:rsidP="00745FEA">
                  <w:pPr>
                    <w:pStyle w:val="TableBodyText"/>
                    <w:spacing w:after="0"/>
                    <w:ind w:left="227" w:right="0"/>
                    <w:jc w:val="left"/>
                  </w:pPr>
                  <w:r w:rsidRPr="001041C4">
                    <w:t>R&amp;D tax concession</w:t>
                  </w:r>
                </w:p>
              </w:tc>
              <w:tc>
                <w:tcPr>
                  <w:tcW w:w="469" w:type="pct"/>
                  <w:vAlign w:val="bottom"/>
                </w:tcPr>
                <w:p w:rsidR="00745FEA" w:rsidRPr="001041C4" w:rsidRDefault="00745FEA" w:rsidP="00745FEA">
                  <w:pPr>
                    <w:pStyle w:val="TableBodyText"/>
                    <w:ind w:right="57"/>
                  </w:pPr>
                  <w:r w:rsidRPr="003B6A77">
                    <w:t>2.6</w:t>
                  </w:r>
                </w:p>
              </w:tc>
              <w:tc>
                <w:tcPr>
                  <w:tcW w:w="467" w:type="pct"/>
                  <w:vAlign w:val="bottom"/>
                </w:tcPr>
                <w:p w:rsidR="00745FEA" w:rsidRPr="001041C4" w:rsidRDefault="00745FEA" w:rsidP="00745FEA">
                  <w:pPr>
                    <w:pStyle w:val="TableBodyText"/>
                    <w:ind w:right="57"/>
                  </w:pPr>
                  <w:r w:rsidRPr="003B6A77">
                    <w:t>1.2</w:t>
                  </w:r>
                </w:p>
              </w:tc>
              <w:tc>
                <w:tcPr>
                  <w:tcW w:w="467" w:type="pct"/>
                  <w:vAlign w:val="bottom"/>
                </w:tcPr>
                <w:p w:rsidR="00745FEA" w:rsidRPr="001041C4" w:rsidRDefault="00745FEA" w:rsidP="00745FEA">
                  <w:pPr>
                    <w:pStyle w:val="TableBodyText"/>
                    <w:ind w:right="57"/>
                  </w:pPr>
                  <w:r w:rsidRPr="003B6A77">
                    <w:t>0.4</w:t>
                  </w:r>
                </w:p>
              </w:tc>
              <w:tc>
                <w:tcPr>
                  <w:tcW w:w="467" w:type="pct"/>
                  <w:vAlign w:val="bottom"/>
                </w:tcPr>
                <w:p w:rsidR="00745FEA" w:rsidRPr="001041C4" w:rsidRDefault="00745FEA" w:rsidP="00745FEA">
                  <w:pPr>
                    <w:pStyle w:val="TableBodyText"/>
                    <w:ind w:right="57"/>
                  </w:pPr>
                  <w:r w:rsidRPr="003B6A77">
                    <w:t>0.1</w:t>
                  </w:r>
                </w:p>
              </w:tc>
              <w:tc>
                <w:tcPr>
                  <w:tcW w:w="467" w:type="pct"/>
                  <w:shd w:val="clear" w:color="auto" w:fill="auto"/>
                  <w:vAlign w:val="bottom"/>
                </w:tcPr>
                <w:p w:rsidR="00745FEA" w:rsidRPr="001041C4" w:rsidRDefault="00745FEA" w:rsidP="00745FEA">
                  <w:pPr>
                    <w:pStyle w:val="TableBodyText"/>
                    <w:ind w:right="57"/>
                  </w:pPr>
                  <w:r w:rsidRPr="003B6A77">
                    <w:t>–</w:t>
                  </w:r>
                </w:p>
              </w:tc>
              <w:tc>
                <w:tcPr>
                  <w:tcW w:w="463" w:type="pct"/>
                  <w:shd w:val="clear" w:color="auto" w:fill="auto"/>
                  <w:vAlign w:val="bottom"/>
                </w:tcPr>
                <w:p w:rsidR="00745FEA" w:rsidRPr="001041C4" w:rsidRDefault="00745FEA" w:rsidP="00745FEA">
                  <w:pPr>
                    <w:pStyle w:val="TableBodyText"/>
                    <w:ind w:right="57"/>
                  </w:pPr>
                  <w:r w:rsidRPr="003B6A77">
                    <w:t>–</w:t>
                  </w:r>
                </w:p>
              </w:tc>
            </w:tr>
            <w:tr w:rsidR="00745FEA" w:rsidTr="00745FEA">
              <w:tc>
                <w:tcPr>
                  <w:tcW w:w="2200" w:type="pct"/>
                  <w:tcBorders>
                    <w:bottom w:val="single" w:sz="6" w:space="0" w:color="BFBFBF"/>
                  </w:tcBorders>
                  <w:shd w:val="clear" w:color="auto" w:fill="auto"/>
                </w:tcPr>
                <w:p w:rsidR="00745FEA" w:rsidRPr="001041C4" w:rsidRDefault="00745FEA" w:rsidP="00745FEA">
                  <w:pPr>
                    <w:pStyle w:val="TableBodyText"/>
                    <w:ind w:left="227" w:right="0"/>
                    <w:jc w:val="left"/>
                  </w:pPr>
                  <w:r w:rsidRPr="001041C4">
                    <w:t>R&amp;D Tax Incentive - non-refundable tax offset</w:t>
                  </w:r>
                </w:p>
              </w:tc>
              <w:tc>
                <w:tcPr>
                  <w:tcW w:w="469" w:type="pct"/>
                  <w:tcBorders>
                    <w:bottom w:val="single" w:sz="6" w:space="0" w:color="BFBFBF"/>
                  </w:tcBorders>
                  <w:vAlign w:val="bottom"/>
                </w:tcPr>
                <w:p w:rsidR="00745FEA" w:rsidRPr="001041C4" w:rsidRDefault="00745FEA" w:rsidP="00745FEA">
                  <w:pPr>
                    <w:pStyle w:val="TableBodyText"/>
                    <w:ind w:right="57"/>
                  </w:pPr>
                  <w:r w:rsidRPr="003B6A77">
                    <w:t>–</w:t>
                  </w:r>
                </w:p>
              </w:tc>
              <w:tc>
                <w:tcPr>
                  <w:tcW w:w="467" w:type="pct"/>
                  <w:tcBorders>
                    <w:bottom w:val="single" w:sz="6" w:space="0" w:color="BFBFBF"/>
                  </w:tcBorders>
                  <w:vAlign w:val="bottom"/>
                </w:tcPr>
                <w:p w:rsidR="00745FEA" w:rsidRPr="001041C4" w:rsidRDefault="00745FEA" w:rsidP="00745FEA">
                  <w:pPr>
                    <w:pStyle w:val="TableBodyText"/>
                    <w:ind w:right="57"/>
                  </w:pPr>
                  <w:r w:rsidRPr="003B6A77">
                    <w:t>1.3</w:t>
                  </w:r>
                </w:p>
              </w:tc>
              <w:tc>
                <w:tcPr>
                  <w:tcW w:w="467" w:type="pct"/>
                  <w:tcBorders>
                    <w:bottom w:val="single" w:sz="6" w:space="0" w:color="BFBFBF"/>
                  </w:tcBorders>
                  <w:vAlign w:val="bottom"/>
                </w:tcPr>
                <w:p w:rsidR="00745FEA" w:rsidRPr="001041C4" w:rsidRDefault="00745FEA" w:rsidP="00745FEA">
                  <w:pPr>
                    <w:pStyle w:val="TableBodyText"/>
                    <w:ind w:right="57"/>
                  </w:pPr>
                  <w:r w:rsidRPr="003B6A77">
                    <w:t>2.6</w:t>
                  </w:r>
                </w:p>
              </w:tc>
              <w:tc>
                <w:tcPr>
                  <w:tcW w:w="467" w:type="pct"/>
                  <w:tcBorders>
                    <w:bottom w:val="single" w:sz="6" w:space="0" w:color="BFBFBF"/>
                  </w:tcBorders>
                  <w:vAlign w:val="bottom"/>
                </w:tcPr>
                <w:p w:rsidR="00745FEA" w:rsidRPr="001041C4" w:rsidRDefault="00745FEA" w:rsidP="00745FEA">
                  <w:pPr>
                    <w:pStyle w:val="TableBodyText"/>
                    <w:ind w:right="57"/>
                  </w:pPr>
                  <w:r w:rsidRPr="003B6A77">
                    <w:t>5.2</w:t>
                  </w:r>
                </w:p>
              </w:tc>
              <w:tc>
                <w:tcPr>
                  <w:tcW w:w="467" w:type="pct"/>
                  <w:tcBorders>
                    <w:bottom w:val="single" w:sz="6" w:space="0" w:color="BFBFBF"/>
                  </w:tcBorders>
                  <w:shd w:val="clear" w:color="auto" w:fill="auto"/>
                  <w:vAlign w:val="bottom"/>
                </w:tcPr>
                <w:p w:rsidR="00745FEA" w:rsidRPr="001041C4" w:rsidRDefault="00745FEA" w:rsidP="00745FEA">
                  <w:pPr>
                    <w:pStyle w:val="TableBodyText"/>
                    <w:ind w:right="57"/>
                  </w:pPr>
                  <w:r w:rsidRPr="003B6A77">
                    <w:t>8.0</w:t>
                  </w:r>
                </w:p>
              </w:tc>
              <w:tc>
                <w:tcPr>
                  <w:tcW w:w="463" w:type="pct"/>
                  <w:tcBorders>
                    <w:bottom w:val="single" w:sz="6" w:space="0" w:color="BFBFBF"/>
                  </w:tcBorders>
                  <w:shd w:val="clear" w:color="auto" w:fill="auto"/>
                  <w:vAlign w:val="bottom"/>
                </w:tcPr>
                <w:p w:rsidR="00745FEA" w:rsidRDefault="00745FEA" w:rsidP="00745FEA">
                  <w:pPr>
                    <w:pStyle w:val="TableBodyText"/>
                    <w:ind w:right="57"/>
                  </w:pPr>
                  <w:r w:rsidRPr="003B6A77">
                    <w:t>8.0</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748"/>
              <w:gridCol w:w="800"/>
              <w:gridCol w:w="794"/>
              <w:gridCol w:w="794"/>
              <w:gridCol w:w="794"/>
              <w:gridCol w:w="799"/>
              <w:gridCol w:w="776"/>
            </w:tblGrid>
            <w:tr w:rsidR="00745FEA" w:rsidTr="00C719FB">
              <w:trPr>
                <w:tblHeader/>
              </w:trPr>
              <w:tc>
                <w:tcPr>
                  <w:tcW w:w="2203"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70"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70"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3" w:type="pct"/>
                  <w:tcBorders>
                    <w:top w:val="single" w:sz="6" w:space="0" w:color="BFBFBF"/>
                  </w:tcBorders>
                </w:tcPr>
                <w:p w:rsidR="00745FEA" w:rsidRPr="0059660A" w:rsidRDefault="00745FEA" w:rsidP="00745FEA">
                  <w:pPr>
                    <w:pStyle w:val="TableUnitsRow"/>
                    <w:spacing w:after="0"/>
                    <w:ind w:left="113"/>
                    <w:jc w:val="left"/>
                    <w:rPr>
                      <w:i/>
                    </w:rPr>
                  </w:pPr>
                  <w:r w:rsidRPr="0059660A">
                    <w:rPr>
                      <w:i/>
                    </w:rPr>
                    <w:t>Other measures</w:t>
                  </w:r>
                </w:p>
              </w:tc>
              <w:tc>
                <w:tcPr>
                  <w:tcW w:w="470"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67" w:type="pct"/>
                  <w:tcBorders>
                    <w:top w:val="single" w:sz="6" w:space="0" w:color="BFBFBF"/>
                  </w:tcBorders>
                  <w:vAlign w:val="bottom"/>
                </w:tcPr>
                <w:p w:rsidR="00745FEA" w:rsidRDefault="00745FEA" w:rsidP="00745FEA">
                  <w:pPr>
                    <w:pStyle w:val="TableUnitsRow"/>
                    <w:spacing w:after="0"/>
                    <w:ind w:left="113" w:right="57"/>
                  </w:pPr>
                </w:p>
              </w:tc>
              <w:tc>
                <w:tcPr>
                  <w:tcW w:w="470" w:type="pct"/>
                  <w:tcBorders>
                    <w:top w:val="single" w:sz="6" w:space="0" w:color="BFBFBF"/>
                  </w:tcBorders>
                  <w:vAlign w:val="bottom"/>
                </w:tcPr>
                <w:p w:rsidR="00745FEA" w:rsidRDefault="00745FEA" w:rsidP="00745FEA">
                  <w:pPr>
                    <w:pStyle w:val="TableUnitsRow"/>
                    <w:spacing w:after="0"/>
                    <w:ind w:left="113" w:right="57"/>
                  </w:pPr>
                </w:p>
              </w:tc>
              <w:tc>
                <w:tcPr>
                  <w:tcW w:w="456"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3" w:type="pct"/>
                </w:tcPr>
                <w:p w:rsidR="00745FEA" w:rsidRPr="00C05E72" w:rsidRDefault="00745FEA" w:rsidP="00745FEA">
                  <w:pPr>
                    <w:pStyle w:val="TableBodyText"/>
                    <w:spacing w:after="0"/>
                    <w:ind w:left="227" w:right="0"/>
                    <w:jc w:val="left"/>
                  </w:pPr>
                  <w:r w:rsidRPr="00C05E72">
                    <w:t>Enterprise Connect Innovation Centres</w:t>
                  </w:r>
                </w:p>
              </w:tc>
              <w:tc>
                <w:tcPr>
                  <w:tcW w:w="470" w:type="pct"/>
                  <w:vAlign w:val="bottom"/>
                </w:tcPr>
                <w:p w:rsidR="00745FEA" w:rsidRPr="00F662A0" w:rsidRDefault="00745FEA" w:rsidP="00745FEA">
                  <w:pPr>
                    <w:pStyle w:val="TableBodyText"/>
                    <w:ind w:right="57"/>
                  </w:pPr>
                  <w:r w:rsidRPr="00F662A0">
                    <w:t>0.1</w:t>
                  </w:r>
                </w:p>
              </w:tc>
              <w:tc>
                <w:tcPr>
                  <w:tcW w:w="467" w:type="pct"/>
                  <w:vAlign w:val="bottom"/>
                </w:tcPr>
                <w:p w:rsidR="00745FEA" w:rsidRPr="00F662A0" w:rsidRDefault="00745FEA" w:rsidP="00745FEA">
                  <w:pPr>
                    <w:pStyle w:val="TableBodyText"/>
                    <w:ind w:right="57"/>
                  </w:pPr>
                  <w:r w:rsidRPr="00F662A0">
                    <w:t>0.1</w:t>
                  </w:r>
                </w:p>
              </w:tc>
              <w:tc>
                <w:tcPr>
                  <w:tcW w:w="467" w:type="pct"/>
                  <w:vAlign w:val="bottom"/>
                </w:tcPr>
                <w:p w:rsidR="00745FEA" w:rsidRPr="00F662A0" w:rsidRDefault="00745FEA" w:rsidP="00745FEA">
                  <w:pPr>
                    <w:pStyle w:val="TableBodyText"/>
                    <w:ind w:right="57"/>
                  </w:pPr>
                  <w:r w:rsidRPr="00F662A0">
                    <w:t>0.2</w:t>
                  </w:r>
                </w:p>
              </w:tc>
              <w:tc>
                <w:tcPr>
                  <w:tcW w:w="467" w:type="pct"/>
                  <w:vAlign w:val="bottom"/>
                </w:tcPr>
                <w:p w:rsidR="00745FEA" w:rsidRPr="00F662A0" w:rsidRDefault="00745FEA" w:rsidP="00745FEA">
                  <w:pPr>
                    <w:pStyle w:val="TableBodyText"/>
                    <w:ind w:right="57"/>
                  </w:pPr>
                  <w:r w:rsidRPr="00F662A0">
                    <w:t>0.1</w:t>
                  </w:r>
                </w:p>
              </w:tc>
              <w:tc>
                <w:tcPr>
                  <w:tcW w:w="470" w:type="pct"/>
                  <w:vAlign w:val="bottom"/>
                </w:tcPr>
                <w:p w:rsidR="00745FEA" w:rsidRPr="00F662A0" w:rsidRDefault="00745FEA" w:rsidP="00745FEA">
                  <w:pPr>
                    <w:pStyle w:val="TableBodyText"/>
                    <w:ind w:right="57"/>
                  </w:pPr>
                  <w:r w:rsidRPr="00F662A0">
                    <w:t>&lt;0.1</w:t>
                  </w:r>
                </w:p>
              </w:tc>
              <w:tc>
                <w:tcPr>
                  <w:tcW w:w="456" w:type="pct"/>
                  <w:vAlign w:val="bottom"/>
                </w:tcPr>
                <w:p w:rsidR="00745FEA" w:rsidRPr="00F662A0" w:rsidRDefault="00745FEA" w:rsidP="00745FEA">
                  <w:pPr>
                    <w:pStyle w:val="TableBodyText"/>
                    <w:ind w:right="57"/>
                  </w:pPr>
                  <w:r w:rsidRPr="00F662A0">
                    <w:t>–</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Entrepreneurs’ Infrastructure Programme - Business Management Skills</w:t>
                  </w:r>
                </w:p>
              </w:tc>
              <w:tc>
                <w:tcPr>
                  <w:tcW w:w="470"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0.1</w:t>
                  </w:r>
                </w:p>
              </w:tc>
              <w:tc>
                <w:tcPr>
                  <w:tcW w:w="470" w:type="pct"/>
                  <w:shd w:val="clear" w:color="auto" w:fill="auto"/>
                  <w:vAlign w:val="bottom"/>
                </w:tcPr>
                <w:p w:rsidR="00745FEA" w:rsidRPr="00F662A0" w:rsidRDefault="00745FEA" w:rsidP="00745FEA">
                  <w:pPr>
                    <w:pStyle w:val="TableBodyText"/>
                    <w:ind w:right="57"/>
                  </w:pPr>
                  <w:r w:rsidRPr="00F662A0">
                    <w:t>0.2</w:t>
                  </w:r>
                </w:p>
              </w:tc>
              <w:tc>
                <w:tcPr>
                  <w:tcW w:w="456" w:type="pct"/>
                  <w:shd w:val="clear" w:color="auto" w:fill="auto"/>
                  <w:vAlign w:val="bottom"/>
                </w:tcPr>
                <w:p w:rsidR="00745FEA" w:rsidRPr="00F662A0" w:rsidRDefault="00745FEA" w:rsidP="00745FEA">
                  <w:pPr>
                    <w:pStyle w:val="TableBodyText"/>
                    <w:ind w:right="57"/>
                  </w:pPr>
                  <w:r w:rsidRPr="00F662A0">
                    <w:t>0.1</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Illawarra Region Innovation and Investment Fund</w:t>
                  </w:r>
                </w:p>
              </w:tc>
              <w:tc>
                <w:tcPr>
                  <w:tcW w:w="470" w:type="pct"/>
                  <w:vAlign w:val="bottom"/>
                </w:tcPr>
                <w:p w:rsidR="00745FEA" w:rsidRPr="00F662A0" w:rsidRDefault="00745FEA" w:rsidP="00745FEA">
                  <w:pPr>
                    <w:pStyle w:val="TableBodyText"/>
                    <w:ind w:right="57"/>
                  </w:pPr>
                  <w:r w:rsidRPr="00F662A0">
                    <w:t>1.9</w:t>
                  </w:r>
                </w:p>
              </w:tc>
              <w:tc>
                <w:tcPr>
                  <w:tcW w:w="467" w:type="pct"/>
                  <w:vAlign w:val="bottom"/>
                </w:tcPr>
                <w:p w:rsidR="00745FEA" w:rsidRPr="00F662A0" w:rsidRDefault="00745FEA" w:rsidP="00745FEA">
                  <w:pPr>
                    <w:pStyle w:val="TableBodyText"/>
                    <w:ind w:right="57"/>
                  </w:pPr>
                  <w:r w:rsidRPr="00F662A0">
                    <w:t>1.8</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70" w:type="pct"/>
                  <w:shd w:val="clear" w:color="auto" w:fill="auto"/>
                  <w:vAlign w:val="bottom"/>
                </w:tcPr>
                <w:p w:rsidR="00745FEA" w:rsidRPr="00F662A0" w:rsidRDefault="00745FEA" w:rsidP="00745FEA">
                  <w:pPr>
                    <w:pStyle w:val="TableBodyText"/>
                    <w:ind w:right="57"/>
                  </w:pPr>
                  <w:r w:rsidRPr="00F662A0">
                    <w:t>–</w:t>
                  </w:r>
                </w:p>
              </w:tc>
              <w:tc>
                <w:tcPr>
                  <w:tcW w:w="456" w:type="pct"/>
                  <w:shd w:val="clear" w:color="auto" w:fill="auto"/>
                  <w:vAlign w:val="bottom"/>
                </w:tcPr>
                <w:p w:rsidR="00745FEA" w:rsidRPr="00F662A0" w:rsidRDefault="00745FEA" w:rsidP="00745FEA">
                  <w:pPr>
                    <w:pStyle w:val="TableBodyText"/>
                    <w:ind w:right="57"/>
                  </w:pPr>
                  <w:r w:rsidRPr="00F662A0">
                    <w:t>–</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Temporary Assistance for Tasmanian Exporters</w:t>
                  </w:r>
                </w:p>
              </w:tc>
              <w:tc>
                <w:tcPr>
                  <w:tcW w:w="470" w:type="pct"/>
                  <w:vAlign w:val="bottom"/>
                </w:tcPr>
                <w:p w:rsidR="00745FEA" w:rsidRPr="00F662A0" w:rsidRDefault="00745FEA" w:rsidP="00745FEA">
                  <w:pPr>
                    <w:pStyle w:val="TableBodyText"/>
                    <w:ind w:right="57"/>
                  </w:pPr>
                  <w:r w:rsidRPr="00F662A0">
                    <w:t>&lt;0.1</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70" w:type="pct"/>
                  <w:shd w:val="clear" w:color="auto" w:fill="auto"/>
                  <w:vAlign w:val="bottom"/>
                </w:tcPr>
                <w:p w:rsidR="00745FEA" w:rsidRPr="00F662A0" w:rsidRDefault="00745FEA" w:rsidP="00745FEA">
                  <w:pPr>
                    <w:pStyle w:val="TableBodyText"/>
                    <w:ind w:right="57"/>
                  </w:pPr>
                  <w:r w:rsidRPr="00F662A0">
                    <w:t>–</w:t>
                  </w:r>
                </w:p>
              </w:tc>
              <w:tc>
                <w:tcPr>
                  <w:tcW w:w="456" w:type="pct"/>
                  <w:shd w:val="clear" w:color="auto" w:fill="auto"/>
                  <w:vAlign w:val="bottom"/>
                </w:tcPr>
                <w:p w:rsidR="00745FEA" w:rsidRPr="00F662A0" w:rsidRDefault="00745FEA" w:rsidP="00745FEA">
                  <w:pPr>
                    <w:pStyle w:val="TableBodyText"/>
                    <w:ind w:right="57"/>
                  </w:pPr>
                  <w:r w:rsidRPr="00F662A0">
                    <w:t>–</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Tasmanian Freight Equalisation Scheme</w:t>
                  </w:r>
                </w:p>
              </w:tc>
              <w:tc>
                <w:tcPr>
                  <w:tcW w:w="470" w:type="pct"/>
                  <w:vAlign w:val="bottom"/>
                </w:tcPr>
                <w:p w:rsidR="00745FEA" w:rsidRPr="00F662A0" w:rsidRDefault="00745FEA" w:rsidP="00745FEA">
                  <w:pPr>
                    <w:pStyle w:val="TableBodyText"/>
                    <w:ind w:right="57"/>
                  </w:pPr>
                  <w:r w:rsidRPr="00F662A0">
                    <w:t>0.1</w:t>
                  </w:r>
                </w:p>
              </w:tc>
              <w:tc>
                <w:tcPr>
                  <w:tcW w:w="467" w:type="pct"/>
                  <w:vAlign w:val="bottom"/>
                </w:tcPr>
                <w:p w:rsidR="00745FEA" w:rsidRPr="00F662A0" w:rsidRDefault="00745FEA" w:rsidP="00745FEA">
                  <w:pPr>
                    <w:pStyle w:val="TableBodyText"/>
                    <w:ind w:right="57"/>
                  </w:pPr>
                  <w:r w:rsidRPr="00F662A0">
                    <w:t>0.2</w:t>
                  </w:r>
                </w:p>
              </w:tc>
              <w:tc>
                <w:tcPr>
                  <w:tcW w:w="467" w:type="pct"/>
                  <w:vAlign w:val="bottom"/>
                </w:tcPr>
                <w:p w:rsidR="00745FEA" w:rsidRPr="00F662A0" w:rsidRDefault="00745FEA" w:rsidP="00745FEA">
                  <w:pPr>
                    <w:pStyle w:val="TableBodyText"/>
                    <w:ind w:right="57"/>
                  </w:pPr>
                  <w:r w:rsidRPr="00F662A0">
                    <w:t>0.2</w:t>
                  </w:r>
                </w:p>
              </w:tc>
              <w:tc>
                <w:tcPr>
                  <w:tcW w:w="467" w:type="pct"/>
                  <w:vAlign w:val="bottom"/>
                </w:tcPr>
                <w:p w:rsidR="00745FEA" w:rsidRPr="00F662A0" w:rsidRDefault="00745FEA" w:rsidP="00745FEA">
                  <w:pPr>
                    <w:pStyle w:val="TableBodyText"/>
                    <w:ind w:right="57"/>
                  </w:pPr>
                  <w:r w:rsidRPr="00F662A0">
                    <w:t>0.2</w:t>
                  </w:r>
                </w:p>
              </w:tc>
              <w:tc>
                <w:tcPr>
                  <w:tcW w:w="470" w:type="pct"/>
                  <w:shd w:val="clear" w:color="auto" w:fill="auto"/>
                  <w:vAlign w:val="bottom"/>
                </w:tcPr>
                <w:p w:rsidR="00745FEA" w:rsidRPr="00F662A0" w:rsidRDefault="00745FEA" w:rsidP="00745FEA">
                  <w:pPr>
                    <w:pStyle w:val="TableBodyText"/>
                    <w:ind w:right="57"/>
                  </w:pPr>
                  <w:r w:rsidRPr="00F662A0">
                    <w:t>0.2</w:t>
                  </w:r>
                </w:p>
              </w:tc>
              <w:tc>
                <w:tcPr>
                  <w:tcW w:w="456" w:type="pct"/>
                  <w:shd w:val="clear" w:color="auto" w:fill="auto"/>
                  <w:vAlign w:val="bottom"/>
                </w:tcPr>
                <w:p w:rsidR="00745FEA" w:rsidRPr="00F662A0" w:rsidRDefault="00745FEA" w:rsidP="00745FEA">
                  <w:pPr>
                    <w:pStyle w:val="TableBodyText"/>
                    <w:ind w:right="57"/>
                  </w:pPr>
                  <w:r w:rsidRPr="00F662A0">
                    <w:t>0.2</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F662A0">
                    <w:t>Tasmanian Jobs and Investment Fund</w:t>
                  </w:r>
                </w:p>
              </w:tc>
              <w:tc>
                <w:tcPr>
                  <w:tcW w:w="470"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70" w:type="pct"/>
                  <w:shd w:val="clear" w:color="auto" w:fill="auto"/>
                  <w:vAlign w:val="bottom"/>
                </w:tcPr>
                <w:p w:rsidR="00745FEA" w:rsidRPr="00F662A0" w:rsidRDefault="00745FEA" w:rsidP="00745FEA">
                  <w:pPr>
                    <w:pStyle w:val="TableBodyText"/>
                    <w:ind w:right="57"/>
                  </w:pPr>
                  <w:r w:rsidRPr="00F662A0">
                    <w:t>–</w:t>
                  </w:r>
                </w:p>
              </w:tc>
              <w:tc>
                <w:tcPr>
                  <w:tcW w:w="456" w:type="pct"/>
                  <w:shd w:val="clear" w:color="auto" w:fill="auto"/>
                  <w:vAlign w:val="bottom"/>
                </w:tcPr>
                <w:p w:rsidR="00745FEA" w:rsidRPr="00F662A0" w:rsidRDefault="00745FEA" w:rsidP="00745FEA">
                  <w:pPr>
                    <w:pStyle w:val="TableBodyText"/>
                    <w:ind w:right="57"/>
                  </w:pPr>
                  <w:r w:rsidRPr="00F662A0">
                    <w:t>0.2</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 xml:space="preserve">Small business </w:t>
                  </w:r>
                  <w:r>
                    <w:t>capital gains tax</w:t>
                  </w:r>
                  <w:r w:rsidRPr="00C05E72">
                    <w:t xml:space="preserve"> rollover deferral</w:t>
                  </w:r>
                </w:p>
              </w:tc>
              <w:tc>
                <w:tcPr>
                  <w:tcW w:w="470"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1.3</w:t>
                  </w:r>
                </w:p>
              </w:tc>
              <w:tc>
                <w:tcPr>
                  <w:tcW w:w="470" w:type="pct"/>
                  <w:shd w:val="clear" w:color="auto" w:fill="auto"/>
                  <w:vAlign w:val="bottom"/>
                </w:tcPr>
                <w:p w:rsidR="00745FEA" w:rsidRPr="00F662A0" w:rsidRDefault="00745FEA" w:rsidP="00745FEA">
                  <w:pPr>
                    <w:pStyle w:val="TableBodyText"/>
                    <w:ind w:right="57"/>
                  </w:pPr>
                  <w:r w:rsidRPr="00F662A0">
                    <w:t>1.3</w:t>
                  </w:r>
                </w:p>
              </w:tc>
              <w:tc>
                <w:tcPr>
                  <w:tcW w:w="456" w:type="pct"/>
                  <w:shd w:val="clear" w:color="auto" w:fill="auto"/>
                  <w:vAlign w:val="bottom"/>
                </w:tcPr>
                <w:p w:rsidR="00745FEA" w:rsidRPr="00F662A0" w:rsidRDefault="00745FEA" w:rsidP="00745FEA">
                  <w:pPr>
                    <w:pStyle w:val="TableBodyText"/>
                    <w:ind w:right="57"/>
                  </w:pPr>
                  <w:r w:rsidRPr="00F662A0">
                    <w:t>1.4</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The Small Business and General Business Tax Break</w:t>
                  </w:r>
                </w:p>
              </w:tc>
              <w:tc>
                <w:tcPr>
                  <w:tcW w:w="470" w:type="pct"/>
                  <w:vAlign w:val="bottom"/>
                </w:tcPr>
                <w:p w:rsidR="00745FEA" w:rsidRPr="00F662A0" w:rsidRDefault="00745FEA" w:rsidP="00745FEA">
                  <w:pPr>
                    <w:pStyle w:val="TableBodyText"/>
                    <w:ind w:right="57"/>
                  </w:pPr>
                  <w:r w:rsidRPr="00F662A0">
                    <w:t>0.5</w:t>
                  </w:r>
                </w:p>
              </w:tc>
              <w:tc>
                <w:tcPr>
                  <w:tcW w:w="467" w:type="pct"/>
                  <w:vAlign w:val="bottom"/>
                </w:tcPr>
                <w:p w:rsidR="00745FEA" w:rsidRPr="00F662A0" w:rsidRDefault="00745FEA" w:rsidP="00745FEA">
                  <w:pPr>
                    <w:pStyle w:val="TableBodyText"/>
                    <w:ind w:right="57"/>
                  </w:pPr>
                  <w:r w:rsidRPr="00F662A0">
                    <w:t>0.2</w:t>
                  </w:r>
                </w:p>
              </w:tc>
              <w:tc>
                <w:tcPr>
                  <w:tcW w:w="467" w:type="pct"/>
                  <w:vAlign w:val="bottom"/>
                </w:tcPr>
                <w:p w:rsidR="00745FEA" w:rsidRPr="00F662A0" w:rsidRDefault="00745FEA" w:rsidP="00745FEA">
                  <w:pPr>
                    <w:pStyle w:val="TableBodyText"/>
                    <w:ind w:right="57"/>
                  </w:pPr>
                  <w:r w:rsidRPr="00F662A0">
                    <w:t>&lt;0.1</w:t>
                  </w:r>
                </w:p>
              </w:tc>
              <w:tc>
                <w:tcPr>
                  <w:tcW w:w="467" w:type="pct"/>
                  <w:vAlign w:val="bottom"/>
                </w:tcPr>
                <w:p w:rsidR="00745FEA" w:rsidRPr="00F662A0" w:rsidRDefault="00745FEA" w:rsidP="00745FEA">
                  <w:pPr>
                    <w:pStyle w:val="TableBodyText"/>
                    <w:ind w:right="57"/>
                  </w:pPr>
                  <w:r w:rsidRPr="00F662A0">
                    <w:t>–</w:t>
                  </w:r>
                </w:p>
              </w:tc>
              <w:tc>
                <w:tcPr>
                  <w:tcW w:w="470" w:type="pct"/>
                  <w:shd w:val="clear" w:color="auto" w:fill="auto"/>
                  <w:vAlign w:val="bottom"/>
                </w:tcPr>
                <w:p w:rsidR="00745FEA" w:rsidRPr="00F662A0" w:rsidRDefault="00745FEA" w:rsidP="00745FEA">
                  <w:pPr>
                    <w:pStyle w:val="TableBodyText"/>
                    <w:ind w:right="57"/>
                  </w:pPr>
                  <w:r w:rsidRPr="00F662A0">
                    <w:t>–</w:t>
                  </w:r>
                </w:p>
              </w:tc>
              <w:tc>
                <w:tcPr>
                  <w:tcW w:w="456" w:type="pct"/>
                  <w:shd w:val="clear" w:color="auto" w:fill="auto"/>
                  <w:vAlign w:val="bottom"/>
                </w:tcPr>
                <w:p w:rsidR="00745FEA" w:rsidRPr="00F662A0" w:rsidRDefault="00745FEA" w:rsidP="00745FEA">
                  <w:pPr>
                    <w:pStyle w:val="TableBodyText"/>
                    <w:ind w:right="57"/>
                  </w:pPr>
                  <w:r w:rsidRPr="00F662A0">
                    <w:t>–</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Small Business - Simplified depreciation rules</w:t>
                  </w:r>
                </w:p>
              </w:tc>
              <w:tc>
                <w:tcPr>
                  <w:tcW w:w="470" w:type="pct"/>
                  <w:vAlign w:val="bottom"/>
                </w:tcPr>
                <w:p w:rsidR="00745FEA" w:rsidRPr="00F662A0" w:rsidRDefault="00745FEA" w:rsidP="00745FEA">
                  <w:pPr>
                    <w:pStyle w:val="TableBodyText"/>
                    <w:ind w:right="57"/>
                  </w:pPr>
                  <w:r w:rsidRPr="00F662A0">
                    <w:t>0.1</w:t>
                  </w:r>
                </w:p>
              </w:tc>
              <w:tc>
                <w:tcPr>
                  <w:tcW w:w="467" w:type="pct"/>
                  <w:vAlign w:val="bottom"/>
                </w:tcPr>
                <w:p w:rsidR="00745FEA" w:rsidRPr="00F662A0" w:rsidRDefault="00745FEA" w:rsidP="00745FEA">
                  <w:pPr>
                    <w:pStyle w:val="TableBodyText"/>
                    <w:ind w:right="57"/>
                  </w:pPr>
                  <w:r w:rsidRPr="00F662A0">
                    <w:t>-0.7</w:t>
                  </w:r>
                </w:p>
              </w:tc>
              <w:tc>
                <w:tcPr>
                  <w:tcW w:w="467" w:type="pct"/>
                  <w:vAlign w:val="bottom"/>
                </w:tcPr>
                <w:p w:rsidR="00745FEA" w:rsidRPr="00F662A0" w:rsidRDefault="00745FEA" w:rsidP="00745FEA">
                  <w:pPr>
                    <w:pStyle w:val="TableBodyText"/>
                    <w:ind w:right="57"/>
                  </w:pPr>
                  <w:r w:rsidRPr="00F662A0">
                    <w:t>2.6</w:t>
                  </w:r>
                </w:p>
              </w:tc>
              <w:tc>
                <w:tcPr>
                  <w:tcW w:w="467" w:type="pct"/>
                  <w:vAlign w:val="bottom"/>
                </w:tcPr>
                <w:p w:rsidR="00745FEA" w:rsidRPr="00F662A0" w:rsidRDefault="00745FEA" w:rsidP="00745FEA">
                  <w:pPr>
                    <w:pStyle w:val="TableBodyText"/>
                    <w:ind w:right="57"/>
                  </w:pPr>
                  <w:r w:rsidRPr="00F662A0">
                    <w:t>-1.3</w:t>
                  </w:r>
                </w:p>
              </w:tc>
              <w:tc>
                <w:tcPr>
                  <w:tcW w:w="470" w:type="pct"/>
                  <w:shd w:val="clear" w:color="auto" w:fill="auto"/>
                  <w:vAlign w:val="bottom"/>
                </w:tcPr>
                <w:p w:rsidR="00745FEA" w:rsidRPr="00F662A0" w:rsidRDefault="00745FEA" w:rsidP="00745FEA">
                  <w:pPr>
                    <w:pStyle w:val="TableBodyText"/>
                    <w:ind w:right="57"/>
                  </w:pPr>
                  <w:r w:rsidRPr="00F662A0">
                    <w:t>-2.5</w:t>
                  </w:r>
                </w:p>
              </w:tc>
              <w:tc>
                <w:tcPr>
                  <w:tcW w:w="456" w:type="pct"/>
                  <w:shd w:val="clear" w:color="auto" w:fill="auto"/>
                  <w:vAlign w:val="bottom"/>
                </w:tcPr>
                <w:p w:rsidR="00745FEA" w:rsidRPr="00F662A0" w:rsidRDefault="00745FEA" w:rsidP="00745FEA">
                  <w:pPr>
                    <w:pStyle w:val="TableBodyText"/>
                    <w:ind w:right="57"/>
                  </w:pPr>
                  <w:r w:rsidRPr="00F662A0">
                    <w:t>13.5</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 xml:space="preserve">Small business </w:t>
                  </w:r>
                  <w:r>
                    <w:t>capital gains tax</w:t>
                  </w:r>
                  <w:r w:rsidRPr="00C05E72">
                    <w:t xml:space="preserve"> 15-year asset exemption</w:t>
                  </w:r>
                </w:p>
              </w:tc>
              <w:tc>
                <w:tcPr>
                  <w:tcW w:w="470"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2.5</w:t>
                  </w:r>
                </w:p>
              </w:tc>
              <w:tc>
                <w:tcPr>
                  <w:tcW w:w="470" w:type="pct"/>
                  <w:shd w:val="clear" w:color="auto" w:fill="auto"/>
                  <w:vAlign w:val="bottom"/>
                </w:tcPr>
                <w:p w:rsidR="00745FEA" w:rsidRPr="00F662A0" w:rsidRDefault="00745FEA" w:rsidP="00745FEA">
                  <w:pPr>
                    <w:pStyle w:val="TableBodyText"/>
                    <w:ind w:right="57"/>
                  </w:pPr>
                  <w:r w:rsidRPr="00F662A0">
                    <w:t>5.1</w:t>
                  </w:r>
                </w:p>
              </w:tc>
              <w:tc>
                <w:tcPr>
                  <w:tcW w:w="456" w:type="pct"/>
                  <w:shd w:val="clear" w:color="auto" w:fill="auto"/>
                  <w:vAlign w:val="bottom"/>
                </w:tcPr>
                <w:p w:rsidR="00745FEA" w:rsidRPr="00F662A0" w:rsidRDefault="00745FEA" w:rsidP="00745FEA">
                  <w:pPr>
                    <w:pStyle w:val="TableBodyText"/>
                    <w:ind w:right="57"/>
                  </w:pPr>
                  <w:r w:rsidRPr="00F662A0">
                    <w:t>0.9</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 xml:space="preserve">Small business </w:t>
                  </w:r>
                  <w:r>
                    <w:t>capital gains tax</w:t>
                  </w:r>
                  <w:r w:rsidRPr="00C05E72">
                    <w:t xml:space="preserve"> retirement exemption</w:t>
                  </w:r>
                </w:p>
              </w:tc>
              <w:tc>
                <w:tcPr>
                  <w:tcW w:w="470"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1.8</w:t>
                  </w:r>
                </w:p>
              </w:tc>
              <w:tc>
                <w:tcPr>
                  <w:tcW w:w="470" w:type="pct"/>
                  <w:shd w:val="clear" w:color="auto" w:fill="auto"/>
                  <w:vAlign w:val="bottom"/>
                </w:tcPr>
                <w:p w:rsidR="00745FEA" w:rsidRPr="00F662A0" w:rsidRDefault="00745FEA" w:rsidP="00745FEA">
                  <w:pPr>
                    <w:pStyle w:val="TableBodyText"/>
                    <w:ind w:right="57"/>
                  </w:pPr>
                  <w:r w:rsidRPr="00F662A0">
                    <w:t>2.2</w:t>
                  </w:r>
                </w:p>
              </w:tc>
              <w:tc>
                <w:tcPr>
                  <w:tcW w:w="456" w:type="pct"/>
                  <w:shd w:val="clear" w:color="auto" w:fill="auto"/>
                  <w:vAlign w:val="bottom"/>
                </w:tcPr>
                <w:p w:rsidR="00745FEA" w:rsidRPr="00F662A0" w:rsidRDefault="00745FEA" w:rsidP="00745FEA">
                  <w:pPr>
                    <w:pStyle w:val="TableBodyText"/>
                    <w:ind w:right="57"/>
                  </w:pPr>
                  <w:r w:rsidRPr="00F662A0">
                    <w:t>2.1</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 xml:space="preserve">Small business </w:t>
                  </w:r>
                  <w:r>
                    <w:t>capital gains tax</w:t>
                  </w:r>
                  <w:r w:rsidRPr="00C05E72">
                    <w:t xml:space="preserve"> 50 per cent reduction</w:t>
                  </w:r>
                </w:p>
              </w:tc>
              <w:tc>
                <w:tcPr>
                  <w:tcW w:w="470" w:type="pct"/>
                  <w:vAlign w:val="bottom"/>
                </w:tcPr>
                <w:p w:rsidR="00745FEA" w:rsidRPr="00F662A0" w:rsidRDefault="00745FEA" w:rsidP="00745FEA">
                  <w:pPr>
                    <w:pStyle w:val="TableBodyText"/>
                    <w:ind w:right="57"/>
                  </w:pPr>
                  <w:r w:rsidRPr="00F662A0">
                    <w:t>4.7</w:t>
                  </w:r>
                </w:p>
              </w:tc>
              <w:tc>
                <w:tcPr>
                  <w:tcW w:w="467" w:type="pct"/>
                  <w:vAlign w:val="bottom"/>
                </w:tcPr>
                <w:p w:rsidR="00745FEA" w:rsidRPr="00F662A0" w:rsidRDefault="00745FEA" w:rsidP="00745FEA">
                  <w:pPr>
                    <w:pStyle w:val="TableBodyText"/>
                    <w:ind w:right="57"/>
                  </w:pPr>
                  <w:r w:rsidRPr="00F662A0">
                    <w:t>4.9</w:t>
                  </w:r>
                </w:p>
              </w:tc>
              <w:tc>
                <w:tcPr>
                  <w:tcW w:w="467" w:type="pct"/>
                  <w:vAlign w:val="bottom"/>
                </w:tcPr>
                <w:p w:rsidR="00745FEA" w:rsidRPr="00F662A0" w:rsidRDefault="00745FEA" w:rsidP="00745FEA">
                  <w:pPr>
                    <w:pStyle w:val="TableBodyText"/>
                    <w:ind w:right="57"/>
                  </w:pPr>
                  <w:r w:rsidRPr="00F662A0">
                    <w:t>4.9</w:t>
                  </w:r>
                </w:p>
              </w:tc>
              <w:tc>
                <w:tcPr>
                  <w:tcW w:w="467" w:type="pct"/>
                  <w:vAlign w:val="bottom"/>
                </w:tcPr>
                <w:p w:rsidR="00745FEA" w:rsidRPr="00F662A0" w:rsidRDefault="00745FEA" w:rsidP="00745FEA">
                  <w:pPr>
                    <w:pStyle w:val="TableBodyText"/>
                    <w:ind w:right="57"/>
                  </w:pPr>
                  <w:r w:rsidRPr="00F662A0">
                    <w:t>3.9</w:t>
                  </w:r>
                </w:p>
              </w:tc>
              <w:tc>
                <w:tcPr>
                  <w:tcW w:w="470" w:type="pct"/>
                  <w:shd w:val="clear" w:color="auto" w:fill="auto"/>
                  <w:vAlign w:val="bottom"/>
                </w:tcPr>
                <w:p w:rsidR="00745FEA" w:rsidRPr="00F662A0" w:rsidRDefault="00745FEA" w:rsidP="00745FEA">
                  <w:pPr>
                    <w:pStyle w:val="TableBodyText"/>
                    <w:ind w:right="57"/>
                  </w:pPr>
                  <w:r w:rsidRPr="00F662A0">
                    <w:t>6.5</w:t>
                  </w:r>
                </w:p>
              </w:tc>
              <w:tc>
                <w:tcPr>
                  <w:tcW w:w="456" w:type="pct"/>
                  <w:shd w:val="clear" w:color="auto" w:fill="auto"/>
                  <w:vAlign w:val="bottom"/>
                </w:tcPr>
                <w:p w:rsidR="00745FEA" w:rsidRPr="00F662A0" w:rsidRDefault="00745FEA" w:rsidP="00745FEA">
                  <w:pPr>
                    <w:pStyle w:val="TableBodyText"/>
                    <w:ind w:right="57"/>
                  </w:pPr>
                  <w:r w:rsidRPr="00F662A0">
                    <w:t>3.8</w:t>
                  </w:r>
                </w:p>
              </w:tc>
            </w:tr>
            <w:tr w:rsidR="00745FEA" w:rsidTr="00745FEA">
              <w:tc>
                <w:tcPr>
                  <w:tcW w:w="2203" w:type="pct"/>
                  <w:shd w:val="clear" w:color="auto" w:fill="auto"/>
                </w:tcPr>
                <w:p w:rsidR="00745FEA" w:rsidRPr="00C05E72" w:rsidRDefault="00745FEA" w:rsidP="00745FEA">
                  <w:pPr>
                    <w:pStyle w:val="TableBodyText"/>
                    <w:spacing w:after="0"/>
                    <w:ind w:left="227" w:right="0"/>
                    <w:jc w:val="left"/>
                  </w:pPr>
                  <w:r w:rsidRPr="00C05E72">
                    <w:t>25 per cent entrepreneurs' tax offset</w:t>
                  </w:r>
                </w:p>
              </w:tc>
              <w:tc>
                <w:tcPr>
                  <w:tcW w:w="470" w:type="pct"/>
                  <w:vAlign w:val="bottom"/>
                </w:tcPr>
                <w:p w:rsidR="00745FEA" w:rsidRPr="00F662A0" w:rsidRDefault="00745FEA" w:rsidP="00745FEA">
                  <w:pPr>
                    <w:pStyle w:val="TableBodyText"/>
                    <w:ind w:right="57"/>
                  </w:pPr>
                  <w:r w:rsidRPr="00F662A0">
                    <w:t>5.9</w:t>
                  </w:r>
                </w:p>
              </w:tc>
              <w:tc>
                <w:tcPr>
                  <w:tcW w:w="467" w:type="pct"/>
                  <w:vAlign w:val="bottom"/>
                </w:tcPr>
                <w:p w:rsidR="00745FEA" w:rsidRPr="00F662A0" w:rsidRDefault="00745FEA" w:rsidP="00745FEA">
                  <w:pPr>
                    <w:pStyle w:val="TableBodyText"/>
                    <w:ind w:right="57"/>
                  </w:pPr>
                  <w:r w:rsidRPr="00F662A0">
                    <w:t>8.2</w:t>
                  </w:r>
                </w:p>
              </w:tc>
              <w:tc>
                <w:tcPr>
                  <w:tcW w:w="467" w:type="pct"/>
                  <w:vAlign w:val="bottom"/>
                </w:tcPr>
                <w:p w:rsidR="00745FEA" w:rsidRPr="00F662A0" w:rsidRDefault="00745FEA" w:rsidP="00745FEA">
                  <w:pPr>
                    <w:pStyle w:val="TableBodyText"/>
                    <w:ind w:right="57"/>
                  </w:pPr>
                  <w:r w:rsidRPr="00F662A0">
                    <w:t>–</w:t>
                  </w:r>
                </w:p>
              </w:tc>
              <w:tc>
                <w:tcPr>
                  <w:tcW w:w="467" w:type="pct"/>
                  <w:vAlign w:val="bottom"/>
                </w:tcPr>
                <w:p w:rsidR="00745FEA" w:rsidRPr="00F662A0" w:rsidRDefault="00745FEA" w:rsidP="00745FEA">
                  <w:pPr>
                    <w:pStyle w:val="TableBodyText"/>
                    <w:ind w:right="57"/>
                  </w:pPr>
                  <w:r w:rsidRPr="00F662A0">
                    <w:t>–</w:t>
                  </w:r>
                </w:p>
              </w:tc>
              <w:tc>
                <w:tcPr>
                  <w:tcW w:w="470" w:type="pct"/>
                  <w:shd w:val="clear" w:color="auto" w:fill="auto"/>
                  <w:vAlign w:val="bottom"/>
                </w:tcPr>
                <w:p w:rsidR="00745FEA" w:rsidRPr="00F662A0" w:rsidRDefault="00745FEA" w:rsidP="00745FEA">
                  <w:pPr>
                    <w:pStyle w:val="TableBodyText"/>
                    <w:ind w:right="57"/>
                  </w:pPr>
                  <w:r w:rsidRPr="00F662A0">
                    <w:t>–</w:t>
                  </w:r>
                </w:p>
              </w:tc>
              <w:tc>
                <w:tcPr>
                  <w:tcW w:w="456" w:type="pct"/>
                  <w:shd w:val="clear" w:color="auto" w:fill="auto"/>
                  <w:vAlign w:val="bottom"/>
                </w:tcPr>
                <w:p w:rsidR="00745FEA" w:rsidRPr="00F662A0" w:rsidRDefault="00745FEA" w:rsidP="00745FEA">
                  <w:pPr>
                    <w:pStyle w:val="TableBodyText"/>
                    <w:ind w:right="57"/>
                  </w:pPr>
                  <w:r w:rsidRPr="00F662A0">
                    <w:t>–</w:t>
                  </w:r>
                </w:p>
              </w:tc>
            </w:tr>
            <w:tr w:rsidR="00745FEA" w:rsidTr="00745FEA">
              <w:tc>
                <w:tcPr>
                  <w:tcW w:w="2203" w:type="pct"/>
                  <w:shd w:val="clear" w:color="auto" w:fill="auto"/>
                </w:tcPr>
                <w:p w:rsidR="00745FEA" w:rsidRPr="0059660A" w:rsidRDefault="00745FEA" w:rsidP="00745FEA">
                  <w:pPr>
                    <w:pStyle w:val="TableBodyText"/>
                    <w:spacing w:before="20" w:after="20"/>
                    <w:jc w:val="left"/>
                    <w:rPr>
                      <w:i/>
                    </w:rPr>
                  </w:pPr>
                  <w:r w:rsidRPr="0059660A">
                    <w:rPr>
                      <w:i/>
                    </w:rPr>
                    <w:t>Total</w:t>
                  </w:r>
                </w:p>
              </w:tc>
              <w:tc>
                <w:tcPr>
                  <w:tcW w:w="470" w:type="pct"/>
                  <w:vAlign w:val="bottom"/>
                </w:tcPr>
                <w:p w:rsidR="00745FEA" w:rsidRPr="00970906" w:rsidRDefault="00745FEA" w:rsidP="00745FEA">
                  <w:pPr>
                    <w:pStyle w:val="TableBodyText"/>
                    <w:spacing w:before="20" w:after="20"/>
                    <w:ind w:right="57"/>
                    <w:rPr>
                      <w:i/>
                    </w:rPr>
                  </w:pPr>
                  <w:r>
                    <w:rPr>
                      <w:i/>
                    </w:rPr>
                    <w:t>362.0</w:t>
                  </w:r>
                </w:p>
              </w:tc>
              <w:tc>
                <w:tcPr>
                  <w:tcW w:w="467" w:type="pct"/>
                  <w:vAlign w:val="bottom"/>
                </w:tcPr>
                <w:p w:rsidR="00745FEA" w:rsidRPr="00970906" w:rsidRDefault="00745FEA" w:rsidP="00745FEA">
                  <w:pPr>
                    <w:pStyle w:val="TableBodyText"/>
                    <w:spacing w:before="20" w:after="20"/>
                    <w:ind w:right="57"/>
                    <w:rPr>
                      <w:i/>
                    </w:rPr>
                  </w:pPr>
                  <w:r>
                    <w:rPr>
                      <w:i/>
                    </w:rPr>
                    <w:t>413.5</w:t>
                  </w:r>
                </w:p>
              </w:tc>
              <w:tc>
                <w:tcPr>
                  <w:tcW w:w="467" w:type="pct"/>
                </w:tcPr>
                <w:p w:rsidR="00745FEA" w:rsidRPr="006B4826" w:rsidRDefault="00745FEA" w:rsidP="00745FEA">
                  <w:pPr>
                    <w:pStyle w:val="TableBodyText"/>
                    <w:spacing w:before="20" w:after="20"/>
                    <w:ind w:right="57"/>
                    <w:rPr>
                      <w:i/>
                    </w:rPr>
                  </w:pPr>
                  <w:r>
                    <w:rPr>
                      <w:i/>
                    </w:rPr>
                    <w:t>446.6</w:t>
                  </w:r>
                </w:p>
              </w:tc>
              <w:tc>
                <w:tcPr>
                  <w:tcW w:w="467" w:type="pct"/>
                </w:tcPr>
                <w:p w:rsidR="00745FEA" w:rsidRPr="006B4826" w:rsidRDefault="00745FEA" w:rsidP="00745FEA">
                  <w:pPr>
                    <w:pStyle w:val="TableBodyText"/>
                    <w:spacing w:before="20" w:after="20"/>
                    <w:ind w:right="57"/>
                    <w:rPr>
                      <w:i/>
                    </w:rPr>
                  </w:pPr>
                  <w:r>
                    <w:rPr>
                      <w:i/>
                    </w:rPr>
                    <w:t>328.6</w:t>
                  </w:r>
                </w:p>
              </w:tc>
              <w:tc>
                <w:tcPr>
                  <w:tcW w:w="470" w:type="pct"/>
                  <w:shd w:val="clear" w:color="auto" w:fill="auto"/>
                </w:tcPr>
                <w:p w:rsidR="00745FEA" w:rsidRPr="006B4826" w:rsidRDefault="00745FEA" w:rsidP="00745FEA">
                  <w:pPr>
                    <w:pStyle w:val="TableBodyText"/>
                    <w:spacing w:before="20" w:after="20"/>
                    <w:ind w:right="57"/>
                    <w:rPr>
                      <w:i/>
                    </w:rPr>
                  </w:pPr>
                  <w:r>
                    <w:rPr>
                      <w:i/>
                    </w:rPr>
                    <w:t>495.6</w:t>
                  </w:r>
                </w:p>
              </w:tc>
              <w:tc>
                <w:tcPr>
                  <w:tcW w:w="456" w:type="pct"/>
                  <w:shd w:val="clear" w:color="auto" w:fill="auto"/>
                </w:tcPr>
                <w:p w:rsidR="00745FEA" w:rsidRPr="006B4826" w:rsidRDefault="00745FEA" w:rsidP="00745FEA">
                  <w:pPr>
                    <w:pStyle w:val="TableBodyText"/>
                    <w:spacing w:before="20" w:after="20"/>
                    <w:ind w:right="57"/>
                    <w:rPr>
                      <w:i/>
                    </w:rPr>
                  </w:pPr>
                  <w:r>
                    <w:rPr>
                      <w:i/>
                    </w:rPr>
                    <w:t>515.4</w:t>
                  </w:r>
                </w:p>
              </w:tc>
            </w:tr>
            <w:tr w:rsidR="00745FEA" w:rsidTr="00745FEA">
              <w:tc>
                <w:tcPr>
                  <w:tcW w:w="2203" w:type="pct"/>
                  <w:shd w:val="clear" w:color="auto" w:fill="auto"/>
                </w:tcPr>
                <w:p w:rsidR="00745FEA" w:rsidRPr="0059660A" w:rsidRDefault="00745FEA" w:rsidP="00745FEA">
                  <w:pPr>
                    <w:pStyle w:val="TableBodyText"/>
                    <w:spacing w:before="40"/>
                    <w:jc w:val="left"/>
                    <w:rPr>
                      <w:b/>
                    </w:rPr>
                  </w:pPr>
                  <w:r w:rsidRPr="0059660A">
                    <w:rPr>
                      <w:b/>
                    </w:rPr>
                    <w:t>Other services</w:t>
                  </w:r>
                </w:p>
              </w:tc>
              <w:tc>
                <w:tcPr>
                  <w:tcW w:w="470"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67" w:type="pct"/>
                  <w:vAlign w:val="bottom"/>
                </w:tcPr>
                <w:p w:rsidR="00745FEA" w:rsidRDefault="00745FEA" w:rsidP="00745FEA">
                  <w:pPr>
                    <w:pStyle w:val="TableBodyText"/>
                    <w:spacing w:before="40"/>
                    <w:ind w:right="57"/>
                  </w:pPr>
                </w:p>
              </w:tc>
              <w:tc>
                <w:tcPr>
                  <w:tcW w:w="470" w:type="pct"/>
                  <w:shd w:val="clear" w:color="auto" w:fill="auto"/>
                  <w:vAlign w:val="bottom"/>
                </w:tcPr>
                <w:p w:rsidR="00745FEA" w:rsidRDefault="00745FEA" w:rsidP="00745FEA">
                  <w:pPr>
                    <w:pStyle w:val="TableBodyText"/>
                    <w:spacing w:before="40"/>
                    <w:ind w:right="57"/>
                  </w:pPr>
                </w:p>
              </w:tc>
              <w:tc>
                <w:tcPr>
                  <w:tcW w:w="456" w:type="pct"/>
                  <w:shd w:val="clear" w:color="auto" w:fill="auto"/>
                  <w:vAlign w:val="bottom"/>
                </w:tcPr>
                <w:p w:rsidR="00745FEA" w:rsidRDefault="00745FEA" w:rsidP="00745FEA">
                  <w:pPr>
                    <w:pStyle w:val="TableBodyText"/>
                    <w:spacing w:before="40"/>
                    <w:ind w:right="57"/>
                  </w:pPr>
                </w:p>
              </w:tc>
            </w:tr>
            <w:tr w:rsidR="00745FEA" w:rsidTr="00745FEA">
              <w:tc>
                <w:tcPr>
                  <w:tcW w:w="2203" w:type="pct"/>
                  <w:shd w:val="clear" w:color="auto" w:fill="auto"/>
                </w:tcPr>
                <w:p w:rsidR="00745FEA" w:rsidRPr="0059660A" w:rsidRDefault="00745FEA" w:rsidP="00745FEA">
                  <w:pPr>
                    <w:pStyle w:val="TableBodyText"/>
                    <w:spacing w:before="40" w:after="0"/>
                    <w:ind w:left="113"/>
                    <w:jc w:val="left"/>
                    <w:rPr>
                      <w:i/>
                    </w:rPr>
                  </w:pPr>
                  <w:r w:rsidRPr="0059660A">
                    <w:rPr>
                      <w:i/>
                    </w:rPr>
                    <w:t>General export measures</w:t>
                  </w:r>
                </w:p>
              </w:tc>
              <w:tc>
                <w:tcPr>
                  <w:tcW w:w="470"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67" w:type="pct"/>
                  <w:vAlign w:val="bottom"/>
                </w:tcPr>
                <w:p w:rsidR="00745FEA" w:rsidRDefault="00745FEA" w:rsidP="00745FEA">
                  <w:pPr>
                    <w:pStyle w:val="TableBodyText"/>
                    <w:spacing w:before="40" w:after="0"/>
                    <w:ind w:left="113" w:right="57"/>
                  </w:pPr>
                </w:p>
              </w:tc>
              <w:tc>
                <w:tcPr>
                  <w:tcW w:w="470" w:type="pct"/>
                  <w:shd w:val="clear" w:color="auto" w:fill="auto"/>
                  <w:vAlign w:val="bottom"/>
                </w:tcPr>
                <w:p w:rsidR="00745FEA" w:rsidRDefault="00745FEA" w:rsidP="00745FEA">
                  <w:pPr>
                    <w:pStyle w:val="TableBodyText"/>
                    <w:spacing w:before="40" w:after="0"/>
                    <w:ind w:left="113" w:right="57"/>
                  </w:pPr>
                </w:p>
              </w:tc>
              <w:tc>
                <w:tcPr>
                  <w:tcW w:w="456" w:type="pct"/>
                  <w:shd w:val="clear" w:color="auto" w:fill="auto"/>
                  <w:vAlign w:val="bottom"/>
                </w:tcPr>
                <w:p w:rsidR="00745FEA" w:rsidRDefault="00745FEA" w:rsidP="00745FEA">
                  <w:pPr>
                    <w:pStyle w:val="TableBodyText"/>
                    <w:spacing w:before="40" w:after="0"/>
                    <w:ind w:left="113" w:right="57"/>
                  </w:pPr>
                </w:p>
              </w:tc>
            </w:tr>
            <w:tr w:rsidR="00745FEA" w:rsidTr="00745FEA">
              <w:tc>
                <w:tcPr>
                  <w:tcW w:w="2203" w:type="pct"/>
                  <w:shd w:val="clear" w:color="auto" w:fill="auto"/>
                </w:tcPr>
                <w:p w:rsidR="00745FEA" w:rsidRPr="00060550" w:rsidRDefault="00745FEA" w:rsidP="00745FEA">
                  <w:pPr>
                    <w:pStyle w:val="TableBodyText"/>
                    <w:spacing w:after="0"/>
                    <w:ind w:left="227" w:right="0"/>
                    <w:jc w:val="left"/>
                  </w:pPr>
                  <w:r w:rsidRPr="00060550">
                    <w:t>Export Market Development Grants Scheme</w:t>
                  </w:r>
                </w:p>
              </w:tc>
              <w:tc>
                <w:tcPr>
                  <w:tcW w:w="470" w:type="pct"/>
                  <w:vAlign w:val="bottom"/>
                </w:tcPr>
                <w:p w:rsidR="00745FEA" w:rsidRPr="00060550" w:rsidRDefault="00745FEA" w:rsidP="00745FEA">
                  <w:pPr>
                    <w:pStyle w:val="TableBodyText"/>
                    <w:ind w:right="57"/>
                  </w:pPr>
                  <w:r w:rsidRPr="00233C0A">
                    <w:t>1.4</w:t>
                  </w:r>
                </w:p>
              </w:tc>
              <w:tc>
                <w:tcPr>
                  <w:tcW w:w="467" w:type="pct"/>
                  <w:vAlign w:val="bottom"/>
                </w:tcPr>
                <w:p w:rsidR="00745FEA" w:rsidRPr="00060550" w:rsidRDefault="00745FEA" w:rsidP="00745FEA">
                  <w:pPr>
                    <w:pStyle w:val="TableBodyText"/>
                    <w:ind w:right="57"/>
                  </w:pPr>
                  <w:r w:rsidRPr="00233C0A">
                    <w:t>1.6</w:t>
                  </w:r>
                </w:p>
              </w:tc>
              <w:tc>
                <w:tcPr>
                  <w:tcW w:w="467" w:type="pct"/>
                  <w:vAlign w:val="bottom"/>
                </w:tcPr>
                <w:p w:rsidR="00745FEA" w:rsidRPr="00060550" w:rsidRDefault="00745FEA" w:rsidP="00745FEA">
                  <w:pPr>
                    <w:pStyle w:val="TableBodyText"/>
                    <w:ind w:right="57"/>
                  </w:pPr>
                  <w:r w:rsidRPr="00233C0A">
                    <w:t>2.3</w:t>
                  </w:r>
                </w:p>
              </w:tc>
              <w:tc>
                <w:tcPr>
                  <w:tcW w:w="467" w:type="pct"/>
                  <w:vAlign w:val="bottom"/>
                </w:tcPr>
                <w:p w:rsidR="00745FEA" w:rsidRPr="00060550" w:rsidRDefault="00745FEA" w:rsidP="00745FEA">
                  <w:pPr>
                    <w:pStyle w:val="TableBodyText"/>
                    <w:ind w:right="57"/>
                  </w:pPr>
                  <w:r w:rsidRPr="00233C0A">
                    <w:t>3.2</w:t>
                  </w:r>
                </w:p>
              </w:tc>
              <w:tc>
                <w:tcPr>
                  <w:tcW w:w="470" w:type="pct"/>
                  <w:shd w:val="clear" w:color="auto" w:fill="auto"/>
                  <w:vAlign w:val="bottom"/>
                </w:tcPr>
                <w:p w:rsidR="00745FEA" w:rsidRPr="00060550" w:rsidRDefault="00745FEA" w:rsidP="00745FEA">
                  <w:pPr>
                    <w:pStyle w:val="TableBodyText"/>
                    <w:ind w:right="57"/>
                  </w:pPr>
                  <w:r w:rsidRPr="00233C0A">
                    <w:t>3.6</w:t>
                  </w:r>
                </w:p>
              </w:tc>
              <w:tc>
                <w:tcPr>
                  <w:tcW w:w="456" w:type="pct"/>
                  <w:shd w:val="clear" w:color="auto" w:fill="auto"/>
                  <w:vAlign w:val="bottom"/>
                </w:tcPr>
                <w:p w:rsidR="00745FEA" w:rsidRDefault="00745FEA" w:rsidP="00745FEA">
                  <w:pPr>
                    <w:pStyle w:val="TableBodyText"/>
                    <w:ind w:right="57"/>
                  </w:pPr>
                  <w:r w:rsidRPr="00233C0A">
                    <w:t>3.5</w:t>
                  </w:r>
                </w:p>
              </w:tc>
            </w:tr>
            <w:tr w:rsidR="00745FEA" w:rsidTr="00745FEA">
              <w:tc>
                <w:tcPr>
                  <w:tcW w:w="2203" w:type="pct"/>
                  <w:shd w:val="clear" w:color="auto" w:fill="auto"/>
                </w:tcPr>
                <w:p w:rsidR="00745FEA" w:rsidRPr="0059660A" w:rsidRDefault="00745FEA" w:rsidP="00745FEA">
                  <w:pPr>
                    <w:pStyle w:val="TableBodyText"/>
                    <w:spacing w:before="40" w:after="0"/>
                    <w:ind w:left="113"/>
                    <w:jc w:val="left"/>
                    <w:rPr>
                      <w:i/>
                    </w:rPr>
                  </w:pPr>
                  <w:r w:rsidRPr="0059660A">
                    <w:rPr>
                      <w:i/>
                    </w:rPr>
                    <w:t>General R&amp;D measures</w:t>
                  </w:r>
                </w:p>
              </w:tc>
              <w:tc>
                <w:tcPr>
                  <w:tcW w:w="470"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70" w:type="pct"/>
                  <w:shd w:val="clear" w:color="auto" w:fill="auto"/>
                  <w:vAlign w:val="bottom"/>
                </w:tcPr>
                <w:p w:rsidR="00745FEA" w:rsidRDefault="00745FEA" w:rsidP="00745FEA">
                  <w:pPr>
                    <w:pStyle w:val="TableBodyText"/>
                    <w:ind w:right="57"/>
                  </w:pPr>
                </w:p>
              </w:tc>
              <w:tc>
                <w:tcPr>
                  <w:tcW w:w="456" w:type="pct"/>
                  <w:shd w:val="clear" w:color="auto" w:fill="auto"/>
                  <w:vAlign w:val="bottom"/>
                </w:tcPr>
                <w:p w:rsidR="00745FEA" w:rsidRDefault="00745FEA" w:rsidP="00745FEA">
                  <w:pPr>
                    <w:pStyle w:val="TableBodyText"/>
                    <w:ind w:right="57"/>
                  </w:pPr>
                </w:p>
              </w:tc>
            </w:tr>
            <w:tr w:rsidR="00745FEA" w:rsidTr="00745FEA">
              <w:tc>
                <w:tcPr>
                  <w:tcW w:w="2203" w:type="pct"/>
                  <w:shd w:val="clear" w:color="auto" w:fill="auto"/>
                </w:tcPr>
                <w:p w:rsidR="00745FEA" w:rsidRPr="00ED22F4" w:rsidRDefault="00745FEA" w:rsidP="00745FEA">
                  <w:pPr>
                    <w:pStyle w:val="TableBodyText"/>
                    <w:spacing w:after="0"/>
                    <w:ind w:left="227" w:right="0"/>
                    <w:jc w:val="left"/>
                  </w:pPr>
                  <w:r w:rsidRPr="00ED22F4">
                    <w:t>R&amp;D Tax Incentive - refundable tax offset</w:t>
                  </w:r>
                </w:p>
              </w:tc>
              <w:tc>
                <w:tcPr>
                  <w:tcW w:w="470" w:type="pct"/>
                  <w:vAlign w:val="bottom"/>
                </w:tcPr>
                <w:p w:rsidR="00745FEA" w:rsidRPr="00ED22F4" w:rsidRDefault="00745FEA" w:rsidP="00745FEA">
                  <w:pPr>
                    <w:pStyle w:val="TableBodyText"/>
                    <w:ind w:right="57"/>
                  </w:pPr>
                  <w:r w:rsidRPr="00E83D52">
                    <w:t>–</w:t>
                  </w:r>
                </w:p>
              </w:tc>
              <w:tc>
                <w:tcPr>
                  <w:tcW w:w="467" w:type="pct"/>
                  <w:vAlign w:val="bottom"/>
                </w:tcPr>
                <w:p w:rsidR="00745FEA" w:rsidRPr="00ED22F4" w:rsidRDefault="00745FEA" w:rsidP="00745FEA">
                  <w:pPr>
                    <w:pStyle w:val="TableBodyText"/>
                    <w:ind w:right="57"/>
                  </w:pPr>
                  <w:r w:rsidRPr="00E83D52">
                    <w:t>11.3</w:t>
                  </w:r>
                </w:p>
              </w:tc>
              <w:tc>
                <w:tcPr>
                  <w:tcW w:w="467" w:type="pct"/>
                  <w:vAlign w:val="bottom"/>
                </w:tcPr>
                <w:p w:rsidR="00745FEA" w:rsidRPr="00ED22F4" w:rsidRDefault="00745FEA" w:rsidP="00745FEA">
                  <w:pPr>
                    <w:pStyle w:val="TableBodyText"/>
                    <w:ind w:right="57"/>
                  </w:pPr>
                  <w:r w:rsidRPr="00E83D52">
                    <w:t>10.9</w:t>
                  </w:r>
                </w:p>
              </w:tc>
              <w:tc>
                <w:tcPr>
                  <w:tcW w:w="467" w:type="pct"/>
                  <w:vAlign w:val="bottom"/>
                </w:tcPr>
                <w:p w:rsidR="00745FEA" w:rsidRPr="00ED22F4" w:rsidRDefault="00745FEA" w:rsidP="00745FEA">
                  <w:pPr>
                    <w:pStyle w:val="TableBodyText"/>
                    <w:ind w:right="57"/>
                  </w:pPr>
                  <w:r w:rsidRPr="00E83D52">
                    <w:t>14.6</w:t>
                  </w:r>
                </w:p>
              </w:tc>
              <w:tc>
                <w:tcPr>
                  <w:tcW w:w="470" w:type="pct"/>
                  <w:shd w:val="clear" w:color="auto" w:fill="auto"/>
                  <w:vAlign w:val="bottom"/>
                </w:tcPr>
                <w:p w:rsidR="00745FEA" w:rsidRPr="00ED22F4" w:rsidRDefault="00745FEA" w:rsidP="00745FEA">
                  <w:pPr>
                    <w:pStyle w:val="TableBodyText"/>
                    <w:ind w:right="57"/>
                  </w:pPr>
                  <w:r w:rsidRPr="00E83D52">
                    <w:t>15.5</w:t>
                  </w:r>
                </w:p>
              </w:tc>
              <w:tc>
                <w:tcPr>
                  <w:tcW w:w="456" w:type="pct"/>
                  <w:shd w:val="clear" w:color="auto" w:fill="auto"/>
                  <w:vAlign w:val="bottom"/>
                </w:tcPr>
                <w:p w:rsidR="00745FEA" w:rsidRPr="00ED22F4" w:rsidRDefault="00745FEA" w:rsidP="00745FEA">
                  <w:pPr>
                    <w:pStyle w:val="TableBodyText"/>
                    <w:ind w:right="57"/>
                  </w:pPr>
                  <w:r w:rsidRPr="00E83D52">
                    <w:t>18.8</w:t>
                  </w:r>
                </w:p>
              </w:tc>
            </w:tr>
            <w:tr w:rsidR="00745FEA" w:rsidTr="00745FEA">
              <w:tc>
                <w:tcPr>
                  <w:tcW w:w="2203" w:type="pct"/>
                  <w:shd w:val="clear" w:color="auto" w:fill="auto"/>
                </w:tcPr>
                <w:p w:rsidR="00745FEA" w:rsidRPr="00ED22F4" w:rsidRDefault="00745FEA" w:rsidP="00745FEA">
                  <w:pPr>
                    <w:pStyle w:val="TableBodyText"/>
                    <w:spacing w:after="0"/>
                    <w:ind w:left="227" w:right="0"/>
                    <w:jc w:val="left"/>
                  </w:pPr>
                  <w:r w:rsidRPr="00ED22F4">
                    <w:t>R&amp;D tax offsets - Refundable</w:t>
                  </w:r>
                </w:p>
              </w:tc>
              <w:tc>
                <w:tcPr>
                  <w:tcW w:w="470" w:type="pct"/>
                  <w:vAlign w:val="bottom"/>
                </w:tcPr>
                <w:p w:rsidR="00745FEA" w:rsidRPr="00ED22F4" w:rsidRDefault="00745FEA" w:rsidP="00745FEA">
                  <w:pPr>
                    <w:pStyle w:val="TableBodyText"/>
                    <w:ind w:right="57"/>
                  </w:pPr>
                  <w:r w:rsidRPr="00E83D52">
                    <w:t>5.8</w:t>
                  </w:r>
                </w:p>
              </w:tc>
              <w:tc>
                <w:tcPr>
                  <w:tcW w:w="467" w:type="pct"/>
                  <w:vAlign w:val="bottom"/>
                </w:tcPr>
                <w:p w:rsidR="00745FEA" w:rsidRPr="00ED22F4" w:rsidRDefault="00745FEA" w:rsidP="00745FEA">
                  <w:pPr>
                    <w:pStyle w:val="TableBodyText"/>
                    <w:ind w:right="57"/>
                  </w:pPr>
                  <w:r w:rsidRPr="00E83D52">
                    <w:t>–</w:t>
                  </w:r>
                </w:p>
              </w:tc>
              <w:tc>
                <w:tcPr>
                  <w:tcW w:w="467" w:type="pct"/>
                  <w:vAlign w:val="bottom"/>
                </w:tcPr>
                <w:p w:rsidR="00745FEA" w:rsidRPr="00ED22F4" w:rsidRDefault="00745FEA" w:rsidP="00745FEA">
                  <w:pPr>
                    <w:pStyle w:val="TableBodyText"/>
                    <w:ind w:right="57"/>
                  </w:pPr>
                  <w:r w:rsidRPr="00E83D52">
                    <w:t>–</w:t>
                  </w:r>
                </w:p>
              </w:tc>
              <w:tc>
                <w:tcPr>
                  <w:tcW w:w="467" w:type="pct"/>
                  <w:vAlign w:val="bottom"/>
                </w:tcPr>
                <w:p w:rsidR="00745FEA" w:rsidRPr="00ED22F4" w:rsidRDefault="00745FEA" w:rsidP="00745FEA">
                  <w:pPr>
                    <w:pStyle w:val="TableBodyText"/>
                    <w:ind w:right="57"/>
                  </w:pPr>
                  <w:r w:rsidRPr="00E83D52">
                    <w:t>–</w:t>
                  </w:r>
                </w:p>
              </w:tc>
              <w:tc>
                <w:tcPr>
                  <w:tcW w:w="470" w:type="pct"/>
                  <w:shd w:val="clear" w:color="auto" w:fill="auto"/>
                  <w:vAlign w:val="bottom"/>
                </w:tcPr>
                <w:p w:rsidR="00745FEA" w:rsidRPr="00ED22F4" w:rsidRDefault="00745FEA" w:rsidP="00745FEA">
                  <w:pPr>
                    <w:pStyle w:val="TableBodyText"/>
                    <w:ind w:right="57"/>
                  </w:pPr>
                  <w:r w:rsidRPr="00E83D52">
                    <w:t>–</w:t>
                  </w:r>
                </w:p>
              </w:tc>
              <w:tc>
                <w:tcPr>
                  <w:tcW w:w="456" w:type="pct"/>
                  <w:shd w:val="clear" w:color="auto" w:fill="auto"/>
                  <w:vAlign w:val="bottom"/>
                </w:tcPr>
                <w:p w:rsidR="00745FEA" w:rsidRPr="00ED22F4" w:rsidRDefault="00745FEA" w:rsidP="00745FEA">
                  <w:pPr>
                    <w:pStyle w:val="TableBodyText"/>
                    <w:ind w:right="57"/>
                  </w:pPr>
                  <w:r w:rsidRPr="00E83D52">
                    <w:t>–</w:t>
                  </w:r>
                </w:p>
              </w:tc>
            </w:tr>
            <w:tr w:rsidR="00745FEA" w:rsidTr="00745FEA">
              <w:tc>
                <w:tcPr>
                  <w:tcW w:w="2203" w:type="pct"/>
                  <w:shd w:val="clear" w:color="auto" w:fill="auto"/>
                </w:tcPr>
                <w:p w:rsidR="00745FEA" w:rsidRPr="00ED22F4" w:rsidRDefault="00745FEA" w:rsidP="00745FEA">
                  <w:pPr>
                    <w:pStyle w:val="TableBodyText"/>
                    <w:spacing w:after="0"/>
                    <w:ind w:left="227" w:right="0"/>
                    <w:jc w:val="left"/>
                  </w:pPr>
                  <w:r w:rsidRPr="00ED22F4">
                    <w:t>Premium R&amp;D tax concession</w:t>
                  </w:r>
                </w:p>
              </w:tc>
              <w:tc>
                <w:tcPr>
                  <w:tcW w:w="470" w:type="pct"/>
                  <w:vAlign w:val="bottom"/>
                </w:tcPr>
                <w:p w:rsidR="00745FEA" w:rsidRPr="00ED22F4" w:rsidRDefault="00745FEA" w:rsidP="00745FEA">
                  <w:pPr>
                    <w:pStyle w:val="TableBodyText"/>
                    <w:ind w:right="57"/>
                  </w:pPr>
                  <w:r w:rsidRPr="00E83D52">
                    <w:t>2.7</w:t>
                  </w:r>
                </w:p>
              </w:tc>
              <w:tc>
                <w:tcPr>
                  <w:tcW w:w="467" w:type="pct"/>
                  <w:vAlign w:val="bottom"/>
                </w:tcPr>
                <w:p w:rsidR="00745FEA" w:rsidRPr="00ED22F4" w:rsidRDefault="00745FEA" w:rsidP="00745FEA">
                  <w:pPr>
                    <w:pStyle w:val="TableBodyText"/>
                    <w:ind w:right="57"/>
                  </w:pPr>
                  <w:r w:rsidRPr="00E83D52">
                    <w:t>0.7</w:t>
                  </w:r>
                </w:p>
              </w:tc>
              <w:tc>
                <w:tcPr>
                  <w:tcW w:w="467" w:type="pct"/>
                  <w:vAlign w:val="bottom"/>
                </w:tcPr>
                <w:p w:rsidR="00745FEA" w:rsidRPr="00ED22F4" w:rsidRDefault="00745FEA" w:rsidP="00745FEA">
                  <w:pPr>
                    <w:pStyle w:val="TableBodyText"/>
                    <w:ind w:right="57"/>
                  </w:pPr>
                  <w:r w:rsidRPr="00E83D52">
                    <w:t>0.3</w:t>
                  </w:r>
                </w:p>
              </w:tc>
              <w:tc>
                <w:tcPr>
                  <w:tcW w:w="467" w:type="pct"/>
                  <w:vAlign w:val="bottom"/>
                </w:tcPr>
                <w:p w:rsidR="00745FEA" w:rsidRPr="00ED22F4" w:rsidRDefault="00745FEA" w:rsidP="00745FEA">
                  <w:pPr>
                    <w:pStyle w:val="TableBodyText"/>
                    <w:ind w:right="57"/>
                  </w:pPr>
                  <w:r w:rsidRPr="00E83D52">
                    <w:t>–</w:t>
                  </w:r>
                </w:p>
              </w:tc>
              <w:tc>
                <w:tcPr>
                  <w:tcW w:w="470" w:type="pct"/>
                  <w:shd w:val="clear" w:color="auto" w:fill="auto"/>
                  <w:vAlign w:val="bottom"/>
                </w:tcPr>
                <w:p w:rsidR="00745FEA" w:rsidRPr="00ED22F4" w:rsidRDefault="00745FEA" w:rsidP="00745FEA">
                  <w:pPr>
                    <w:pStyle w:val="TableBodyText"/>
                    <w:ind w:right="57"/>
                  </w:pPr>
                  <w:r w:rsidRPr="00E83D52">
                    <w:t>–</w:t>
                  </w:r>
                </w:p>
              </w:tc>
              <w:tc>
                <w:tcPr>
                  <w:tcW w:w="456" w:type="pct"/>
                  <w:shd w:val="clear" w:color="auto" w:fill="auto"/>
                  <w:vAlign w:val="bottom"/>
                </w:tcPr>
                <w:p w:rsidR="00745FEA" w:rsidRPr="00ED22F4" w:rsidRDefault="00745FEA" w:rsidP="00745FEA">
                  <w:pPr>
                    <w:pStyle w:val="TableBodyText"/>
                    <w:ind w:right="57"/>
                  </w:pPr>
                  <w:r w:rsidRPr="00E83D52">
                    <w:t>–</w:t>
                  </w:r>
                </w:p>
              </w:tc>
            </w:tr>
            <w:tr w:rsidR="00745FEA" w:rsidTr="00745FEA">
              <w:tc>
                <w:tcPr>
                  <w:tcW w:w="2203" w:type="pct"/>
                  <w:shd w:val="clear" w:color="auto" w:fill="auto"/>
                </w:tcPr>
                <w:p w:rsidR="00745FEA" w:rsidRPr="00ED22F4" w:rsidRDefault="00745FEA" w:rsidP="00745FEA">
                  <w:pPr>
                    <w:pStyle w:val="TableBodyText"/>
                    <w:spacing w:after="0"/>
                    <w:ind w:left="227" w:right="0"/>
                    <w:jc w:val="left"/>
                  </w:pPr>
                  <w:r w:rsidRPr="00ED22F4">
                    <w:t>R&amp;D tax concession</w:t>
                  </w:r>
                </w:p>
              </w:tc>
              <w:tc>
                <w:tcPr>
                  <w:tcW w:w="470" w:type="pct"/>
                  <w:vAlign w:val="bottom"/>
                </w:tcPr>
                <w:p w:rsidR="00745FEA" w:rsidRPr="00ED22F4" w:rsidRDefault="00745FEA" w:rsidP="00745FEA">
                  <w:pPr>
                    <w:pStyle w:val="TableBodyText"/>
                    <w:ind w:right="57"/>
                  </w:pPr>
                  <w:r w:rsidRPr="00E83D52">
                    <w:t>7.1</w:t>
                  </w:r>
                </w:p>
              </w:tc>
              <w:tc>
                <w:tcPr>
                  <w:tcW w:w="467" w:type="pct"/>
                  <w:vAlign w:val="bottom"/>
                </w:tcPr>
                <w:p w:rsidR="00745FEA" w:rsidRPr="00ED22F4" w:rsidRDefault="00745FEA" w:rsidP="00745FEA">
                  <w:pPr>
                    <w:pStyle w:val="TableBodyText"/>
                    <w:ind w:right="57"/>
                  </w:pPr>
                  <w:r w:rsidRPr="00E83D52">
                    <w:t>3.2</w:t>
                  </w:r>
                </w:p>
              </w:tc>
              <w:tc>
                <w:tcPr>
                  <w:tcW w:w="467" w:type="pct"/>
                  <w:vAlign w:val="bottom"/>
                </w:tcPr>
                <w:p w:rsidR="00745FEA" w:rsidRPr="00ED22F4" w:rsidRDefault="00745FEA" w:rsidP="00745FEA">
                  <w:pPr>
                    <w:pStyle w:val="TableBodyText"/>
                    <w:ind w:right="57"/>
                  </w:pPr>
                  <w:r w:rsidRPr="00E83D52">
                    <w:t>1.1</w:t>
                  </w:r>
                </w:p>
              </w:tc>
              <w:tc>
                <w:tcPr>
                  <w:tcW w:w="467" w:type="pct"/>
                  <w:vAlign w:val="bottom"/>
                </w:tcPr>
                <w:p w:rsidR="00745FEA" w:rsidRPr="00ED22F4" w:rsidRDefault="00745FEA" w:rsidP="00745FEA">
                  <w:pPr>
                    <w:pStyle w:val="TableBodyText"/>
                    <w:ind w:right="57"/>
                  </w:pPr>
                  <w:r w:rsidRPr="00E83D52">
                    <w:t>0.2</w:t>
                  </w:r>
                </w:p>
              </w:tc>
              <w:tc>
                <w:tcPr>
                  <w:tcW w:w="470" w:type="pct"/>
                  <w:shd w:val="clear" w:color="auto" w:fill="auto"/>
                  <w:vAlign w:val="bottom"/>
                </w:tcPr>
                <w:p w:rsidR="00745FEA" w:rsidRPr="00ED22F4" w:rsidRDefault="00745FEA" w:rsidP="00745FEA">
                  <w:pPr>
                    <w:pStyle w:val="TableBodyText"/>
                    <w:ind w:right="57"/>
                  </w:pPr>
                  <w:r w:rsidRPr="00E83D52">
                    <w:t>–</w:t>
                  </w:r>
                </w:p>
              </w:tc>
              <w:tc>
                <w:tcPr>
                  <w:tcW w:w="456" w:type="pct"/>
                  <w:shd w:val="clear" w:color="auto" w:fill="auto"/>
                  <w:vAlign w:val="bottom"/>
                </w:tcPr>
                <w:p w:rsidR="00745FEA" w:rsidRPr="00ED22F4" w:rsidRDefault="00745FEA" w:rsidP="00745FEA">
                  <w:pPr>
                    <w:pStyle w:val="TableBodyText"/>
                    <w:ind w:right="57"/>
                  </w:pPr>
                  <w:r w:rsidRPr="00E83D52">
                    <w:t>–</w:t>
                  </w:r>
                </w:p>
              </w:tc>
            </w:tr>
            <w:tr w:rsidR="00745FEA" w:rsidTr="00745FEA">
              <w:tc>
                <w:tcPr>
                  <w:tcW w:w="2203" w:type="pct"/>
                  <w:shd w:val="clear" w:color="auto" w:fill="auto"/>
                </w:tcPr>
                <w:p w:rsidR="00745FEA" w:rsidRPr="00ED22F4" w:rsidRDefault="00745FEA" w:rsidP="00745FEA">
                  <w:pPr>
                    <w:pStyle w:val="TableBodyText"/>
                    <w:spacing w:after="0"/>
                    <w:ind w:left="227" w:right="0"/>
                    <w:jc w:val="left"/>
                  </w:pPr>
                  <w:r w:rsidRPr="00ED22F4">
                    <w:t>R&amp;D Tax Incentive - non-refundable tax offset</w:t>
                  </w:r>
                </w:p>
              </w:tc>
              <w:tc>
                <w:tcPr>
                  <w:tcW w:w="470" w:type="pct"/>
                  <w:vAlign w:val="bottom"/>
                </w:tcPr>
                <w:p w:rsidR="00745FEA" w:rsidRPr="00ED22F4" w:rsidRDefault="00745FEA" w:rsidP="00745FEA">
                  <w:pPr>
                    <w:pStyle w:val="TableBodyText"/>
                    <w:ind w:right="57"/>
                  </w:pPr>
                  <w:r w:rsidRPr="00E83D52">
                    <w:t>–</w:t>
                  </w:r>
                </w:p>
              </w:tc>
              <w:tc>
                <w:tcPr>
                  <w:tcW w:w="467" w:type="pct"/>
                  <w:vAlign w:val="bottom"/>
                </w:tcPr>
                <w:p w:rsidR="00745FEA" w:rsidRPr="00ED22F4" w:rsidRDefault="00745FEA" w:rsidP="00745FEA">
                  <w:pPr>
                    <w:pStyle w:val="TableBodyText"/>
                    <w:ind w:right="57"/>
                  </w:pPr>
                  <w:r w:rsidRPr="00E83D52">
                    <w:t>7.6</w:t>
                  </w:r>
                </w:p>
              </w:tc>
              <w:tc>
                <w:tcPr>
                  <w:tcW w:w="467" w:type="pct"/>
                  <w:vAlign w:val="bottom"/>
                </w:tcPr>
                <w:p w:rsidR="00745FEA" w:rsidRPr="00ED22F4" w:rsidRDefault="00745FEA" w:rsidP="00745FEA">
                  <w:pPr>
                    <w:pStyle w:val="TableBodyText"/>
                    <w:ind w:right="57"/>
                  </w:pPr>
                  <w:r w:rsidRPr="00E83D52">
                    <w:t>9.0</w:t>
                  </w:r>
                </w:p>
              </w:tc>
              <w:tc>
                <w:tcPr>
                  <w:tcW w:w="467" w:type="pct"/>
                  <w:vAlign w:val="bottom"/>
                </w:tcPr>
                <w:p w:rsidR="00745FEA" w:rsidRPr="00ED22F4" w:rsidRDefault="00745FEA" w:rsidP="00745FEA">
                  <w:pPr>
                    <w:pStyle w:val="TableBodyText"/>
                    <w:ind w:right="57"/>
                  </w:pPr>
                  <w:r w:rsidRPr="00E83D52">
                    <w:t>4.5</w:t>
                  </w:r>
                </w:p>
              </w:tc>
              <w:tc>
                <w:tcPr>
                  <w:tcW w:w="470" w:type="pct"/>
                  <w:shd w:val="clear" w:color="auto" w:fill="auto"/>
                  <w:vAlign w:val="bottom"/>
                </w:tcPr>
                <w:p w:rsidR="00745FEA" w:rsidRPr="00ED22F4" w:rsidRDefault="00745FEA" w:rsidP="00745FEA">
                  <w:pPr>
                    <w:pStyle w:val="TableBodyText"/>
                    <w:ind w:right="57"/>
                  </w:pPr>
                  <w:r w:rsidRPr="00E83D52">
                    <w:t>0.8</w:t>
                  </w:r>
                </w:p>
              </w:tc>
              <w:tc>
                <w:tcPr>
                  <w:tcW w:w="456" w:type="pct"/>
                  <w:shd w:val="clear" w:color="auto" w:fill="auto"/>
                  <w:vAlign w:val="bottom"/>
                </w:tcPr>
                <w:p w:rsidR="00745FEA" w:rsidRDefault="00745FEA" w:rsidP="00745FEA">
                  <w:pPr>
                    <w:pStyle w:val="TableBodyText"/>
                    <w:ind w:right="57"/>
                  </w:pPr>
                  <w:r w:rsidRPr="00E83D52">
                    <w:t>1.3</w:t>
                  </w:r>
                </w:p>
              </w:tc>
            </w:tr>
            <w:tr w:rsidR="00745FEA" w:rsidTr="00745FEA">
              <w:tc>
                <w:tcPr>
                  <w:tcW w:w="2203" w:type="pct"/>
                  <w:shd w:val="clear" w:color="auto" w:fill="auto"/>
                </w:tcPr>
                <w:p w:rsidR="00745FEA" w:rsidRPr="003D026D" w:rsidRDefault="00745FEA" w:rsidP="00745FEA">
                  <w:pPr>
                    <w:pStyle w:val="TableBodyText"/>
                    <w:spacing w:before="40" w:after="0"/>
                    <w:ind w:left="113"/>
                    <w:jc w:val="left"/>
                    <w:rPr>
                      <w:i/>
                    </w:rPr>
                  </w:pPr>
                  <w:r w:rsidRPr="003D026D">
                    <w:rPr>
                      <w:i/>
                    </w:rPr>
                    <w:t>Other measures</w:t>
                  </w:r>
                </w:p>
              </w:tc>
              <w:tc>
                <w:tcPr>
                  <w:tcW w:w="470"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67" w:type="pct"/>
                  <w:vAlign w:val="bottom"/>
                </w:tcPr>
                <w:p w:rsidR="00745FEA" w:rsidRDefault="00745FEA" w:rsidP="00745FEA">
                  <w:pPr>
                    <w:pStyle w:val="TableBodyText"/>
                    <w:ind w:right="57"/>
                  </w:pPr>
                </w:p>
              </w:tc>
              <w:tc>
                <w:tcPr>
                  <w:tcW w:w="470" w:type="pct"/>
                  <w:shd w:val="clear" w:color="auto" w:fill="auto"/>
                  <w:vAlign w:val="bottom"/>
                </w:tcPr>
                <w:p w:rsidR="00745FEA" w:rsidRDefault="00745FEA" w:rsidP="00745FEA">
                  <w:pPr>
                    <w:pStyle w:val="TableBodyText"/>
                    <w:ind w:right="57"/>
                  </w:pPr>
                </w:p>
              </w:tc>
              <w:tc>
                <w:tcPr>
                  <w:tcW w:w="456" w:type="pct"/>
                  <w:shd w:val="clear" w:color="auto" w:fill="auto"/>
                  <w:vAlign w:val="bottom"/>
                </w:tcPr>
                <w:p w:rsidR="00745FEA" w:rsidRDefault="00745FEA" w:rsidP="00745FEA">
                  <w:pPr>
                    <w:pStyle w:val="TableBodyText"/>
                    <w:ind w:right="57"/>
                  </w:pPr>
                </w:p>
              </w:tc>
            </w:tr>
            <w:tr w:rsidR="00745FEA" w:rsidTr="00745FEA">
              <w:tc>
                <w:tcPr>
                  <w:tcW w:w="2203" w:type="pct"/>
                  <w:shd w:val="clear" w:color="auto" w:fill="auto"/>
                </w:tcPr>
                <w:p w:rsidR="00745FEA" w:rsidRPr="00222D62" w:rsidRDefault="00745FEA" w:rsidP="00745FEA">
                  <w:pPr>
                    <w:pStyle w:val="TableBodyText"/>
                    <w:spacing w:after="0"/>
                    <w:ind w:left="227" w:right="0"/>
                    <w:jc w:val="left"/>
                  </w:pPr>
                  <w:r w:rsidRPr="00222D62">
                    <w:t>Enterprise Connect Innovation Centres</w:t>
                  </w:r>
                </w:p>
              </w:tc>
              <w:tc>
                <w:tcPr>
                  <w:tcW w:w="470" w:type="pct"/>
                  <w:vAlign w:val="bottom"/>
                </w:tcPr>
                <w:p w:rsidR="00745FEA" w:rsidRPr="00222D62" w:rsidRDefault="00745FEA" w:rsidP="00745FEA">
                  <w:pPr>
                    <w:pStyle w:val="TableBodyText"/>
                    <w:ind w:right="57"/>
                  </w:pPr>
                  <w:r w:rsidRPr="00633E59">
                    <w:t>12.1</w:t>
                  </w:r>
                </w:p>
              </w:tc>
              <w:tc>
                <w:tcPr>
                  <w:tcW w:w="467" w:type="pct"/>
                  <w:vAlign w:val="bottom"/>
                </w:tcPr>
                <w:p w:rsidR="00745FEA" w:rsidRPr="00222D62" w:rsidRDefault="00745FEA" w:rsidP="00745FEA">
                  <w:pPr>
                    <w:pStyle w:val="TableBodyText"/>
                    <w:ind w:right="57"/>
                  </w:pPr>
                  <w:r w:rsidRPr="00633E59">
                    <w:t>12.7</w:t>
                  </w:r>
                </w:p>
              </w:tc>
              <w:tc>
                <w:tcPr>
                  <w:tcW w:w="467" w:type="pct"/>
                  <w:vAlign w:val="bottom"/>
                </w:tcPr>
                <w:p w:rsidR="00745FEA" w:rsidRPr="00222D62" w:rsidRDefault="00745FEA" w:rsidP="00745FEA">
                  <w:pPr>
                    <w:pStyle w:val="TableBodyText"/>
                    <w:ind w:right="57"/>
                  </w:pPr>
                  <w:r w:rsidRPr="00633E59">
                    <w:t>9.3</w:t>
                  </w:r>
                </w:p>
              </w:tc>
              <w:tc>
                <w:tcPr>
                  <w:tcW w:w="467" w:type="pct"/>
                  <w:vAlign w:val="bottom"/>
                </w:tcPr>
                <w:p w:rsidR="00745FEA" w:rsidRPr="00222D62" w:rsidRDefault="00745FEA" w:rsidP="00745FEA">
                  <w:pPr>
                    <w:pStyle w:val="TableBodyText"/>
                    <w:ind w:right="57"/>
                  </w:pPr>
                  <w:r w:rsidRPr="00633E59">
                    <w:t>0.1</w:t>
                  </w:r>
                </w:p>
              </w:tc>
              <w:tc>
                <w:tcPr>
                  <w:tcW w:w="470" w:type="pct"/>
                  <w:shd w:val="clear" w:color="auto" w:fill="auto"/>
                  <w:vAlign w:val="bottom"/>
                </w:tcPr>
                <w:p w:rsidR="00745FEA" w:rsidRPr="00222D62" w:rsidRDefault="00745FEA" w:rsidP="00745FEA">
                  <w:pPr>
                    <w:pStyle w:val="TableBodyText"/>
                    <w:ind w:right="57"/>
                  </w:pPr>
                  <w:r w:rsidRPr="00633E59">
                    <w:t>–</w:t>
                  </w:r>
                </w:p>
              </w:tc>
              <w:tc>
                <w:tcPr>
                  <w:tcW w:w="456" w:type="pct"/>
                  <w:shd w:val="clear" w:color="auto" w:fill="auto"/>
                  <w:vAlign w:val="bottom"/>
                </w:tcPr>
                <w:p w:rsidR="00745FEA" w:rsidRPr="00222D62" w:rsidRDefault="00745FEA" w:rsidP="00745FEA">
                  <w:pPr>
                    <w:pStyle w:val="TableBodyText"/>
                    <w:ind w:right="57"/>
                  </w:pPr>
                  <w:r w:rsidRPr="00633E59">
                    <w:t>–</w:t>
                  </w:r>
                </w:p>
              </w:tc>
            </w:tr>
            <w:tr w:rsidR="00745FEA" w:rsidTr="00745FEA">
              <w:tc>
                <w:tcPr>
                  <w:tcW w:w="2203" w:type="pct"/>
                  <w:shd w:val="clear" w:color="auto" w:fill="auto"/>
                </w:tcPr>
                <w:p w:rsidR="00745FEA" w:rsidRPr="00222D62" w:rsidRDefault="00745FEA" w:rsidP="00745FEA">
                  <w:pPr>
                    <w:pStyle w:val="TableBodyText"/>
                    <w:spacing w:after="0"/>
                    <w:ind w:left="227" w:right="0"/>
                    <w:jc w:val="left"/>
                  </w:pPr>
                  <w:r w:rsidRPr="00222D62">
                    <w:t>Entrepreneurs’ Infrastructure Programme - Accelerating Commercialisation</w:t>
                  </w:r>
                </w:p>
              </w:tc>
              <w:tc>
                <w:tcPr>
                  <w:tcW w:w="470" w:type="pct"/>
                  <w:vAlign w:val="bottom"/>
                </w:tcPr>
                <w:p w:rsidR="00745FEA" w:rsidRPr="00222D62" w:rsidRDefault="00745FEA" w:rsidP="00745FEA">
                  <w:pPr>
                    <w:pStyle w:val="TableBodyText"/>
                    <w:ind w:right="57"/>
                  </w:pPr>
                  <w:r w:rsidRPr="00633E59">
                    <w:t>–</w:t>
                  </w:r>
                </w:p>
              </w:tc>
              <w:tc>
                <w:tcPr>
                  <w:tcW w:w="467" w:type="pct"/>
                  <w:vAlign w:val="bottom"/>
                </w:tcPr>
                <w:p w:rsidR="00745FEA" w:rsidRPr="00222D62" w:rsidRDefault="00745FEA" w:rsidP="00745FEA">
                  <w:pPr>
                    <w:pStyle w:val="TableBodyText"/>
                    <w:ind w:right="57"/>
                  </w:pPr>
                  <w:r w:rsidRPr="00633E59">
                    <w:t>–</w:t>
                  </w:r>
                </w:p>
              </w:tc>
              <w:tc>
                <w:tcPr>
                  <w:tcW w:w="467" w:type="pct"/>
                  <w:vAlign w:val="bottom"/>
                </w:tcPr>
                <w:p w:rsidR="00745FEA" w:rsidRPr="00222D62" w:rsidRDefault="00745FEA" w:rsidP="00745FEA">
                  <w:pPr>
                    <w:pStyle w:val="TableBodyText"/>
                    <w:ind w:right="57"/>
                  </w:pPr>
                  <w:r w:rsidRPr="00633E59">
                    <w:t>–</w:t>
                  </w:r>
                </w:p>
              </w:tc>
              <w:tc>
                <w:tcPr>
                  <w:tcW w:w="467" w:type="pct"/>
                  <w:vAlign w:val="bottom"/>
                </w:tcPr>
                <w:p w:rsidR="00745FEA" w:rsidRPr="00222D62" w:rsidRDefault="00745FEA" w:rsidP="00745FEA">
                  <w:pPr>
                    <w:pStyle w:val="TableBodyText"/>
                    <w:ind w:right="57"/>
                  </w:pPr>
                  <w:r w:rsidRPr="00633E59">
                    <w:t>0.1</w:t>
                  </w:r>
                </w:p>
              </w:tc>
              <w:tc>
                <w:tcPr>
                  <w:tcW w:w="470" w:type="pct"/>
                  <w:shd w:val="clear" w:color="auto" w:fill="auto"/>
                  <w:vAlign w:val="bottom"/>
                </w:tcPr>
                <w:p w:rsidR="00745FEA" w:rsidRPr="00222D62" w:rsidRDefault="00745FEA" w:rsidP="00745FEA">
                  <w:pPr>
                    <w:pStyle w:val="TableBodyText"/>
                    <w:ind w:right="57"/>
                  </w:pPr>
                  <w:r w:rsidRPr="00633E59">
                    <w:t>0.8</w:t>
                  </w:r>
                </w:p>
              </w:tc>
              <w:tc>
                <w:tcPr>
                  <w:tcW w:w="456" w:type="pct"/>
                  <w:shd w:val="clear" w:color="auto" w:fill="auto"/>
                  <w:vAlign w:val="bottom"/>
                </w:tcPr>
                <w:p w:rsidR="00745FEA" w:rsidRPr="00222D62" w:rsidRDefault="00745FEA" w:rsidP="00745FEA">
                  <w:pPr>
                    <w:pStyle w:val="TableBodyText"/>
                    <w:ind w:right="57"/>
                  </w:pPr>
                  <w:r w:rsidRPr="00633E59">
                    <w:t>0.2</w:t>
                  </w:r>
                </w:p>
              </w:tc>
            </w:tr>
            <w:tr w:rsidR="00745FEA" w:rsidTr="00745FEA">
              <w:tc>
                <w:tcPr>
                  <w:tcW w:w="2203" w:type="pct"/>
                  <w:shd w:val="clear" w:color="auto" w:fill="auto"/>
                </w:tcPr>
                <w:p w:rsidR="00745FEA" w:rsidRPr="00222D62" w:rsidRDefault="00745FEA" w:rsidP="00745FEA">
                  <w:pPr>
                    <w:pStyle w:val="TableBodyText"/>
                    <w:spacing w:after="0"/>
                    <w:ind w:left="227" w:right="0"/>
                    <w:jc w:val="left"/>
                  </w:pPr>
                  <w:r w:rsidRPr="00222D62">
                    <w:t>Entrepreneurs’ Infrastructure Programme - Business Management Skills</w:t>
                  </w:r>
                </w:p>
              </w:tc>
              <w:tc>
                <w:tcPr>
                  <w:tcW w:w="470" w:type="pct"/>
                  <w:vAlign w:val="bottom"/>
                </w:tcPr>
                <w:p w:rsidR="00745FEA" w:rsidRPr="00222D62" w:rsidRDefault="00745FEA" w:rsidP="00745FEA">
                  <w:pPr>
                    <w:pStyle w:val="TableBodyText"/>
                    <w:ind w:right="57"/>
                  </w:pPr>
                  <w:r w:rsidRPr="00633E59">
                    <w:t>–</w:t>
                  </w:r>
                </w:p>
              </w:tc>
              <w:tc>
                <w:tcPr>
                  <w:tcW w:w="467" w:type="pct"/>
                  <w:vAlign w:val="bottom"/>
                </w:tcPr>
                <w:p w:rsidR="00745FEA" w:rsidRPr="00222D62" w:rsidRDefault="00745FEA" w:rsidP="00745FEA">
                  <w:pPr>
                    <w:pStyle w:val="TableBodyText"/>
                    <w:ind w:right="57"/>
                  </w:pPr>
                  <w:r w:rsidRPr="00633E59">
                    <w:t>–</w:t>
                  </w:r>
                </w:p>
              </w:tc>
              <w:tc>
                <w:tcPr>
                  <w:tcW w:w="467" w:type="pct"/>
                  <w:vAlign w:val="bottom"/>
                </w:tcPr>
                <w:p w:rsidR="00745FEA" w:rsidRPr="00222D62" w:rsidRDefault="00745FEA" w:rsidP="00745FEA">
                  <w:pPr>
                    <w:pStyle w:val="TableBodyText"/>
                    <w:ind w:right="57"/>
                  </w:pPr>
                  <w:r w:rsidRPr="00633E59">
                    <w:t>–</w:t>
                  </w:r>
                </w:p>
              </w:tc>
              <w:tc>
                <w:tcPr>
                  <w:tcW w:w="467" w:type="pct"/>
                  <w:vAlign w:val="bottom"/>
                </w:tcPr>
                <w:p w:rsidR="00745FEA" w:rsidRPr="00222D62" w:rsidRDefault="00745FEA" w:rsidP="00745FEA">
                  <w:pPr>
                    <w:pStyle w:val="TableBodyText"/>
                    <w:ind w:right="57"/>
                  </w:pPr>
                  <w:r w:rsidRPr="00633E59">
                    <w:t>&lt;0.1</w:t>
                  </w:r>
                </w:p>
              </w:tc>
              <w:tc>
                <w:tcPr>
                  <w:tcW w:w="470" w:type="pct"/>
                  <w:shd w:val="clear" w:color="auto" w:fill="auto"/>
                  <w:vAlign w:val="bottom"/>
                </w:tcPr>
                <w:p w:rsidR="00745FEA" w:rsidRPr="00222D62" w:rsidRDefault="00745FEA" w:rsidP="00745FEA">
                  <w:pPr>
                    <w:pStyle w:val="TableBodyText"/>
                    <w:ind w:right="57"/>
                  </w:pPr>
                  <w:r w:rsidRPr="00633E59">
                    <w:t>0.1</w:t>
                  </w:r>
                </w:p>
              </w:tc>
              <w:tc>
                <w:tcPr>
                  <w:tcW w:w="456" w:type="pct"/>
                  <w:shd w:val="clear" w:color="auto" w:fill="auto"/>
                  <w:vAlign w:val="bottom"/>
                </w:tcPr>
                <w:p w:rsidR="00745FEA" w:rsidRPr="00222D62" w:rsidRDefault="00745FEA" w:rsidP="00745FEA">
                  <w:pPr>
                    <w:pStyle w:val="TableBodyText"/>
                    <w:ind w:right="57"/>
                  </w:pPr>
                  <w:r w:rsidRPr="00633E59">
                    <w:t>0.2</w:t>
                  </w:r>
                </w:p>
              </w:tc>
            </w:tr>
            <w:tr w:rsidR="00745FEA" w:rsidTr="00745FEA">
              <w:tc>
                <w:tcPr>
                  <w:tcW w:w="2203" w:type="pct"/>
                  <w:tcBorders>
                    <w:bottom w:val="single" w:sz="6" w:space="0" w:color="BFBFBF"/>
                  </w:tcBorders>
                  <w:shd w:val="clear" w:color="auto" w:fill="auto"/>
                </w:tcPr>
                <w:p w:rsidR="00745FEA" w:rsidRPr="00222D62" w:rsidRDefault="00745FEA" w:rsidP="00745FEA">
                  <w:pPr>
                    <w:pStyle w:val="TableBodyText"/>
                    <w:ind w:left="227" w:right="0"/>
                    <w:jc w:val="left"/>
                  </w:pPr>
                  <w:r w:rsidRPr="00751978">
                    <w:t>South East South Australia Innovation and Investment Fund</w:t>
                  </w:r>
                </w:p>
              </w:tc>
              <w:tc>
                <w:tcPr>
                  <w:tcW w:w="470" w:type="pct"/>
                  <w:tcBorders>
                    <w:bottom w:val="single" w:sz="6" w:space="0" w:color="BFBFBF"/>
                  </w:tcBorders>
                  <w:vAlign w:val="bottom"/>
                </w:tcPr>
                <w:p w:rsidR="00745FEA" w:rsidRPr="00222D62" w:rsidRDefault="00745FEA" w:rsidP="00745FEA">
                  <w:pPr>
                    <w:pStyle w:val="TableBodyText"/>
                    <w:ind w:right="57"/>
                  </w:pPr>
                  <w:r w:rsidRPr="00633E59">
                    <w:t>&lt;0.1</w:t>
                  </w:r>
                </w:p>
              </w:tc>
              <w:tc>
                <w:tcPr>
                  <w:tcW w:w="467" w:type="pct"/>
                  <w:tcBorders>
                    <w:bottom w:val="single" w:sz="6" w:space="0" w:color="BFBFBF"/>
                  </w:tcBorders>
                  <w:vAlign w:val="bottom"/>
                </w:tcPr>
                <w:p w:rsidR="00745FEA" w:rsidRPr="00222D62" w:rsidRDefault="00745FEA" w:rsidP="00745FEA">
                  <w:pPr>
                    <w:pStyle w:val="TableBodyText"/>
                    <w:ind w:right="57"/>
                  </w:pPr>
                  <w:r w:rsidRPr="00633E59">
                    <w:t>0.3</w:t>
                  </w:r>
                </w:p>
              </w:tc>
              <w:tc>
                <w:tcPr>
                  <w:tcW w:w="467" w:type="pct"/>
                  <w:tcBorders>
                    <w:bottom w:val="single" w:sz="6" w:space="0" w:color="BFBFBF"/>
                  </w:tcBorders>
                  <w:vAlign w:val="bottom"/>
                </w:tcPr>
                <w:p w:rsidR="00745FEA" w:rsidRPr="00222D62" w:rsidRDefault="00745FEA" w:rsidP="00745FEA">
                  <w:pPr>
                    <w:pStyle w:val="TableBodyText"/>
                    <w:ind w:right="57"/>
                  </w:pPr>
                  <w:r w:rsidRPr="00633E59">
                    <w:t>–</w:t>
                  </w:r>
                </w:p>
              </w:tc>
              <w:tc>
                <w:tcPr>
                  <w:tcW w:w="467" w:type="pct"/>
                  <w:tcBorders>
                    <w:bottom w:val="single" w:sz="6" w:space="0" w:color="BFBFBF"/>
                  </w:tcBorders>
                  <w:vAlign w:val="bottom"/>
                </w:tcPr>
                <w:p w:rsidR="00745FEA" w:rsidRPr="00222D62" w:rsidRDefault="00745FEA" w:rsidP="00745FEA">
                  <w:pPr>
                    <w:pStyle w:val="TableBodyText"/>
                    <w:ind w:right="57"/>
                  </w:pPr>
                  <w:r w:rsidRPr="00633E59">
                    <w:t>–</w:t>
                  </w:r>
                </w:p>
              </w:tc>
              <w:tc>
                <w:tcPr>
                  <w:tcW w:w="470" w:type="pct"/>
                  <w:tcBorders>
                    <w:bottom w:val="single" w:sz="6" w:space="0" w:color="BFBFBF"/>
                  </w:tcBorders>
                  <w:shd w:val="clear" w:color="auto" w:fill="auto"/>
                  <w:vAlign w:val="bottom"/>
                </w:tcPr>
                <w:p w:rsidR="00745FEA" w:rsidRPr="00222D62" w:rsidRDefault="00745FEA" w:rsidP="00745FEA">
                  <w:pPr>
                    <w:pStyle w:val="TableBodyText"/>
                    <w:ind w:right="57"/>
                  </w:pPr>
                  <w:r w:rsidRPr="00633E59">
                    <w:t>–</w:t>
                  </w:r>
                </w:p>
              </w:tc>
              <w:tc>
                <w:tcPr>
                  <w:tcW w:w="456" w:type="pct"/>
                  <w:tcBorders>
                    <w:bottom w:val="single" w:sz="6" w:space="0" w:color="BFBFBF"/>
                  </w:tcBorders>
                  <w:shd w:val="clear" w:color="auto" w:fill="auto"/>
                  <w:vAlign w:val="bottom"/>
                </w:tcPr>
                <w:p w:rsidR="00745FEA" w:rsidRDefault="00745FEA" w:rsidP="00745FEA">
                  <w:pPr>
                    <w:pStyle w:val="TableBodyText"/>
                    <w:ind w:right="57"/>
                  </w:pPr>
                  <w:r w:rsidRPr="00633E59">
                    <w:t>–</w:t>
                  </w:r>
                </w:p>
              </w:tc>
            </w:tr>
          </w:tbl>
          <w:p w:rsidR="00745FEA" w:rsidRDefault="00745FEA" w:rsidP="00745FEA">
            <w:pPr>
              <w:pStyle w:val="Box"/>
            </w:pPr>
          </w:p>
        </w:tc>
      </w:tr>
      <w:tr w:rsidR="00745FEA" w:rsidTr="00745FEA">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745FEA">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745FEA">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61"/>
        <w:gridCol w:w="28"/>
      </w:tblGrid>
      <w:tr w:rsidR="00745FEA" w:rsidRPr="00784A05" w:rsidTr="00C719FB">
        <w:trPr>
          <w:gridAfter w:val="1"/>
          <w:wAfter w:w="16" w:type="pct"/>
          <w:tblHeader/>
        </w:trPr>
        <w:tc>
          <w:tcPr>
            <w:tcW w:w="4984"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A.13</w:t>
            </w:r>
            <w:r>
              <w:tab/>
            </w:r>
            <w:r w:rsidR="00116EA6" w:rsidRPr="00116EA6">
              <w:rPr>
                <w:b w:val="0"/>
                <w:sz w:val="18"/>
                <w:szCs w:val="20"/>
              </w:rPr>
              <w:t>(continued)</w:t>
            </w:r>
          </w:p>
        </w:tc>
      </w:tr>
      <w:tr w:rsidR="00745FEA" w:rsidTr="00745FEA">
        <w:trPr>
          <w:cantSplit/>
        </w:trPr>
        <w:tc>
          <w:tcPr>
            <w:tcW w:w="5000" w:type="pct"/>
            <w:gridSpan w:val="2"/>
            <w:tcBorders>
              <w:top w:val="nil"/>
              <w:left w:val="nil"/>
              <w:bottom w:val="nil"/>
              <w:right w:val="nil"/>
            </w:tcBorders>
            <w:shd w:val="clear" w:color="auto" w:fill="auto"/>
          </w:tcPr>
          <w:tbl>
            <w:tblPr>
              <w:tblW w:w="8501" w:type="dxa"/>
              <w:tblCellMar>
                <w:top w:w="28" w:type="dxa"/>
                <w:left w:w="0" w:type="dxa"/>
                <w:right w:w="0" w:type="dxa"/>
              </w:tblCellMar>
              <w:tblLook w:val="0000" w:firstRow="0" w:lastRow="0" w:firstColumn="0" w:lastColumn="0" w:noHBand="0" w:noVBand="0"/>
            </w:tblPr>
            <w:tblGrid>
              <w:gridCol w:w="3748"/>
              <w:gridCol w:w="798"/>
              <w:gridCol w:w="792"/>
              <w:gridCol w:w="792"/>
              <w:gridCol w:w="792"/>
              <w:gridCol w:w="792"/>
              <w:gridCol w:w="787"/>
            </w:tblGrid>
            <w:tr w:rsidR="00745FEA" w:rsidTr="00C719FB">
              <w:trPr>
                <w:trHeight w:val="164"/>
                <w:tblHeader/>
              </w:trPr>
              <w:tc>
                <w:tcPr>
                  <w:tcW w:w="2204"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9"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6"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63"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04" w:type="pct"/>
                  <w:tcBorders>
                    <w:top w:val="single" w:sz="6" w:space="0" w:color="BFBFBF"/>
                  </w:tcBorders>
                </w:tcPr>
                <w:p w:rsidR="00745FEA" w:rsidRPr="0059660A" w:rsidRDefault="00745FEA" w:rsidP="00745FEA">
                  <w:pPr>
                    <w:pStyle w:val="TableUnitsRow"/>
                    <w:spacing w:after="0"/>
                    <w:ind w:left="113"/>
                    <w:jc w:val="left"/>
                    <w:rPr>
                      <w:i/>
                    </w:rPr>
                  </w:pPr>
                  <w:r w:rsidRPr="0059660A">
                    <w:rPr>
                      <w:i/>
                    </w:rPr>
                    <w:t>Other measures</w:t>
                  </w:r>
                  <w:r>
                    <w:rPr>
                      <w:i/>
                    </w:rPr>
                    <w:t xml:space="preserve"> (continued)</w:t>
                  </w:r>
                </w:p>
              </w:tc>
              <w:tc>
                <w:tcPr>
                  <w:tcW w:w="469" w:type="pct"/>
                  <w:tcBorders>
                    <w:top w:val="single" w:sz="6" w:space="0" w:color="BFBFBF"/>
                  </w:tcBorders>
                  <w:vAlign w:val="bottom"/>
                </w:tcPr>
                <w:p w:rsidR="00745FEA" w:rsidRDefault="00745FEA" w:rsidP="00745FEA">
                  <w:pPr>
                    <w:pStyle w:val="TableUnitsRow"/>
                    <w:spacing w:after="0"/>
                    <w:ind w:left="113" w:right="57"/>
                  </w:pPr>
                </w:p>
              </w:tc>
              <w:tc>
                <w:tcPr>
                  <w:tcW w:w="466" w:type="pct"/>
                  <w:tcBorders>
                    <w:top w:val="single" w:sz="6" w:space="0" w:color="BFBFBF"/>
                  </w:tcBorders>
                  <w:vAlign w:val="bottom"/>
                </w:tcPr>
                <w:p w:rsidR="00745FEA" w:rsidRDefault="00745FEA" w:rsidP="00745FEA">
                  <w:pPr>
                    <w:pStyle w:val="TableUnitsRow"/>
                    <w:spacing w:after="0"/>
                    <w:ind w:left="113" w:right="57"/>
                  </w:pPr>
                </w:p>
              </w:tc>
              <w:tc>
                <w:tcPr>
                  <w:tcW w:w="466" w:type="pct"/>
                  <w:tcBorders>
                    <w:top w:val="single" w:sz="6" w:space="0" w:color="BFBFBF"/>
                  </w:tcBorders>
                  <w:vAlign w:val="bottom"/>
                </w:tcPr>
                <w:p w:rsidR="00745FEA" w:rsidRDefault="00745FEA" w:rsidP="00745FEA">
                  <w:pPr>
                    <w:pStyle w:val="TableUnitsRow"/>
                    <w:spacing w:after="0"/>
                    <w:ind w:left="113" w:right="57"/>
                  </w:pPr>
                </w:p>
              </w:tc>
              <w:tc>
                <w:tcPr>
                  <w:tcW w:w="466" w:type="pct"/>
                  <w:tcBorders>
                    <w:top w:val="single" w:sz="6" w:space="0" w:color="BFBFBF"/>
                  </w:tcBorders>
                  <w:vAlign w:val="bottom"/>
                </w:tcPr>
                <w:p w:rsidR="00745FEA" w:rsidRDefault="00745FEA" w:rsidP="00745FEA">
                  <w:pPr>
                    <w:pStyle w:val="TableUnitsRow"/>
                    <w:spacing w:after="0"/>
                    <w:ind w:left="113" w:right="57"/>
                  </w:pPr>
                </w:p>
              </w:tc>
              <w:tc>
                <w:tcPr>
                  <w:tcW w:w="466" w:type="pct"/>
                  <w:tcBorders>
                    <w:top w:val="single" w:sz="6" w:space="0" w:color="BFBFBF"/>
                  </w:tcBorders>
                  <w:vAlign w:val="bottom"/>
                </w:tcPr>
                <w:p w:rsidR="00745FEA" w:rsidRDefault="00745FEA" w:rsidP="00745FEA">
                  <w:pPr>
                    <w:pStyle w:val="TableUnitsRow"/>
                    <w:spacing w:after="0"/>
                    <w:ind w:left="113" w:right="57"/>
                  </w:pPr>
                </w:p>
              </w:tc>
              <w:tc>
                <w:tcPr>
                  <w:tcW w:w="463" w:type="pct"/>
                  <w:tcBorders>
                    <w:top w:val="single" w:sz="6" w:space="0" w:color="BFBFBF"/>
                  </w:tcBorders>
                  <w:vAlign w:val="bottom"/>
                </w:tcPr>
                <w:p w:rsidR="00745FEA" w:rsidRDefault="00745FEA" w:rsidP="00745FEA">
                  <w:pPr>
                    <w:pStyle w:val="TableUnitsRow"/>
                    <w:spacing w:after="0"/>
                    <w:ind w:left="113" w:right="57"/>
                  </w:pP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Tasmanian Innovation and Investment Fund</w:t>
                  </w:r>
                </w:p>
              </w:tc>
              <w:tc>
                <w:tcPr>
                  <w:tcW w:w="469" w:type="pct"/>
                  <w:vAlign w:val="bottom"/>
                </w:tcPr>
                <w:p w:rsidR="00745FEA" w:rsidRPr="002E12F6" w:rsidRDefault="00745FEA" w:rsidP="00745FEA">
                  <w:pPr>
                    <w:pStyle w:val="TableBodyText"/>
                    <w:ind w:right="57"/>
                  </w:pPr>
                  <w:r w:rsidRPr="002E12F6">
                    <w:t>0.1</w:t>
                  </w:r>
                </w:p>
              </w:tc>
              <w:tc>
                <w:tcPr>
                  <w:tcW w:w="466" w:type="pct"/>
                  <w:vAlign w:val="bottom"/>
                </w:tcPr>
                <w:p w:rsidR="00745FEA" w:rsidRPr="002E12F6" w:rsidRDefault="00745FEA" w:rsidP="00745FEA">
                  <w:pPr>
                    <w:pStyle w:val="TableBodyText"/>
                    <w:ind w:right="57"/>
                  </w:pPr>
                  <w:r w:rsidRPr="002E12F6">
                    <w:t>&lt;0.1</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Tasmanian Jobs and Investment Fund</w:t>
                  </w:r>
                </w:p>
              </w:tc>
              <w:tc>
                <w:tcPr>
                  <w:tcW w:w="469"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0.1</w:t>
                  </w:r>
                </w:p>
              </w:tc>
              <w:tc>
                <w:tcPr>
                  <w:tcW w:w="463" w:type="pct"/>
                  <w:shd w:val="clear" w:color="auto" w:fill="auto"/>
                  <w:vAlign w:val="bottom"/>
                </w:tcPr>
                <w:p w:rsidR="00745FEA" w:rsidRPr="002E12F6" w:rsidRDefault="00745FEA" w:rsidP="00745FEA">
                  <w:pPr>
                    <w:pStyle w:val="TableBodyText"/>
                    <w:ind w:right="57"/>
                  </w:pPr>
                  <w:r w:rsidRPr="002E12F6">
                    <w:t>0.2</w:t>
                  </w: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 xml:space="preserve">Small business </w:t>
                  </w:r>
                  <w:r>
                    <w:t>capital gains tax</w:t>
                  </w:r>
                  <w:r w:rsidRPr="00751978">
                    <w:t xml:space="preserve"> rollover deferral</w:t>
                  </w:r>
                </w:p>
              </w:tc>
              <w:tc>
                <w:tcPr>
                  <w:tcW w:w="469"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3.3</w:t>
                  </w:r>
                </w:p>
              </w:tc>
              <w:tc>
                <w:tcPr>
                  <w:tcW w:w="466" w:type="pct"/>
                  <w:shd w:val="clear" w:color="auto" w:fill="auto"/>
                  <w:vAlign w:val="bottom"/>
                </w:tcPr>
                <w:p w:rsidR="00745FEA" w:rsidRPr="002E12F6" w:rsidRDefault="00745FEA" w:rsidP="00745FEA">
                  <w:pPr>
                    <w:pStyle w:val="TableBodyText"/>
                    <w:ind w:right="57"/>
                  </w:pPr>
                  <w:r w:rsidRPr="002E12F6">
                    <w:t>3.1</w:t>
                  </w:r>
                </w:p>
              </w:tc>
              <w:tc>
                <w:tcPr>
                  <w:tcW w:w="463" w:type="pct"/>
                  <w:shd w:val="clear" w:color="auto" w:fill="auto"/>
                  <w:vAlign w:val="bottom"/>
                </w:tcPr>
                <w:p w:rsidR="00745FEA" w:rsidRPr="002E12F6" w:rsidRDefault="00745FEA" w:rsidP="00745FEA">
                  <w:pPr>
                    <w:pStyle w:val="TableBodyText"/>
                    <w:ind w:right="57"/>
                  </w:pPr>
                  <w:r w:rsidRPr="002E12F6">
                    <w:t>3.7</w:t>
                  </w: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The Small Business and General Business Tax Break</w:t>
                  </w:r>
                </w:p>
              </w:tc>
              <w:tc>
                <w:tcPr>
                  <w:tcW w:w="469" w:type="pct"/>
                  <w:vAlign w:val="bottom"/>
                </w:tcPr>
                <w:p w:rsidR="00745FEA" w:rsidRPr="002E12F6" w:rsidRDefault="00745FEA" w:rsidP="00745FEA">
                  <w:pPr>
                    <w:pStyle w:val="TableBodyText"/>
                    <w:ind w:right="57"/>
                  </w:pPr>
                  <w:r w:rsidRPr="002E12F6">
                    <w:t>16.6</w:t>
                  </w:r>
                </w:p>
              </w:tc>
              <w:tc>
                <w:tcPr>
                  <w:tcW w:w="466" w:type="pct"/>
                  <w:vAlign w:val="bottom"/>
                </w:tcPr>
                <w:p w:rsidR="00745FEA" w:rsidRPr="002E12F6" w:rsidRDefault="00745FEA" w:rsidP="00745FEA">
                  <w:pPr>
                    <w:pStyle w:val="TableBodyText"/>
                    <w:ind w:right="57"/>
                  </w:pPr>
                  <w:r w:rsidRPr="002E12F6">
                    <w:t>5.7</w:t>
                  </w:r>
                </w:p>
              </w:tc>
              <w:tc>
                <w:tcPr>
                  <w:tcW w:w="466" w:type="pct"/>
                  <w:vAlign w:val="bottom"/>
                </w:tcPr>
                <w:p w:rsidR="00745FEA" w:rsidRPr="002E12F6" w:rsidRDefault="00745FEA" w:rsidP="00745FEA">
                  <w:pPr>
                    <w:pStyle w:val="TableBodyText"/>
                    <w:ind w:right="57"/>
                  </w:pPr>
                  <w:r w:rsidRPr="002E12F6">
                    <w:t>0.7</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Tr="00745FEA">
              <w:tc>
                <w:tcPr>
                  <w:tcW w:w="2204" w:type="pct"/>
                </w:tcPr>
                <w:p w:rsidR="00745FEA" w:rsidRPr="00751978" w:rsidRDefault="00745FEA" w:rsidP="00745FEA">
                  <w:pPr>
                    <w:pStyle w:val="TableBodyText"/>
                    <w:spacing w:after="0"/>
                    <w:ind w:left="227" w:right="0"/>
                    <w:jc w:val="left"/>
                  </w:pPr>
                  <w:r w:rsidRPr="00751978">
                    <w:t>Small Business - Simplified depreciation rules</w:t>
                  </w:r>
                </w:p>
              </w:tc>
              <w:tc>
                <w:tcPr>
                  <w:tcW w:w="469" w:type="pct"/>
                  <w:vAlign w:val="bottom"/>
                </w:tcPr>
                <w:p w:rsidR="00745FEA" w:rsidRPr="002E12F6" w:rsidRDefault="00745FEA" w:rsidP="00745FEA">
                  <w:pPr>
                    <w:pStyle w:val="TableBodyText"/>
                    <w:ind w:right="57"/>
                  </w:pPr>
                  <w:r w:rsidRPr="002E12F6">
                    <w:t>0.4</w:t>
                  </w:r>
                </w:p>
              </w:tc>
              <w:tc>
                <w:tcPr>
                  <w:tcW w:w="466" w:type="pct"/>
                  <w:vAlign w:val="bottom"/>
                </w:tcPr>
                <w:p w:rsidR="00745FEA" w:rsidRPr="002E12F6" w:rsidRDefault="00745FEA" w:rsidP="00745FEA">
                  <w:pPr>
                    <w:pStyle w:val="TableBodyText"/>
                    <w:ind w:right="57"/>
                  </w:pPr>
                  <w:r w:rsidRPr="002E12F6">
                    <w:t>-2.4</w:t>
                  </w:r>
                </w:p>
              </w:tc>
              <w:tc>
                <w:tcPr>
                  <w:tcW w:w="466" w:type="pct"/>
                  <w:vAlign w:val="bottom"/>
                </w:tcPr>
                <w:p w:rsidR="00745FEA" w:rsidRPr="002E12F6" w:rsidRDefault="00745FEA" w:rsidP="00745FEA">
                  <w:pPr>
                    <w:pStyle w:val="TableBodyText"/>
                    <w:ind w:right="57"/>
                  </w:pPr>
                  <w:r w:rsidRPr="002E12F6">
                    <w:t>8.6</w:t>
                  </w:r>
                </w:p>
              </w:tc>
              <w:tc>
                <w:tcPr>
                  <w:tcW w:w="466" w:type="pct"/>
                  <w:vAlign w:val="bottom"/>
                </w:tcPr>
                <w:p w:rsidR="00745FEA" w:rsidRPr="002E12F6" w:rsidRDefault="00745FEA" w:rsidP="00745FEA">
                  <w:pPr>
                    <w:pStyle w:val="TableBodyText"/>
                    <w:ind w:right="57"/>
                  </w:pPr>
                  <w:r w:rsidRPr="002E12F6">
                    <w:t>-4.3</w:t>
                  </w:r>
                </w:p>
              </w:tc>
              <w:tc>
                <w:tcPr>
                  <w:tcW w:w="466" w:type="pct"/>
                  <w:vAlign w:val="bottom"/>
                </w:tcPr>
                <w:p w:rsidR="00745FEA" w:rsidRPr="002E12F6" w:rsidRDefault="00745FEA" w:rsidP="00745FEA">
                  <w:pPr>
                    <w:pStyle w:val="TableBodyText"/>
                    <w:ind w:right="57"/>
                  </w:pPr>
                  <w:r w:rsidRPr="002E12F6">
                    <w:t>-8.7</w:t>
                  </w:r>
                </w:p>
              </w:tc>
              <w:tc>
                <w:tcPr>
                  <w:tcW w:w="463" w:type="pct"/>
                  <w:vAlign w:val="bottom"/>
                </w:tcPr>
                <w:p w:rsidR="00745FEA" w:rsidRPr="002E12F6" w:rsidRDefault="00745FEA" w:rsidP="00745FEA">
                  <w:pPr>
                    <w:pStyle w:val="TableBodyText"/>
                    <w:ind w:right="57"/>
                  </w:pPr>
                  <w:r w:rsidRPr="002E12F6">
                    <w:t>46.9</w:t>
                  </w:r>
                </w:p>
              </w:tc>
            </w:tr>
            <w:tr w:rsidR="00745FEA" w:rsidTr="00745FEA">
              <w:tc>
                <w:tcPr>
                  <w:tcW w:w="2204" w:type="pct"/>
                </w:tcPr>
                <w:p w:rsidR="00745FEA" w:rsidRPr="00751978" w:rsidRDefault="00745FEA" w:rsidP="00745FEA">
                  <w:pPr>
                    <w:pStyle w:val="TableBodyText"/>
                    <w:spacing w:after="0"/>
                    <w:ind w:left="227" w:right="0"/>
                    <w:jc w:val="left"/>
                  </w:pPr>
                  <w:r w:rsidRPr="00751978">
                    <w:t xml:space="preserve">Small business </w:t>
                  </w:r>
                  <w:r>
                    <w:t>capital gains tax</w:t>
                  </w:r>
                  <w:r w:rsidRPr="00751978">
                    <w:t xml:space="preserve"> 15-year asset exemption</w:t>
                  </w:r>
                </w:p>
              </w:tc>
              <w:tc>
                <w:tcPr>
                  <w:tcW w:w="469" w:type="pct"/>
                  <w:vAlign w:val="bottom"/>
                </w:tcPr>
                <w:p w:rsidR="00745FEA" w:rsidRPr="002E12F6" w:rsidRDefault="00745FEA" w:rsidP="00745FEA">
                  <w:pPr>
                    <w:pStyle w:val="TableBodyText"/>
                    <w:ind w:right="57"/>
                  </w:pPr>
                  <w:r w:rsidRPr="002E12F6">
                    <w:t>1.4</w:t>
                  </w:r>
                </w:p>
              </w:tc>
              <w:tc>
                <w:tcPr>
                  <w:tcW w:w="466" w:type="pct"/>
                  <w:vAlign w:val="bottom"/>
                </w:tcPr>
                <w:p w:rsidR="00745FEA" w:rsidRPr="002E12F6" w:rsidRDefault="00745FEA" w:rsidP="00745FEA">
                  <w:pPr>
                    <w:pStyle w:val="TableBodyText"/>
                    <w:ind w:right="57"/>
                  </w:pPr>
                  <w:r w:rsidRPr="002E12F6">
                    <w:t>1.5</w:t>
                  </w:r>
                </w:p>
              </w:tc>
              <w:tc>
                <w:tcPr>
                  <w:tcW w:w="466" w:type="pct"/>
                  <w:vAlign w:val="bottom"/>
                </w:tcPr>
                <w:p w:rsidR="00745FEA" w:rsidRPr="002E12F6" w:rsidRDefault="00745FEA" w:rsidP="00745FEA">
                  <w:pPr>
                    <w:pStyle w:val="TableBodyText"/>
                    <w:ind w:right="57"/>
                  </w:pPr>
                  <w:r w:rsidRPr="002E12F6">
                    <w:t>1.7</w:t>
                  </w:r>
                </w:p>
              </w:tc>
              <w:tc>
                <w:tcPr>
                  <w:tcW w:w="466" w:type="pct"/>
                  <w:vAlign w:val="bottom"/>
                </w:tcPr>
                <w:p w:rsidR="00745FEA" w:rsidRPr="002E12F6" w:rsidRDefault="00745FEA" w:rsidP="00745FEA">
                  <w:pPr>
                    <w:pStyle w:val="TableBodyText"/>
                    <w:ind w:right="57"/>
                  </w:pPr>
                  <w:r w:rsidRPr="002E12F6">
                    <w:t>2.5</w:t>
                  </w:r>
                </w:p>
              </w:tc>
              <w:tc>
                <w:tcPr>
                  <w:tcW w:w="466" w:type="pct"/>
                  <w:vAlign w:val="bottom"/>
                </w:tcPr>
                <w:p w:rsidR="00745FEA" w:rsidRPr="002E12F6" w:rsidRDefault="00745FEA" w:rsidP="00745FEA">
                  <w:pPr>
                    <w:pStyle w:val="TableBodyText"/>
                    <w:ind w:right="57"/>
                  </w:pPr>
                  <w:r w:rsidRPr="002E12F6">
                    <w:t>5.0</w:t>
                  </w:r>
                </w:p>
              </w:tc>
              <w:tc>
                <w:tcPr>
                  <w:tcW w:w="463" w:type="pct"/>
                  <w:vAlign w:val="bottom"/>
                </w:tcPr>
                <w:p w:rsidR="00745FEA" w:rsidRPr="002E12F6" w:rsidRDefault="00745FEA" w:rsidP="00745FEA">
                  <w:pPr>
                    <w:pStyle w:val="TableBodyText"/>
                    <w:ind w:right="57"/>
                  </w:pPr>
                  <w:r w:rsidRPr="002E12F6">
                    <w:t>3.8</w:t>
                  </w: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 xml:space="preserve">Small business </w:t>
                  </w:r>
                  <w:r>
                    <w:t>capital gains tax</w:t>
                  </w:r>
                  <w:r w:rsidRPr="00751978">
                    <w:t xml:space="preserve"> retirement exemption</w:t>
                  </w:r>
                </w:p>
              </w:tc>
              <w:tc>
                <w:tcPr>
                  <w:tcW w:w="469" w:type="pct"/>
                  <w:vAlign w:val="bottom"/>
                </w:tcPr>
                <w:p w:rsidR="00745FEA" w:rsidRPr="002E12F6" w:rsidRDefault="00745FEA" w:rsidP="00745FEA">
                  <w:pPr>
                    <w:pStyle w:val="TableBodyText"/>
                    <w:ind w:right="57"/>
                  </w:pPr>
                  <w:r w:rsidRPr="002E12F6">
                    <w:t>1.8</w:t>
                  </w:r>
                </w:p>
              </w:tc>
              <w:tc>
                <w:tcPr>
                  <w:tcW w:w="466" w:type="pct"/>
                  <w:vAlign w:val="bottom"/>
                </w:tcPr>
                <w:p w:rsidR="00745FEA" w:rsidRPr="002E12F6" w:rsidRDefault="00745FEA" w:rsidP="00745FEA">
                  <w:pPr>
                    <w:pStyle w:val="TableBodyText"/>
                    <w:ind w:right="57"/>
                  </w:pPr>
                  <w:r w:rsidRPr="002E12F6">
                    <w:t>1.8</w:t>
                  </w:r>
                </w:p>
              </w:tc>
              <w:tc>
                <w:tcPr>
                  <w:tcW w:w="466" w:type="pct"/>
                  <w:vAlign w:val="bottom"/>
                </w:tcPr>
                <w:p w:rsidR="00745FEA" w:rsidRPr="002E12F6" w:rsidRDefault="00745FEA" w:rsidP="00745FEA">
                  <w:pPr>
                    <w:pStyle w:val="TableBodyText"/>
                    <w:ind w:right="57"/>
                  </w:pPr>
                  <w:r w:rsidRPr="002E12F6">
                    <w:t>1.9</w:t>
                  </w:r>
                </w:p>
              </w:tc>
              <w:tc>
                <w:tcPr>
                  <w:tcW w:w="466" w:type="pct"/>
                  <w:vAlign w:val="bottom"/>
                </w:tcPr>
                <w:p w:rsidR="00745FEA" w:rsidRPr="002E12F6" w:rsidRDefault="00745FEA" w:rsidP="00745FEA">
                  <w:pPr>
                    <w:pStyle w:val="TableBodyText"/>
                    <w:ind w:right="57"/>
                  </w:pPr>
                  <w:r w:rsidRPr="002E12F6">
                    <w:t>6.0</w:t>
                  </w:r>
                </w:p>
              </w:tc>
              <w:tc>
                <w:tcPr>
                  <w:tcW w:w="466" w:type="pct"/>
                  <w:shd w:val="clear" w:color="auto" w:fill="auto"/>
                  <w:vAlign w:val="bottom"/>
                </w:tcPr>
                <w:p w:rsidR="00745FEA" w:rsidRPr="002E12F6" w:rsidRDefault="00745FEA" w:rsidP="00745FEA">
                  <w:pPr>
                    <w:pStyle w:val="TableBodyText"/>
                    <w:ind w:right="57"/>
                  </w:pPr>
                  <w:r w:rsidRPr="002E12F6">
                    <w:t>8.3</w:t>
                  </w:r>
                </w:p>
              </w:tc>
              <w:tc>
                <w:tcPr>
                  <w:tcW w:w="463" w:type="pct"/>
                  <w:shd w:val="clear" w:color="auto" w:fill="auto"/>
                  <w:vAlign w:val="bottom"/>
                </w:tcPr>
                <w:p w:rsidR="00745FEA" w:rsidRPr="002E12F6" w:rsidRDefault="00745FEA" w:rsidP="00745FEA">
                  <w:pPr>
                    <w:pStyle w:val="TableBodyText"/>
                    <w:ind w:right="57"/>
                  </w:pPr>
                  <w:r w:rsidRPr="002E12F6">
                    <w:t>6.1</w:t>
                  </w: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 xml:space="preserve">Small business </w:t>
                  </w:r>
                  <w:r>
                    <w:t>capital gains tax</w:t>
                  </w:r>
                  <w:r w:rsidRPr="00751978">
                    <w:t xml:space="preserve"> 50 per cent reduction</w:t>
                  </w:r>
                </w:p>
              </w:tc>
              <w:tc>
                <w:tcPr>
                  <w:tcW w:w="469" w:type="pct"/>
                  <w:vAlign w:val="bottom"/>
                </w:tcPr>
                <w:p w:rsidR="00745FEA" w:rsidRPr="002E12F6" w:rsidRDefault="00745FEA" w:rsidP="00745FEA">
                  <w:pPr>
                    <w:pStyle w:val="TableBodyText"/>
                    <w:ind w:right="57"/>
                  </w:pPr>
                  <w:r w:rsidRPr="002E12F6">
                    <w:t>8.3</w:t>
                  </w:r>
                </w:p>
              </w:tc>
              <w:tc>
                <w:tcPr>
                  <w:tcW w:w="466" w:type="pct"/>
                  <w:vAlign w:val="bottom"/>
                </w:tcPr>
                <w:p w:rsidR="00745FEA" w:rsidRPr="002E12F6" w:rsidRDefault="00745FEA" w:rsidP="00745FEA">
                  <w:pPr>
                    <w:pStyle w:val="TableBodyText"/>
                    <w:ind w:right="57"/>
                  </w:pPr>
                  <w:r w:rsidRPr="002E12F6">
                    <w:t>8.8</w:t>
                  </w:r>
                </w:p>
              </w:tc>
              <w:tc>
                <w:tcPr>
                  <w:tcW w:w="466" w:type="pct"/>
                  <w:vAlign w:val="bottom"/>
                </w:tcPr>
                <w:p w:rsidR="00745FEA" w:rsidRPr="002E12F6" w:rsidRDefault="00745FEA" w:rsidP="00745FEA">
                  <w:pPr>
                    <w:pStyle w:val="TableBodyText"/>
                    <w:ind w:right="57"/>
                  </w:pPr>
                  <w:r w:rsidRPr="002E12F6">
                    <w:t>8.8</w:t>
                  </w:r>
                </w:p>
              </w:tc>
              <w:tc>
                <w:tcPr>
                  <w:tcW w:w="466" w:type="pct"/>
                  <w:vAlign w:val="bottom"/>
                </w:tcPr>
                <w:p w:rsidR="00745FEA" w:rsidRPr="002E12F6" w:rsidRDefault="00745FEA" w:rsidP="00745FEA">
                  <w:pPr>
                    <w:pStyle w:val="TableBodyText"/>
                    <w:ind w:right="57"/>
                  </w:pPr>
                  <w:r w:rsidRPr="002E12F6">
                    <w:t>11.1</w:t>
                  </w:r>
                </w:p>
              </w:tc>
              <w:tc>
                <w:tcPr>
                  <w:tcW w:w="466" w:type="pct"/>
                  <w:shd w:val="clear" w:color="auto" w:fill="auto"/>
                  <w:vAlign w:val="bottom"/>
                </w:tcPr>
                <w:p w:rsidR="00745FEA" w:rsidRPr="002E12F6" w:rsidRDefault="00745FEA" w:rsidP="00745FEA">
                  <w:pPr>
                    <w:pStyle w:val="TableBodyText"/>
                    <w:ind w:right="57"/>
                  </w:pPr>
                  <w:r w:rsidRPr="002E12F6">
                    <w:t>12.1</w:t>
                  </w:r>
                </w:p>
              </w:tc>
              <w:tc>
                <w:tcPr>
                  <w:tcW w:w="463" w:type="pct"/>
                  <w:shd w:val="clear" w:color="auto" w:fill="auto"/>
                  <w:vAlign w:val="bottom"/>
                </w:tcPr>
                <w:p w:rsidR="00745FEA" w:rsidRPr="002E12F6" w:rsidRDefault="00745FEA" w:rsidP="00745FEA">
                  <w:pPr>
                    <w:pStyle w:val="TableBodyText"/>
                    <w:ind w:right="57"/>
                  </w:pPr>
                  <w:r w:rsidRPr="002E12F6">
                    <w:t>10.8</w:t>
                  </w:r>
                </w:p>
              </w:tc>
            </w:tr>
            <w:tr w:rsidR="00745FEA" w:rsidTr="00745FEA">
              <w:tc>
                <w:tcPr>
                  <w:tcW w:w="2204" w:type="pct"/>
                  <w:shd w:val="clear" w:color="auto" w:fill="auto"/>
                </w:tcPr>
                <w:p w:rsidR="00745FEA" w:rsidRPr="00751978" w:rsidRDefault="00745FEA" w:rsidP="00745FEA">
                  <w:pPr>
                    <w:pStyle w:val="TableBodyText"/>
                    <w:spacing w:after="0"/>
                    <w:ind w:left="227" w:right="0"/>
                    <w:jc w:val="left"/>
                  </w:pPr>
                  <w:r w:rsidRPr="00751978">
                    <w:t>25 per cent entrepreneurs' tax offset</w:t>
                  </w:r>
                </w:p>
              </w:tc>
              <w:tc>
                <w:tcPr>
                  <w:tcW w:w="469" w:type="pct"/>
                  <w:vAlign w:val="bottom"/>
                </w:tcPr>
                <w:p w:rsidR="00745FEA" w:rsidRPr="002E12F6" w:rsidRDefault="00745FEA" w:rsidP="00745FEA">
                  <w:pPr>
                    <w:pStyle w:val="TableBodyText"/>
                    <w:ind w:right="57"/>
                  </w:pPr>
                  <w:r w:rsidRPr="002E12F6">
                    <w:t>10.3</w:t>
                  </w:r>
                </w:p>
              </w:tc>
              <w:tc>
                <w:tcPr>
                  <w:tcW w:w="466" w:type="pct"/>
                  <w:vAlign w:val="bottom"/>
                </w:tcPr>
                <w:p w:rsidR="00745FEA" w:rsidRPr="002E12F6" w:rsidRDefault="00745FEA" w:rsidP="00745FEA">
                  <w:pPr>
                    <w:pStyle w:val="TableBodyText"/>
                    <w:ind w:right="57"/>
                  </w:pPr>
                  <w:r w:rsidRPr="002E12F6">
                    <w:t>13.6</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Tr="00745FEA">
              <w:tc>
                <w:tcPr>
                  <w:tcW w:w="2204" w:type="pct"/>
                  <w:shd w:val="clear" w:color="auto" w:fill="auto"/>
                </w:tcPr>
                <w:p w:rsidR="00745FEA" w:rsidRPr="005846E8" w:rsidRDefault="00745FEA" w:rsidP="00745FEA">
                  <w:pPr>
                    <w:pStyle w:val="TableBodyText"/>
                    <w:spacing w:before="20" w:after="20"/>
                    <w:jc w:val="left"/>
                    <w:rPr>
                      <w:i/>
                    </w:rPr>
                  </w:pPr>
                  <w:r w:rsidRPr="005846E8">
                    <w:rPr>
                      <w:i/>
                    </w:rPr>
                    <w:t xml:space="preserve">Total </w:t>
                  </w:r>
                </w:p>
              </w:tc>
              <w:tc>
                <w:tcPr>
                  <w:tcW w:w="469" w:type="pct"/>
                  <w:vAlign w:val="bottom"/>
                </w:tcPr>
                <w:p w:rsidR="00745FEA" w:rsidRPr="00970906" w:rsidRDefault="00745FEA" w:rsidP="00745FEA">
                  <w:pPr>
                    <w:pStyle w:val="TableBodyText"/>
                    <w:spacing w:before="20" w:after="20"/>
                    <w:ind w:right="57"/>
                    <w:rPr>
                      <w:i/>
                    </w:rPr>
                  </w:pPr>
                  <w:r>
                    <w:rPr>
                      <w:i/>
                    </w:rPr>
                    <w:t>68.0</w:t>
                  </w:r>
                </w:p>
              </w:tc>
              <w:tc>
                <w:tcPr>
                  <w:tcW w:w="466" w:type="pct"/>
                  <w:vAlign w:val="bottom"/>
                </w:tcPr>
                <w:p w:rsidR="00745FEA" w:rsidRPr="00970906" w:rsidRDefault="00745FEA" w:rsidP="00745FEA">
                  <w:pPr>
                    <w:pStyle w:val="TableBodyText"/>
                    <w:spacing w:before="20" w:after="20"/>
                    <w:ind w:right="57"/>
                    <w:rPr>
                      <w:i/>
                    </w:rPr>
                  </w:pPr>
                  <w:r>
                    <w:rPr>
                      <w:i/>
                    </w:rPr>
                    <w:t>66.4</w:t>
                  </w:r>
                </w:p>
              </w:tc>
              <w:tc>
                <w:tcPr>
                  <w:tcW w:w="466" w:type="pct"/>
                </w:tcPr>
                <w:p w:rsidR="00745FEA" w:rsidRPr="007E59A4" w:rsidRDefault="00745FEA" w:rsidP="00745FEA">
                  <w:pPr>
                    <w:pStyle w:val="TableBodyText"/>
                    <w:spacing w:before="20" w:after="20"/>
                    <w:ind w:right="57"/>
                    <w:rPr>
                      <w:i/>
                    </w:rPr>
                  </w:pPr>
                  <w:r>
                    <w:rPr>
                      <w:i/>
                    </w:rPr>
                    <w:t>54.6</w:t>
                  </w:r>
                </w:p>
              </w:tc>
              <w:tc>
                <w:tcPr>
                  <w:tcW w:w="466" w:type="pct"/>
                </w:tcPr>
                <w:p w:rsidR="00745FEA" w:rsidRPr="007E59A4" w:rsidRDefault="00745FEA" w:rsidP="00745FEA">
                  <w:pPr>
                    <w:pStyle w:val="TableBodyText"/>
                    <w:spacing w:before="20" w:after="20"/>
                    <w:ind w:right="57"/>
                    <w:rPr>
                      <w:i/>
                    </w:rPr>
                  </w:pPr>
                  <w:r>
                    <w:rPr>
                      <w:i/>
                    </w:rPr>
                    <w:t>41.4</w:t>
                  </w:r>
                </w:p>
              </w:tc>
              <w:tc>
                <w:tcPr>
                  <w:tcW w:w="466" w:type="pct"/>
                  <w:shd w:val="clear" w:color="auto" w:fill="auto"/>
                </w:tcPr>
                <w:p w:rsidR="00745FEA" w:rsidRPr="007E59A4" w:rsidRDefault="00745FEA" w:rsidP="00745FEA">
                  <w:pPr>
                    <w:pStyle w:val="TableBodyText"/>
                    <w:spacing w:before="20" w:after="20"/>
                    <w:ind w:right="57"/>
                    <w:rPr>
                      <w:i/>
                    </w:rPr>
                  </w:pPr>
                  <w:r>
                    <w:rPr>
                      <w:i/>
                    </w:rPr>
                    <w:t>40.6</w:t>
                  </w:r>
                </w:p>
              </w:tc>
              <w:tc>
                <w:tcPr>
                  <w:tcW w:w="463" w:type="pct"/>
                  <w:shd w:val="clear" w:color="auto" w:fill="auto"/>
                </w:tcPr>
                <w:p w:rsidR="00745FEA" w:rsidRPr="007E59A4" w:rsidRDefault="00745FEA" w:rsidP="00745FEA">
                  <w:pPr>
                    <w:pStyle w:val="TableBodyText"/>
                    <w:spacing w:before="20" w:after="20"/>
                    <w:ind w:right="57"/>
                    <w:rPr>
                      <w:i/>
                    </w:rPr>
                  </w:pPr>
                  <w:r>
                    <w:rPr>
                      <w:i/>
                    </w:rPr>
                    <w:t>95.6</w:t>
                  </w:r>
                </w:p>
              </w:tc>
            </w:tr>
            <w:tr w:rsidR="00745FEA" w:rsidTr="00745FEA">
              <w:tc>
                <w:tcPr>
                  <w:tcW w:w="2204" w:type="pct"/>
                  <w:shd w:val="clear" w:color="auto" w:fill="auto"/>
                </w:tcPr>
                <w:p w:rsidR="00745FEA" w:rsidRPr="005846E8" w:rsidRDefault="00745FEA" w:rsidP="00745FEA">
                  <w:pPr>
                    <w:pStyle w:val="TableBodyText"/>
                    <w:spacing w:before="40"/>
                    <w:jc w:val="left"/>
                    <w:rPr>
                      <w:b/>
                    </w:rPr>
                  </w:pPr>
                  <w:r w:rsidRPr="005846E8">
                    <w:rPr>
                      <w:b/>
                    </w:rPr>
                    <w:t>Unallocated services</w:t>
                  </w:r>
                </w:p>
              </w:tc>
              <w:tc>
                <w:tcPr>
                  <w:tcW w:w="469" w:type="pct"/>
                  <w:vAlign w:val="bottom"/>
                </w:tcPr>
                <w:p w:rsidR="00745FEA" w:rsidRDefault="00745FEA" w:rsidP="00745FEA">
                  <w:pPr>
                    <w:pStyle w:val="TableBodyText"/>
                    <w:spacing w:before="40"/>
                    <w:ind w:right="57"/>
                  </w:pPr>
                </w:p>
              </w:tc>
              <w:tc>
                <w:tcPr>
                  <w:tcW w:w="466" w:type="pct"/>
                  <w:vAlign w:val="bottom"/>
                </w:tcPr>
                <w:p w:rsidR="00745FEA" w:rsidRDefault="00745FEA" w:rsidP="00745FEA">
                  <w:pPr>
                    <w:pStyle w:val="TableBodyText"/>
                    <w:spacing w:before="40"/>
                    <w:ind w:right="57"/>
                  </w:pPr>
                </w:p>
              </w:tc>
              <w:tc>
                <w:tcPr>
                  <w:tcW w:w="466" w:type="pct"/>
                  <w:vAlign w:val="bottom"/>
                </w:tcPr>
                <w:p w:rsidR="00745FEA" w:rsidRDefault="00745FEA" w:rsidP="00745FEA">
                  <w:pPr>
                    <w:pStyle w:val="TableBodyText"/>
                    <w:spacing w:before="40"/>
                    <w:ind w:right="57"/>
                  </w:pPr>
                </w:p>
              </w:tc>
              <w:tc>
                <w:tcPr>
                  <w:tcW w:w="466" w:type="pct"/>
                  <w:vAlign w:val="bottom"/>
                </w:tcPr>
                <w:p w:rsidR="00745FEA" w:rsidRDefault="00745FEA" w:rsidP="00745FEA">
                  <w:pPr>
                    <w:pStyle w:val="TableBodyText"/>
                    <w:spacing w:before="40"/>
                    <w:ind w:right="57"/>
                  </w:pPr>
                </w:p>
              </w:tc>
              <w:tc>
                <w:tcPr>
                  <w:tcW w:w="466" w:type="pct"/>
                  <w:shd w:val="clear" w:color="auto" w:fill="auto"/>
                  <w:vAlign w:val="bottom"/>
                </w:tcPr>
                <w:p w:rsidR="00745FEA" w:rsidRDefault="00745FEA" w:rsidP="00745FEA">
                  <w:pPr>
                    <w:pStyle w:val="TableBodyText"/>
                    <w:spacing w:before="40"/>
                    <w:ind w:right="57"/>
                  </w:pPr>
                </w:p>
              </w:tc>
              <w:tc>
                <w:tcPr>
                  <w:tcW w:w="463" w:type="pct"/>
                  <w:shd w:val="clear" w:color="auto" w:fill="auto"/>
                  <w:vAlign w:val="bottom"/>
                </w:tcPr>
                <w:p w:rsidR="00745FEA" w:rsidRDefault="00745FEA" w:rsidP="00745FEA">
                  <w:pPr>
                    <w:pStyle w:val="TableBodyText"/>
                    <w:spacing w:before="40"/>
                    <w:ind w:right="57"/>
                  </w:pPr>
                </w:p>
              </w:tc>
            </w:tr>
            <w:tr w:rsidR="00745FEA" w:rsidTr="00745FEA">
              <w:tc>
                <w:tcPr>
                  <w:tcW w:w="2204" w:type="pct"/>
                  <w:shd w:val="clear" w:color="auto" w:fill="auto"/>
                </w:tcPr>
                <w:p w:rsidR="00745FEA" w:rsidRPr="005846E8" w:rsidRDefault="00745FEA" w:rsidP="00745FEA">
                  <w:pPr>
                    <w:pStyle w:val="TableBodyText"/>
                    <w:spacing w:before="40" w:after="0"/>
                    <w:ind w:left="113"/>
                    <w:jc w:val="left"/>
                    <w:rPr>
                      <w:i/>
                    </w:rPr>
                  </w:pPr>
                  <w:r w:rsidRPr="005846E8">
                    <w:rPr>
                      <w:i/>
                    </w:rPr>
                    <w:t>General export measures</w:t>
                  </w:r>
                </w:p>
              </w:tc>
              <w:tc>
                <w:tcPr>
                  <w:tcW w:w="469" w:type="pct"/>
                  <w:vAlign w:val="bottom"/>
                </w:tcPr>
                <w:p w:rsidR="00745FEA" w:rsidRDefault="00745FEA" w:rsidP="00745FEA">
                  <w:pPr>
                    <w:pStyle w:val="TableBodyText"/>
                    <w:spacing w:before="40" w:after="0"/>
                    <w:ind w:left="113" w:right="57"/>
                  </w:pPr>
                </w:p>
              </w:tc>
              <w:tc>
                <w:tcPr>
                  <w:tcW w:w="466" w:type="pct"/>
                  <w:vAlign w:val="bottom"/>
                </w:tcPr>
                <w:p w:rsidR="00745FEA" w:rsidRDefault="00745FEA" w:rsidP="00745FEA">
                  <w:pPr>
                    <w:pStyle w:val="TableBodyText"/>
                    <w:spacing w:before="40" w:after="0"/>
                    <w:ind w:left="113" w:right="57"/>
                  </w:pPr>
                </w:p>
              </w:tc>
              <w:tc>
                <w:tcPr>
                  <w:tcW w:w="466" w:type="pct"/>
                  <w:vAlign w:val="bottom"/>
                </w:tcPr>
                <w:p w:rsidR="00745FEA" w:rsidRDefault="00745FEA" w:rsidP="00745FEA">
                  <w:pPr>
                    <w:pStyle w:val="TableBodyText"/>
                    <w:spacing w:before="40" w:after="0"/>
                    <w:ind w:left="113" w:right="57"/>
                  </w:pPr>
                </w:p>
              </w:tc>
              <w:tc>
                <w:tcPr>
                  <w:tcW w:w="466" w:type="pct"/>
                  <w:vAlign w:val="bottom"/>
                </w:tcPr>
                <w:p w:rsidR="00745FEA" w:rsidRDefault="00745FEA" w:rsidP="00745FEA">
                  <w:pPr>
                    <w:pStyle w:val="TableBodyText"/>
                    <w:spacing w:before="40" w:after="0"/>
                    <w:ind w:left="113" w:right="57"/>
                  </w:pPr>
                </w:p>
              </w:tc>
              <w:tc>
                <w:tcPr>
                  <w:tcW w:w="466" w:type="pct"/>
                  <w:shd w:val="clear" w:color="auto" w:fill="auto"/>
                  <w:vAlign w:val="bottom"/>
                </w:tcPr>
                <w:p w:rsidR="00745FEA" w:rsidRDefault="00745FEA" w:rsidP="00745FEA">
                  <w:pPr>
                    <w:pStyle w:val="TableBodyText"/>
                    <w:spacing w:before="40" w:after="0"/>
                    <w:ind w:left="113" w:right="57"/>
                  </w:pPr>
                </w:p>
              </w:tc>
              <w:tc>
                <w:tcPr>
                  <w:tcW w:w="463" w:type="pct"/>
                  <w:shd w:val="clear" w:color="auto" w:fill="auto"/>
                  <w:vAlign w:val="bottom"/>
                </w:tcPr>
                <w:p w:rsidR="00745FEA" w:rsidRDefault="00745FEA" w:rsidP="00745FEA">
                  <w:pPr>
                    <w:pStyle w:val="TableBodyText"/>
                    <w:spacing w:before="40" w:after="0"/>
                    <w:ind w:left="113" w:right="57"/>
                  </w:pPr>
                </w:p>
              </w:tc>
            </w:tr>
            <w:tr w:rsidR="00745FEA" w:rsidTr="00745FEA">
              <w:tc>
                <w:tcPr>
                  <w:tcW w:w="2204" w:type="pct"/>
                  <w:shd w:val="clear" w:color="auto" w:fill="auto"/>
                </w:tcPr>
                <w:p w:rsidR="00745FEA" w:rsidRPr="00BC4F28" w:rsidRDefault="00745FEA" w:rsidP="00745FEA">
                  <w:pPr>
                    <w:pStyle w:val="TableBodyText"/>
                    <w:spacing w:after="0"/>
                    <w:ind w:left="227" w:right="0"/>
                    <w:jc w:val="left"/>
                  </w:pPr>
                  <w:r w:rsidRPr="00BC4F28">
                    <w:t>Tourism Australia</w:t>
                  </w:r>
                </w:p>
              </w:tc>
              <w:tc>
                <w:tcPr>
                  <w:tcW w:w="469" w:type="pct"/>
                  <w:vAlign w:val="bottom"/>
                </w:tcPr>
                <w:p w:rsidR="00745FEA" w:rsidRPr="002E12F6" w:rsidRDefault="00745FEA" w:rsidP="00745FEA">
                  <w:pPr>
                    <w:pStyle w:val="TableBodyText"/>
                    <w:ind w:right="57"/>
                  </w:pPr>
                  <w:r w:rsidRPr="002E12F6">
                    <w:t>136.8</w:t>
                  </w:r>
                </w:p>
              </w:tc>
              <w:tc>
                <w:tcPr>
                  <w:tcW w:w="466" w:type="pct"/>
                  <w:vAlign w:val="bottom"/>
                </w:tcPr>
                <w:p w:rsidR="00745FEA" w:rsidRPr="002E12F6" w:rsidRDefault="00745FEA" w:rsidP="00745FEA">
                  <w:pPr>
                    <w:pStyle w:val="TableBodyText"/>
                    <w:ind w:right="57"/>
                  </w:pPr>
                  <w:r w:rsidRPr="002E12F6">
                    <w:t>129.7</w:t>
                  </w:r>
                </w:p>
              </w:tc>
              <w:tc>
                <w:tcPr>
                  <w:tcW w:w="466" w:type="pct"/>
                  <w:vAlign w:val="bottom"/>
                </w:tcPr>
                <w:p w:rsidR="00745FEA" w:rsidRPr="002E12F6" w:rsidRDefault="00745FEA" w:rsidP="00745FEA">
                  <w:pPr>
                    <w:pStyle w:val="TableBodyText"/>
                    <w:ind w:right="57"/>
                  </w:pPr>
                  <w:r w:rsidRPr="002E12F6">
                    <w:t>130.4</w:t>
                  </w:r>
                </w:p>
              </w:tc>
              <w:tc>
                <w:tcPr>
                  <w:tcW w:w="466" w:type="pct"/>
                  <w:vAlign w:val="bottom"/>
                </w:tcPr>
                <w:p w:rsidR="00745FEA" w:rsidRPr="002E12F6" w:rsidRDefault="00745FEA" w:rsidP="00745FEA">
                  <w:pPr>
                    <w:pStyle w:val="TableBodyText"/>
                    <w:ind w:right="57"/>
                  </w:pPr>
                  <w:r w:rsidRPr="002E12F6">
                    <w:t>138.9</w:t>
                  </w:r>
                </w:p>
              </w:tc>
              <w:tc>
                <w:tcPr>
                  <w:tcW w:w="466" w:type="pct"/>
                  <w:shd w:val="clear" w:color="auto" w:fill="auto"/>
                  <w:vAlign w:val="bottom"/>
                </w:tcPr>
                <w:p w:rsidR="00745FEA" w:rsidRPr="002E12F6" w:rsidRDefault="00745FEA" w:rsidP="00745FEA">
                  <w:pPr>
                    <w:pStyle w:val="TableBodyText"/>
                    <w:ind w:right="57"/>
                  </w:pPr>
                  <w:r w:rsidRPr="002E12F6">
                    <w:t>144.0</w:t>
                  </w:r>
                </w:p>
              </w:tc>
              <w:tc>
                <w:tcPr>
                  <w:tcW w:w="463" w:type="pct"/>
                  <w:shd w:val="clear" w:color="auto" w:fill="auto"/>
                  <w:vAlign w:val="bottom"/>
                </w:tcPr>
                <w:p w:rsidR="00745FEA" w:rsidRPr="002E12F6" w:rsidRDefault="00745FEA" w:rsidP="00745FEA">
                  <w:pPr>
                    <w:pStyle w:val="TableBodyText"/>
                    <w:ind w:right="57"/>
                  </w:pPr>
                  <w:r w:rsidRPr="002E12F6">
                    <w:t>140.3</w:t>
                  </w:r>
                </w:p>
              </w:tc>
            </w:tr>
            <w:tr w:rsidR="00745FEA" w:rsidTr="00745FEA">
              <w:tc>
                <w:tcPr>
                  <w:tcW w:w="2204" w:type="pct"/>
                  <w:shd w:val="clear" w:color="auto" w:fill="auto"/>
                </w:tcPr>
                <w:p w:rsidR="00745FEA" w:rsidRPr="002B0D0D" w:rsidRDefault="00745FEA" w:rsidP="00745FEA">
                  <w:pPr>
                    <w:pStyle w:val="TableBodyText"/>
                    <w:spacing w:before="40" w:after="0"/>
                    <w:ind w:left="113"/>
                    <w:jc w:val="left"/>
                    <w:rPr>
                      <w:i/>
                    </w:rPr>
                  </w:pPr>
                  <w:r w:rsidRPr="002B0D0D">
                    <w:rPr>
                      <w:i/>
                    </w:rPr>
                    <w:t>General R&amp;D measures</w:t>
                  </w:r>
                </w:p>
              </w:tc>
              <w:tc>
                <w:tcPr>
                  <w:tcW w:w="469" w:type="pct"/>
                  <w:vAlign w:val="bottom"/>
                </w:tcPr>
                <w:p w:rsidR="00745FEA" w:rsidRPr="002E12F6" w:rsidRDefault="00745FEA" w:rsidP="00745FEA">
                  <w:pPr>
                    <w:pStyle w:val="TableBodyText"/>
                    <w:ind w:right="57"/>
                  </w:pPr>
                </w:p>
              </w:tc>
              <w:tc>
                <w:tcPr>
                  <w:tcW w:w="466" w:type="pct"/>
                  <w:vAlign w:val="bottom"/>
                </w:tcPr>
                <w:p w:rsidR="00745FEA" w:rsidRPr="002E12F6" w:rsidRDefault="00745FEA" w:rsidP="00745FEA">
                  <w:pPr>
                    <w:pStyle w:val="TableBodyText"/>
                    <w:ind w:right="57"/>
                  </w:pPr>
                </w:p>
              </w:tc>
              <w:tc>
                <w:tcPr>
                  <w:tcW w:w="466" w:type="pct"/>
                  <w:vAlign w:val="bottom"/>
                </w:tcPr>
                <w:p w:rsidR="00745FEA" w:rsidRPr="002E12F6" w:rsidRDefault="00745FEA" w:rsidP="00745FEA">
                  <w:pPr>
                    <w:pStyle w:val="TableBodyText"/>
                    <w:ind w:right="57"/>
                  </w:pPr>
                </w:p>
              </w:tc>
              <w:tc>
                <w:tcPr>
                  <w:tcW w:w="466" w:type="pct"/>
                  <w:vAlign w:val="bottom"/>
                </w:tcPr>
                <w:p w:rsidR="00745FEA" w:rsidRPr="002E12F6" w:rsidRDefault="00745FEA" w:rsidP="00745FEA">
                  <w:pPr>
                    <w:pStyle w:val="TableBodyText"/>
                    <w:ind w:right="57"/>
                  </w:pPr>
                </w:p>
              </w:tc>
              <w:tc>
                <w:tcPr>
                  <w:tcW w:w="466" w:type="pct"/>
                  <w:shd w:val="clear" w:color="auto" w:fill="auto"/>
                  <w:vAlign w:val="bottom"/>
                </w:tcPr>
                <w:p w:rsidR="00745FEA" w:rsidRPr="002E12F6" w:rsidRDefault="00745FEA" w:rsidP="00745FEA">
                  <w:pPr>
                    <w:pStyle w:val="TableBodyText"/>
                    <w:ind w:right="57"/>
                  </w:pPr>
                </w:p>
              </w:tc>
              <w:tc>
                <w:tcPr>
                  <w:tcW w:w="463" w:type="pct"/>
                  <w:shd w:val="clear" w:color="auto" w:fill="auto"/>
                  <w:vAlign w:val="bottom"/>
                </w:tcPr>
                <w:p w:rsidR="00745FEA" w:rsidRPr="002E12F6" w:rsidRDefault="00745FEA" w:rsidP="00745FEA">
                  <w:pPr>
                    <w:pStyle w:val="TableBodyText"/>
                    <w:ind w:right="57"/>
                  </w:pPr>
                </w:p>
              </w:tc>
            </w:tr>
            <w:tr w:rsidR="00745FEA" w:rsidTr="00745FEA">
              <w:tc>
                <w:tcPr>
                  <w:tcW w:w="2204" w:type="pct"/>
                  <w:shd w:val="clear" w:color="auto" w:fill="auto"/>
                </w:tcPr>
                <w:p w:rsidR="00745FEA" w:rsidRPr="00420824" w:rsidRDefault="00745FEA" w:rsidP="00745FEA">
                  <w:pPr>
                    <w:pStyle w:val="TableBodyText"/>
                    <w:spacing w:after="0"/>
                    <w:ind w:left="227" w:right="0"/>
                    <w:jc w:val="left"/>
                  </w:pPr>
                  <w:r w:rsidRPr="00420824">
                    <w:t>CSIRO</w:t>
                  </w:r>
                </w:p>
              </w:tc>
              <w:tc>
                <w:tcPr>
                  <w:tcW w:w="469" w:type="pct"/>
                  <w:vAlign w:val="bottom"/>
                </w:tcPr>
                <w:p w:rsidR="00745FEA" w:rsidRPr="002E12F6" w:rsidRDefault="00745FEA" w:rsidP="00745FEA">
                  <w:pPr>
                    <w:pStyle w:val="TableBodyText"/>
                    <w:ind w:right="57"/>
                  </w:pPr>
                  <w:r w:rsidRPr="002E12F6">
                    <w:t>1.3</w:t>
                  </w:r>
                </w:p>
              </w:tc>
              <w:tc>
                <w:tcPr>
                  <w:tcW w:w="466" w:type="pct"/>
                  <w:vAlign w:val="bottom"/>
                </w:tcPr>
                <w:p w:rsidR="00745FEA" w:rsidRPr="002E12F6" w:rsidRDefault="00745FEA" w:rsidP="00745FEA">
                  <w:pPr>
                    <w:pStyle w:val="TableBodyText"/>
                    <w:ind w:right="57"/>
                  </w:pPr>
                  <w:r w:rsidRPr="002E12F6">
                    <w:t>1.2</w:t>
                  </w:r>
                </w:p>
              </w:tc>
              <w:tc>
                <w:tcPr>
                  <w:tcW w:w="466" w:type="pct"/>
                  <w:vAlign w:val="bottom"/>
                </w:tcPr>
                <w:p w:rsidR="00745FEA" w:rsidRPr="002E12F6" w:rsidRDefault="00745FEA" w:rsidP="00745FEA">
                  <w:pPr>
                    <w:pStyle w:val="TableBodyText"/>
                    <w:ind w:right="57"/>
                  </w:pPr>
                  <w:r w:rsidRPr="002E12F6">
                    <w:t>1.3</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2.2</w:t>
                  </w:r>
                </w:p>
              </w:tc>
            </w:tr>
            <w:tr w:rsidR="00745FEA" w:rsidTr="00745FEA">
              <w:tc>
                <w:tcPr>
                  <w:tcW w:w="2204" w:type="pct"/>
                  <w:shd w:val="clear" w:color="auto" w:fill="auto"/>
                </w:tcPr>
                <w:p w:rsidR="00745FEA" w:rsidRPr="002B0D0D" w:rsidRDefault="00745FEA" w:rsidP="00745FEA">
                  <w:pPr>
                    <w:pStyle w:val="TableBodyText"/>
                    <w:spacing w:before="40" w:after="0"/>
                    <w:ind w:left="113"/>
                    <w:jc w:val="left"/>
                    <w:rPr>
                      <w:i/>
                    </w:rPr>
                  </w:pPr>
                  <w:r w:rsidRPr="002B0D0D">
                    <w:rPr>
                      <w:i/>
                    </w:rPr>
                    <w:t>Other measures</w:t>
                  </w:r>
                </w:p>
              </w:tc>
              <w:tc>
                <w:tcPr>
                  <w:tcW w:w="469" w:type="pct"/>
                  <w:vAlign w:val="bottom"/>
                </w:tcPr>
                <w:p w:rsidR="00745FEA" w:rsidRPr="002E12F6" w:rsidRDefault="00745FEA" w:rsidP="00745FEA">
                  <w:pPr>
                    <w:pStyle w:val="TableBodyText"/>
                    <w:ind w:right="57"/>
                  </w:pPr>
                </w:p>
              </w:tc>
              <w:tc>
                <w:tcPr>
                  <w:tcW w:w="466" w:type="pct"/>
                  <w:vAlign w:val="bottom"/>
                </w:tcPr>
                <w:p w:rsidR="00745FEA" w:rsidRPr="002E12F6" w:rsidRDefault="00745FEA" w:rsidP="00745FEA">
                  <w:pPr>
                    <w:pStyle w:val="TableBodyText"/>
                    <w:ind w:right="57"/>
                  </w:pPr>
                </w:p>
              </w:tc>
              <w:tc>
                <w:tcPr>
                  <w:tcW w:w="466" w:type="pct"/>
                  <w:vAlign w:val="bottom"/>
                </w:tcPr>
                <w:p w:rsidR="00745FEA" w:rsidRPr="002E12F6" w:rsidRDefault="00745FEA" w:rsidP="00745FEA">
                  <w:pPr>
                    <w:pStyle w:val="TableBodyText"/>
                    <w:ind w:right="57"/>
                  </w:pPr>
                </w:p>
              </w:tc>
              <w:tc>
                <w:tcPr>
                  <w:tcW w:w="466" w:type="pct"/>
                  <w:vAlign w:val="bottom"/>
                </w:tcPr>
                <w:p w:rsidR="00745FEA" w:rsidRPr="002E12F6" w:rsidRDefault="00745FEA" w:rsidP="00745FEA">
                  <w:pPr>
                    <w:pStyle w:val="TableBodyText"/>
                    <w:ind w:right="57"/>
                  </w:pPr>
                </w:p>
              </w:tc>
              <w:tc>
                <w:tcPr>
                  <w:tcW w:w="466" w:type="pct"/>
                  <w:shd w:val="clear" w:color="auto" w:fill="auto"/>
                  <w:vAlign w:val="bottom"/>
                </w:tcPr>
                <w:p w:rsidR="00745FEA" w:rsidRPr="002E12F6" w:rsidRDefault="00745FEA" w:rsidP="00745FEA">
                  <w:pPr>
                    <w:pStyle w:val="TableBodyText"/>
                    <w:ind w:right="57"/>
                  </w:pPr>
                </w:p>
              </w:tc>
              <w:tc>
                <w:tcPr>
                  <w:tcW w:w="463" w:type="pct"/>
                  <w:shd w:val="clear" w:color="auto" w:fill="auto"/>
                  <w:vAlign w:val="bottom"/>
                </w:tcPr>
                <w:p w:rsidR="00745FEA" w:rsidRPr="002E12F6" w:rsidRDefault="00745FEA" w:rsidP="00745FEA">
                  <w:pPr>
                    <w:pStyle w:val="TableBodyText"/>
                    <w:ind w:right="57"/>
                  </w:pPr>
                </w:p>
              </w:tc>
            </w:tr>
            <w:tr w:rsidR="00745FEA" w:rsidTr="00745FEA">
              <w:tc>
                <w:tcPr>
                  <w:tcW w:w="2204" w:type="pct"/>
                  <w:shd w:val="clear" w:color="auto" w:fill="auto"/>
                </w:tcPr>
                <w:p w:rsidR="00745FEA" w:rsidRPr="00D23EBE" w:rsidRDefault="00745FEA" w:rsidP="00745FEA">
                  <w:pPr>
                    <w:pStyle w:val="TableBodyText"/>
                    <w:spacing w:after="0"/>
                    <w:ind w:left="227" w:right="0"/>
                    <w:jc w:val="left"/>
                  </w:pPr>
                  <w:r w:rsidRPr="00D23EBE">
                    <w:t>Clean Business Australia - Green Building Fund</w:t>
                  </w:r>
                </w:p>
              </w:tc>
              <w:tc>
                <w:tcPr>
                  <w:tcW w:w="469" w:type="pct"/>
                  <w:vAlign w:val="bottom"/>
                </w:tcPr>
                <w:p w:rsidR="00745FEA" w:rsidRPr="002E12F6" w:rsidRDefault="00745FEA" w:rsidP="00745FEA">
                  <w:pPr>
                    <w:pStyle w:val="TableBodyText"/>
                    <w:ind w:right="57"/>
                  </w:pPr>
                  <w:r w:rsidRPr="002E12F6">
                    <w:t>31.9</w:t>
                  </w:r>
                </w:p>
              </w:tc>
              <w:tc>
                <w:tcPr>
                  <w:tcW w:w="466" w:type="pct"/>
                  <w:vAlign w:val="bottom"/>
                </w:tcPr>
                <w:p w:rsidR="00745FEA" w:rsidRPr="002E12F6" w:rsidRDefault="00745FEA" w:rsidP="00745FEA">
                  <w:pPr>
                    <w:pStyle w:val="TableBodyText"/>
                    <w:ind w:right="57"/>
                  </w:pPr>
                  <w:r w:rsidRPr="002E12F6">
                    <w:t>24.7</w:t>
                  </w:r>
                </w:p>
              </w:tc>
              <w:tc>
                <w:tcPr>
                  <w:tcW w:w="466" w:type="pct"/>
                  <w:vAlign w:val="bottom"/>
                </w:tcPr>
                <w:p w:rsidR="00745FEA" w:rsidRPr="002E12F6" w:rsidRDefault="00745FEA" w:rsidP="00745FEA">
                  <w:pPr>
                    <w:pStyle w:val="TableBodyText"/>
                    <w:ind w:right="57"/>
                  </w:pPr>
                  <w:r w:rsidRPr="002E12F6">
                    <w:t>6.0</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Tr="00745FEA">
              <w:tc>
                <w:tcPr>
                  <w:tcW w:w="2204" w:type="pct"/>
                  <w:shd w:val="clear" w:color="auto" w:fill="auto"/>
                </w:tcPr>
                <w:p w:rsidR="00745FEA" w:rsidRPr="00D23EBE" w:rsidRDefault="00745FEA" w:rsidP="00745FEA">
                  <w:pPr>
                    <w:pStyle w:val="TableBodyText"/>
                    <w:spacing w:after="0"/>
                    <w:ind w:left="227" w:right="0"/>
                    <w:jc w:val="left"/>
                  </w:pPr>
                  <w:r w:rsidRPr="00D23EBE">
                    <w:t>Tourism Industry Regional Development</w:t>
                  </w:r>
                </w:p>
              </w:tc>
              <w:tc>
                <w:tcPr>
                  <w:tcW w:w="469"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7.0</w:t>
                  </w:r>
                </w:p>
              </w:tc>
              <w:tc>
                <w:tcPr>
                  <w:tcW w:w="466" w:type="pct"/>
                  <w:vAlign w:val="bottom"/>
                </w:tcPr>
                <w:p w:rsidR="00745FEA" w:rsidRPr="002E12F6" w:rsidRDefault="00745FEA" w:rsidP="00745FEA">
                  <w:pPr>
                    <w:pStyle w:val="TableBodyText"/>
                    <w:ind w:right="57"/>
                  </w:pPr>
                  <w:r w:rsidRPr="002E12F6">
                    <w:t>9.9</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Tr="00745FEA">
              <w:tc>
                <w:tcPr>
                  <w:tcW w:w="2204" w:type="pct"/>
                  <w:shd w:val="clear" w:color="auto" w:fill="auto"/>
                </w:tcPr>
                <w:p w:rsidR="00745FEA" w:rsidRPr="00D23EBE" w:rsidRDefault="00745FEA" w:rsidP="00745FEA">
                  <w:pPr>
                    <w:pStyle w:val="TableBodyText"/>
                    <w:spacing w:after="0"/>
                    <w:ind w:left="227" w:right="0"/>
                    <w:jc w:val="left"/>
                  </w:pPr>
                  <w:r w:rsidRPr="00D23EBE">
                    <w:t>Tasmanian Jobs and Investment Fund</w:t>
                  </w:r>
                </w:p>
              </w:tc>
              <w:tc>
                <w:tcPr>
                  <w:tcW w:w="469"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0.1</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Tr="00745FEA">
              <w:tc>
                <w:tcPr>
                  <w:tcW w:w="2204" w:type="pct"/>
                  <w:shd w:val="clear" w:color="auto" w:fill="auto"/>
                </w:tcPr>
                <w:p w:rsidR="00745FEA" w:rsidRPr="00D23EBE" w:rsidRDefault="00745FEA" w:rsidP="00745FEA">
                  <w:pPr>
                    <w:pStyle w:val="TableBodyText"/>
                    <w:spacing w:after="0"/>
                    <w:ind w:left="227" w:right="0"/>
                    <w:jc w:val="left"/>
                  </w:pPr>
                  <w:r w:rsidRPr="00D23EBE">
                    <w:t>TQUAL Grants</w:t>
                  </w:r>
                </w:p>
              </w:tc>
              <w:tc>
                <w:tcPr>
                  <w:tcW w:w="469" w:type="pct"/>
                  <w:vAlign w:val="bottom"/>
                </w:tcPr>
                <w:p w:rsidR="00745FEA" w:rsidRPr="002E12F6" w:rsidRDefault="00745FEA" w:rsidP="00745FEA">
                  <w:pPr>
                    <w:pStyle w:val="TableBodyText"/>
                    <w:ind w:right="57"/>
                  </w:pPr>
                  <w:r w:rsidRPr="002E12F6">
                    <w:t>9.0</w:t>
                  </w:r>
                </w:p>
              </w:tc>
              <w:tc>
                <w:tcPr>
                  <w:tcW w:w="466" w:type="pct"/>
                  <w:vAlign w:val="bottom"/>
                </w:tcPr>
                <w:p w:rsidR="00745FEA" w:rsidRPr="002E12F6" w:rsidRDefault="00745FEA" w:rsidP="00745FEA">
                  <w:pPr>
                    <w:pStyle w:val="TableBodyText"/>
                    <w:ind w:right="57"/>
                  </w:pPr>
                  <w:r w:rsidRPr="002E12F6">
                    <w:t>8.3</w:t>
                  </w:r>
                </w:p>
              </w:tc>
              <w:tc>
                <w:tcPr>
                  <w:tcW w:w="466" w:type="pct"/>
                  <w:vAlign w:val="bottom"/>
                </w:tcPr>
                <w:p w:rsidR="00745FEA" w:rsidRPr="002E12F6" w:rsidRDefault="00745FEA" w:rsidP="00745FEA">
                  <w:pPr>
                    <w:pStyle w:val="TableBodyText"/>
                    <w:ind w:right="57"/>
                  </w:pPr>
                  <w:r w:rsidRPr="002E12F6">
                    <w:t>9.3</w:t>
                  </w:r>
                </w:p>
              </w:tc>
              <w:tc>
                <w:tcPr>
                  <w:tcW w:w="466" w:type="pct"/>
                  <w:vAlign w:val="bottom"/>
                </w:tcPr>
                <w:p w:rsidR="00745FEA" w:rsidRPr="002E12F6" w:rsidRDefault="00745FEA" w:rsidP="00745FEA">
                  <w:pPr>
                    <w:pStyle w:val="TableBodyText"/>
                    <w:ind w:right="57"/>
                  </w:pPr>
                  <w:r w:rsidRPr="002E12F6">
                    <w:t>–</w:t>
                  </w:r>
                </w:p>
              </w:tc>
              <w:tc>
                <w:tcPr>
                  <w:tcW w:w="466" w:type="pct"/>
                  <w:shd w:val="clear" w:color="auto" w:fill="auto"/>
                  <w:vAlign w:val="bottom"/>
                </w:tcPr>
                <w:p w:rsidR="00745FEA" w:rsidRPr="002E12F6" w:rsidRDefault="00745FEA" w:rsidP="00745FEA">
                  <w:pPr>
                    <w:pStyle w:val="TableBodyText"/>
                    <w:ind w:right="57"/>
                  </w:pPr>
                  <w:r w:rsidRPr="002E12F6">
                    <w:t>–</w:t>
                  </w:r>
                </w:p>
              </w:tc>
              <w:tc>
                <w:tcPr>
                  <w:tcW w:w="463" w:type="pct"/>
                  <w:shd w:val="clear" w:color="auto" w:fill="auto"/>
                  <w:vAlign w:val="bottom"/>
                </w:tcPr>
                <w:p w:rsidR="00745FEA" w:rsidRPr="002E12F6" w:rsidRDefault="00745FEA" w:rsidP="00745FEA">
                  <w:pPr>
                    <w:pStyle w:val="TableBodyText"/>
                    <w:ind w:right="57"/>
                  </w:pPr>
                  <w:r w:rsidRPr="002E12F6">
                    <w:t>–</w:t>
                  </w:r>
                </w:p>
              </w:tc>
            </w:tr>
            <w:tr w:rsidR="00745FEA" w:rsidRPr="002B0D0D" w:rsidTr="00745FEA">
              <w:tc>
                <w:tcPr>
                  <w:tcW w:w="2204" w:type="pct"/>
                  <w:shd w:val="clear" w:color="auto" w:fill="auto"/>
                </w:tcPr>
                <w:p w:rsidR="00745FEA" w:rsidRPr="002B0D0D" w:rsidRDefault="00745FEA" w:rsidP="00745FEA">
                  <w:pPr>
                    <w:pStyle w:val="TableBodyText"/>
                    <w:spacing w:before="20" w:after="20"/>
                    <w:jc w:val="left"/>
                    <w:rPr>
                      <w:i/>
                    </w:rPr>
                  </w:pPr>
                  <w:r>
                    <w:rPr>
                      <w:i/>
                    </w:rPr>
                    <w:t>Total</w:t>
                  </w:r>
                </w:p>
              </w:tc>
              <w:tc>
                <w:tcPr>
                  <w:tcW w:w="469" w:type="pct"/>
                  <w:vAlign w:val="bottom"/>
                </w:tcPr>
                <w:p w:rsidR="00745FEA" w:rsidRPr="00970906" w:rsidRDefault="00745FEA" w:rsidP="00745FEA">
                  <w:pPr>
                    <w:pStyle w:val="TableBodyText"/>
                    <w:spacing w:before="20" w:after="20"/>
                    <w:ind w:right="57"/>
                    <w:rPr>
                      <w:i/>
                    </w:rPr>
                  </w:pPr>
                  <w:r>
                    <w:rPr>
                      <w:i/>
                    </w:rPr>
                    <w:t>179.0</w:t>
                  </w:r>
                </w:p>
              </w:tc>
              <w:tc>
                <w:tcPr>
                  <w:tcW w:w="466" w:type="pct"/>
                  <w:vAlign w:val="bottom"/>
                </w:tcPr>
                <w:p w:rsidR="00745FEA" w:rsidRPr="00970906" w:rsidRDefault="00745FEA" w:rsidP="00745FEA">
                  <w:pPr>
                    <w:pStyle w:val="TableBodyText"/>
                    <w:spacing w:before="20" w:after="20"/>
                    <w:ind w:right="57"/>
                    <w:rPr>
                      <w:i/>
                    </w:rPr>
                  </w:pPr>
                  <w:r>
                    <w:rPr>
                      <w:i/>
                    </w:rPr>
                    <w:t>170.8</w:t>
                  </w:r>
                </w:p>
              </w:tc>
              <w:tc>
                <w:tcPr>
                  <w:tcW w:w="466" w:type="pct"/>
                  <w:vAlign w:val="bottom"/>
                </w:tcPr>
                <w:p w:rsidR="00745FEA" w:rsidRPr="00970906" w:rsidRDefault="00745FEA" w:rsidP="00745FEA">
                  <w:pPr>
                    <w:pStyle w:val="TableBodyText"/>
                    <w:spacing w:before="20" w:after="20"/>
                    <w:ind w:right="57"/>
                    <w:rPr>
                      <w:i/>
                    </w:rPr>
                  </w:pPr>
                  <w:r>
                    <w:rPr>
                      <w:i/>
                    </w:rPr>
                    <w:t>156.8</w:t>
                  </w:r>
                </w:p>
              </w:tc>
              <w:tc>
                <w:tcPr>
                  <w:tcW w:w="466" w:type="pct"/>
                  <w:vAlign w:val="bottom"/>
                </w:tcPr>
                <w:p w:rsidR="00745FEA" w:rsidRPr="00970906" w:rsidRDefault="00745FEA" w:rsidP="00745FEA">
                  <w:pPr>
                    <w:pStyle w:val="TableBodyText"/>
                    <w:spacing w:before="20" w:after="20"/>
                    <w:ind w:right="57"/>
                    <w:rPr>
                      <w:i/>
                    </w:rPr>
                  </w:pPr>
                  <w:r>
                    <w:rPr>
                      <w:i/>
                    </w:rPr>
                    <w:t>138.9</w:t>
                  </w:r>
                </w:p>
              </w:tc>
              <w:tc>
                <w:tcPr>
                  <w:tcW w:w="466" w:type="pct"/>
                  <w:shd w:val="clear" w:color="auto" w:fill="auto"/>
                  <w:vAlign w:val="bottom"/>
                </w:tcPr>
                <w:p w:rsidR="00745FEA" w:rsidRPr="00970906" w:rsidRDefault="00745FEA" w:rsidP="00745FEA">
                  <w:pPr>
                    <w:pStyle w:val="TableBodyText"/>
                    <w:spacing w:before="20" w:after="20"/>
                    <w:ind w:right="57"/>
                    <w:rPr>
                      <w:i/>
                    </w:rPr>
                  </w:pPr>
                  <w:r>
                    <w:rPr>
                      <w:i/>
                    </w:rPr>
                    <w:t>144.1</w:t>
                  </w:r>
                </w:p>
              </w:tc>
              <w:tc>
                <w:tcPr>
                  <w:tcW w:w="463" w:type="pct"/>
                  <w:shd w:val="clear" w:color="auto" w:fill="auto"/>
                  <w:vAlign w:val="bottom"/>
                </w:tcPr>
                <w:p w:rsidR="00745FEA" w:rsidRPr="00970906" w:rsidRDefault="00745FEA" w:rsidP="00745FEA">
                  <w:pPr>
                    <w:pStyle w:val="TableBodyText"/>
                    <w:spacing w:before="20" w:after="20"/>
                    <w:ind w:right="57"/>
                    <w:rPr>
                      <w:i/>
                    </w:rPr>
                  </w:pPr>
                  <w:r>
                    <w:rPr>
                      <w:i/>
                    </w:rPr>
                    <w:t>142.4</w:t>
                  </w:r>
                </w:p>
              </w:tc>
            </w:tr>
            <w:tr w:rsidR="00745FEA" w:rsidTr="00745FEA">
              <w:tc>
                <w:tcPr>
                  <w:tcW w:w="2204" w:type="pct"/>
                  <w:shd w:val="clear" w:color="auto" w:fill="auto"/>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outlays</w:t>
                  </w:r>
                </w:p>
              </w:tc>
              <w:tc>
                <w:tcPr>
                  <w:tcW w:w="469" w:type="pct"/>
                  <w:vAlign w:val="center"/>
                </w:tcPr>
                <w:p w:rsidR="00745FEA" w:rsidRPr="002C2A0F" w:rsidRDefault="00745FEA" w:rsidP="00745FEA">
                  <w:pPr>
                    <w:pStyle w:val="TableBodyText"/>
                    <w:ind w:right="57"/>
                    <w:rPr>
                      <w:b/>
                    </w:rPr>
                  </w:pPr>
                  <w:r>
                    <w:rPr>
                      <w:b/>
                    </w:rPr>
                    <w:t>2247.6</w:t>
                  </w:r>
                </w:p>
              </w:tc>
              <w:tc>
                <w:tcPr>
                  <w:tcW w:w="466" w:type="pct"/>
                  <w:vAlign w:val="center"/>
                </w:tcPr>
                <w:p w:rsidR="00745FEA" w:rsidRPr="002C2A0F" w:rsidRDefault="00745FEA" w:rsidP="00745FEA">
                  <w:pPr>
                    <w:pStyle w:val="TableBodyText"/>
                    <w:ind w:right="57"/>
                    <w:rPr>
                      <w:b/>
                    </w:rPr>
                  </w:pPr>
                  <w:r>
                    <w:rPr>
                      <w:b/>
                    </w:rPr>
                    <w:t>1816.1</w:t>
                  </w:r>
                </w:p>
              </w:tc>
              <w:tc>
                <w:tcPr>
                  <w:tcW w:w="466" w:type="pct"/>
                  <w:vAlign w:val="center"/>
                </w:tcPr>
                <w:p w:rsidR="00745FEA" w:rsidRPr="007E59A4" w:rsidRDefault="00745FEA" w:rsidP="00745FEA">
                  <w:pPr>
                    <w:pStyle w:val="TableBodyText"/>
                    <w:ind w:right="57"/>
                    <w:rPr>
                      <w:b/>
                    </w:rPr>
                  </w:pPr>
                  <w:r>
                    <w:rPr>
                      <w:b/>
                    </w:rPr>
                    <w:t>1806.6</w:t>
                  </w:r>
                </w:p>
              </w:tc>
              <w:tc>
                <w:tcPr>
                  <w:tcW w:w="466" w:type="pct"/>
                  <w:vAlign w:val="center"/>
                </w:tcPr>
                <w:p w:rsidR="00745FEA" w:rsidRPr="007E59A4" w:rsidRDefault="00745FEA" w:rsidP="00745FEA">
                  <w:pPr>
                    <w:pStyle w:val="TableBodyText"/>
                    <w:ind w:right="57"/>
                    <w:rPr>
                      <w:b/>
                    </w:rPr>
                  </w:pPr>
                  <w:r>
                    <w:rPr>
                      <w:b/>
                    </w:rPr>
                    <w:t>2153.7</w:t>
                  </w:r>
                </w:p>
              </w:tc>
              <w:tc>
                <w:tcPr>
                  <w:tcW w:w="466" w:type="pct"/>
                  <w:shd w:val="clear" w:color="auto" w:fill="auto"/>
                  <w:vAlign w:val="center"/>
                </w:tcPr>
                <w:p w:rsidR="00745FEA" w:rsidRPr="007E59A4" w:rsidRDefault="00745FEA" w:rsidP="00745FEA">
                  <w:pPr>
                    <w:pStyle w:val="TableBodyText"/>
                    <w:ind w:right="57"/>
                    <w:rPr>
                      <w:b/>
                    </w:rPr>
                  </w:pPr>
                  <w:r>
                    <w:rPr>
                      <w:b/>
                    </w:rPr>
                    <w:t>2170.1</w:t>
                  </w:r>
                </w:p>
              </w:tc>
              <w:tc>
                <w:tcPr>
                  <w:tcW w:w="463" w:type="pct"/>
                  <w:shd w:val="clear" w:color="auto" w:fill="auto"/>
                  <w:vAlign w:val="center"/>
                </w:tcPr>
                <w:p w:rsidR="00745FEA" w:rsidRPr="007E59A4" w:rsidRDefault="00745FEA" w:rsidP="00745FEA">
                  <w:pPr>
                    <w:pStyle w:val="TableBodyText"/>
                    <w:ind w:right="57"/>
                    <w:rPr>
                      <w:b/>
                    </w:rPr>
                  </w:pPr>
                  <w:r>
                    <w:rPr>
                      <w:b/>
                    </w:rPr>
                    <w:t>2634.1</w:t>
                  </w:r>
                </w:p>
              </w:tc>
            </w:tr>
            <w:tr w:rsidR="00745FEA" w:rsidTr="00745FEA">
              <w:tc>
                <w:tcPr>
                  <w:tcW w:w="2204" w:type="pct"/>
                  <w:shd w:val="clear" w:color="auto" w:fill="auto"/>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tax concessions</w:t>
                  </w:r>
                </w:p>
              </w:tc>
              <w:tc>
                <w:tcPr>
                  <w:tcW w:w="469" w:type="pct"/>
                  <w:vAlign w:val="center"/>
                </w:tcPr>
                <w:p w:rsidR="00745FEA" w:rsidRPr="002C2A0F" w:rsidRDefault="00745FEA" w:rsidP="00745FEA">
                  <w:pPr>
                    <w:pStyle w:val="TableBodyText"/>
                    <w:ind w:right="57"/>
                    <w:rPr>
                      <w:b/>
                    </w:rPr>
                  </w:pPr>
                  <w:r>
                    <w:rPr>
                      <w:b/>
                    </w:rPr>
                    <w:t>2835.4</w:t>
                  </w:r>
                </w:p>
              </w:tc>
              <w:tc>
                <w:tcPr>
                  <w:tcW w:w="466" w:type="pct"/>
                  <w:vAlign w:val="center"/>
                </w:tcPr>
                <w:p w:rsidR="00745FEA" w:rsidRPr="002C2A0F" w:rsidRDefault="00745FEA" w:rsidP="00745FEA">
                  <w:pPr>
                    <w:pStyle w:val="TableBodyText"/>
                    <w:ind w:right="57"/>
                    <w:rPr>
                      <w:b/>
                    </w:rPr>
                  </w:pPr>
                  <w:r>
                    <w:rPr>
                      <w:b/>
                    </w:rPr>
                    <w:t>2436.8</w:t>
                  </w:r>
                </w:p>
              </w:tc>
              <w:tc>
                <w:tcPr>
                  <w:tcW w:w="466" w:type="pct"/>
                  <w:vAlign w:val="center"/>
                </w:tcPr>
                <w:p w:rsidR="00745FEA" w:rsidRPr="007E59A4" w:rsidRDefault="00745FEA" w:rsidP="00745FEA">
                  <w:pPr>
                    <w:pStyle w:val="TableBodyText"/>
                    <w:ind w:right="57"/>
                    <w:rPr>
                      <w:b/>
                    </w:rPr>
                  </w:pPr>
                  <w:r>
                    <w:rPr>
                      <w:b/>
                    </w:rPr>
                    <w:t>2158.4</w:t>
                  </w:r>
                </w:p>
              </w:tc>
              <w:tc>
                <w:tcPr>
                  <w:tcW w:w="466" w:type="pct"/>
                  <w:vAlign w:val="center"/>
                </w:tcPr>
                <w:p w:rsidR="00745FEA" w:rsidRPr="007E59A4" w:rsidRDefault="00745FEA" w:rsidP="00745FEA">
                  <w:pPr>
                    <w:pStyle w:val="TableBodyText"/>
                    <w:ind w:right="57"/>
                    <w:rPr>
                      <w:b/>
                    </w:rPr>
                  </w:pPr>
                  <w:r>
                    <w:rPr>
                      <w:b/>
                    </w:rPr>
                    <w:t>1952.1</w:t>
                  </w:r>
                </w:p>
              </w:tc>
              <w:tc>
                <w:tcPr>
                  <w:tcW w:w="466" w:type="pct"/>
                  <w:shd w:val="clear" w:color="auto" w:fill="auto"/>
                  <w:vAlign w:val="center"/>
                </w:tcPr>
                <w:p w:rsidR="00745FEA" w:rsidRPr="007E59A4" w:rsidRDefault="00745FEA" w:rsidP="00745FEA">
                  <w:pPr>
                    <w:pStyle w:val="TableBodyText"/>
                    <w:ind w:right="57"/>
                    <w:rPr>
                      <w:b/>
                    </w:rPr>
                  </w:pPr>
                  <w:r>
                    <w:rPr>
                      <w:b/>
                    </w:rPr>
                    <w:t>2057.4</w:t>
                  </w:r>
                </w:p>
              </w:tc>
              <w:tc>
                <w:tcPr>
                  <w:tcW w:w="463" w:type="pct"/>
                  <w:shd w:val="clear" w:color="auto" w:fill="auto"/>
                  <w:vAlign w:val="center"/>
                </w:tcPr>
                <w:p w:rsidR="00745FEA" w:rsidRPr="007E59A4" w:rsidRDefault="00745FEA" w:rsidP="00745FEA">
                  <w:pPr>
                    <w:pStyle w:val="TableBodyText"/>
                    <w:ind w:right="57"/>
                    <w:rPr>
                      <w:b/>
                    </w:rPr>
                  </w:pPr>
                  <w:r>
                    <w:rPr>
                      <w:b/>
                    </w:rPr>
                    <w:t>2843.9</w:t>
                  </w:r>
                </w:p>
              </w:tc>
            </w:tr>
            <w:tr w:rsidR="00745FEA" w:rsidTr="00745FEA">
              <w:tc>
                <w:tcPr>
                  <w:tcW w:w="2204" w:type="pct"/>
                  <w:tcBorders>
                    <w:bottom w:val="single" w:sz="6" w:space="0" w:color="BFBFBF"/>
                  </w:tcBorders>
                  <w:shd w:val="clear" w:color="auto" w:fill="auto"/>
                  <w:vAlign w:val="center"/>
                </w:tcPr>
                <w:p w:rsidR="00745FEA" w:rsidRPr="002B0D0D" w:rsidRDefault="00745FEA" w:rsidP="00745FEA">
                  <w:pPr>
                    <w:spacing w:before="80" w:after="40"/>
                    <w:rPr>
                      <w:rFonts w:ascii="Arial" w:hAnsi="Arial" w:cs="Arial"/>
                      <w:b/>
                      <w:sz w:val="18"/>
                      <w:szCs w:val="18"/>
                    </w:rPr>
                  </w:pPr>
                  <w:r w:rsidRPr="002B0D0D">
                    <w:rPr>
                      <w:rFonts w:ascii="Arial" w:hAnsi="Arial" w:cs="Arial"/>
                      <w:b/>
                      <w:sz w:val="18"/>
                      <w:szCs w:val="18"/>
                    </w:rPr>
                    <w:t>Total budgetary assistance</w:t>
                  </w:r>
                </w:p>
              </w:tc>
              <w:tc>
                <w:tcPr>
                  <w:tcW w:w="469" w:type="pct"/>
                  <w:tcBorders>
                    <w:bottom w:val="single" w:sz="6" w:space="0" w:color="BFBFBF"/>
                  </w:tcBorders>
                  <w:vAlign w:val="center"/>
                </w:tcPr>
                <w:p w:rsidR="00745FEA" w:rsidRPr="002C2A0F" w:rsidRDefault="00745FEA" w:rsidP="00745FEA">
                  <w:pPr>
                    <w:pStyle w:val="TableBodyText"/>
                    <w:ind w:right="57"/>
                    <w:rPr>
                      <w:b/>
                    </w:rPr>
                  </w:pPr>
                  <w:r>
                    <w:rPr>
                      <w:b/>
                    </w:rPr>
                    <w:t>5083.0</w:t>
                  </w:r>
                </w:p>
              </w:tc>
              <w:tc>
                <w:tcPr>
                  <w:tcW w:w="466" w:type="pct"/>
                  <w:tcBorders>
                    <w:bottom w:val="single" w:sz="6" w:space="0" w:color="BFBFBF"/>
                  </w:tcBorders>
                  <w:vAlign w:val="center"/>
                </w:tcPr>
                <w:p w:rsidR="00745FEA" w:rsidRPr="002C2A0F" w:rsidRDefault="00745FEA" w:rsidP="00745FEA">
                  <w:pPr>
                    <w:pStyle w:val="TableBodyText"/>
                    <w:ind w:right="57"/>
                    <w:rPr>
                      <w:b/>
                    </w:rPr>
                  </w:pPr>
                  <w:r>
                    <w:rPr>
                      <w:b/>
                    </w:rPr>
                    <w:t>4252.9</w:t>
                  </w:r>
                </w:p>
              </w:tc>
              <w:tc>
                <w:tcPr>
                  <w:tcW w:w="466" w:type="pct"/>
                  <w:tcBorders>
                    <w:bottom w:val="single" w:sz="6" w:space="0" w:color="BFBFBF"/>
                  </w:tcBorders>
                  <w:vAlign w:val="center"/>
                </w:tcPr>
                <w:p w:rsidR="00745FEA" w:rsidRPr="007E59A4" w:rsidRDefault="00745FEA" w:rsidP="00745FEA">
                  <w:pPr>
                    <w:pStyle w:val="TableBodyText"/>
                    <w:ind w:right="57"/>
                    <w:rPr>
                      <w:b/>
                    </w:rPr>
                  </w:pPr>
                  <w:r>
                    <w:rPr>
                      <w:b/>
                    </w:rPr>
                    <w:t>3965.0</w:t>
                  </w:r>
                </w:p>
              </w:tc>
              <w:tc>
                <w:tcPr>
                  <w:tcW w:w="466" w:type="pct"/>
                  <w:tcBorders>
                    <w:bottom w:val="single" w:sz="6" w:space="0" w:color="BFBFBF"/>
                  </w:tcBorders>
                  <w:vAlign w:val="center"/>
                </w:tcPr>
                <w:p w:rsidR="00745FEA" w:rsidRPr="007E59A4" w:rsidRDefault="00745FEA" w:rsidP="00745FEA">
                  <w:pPr>
                    <w:pStyle w:val="TableBodyText"/>
                    <w:ind w:right="57"/>
                    <w:rPr>
                      <w:b/>
                    </w:rPr>
                  </w:pPr>
                  <w:r>
                    <w:rPr>
                      <w:b/>
                    </w:rPr>
                    <w:t>4105.8</w:t>
                  </w:r>
                </w:p>
              </w:tc>
              <w:tc>
                <w:tcPr>
                  <w:tcW w:w="466" w:type="pct"/>
                  <w:tcBorders>
                    <w:bottom w:val="single" w:sz="6" w:space="0" w:color="BFBFBF"/>
                  </w:tcBorders>
                  <w:shd w:val="clear" w:color="auto" w:fill="auto"/>
                  <w:vAlign w:val="center"/>
                </w:tcPr>
                <w:p w:rsidR="00745FEA" w:rsidRPr="007E59A4" w:rsidRDefault="00745FEA" w:rsidP="00745FEA">
                  <w:pPr>
                    <w:pStyle w:val="TableBodyText"/>
                    <w:ind w:right="57"/>
                    <w:rPr>
                      <w:b/>
                    </w:rPr>
                  </w:pPr>
                  <w:r>
                    <w:rPr>
                      <w:b/>
                    </w:rPr>
                    <w:t>4227.5</w:t>
                  </w:r>
                </w:p>
              </w:tc>
              <w:tc>
                <w:tcPr>
                  <w:tcW w:w="463" w:type="pct"/>
                  <w:tcBorders>
                    <w:bottom w:val="single" w:sz="6" w:space="0" w:color="BFBFBF"/>
                  </w:tcBorders>
                  <w:shd w:val="clear" w:color="auto" w:fill="auto"/>
                  <w:vAlign w:val="center"/>
                </w:tcPr>
                <w:p w:rsidR="00745FEA" w:rsidRPr="007E59A4" w:rsidRDefault="00745FEA" w:rsidP="00745FEA">
                  <w:pPr>
                    <w:pStyle w:val="TableBodyText"/>
                    <w:ind w:right="57"/>
                    <w:rPr>
                      <w:b/>
                    </w:rPr>
                  </w:pPr>
                  <w:r>
                    <w:rPr>
                      <w:b/>
                    </w:rPr>
                    <w:t>5478.0</w:t>
                  </w:r>
                </w:p>
              </w:tc>
            </w:tr>
          </w:tbl>
          <w:p w:rsidR="00745FEA" w:rsidRDefault="00745FEA" w:rsidP="00745FEA">
            <w:pPr>
              <w:pStyle w:val="Box"/>
            </w:pPr>
          </w:p>
        </w:tc>
      </w:tr>
      <w:tr w:rsidR="00745FEA" w:rsidTr="00745FEA">
        <w:trPr>
          <w:gridAfter w:val="1"/>
          <w:wAfter w:w="16" w:type="pct"/>
          <w:cantSplit/>
        </w:trPr>
        <w:tc>
          <w:tcPr>
            <w:tcW w:w="4984" w:type="pct"/>
            <w:tcBorders>
              <w:top w:val="nil"/>
              <w:left w:val="nil"/>
              <w:bottom w:val="nil"/>
              <w:right w:val="nil"/>
            </w:tcBorders>
            <w:shd w:val="clear" w:color="auto" w:fill="auto"/>
          </w:tcPr>
          <w:p w:rsidR="00745FEA" w:rsidRDefault="00745FEA" w:rsidP="00745FEA">
            <w:pPr>
              <w:pStyle w:val="Source"/>
            </w:pPr>
            <w:r w:rsidRPr="00E61610">
              <w:t>– Nil. Figures may not add to totals due to rounding</w:t>
            </w:r>
            <w:r>
              <w:t xml:space="preserve">. </w:t>
            </w:r>
            <w:r w:rsidRPr="008E77FE">
              <w:rPr>
                <w:rStyle w:val="NoteLabel"/>
              </w:rPr>
              <w:t>a</w:t>
            </w:r>
            <w:r>
              <w:t> </w:t>
            </w:r>
            <w:r w:rsidRPr="00E61610">
              <w:t>The estimates are derived primarily from Australian Government departmental annual reports and Treasury’s Tax Expenditure Statements and unpublished information provided by relevant agencies.</w:t>
            </w:r>
          </w:p>
        </w:tc>
      </w:tr>
      <w:tr w:rsidR="00745FEA" w:rsidTr="00745FEA">
        <w:trPr>
          <w:gridAfter w:val="1"/>
          <w:wAfter w:w="16" w:type="pct"/>
          <w:cantSplit/>
        </w:trPr>
        <w:tc>
          <w:tcPr>
            <w:tcW w:w="4984"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745FEA">
        <w:trPr>
          <w:gridAfter w:val="1"/>
          <w:wAfter w:w="16" w:type="pct"/>
          <w:cantSplit/>
        </w:trPr>
        <w:tc>
          <w:tcPr>
            <w:tcW w:w="4984"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626D32" w:rsidTr="00745FEA">
        <w:trPr>
          <w:gridAfter w:val="1"/>
          <w:wAfter w:w="16" w:type="pct"/>
        </w:trPr>
        <w:tc>
          <w:tcPr>
            <w:tcW w:w="4984"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dyText"/>
      </w:pPr>
      <w:r>
        <w:br w:type="page"/>
      </w:r>
    </w:p>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Default="00745FEA" w:rsidP="00745FEA">
            <w:pPr>
              <w:pStyle w:val="TableTitle"/>
            </w:pPr>
            <w:r>
              <w:rPr>
                <w:b w:val="0"/>
              </w:rPr>
              <w:t>Table A.</w:t>
            </w:r>
            <w:r>
              <w:rPr>
                <w:b w:val="0"/>
                <w:noProof/>
              </w:rPr>
              <w:t>14</w:t>
            </w:r>
            <w:r>
              <w:tab/>
            </w:r>
            <w:r w:rsidRPr="001D7E7E">
              <w:t xml:space="preserve">Australian Government budgetary assistance, </w:t>
            </w:r>
            <w:r>
              <w:br/>
              <w:t xml:space="preserve">unallocated other, </w:t>
            </w:r>
            <w:r w:rsidRPr="001D7E7E">
              <w:t>20</w:t>
            </w:r>
            <w:r>
              <w:t>11</w:t>
            </w:r>
            <w:r>
              <w:noBreakHyphen/>
              <w:t>12</w:t>
            </w:r>
            <w:r w:rsidRPr="001D7E7E">
              <w:t xml:space="preserve"> to 201</w:t>
            </w:r>
            <w:r>
              <w:t>6</w:t>
            </w:r>
            <w:r>
              <w:noBreakHyphen/>
            </w:r>
            <w:r w:rsidRPr="001D7E7E">
              <w:t>1</w:t>
            </w:r>
            <w:r>
              <w:t>7</w:t>
            </w:r>
            <w:r w:rsidRPr="00EE73E5">
              <w:rPr>
                <w:rStyle w:val="NoteLabel"/>
                <w:b/>
              </w:rPr>
              <w:t>a,b</w:t>
            </w:r>
          </w:p>
          <w:p w:rsidR="00745FEA" w:rsidRPr="00784A05" w:rsidRDefault="00745FEA" w:rsidP="00745FEA">
            <w:pPr>
              <w:pStyle w:val="Subtitle"/>
            </w:pPr>
            <w:r w:rsidRPr="001D7E7E">
              <w:t>$ million (nominal)</w:t>
            </w:r>
          </w:p>
        </w:tc>
      </w:tr>
      <w:tr w:rsidR="00745FEA" w:rsidTr="00C2311B">
        <w:trPr>
          <w:cantSplit/>
        </w:trPr>
        <w:tc>
          <w:tcPr>
            <w:tcW w:w="5000" w:type="pct"/>
            <w:tcBorders>
              <w:top w:val="nil"/>
              <w:left w:val="nil"/>
              <w:bottom w:val="nil"/>
              <w:right w:val="nil"/>
            </w:tcBorders>
            <w:shd w:val="clear" w:color="auto" w:fill="auto"/>
          </w:tcPr>
          <w:tbl>
            <w:tblPr>
              <w:tblW w:w="8556" w:type="dxa"/>
              <w:tblCellMar>
                <w:top w:w="28" w:type="dxa"/>
                <w:left w:w="0" w:type="dxa"/>
                <w:right w:w="0" w:type="dxa"/>
              </w:tblCellMar>
              <w:tblLook w:val="0000" w:firstRow="0" w:lastRow="0" w:firstColumn="0" w:lastColumn="0" w:noHBand="0" w:noVBand="0"/>
            </w:tblPr>
            <w:tblGrid>
              <w:gridCol w:w="3798"/>
              <w:gridCol w:w="798"/>
              <w:gridCol w:w="792"/>
              <w:gridCol w:w="7"/>
              <w:gridCol w:w="789"/>
              <w:gridCol w:w="7"/>
              <w:gridCol w:w="791"/>
              <w:gridCol w:w="7"/>
              <w:gridCol w:w="785"/>
              <w:gridCol w:w="10"/>
              <w:gridCol w:w="772"/>
            </w:tblGrid>
            <w:tr w:rsidR="00745FEA" w:rsidTr="00C719FB">
              <w:trPr>
                <w:tblHeader/>
              </w:trPr>
              <w:tc>
                <w:tcPr>
                  <w:tcW w:w="2219"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3"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5"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6" w:type="pct"/>
                  <w:gridSpan w:val="2"/>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3"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7" w:type="pct"/>
                  <w:gridSpan w:val="2"/>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Tr="00745FEA">
              <w:tc>
                <w:tcPr>
                  <w:tcW w:w="2219" w:type="pct"/>
                </w:tcPr>
                <w:p w:rsidR="00745FEA" w:rsidRPr="001D7E7E" w:rsidRDefault="00745FEA" w:rsidP="00745FEA">
                  <w:pPr>
                    <w:pStyle w:val="TableBodyText"/>
                    <w:spacing w:before="40" w:after="0"/>
                    <w:ind w:left="113"/>
                    <w:jc w:val="left"/>
                    <w:rPr>
                      <w:i/>
                    </w:rPr>
                  </w:pPr>
                  <w:r w:rsidRPr="001D7E7E">
                    <w:rPr>
                      <w:i/>
                    </w:rPr>
                    <w:t>Industry-specific measures</w:t>
                  </w:r>
                </w:p>
              </w:tc>
              <w:tc>
                <w:tcPr>
                  <w:tcW w:w="466" w:type="pct"/>
                  <w:vAlign w:val="bottom"/>
                </w:tcPr>
                <w:p w:rsidR="00745FEA" w:rsidRDefault="00745FEA" w:rsidP="00745FEA">
                  <w:pPr>
                    <w:pStyle w:val="TableBodyText"/>
                    <w:spacing w:before="40" w:after="0"/>
                    <w:ind w:left="85" w:right="57"/>
                  </w:pPr>
                </w:p>
              </w:tc>
              <w:tc>
                <w:tcPr>
                  <w:tcW w:w="463" w:type="pct"/>
                  <w:vAlign w:val="bottom"/>
                </w:tcPr>
                <w:p w:rsidR="00745FEA" w:rsidRDefault="00745FEA" w:rsidP="00745FEA">
                  <w:pPr>
                    <w:pStyle w:val="TableBodyText"/>
                    <w:spacing w:before="40" w:after="0"/>
                    <w:ind w:left="85" w:right="57"/>
                  </w:pPr>
                </w:p>
              </w:tc>
              <w:tc>
                <w:tcPr>
                  <w:tcW w:w="465" w:type="pct"/>
                  <w:gridSpan w:val="2"/>
                  <w:vAlign w:val="bottom"/>
                </w:tcPr>
                <w:p w:rsidR="00745FEA" w:rsidRDefault="00745FEA" w:rsidP="00745FEA">
                  <w:pPr>
                    <w:pStyle w:val="TableBodyText"/>
                    <w:spacing w:before="40" w:after="0"/>
                    <w:ind w:left="85" w:right="57"/>
                  </w:pPr>
                </w:p>
              </w:tc>
              <w:tc>
                <w:tcPr>
                  <w:tcW w:w="466" w:type="pct"/>
                  <w:gridSpan w:val="2"/>
                  <w:vAlign w:val="bottom"/>
                </w:tcPr>
                <w:p w:rsidR="00745FEA" w:rsidRDefault="00745FEA" w:rsidP="00745FEA">
                  <w:pPr>
                    <w:pStyle w:val="TableBodyText"/>
                    <w:spacing w:before="40" w:after="0"/>
                    <w:ind w:left="85" w:right="57"/>
                  </w:pPr>
                </w:p>
              </w:tc>
              <w:tc>
                <w:tcPr>
                  <w:tcW w:w="463" w:type="pct"/>
                  <w:gridSpan w:val="2"/>
                  <w:vAlign w:val="bottom"/>
                </w:tcPr>
                <w:p w:rsidR="00745FEA" w:rsidRDefault="00745FEA" w:rsidP="00745FEA">
                  <w:pPr>
                    <w:pStyle w:val="TableBodyText"/>
                    <w:spacing w:before="40" w:after="0"/>
                    <w:ind w:left="85" w:right="57"/>
                  </w:pPr>
                </w:p>
              </w:tc>
              <w:tc>
                <w:tcPr>
                  <w:tcW w:w="457" w:type="pct"/>
                  <w:gridSpan w:val="2"/>
                  <w:vAlign w:val="bottom"/>
                </w:tcPr>
                <w:p w:rsidR="00745FEA" w:rsidRDefault="00745FEA" w:rsidP="00745FEA">
                  <w:pPr>
                    <w:pStyle w:val="TableBodyText"/>
                    <w:spacing w:before="40" w:after="0"/>
                    <w:ind w:left="85" w:right="57"/>
                  </w:pPr>
                </w:p>
              </w:tc>
            </w:tr>
            <w:tr w:rsidR="00745FEA" w:rsidTr="00745FEA">
              <w:tc>
                <w:tcPr>
                  <w:tcW w:w="2219" w:type="pct"/>
                  <w:shd w:val="clear" w:color="auto" w:fill="auto"/>
                </w:tcPr>
                <w:p w:rsidR="00745FEA" w:rsidRPr="00B2045C" w:rsidRDefault="00745FEA" w:rsidP="00745FEA">
                  <w:pPr>
                    <w:pStyle w:val="TableBodyText"/>
                    <w:spacing w:after="0"/>
                    <w:ind w:left="227" w:right="0"/>
                    <w:jc w:val="left"/>
                  </w:pPr>
                  <w:r w:rsidRPr="00B2045C">
                    <w:t>Asian Business Engagement Plan</w:t>
                  </w:r>
                </w:p>
              </w:tc>
              <w:tc>
                <w:tcPr>
                  <w:tcW w:w="466" w:type="pct"/>
                  <w:vAlign w:val="bottom"/>
                </w:tcPr>
                <w:p w:rsidR="00745FEA" w:rsidRPr="006D7FBD" w:rsidRDefault="00745FEA" w:rsidP="00745FEA">
                  <w:pPr>
                    <w:pStyle w:val="TableBodyText"/>
                    <w:ind w:right="57"/>
                  </w:pPr>
                  <w:r w:rsidRPr="006D7FBD">
                    <w:t>–</w:t>
                  </w:r>
                </w:p>
              </w:tc>
              <w:tc>
                <w:tcPr>
                  <w:tcW w:w="463" w:type="pct"/>
                  <w:vAlign w:val="bottom"/>
                </w:tcPr>
                <w:p w:rsidR="00745FEA" w:rsidRPr="006D7FBD" w:rsidRDefault="00745FEA" w:rsidP="00745FEA">
                  <w:pPr>
                    <w:pStyle w:val="TableBodyText"/>
                    <w:ind w:right="57"/>
                  </w:pPr>
                  <w:r w:rsidRPr="006D7FBD">
                    <w:t>–</w:t>
                  </w:r>
                </w:p>
              </w:tc>
              <w:tc>
                <w:tcPr>
                  <w:tcW w:w="465" w:type="pct"/>
                  <w:gridSpan w:val="2"/>
                  <w:vAlign w:val="bottom"/>
                </w:tcPr>
                <w:p w:rsidR="00745FEA" w:rsidRPr="006D7FBD" w:rsidRDefault="00745FEA" w:rsidP="00745FEA">
                  <w:pPr>
                    <w:pStyle w:val="TableBodyText"/>
                    <w:ind w:right="57"/>
                  </w:pPr>
                  <w:r w:rsidRPr="006D7FBD">
                    <w:t>1.8</w:t>
                  </w:r>
                </w:p>
              </w:tc>
              <w:tc>
                <w:tcPr>
                  <w:tcW w:w="466" w:type="pct"/>
                  <w:gridSpan w:val="2"/>
                  <w:vAlign w:val="bottom"/>
                </w:tcPr>
                <w:p w:rsidR="00745FEA" w:rsidRPr="006D7FBD" w:rsidRDefault="00745FEA" w:rsidP="00745FEA">
                  <w:pPr>
                    <w:pStyle w:val="TableBodyText"/>
                    <w:ind w:right="57"/>
                  </w:pPr>
                  <w:r w:rsidRPr="006D7FBD">
                    <w:t>1.4</w:t>
                  </w:r>
                </w:p>
              </w:tc>
              <w:tc>
                <w:tcPr>
                  <w:tcW w:w="463" w:type="pct"/>
                  <w:gridSpan w:val="2"/>
                  <w:shd w:val="clear" w:color="auto" w:fill="auto"/>
                  <w:vAlign w:val="bottom"/>
                </w:tcPr>
                <w:p w:rsidR="00745FEA" w:rsidRPr="006D7FBD" w:rsidRDefault="00745FEA" w:rsidP="00745FEA">
                  <w:pPr>
                    <w:pStyle w:val="TableBodyText"/>
                    <w:ind w:right="57"/>
                  </w:pPr>
                  <w:r w:rsidRPr="006D7FBD">
                    <w:t>0.6</w:t>
                  </w:r>
                </w:p>
              </w:tc>
              <w:tc>
                <w:tcPr>
                  <w:tcW w:w="457" w:type="pct"/>
                  <w:gridSpan w:val="2"/>
                  <w:shd w:val="clear" w:color="auto" w:fill="auto"/>
                  <w:vAlign w:val="bottom"/>
                </w:tcPr>
                <w:p w:rsidR="00745FEA" w:rsidRPr="006D7FBD" w:rsidRDefault="00745FEA" w:rsidP="00745FEA">
                  <w:pPr>
                    <w:pStyle w:val="TableBodyText"/>
                    <w:ind w:right="57"/>
                  </w:pPr>
                  <w:r w:rsidRPr="006D7FBD">
                    <w:t>0.2</w:t>
                  </w:r>
                </w:p>
              </w:tc>
            </w:tr>
            <w:tr w:rsidR="00745FEA" w:rsidTr="00745FEA">
              <w:tc>
                <w:tcPr>
                  <w:tcW w:w="2219" w:type="pct"/>
                  <w:shd w:val="clear" w:color="auto" w:fill="auto"/>
                </w:tcPr>
                <w:p w:rsidR="00745FEA" w:rsidRPr="00B2045C" w:rsidRDefault="00745FEA" w:rsidP="00745FEA">
                  <w:pPr>
                    <w:pStyle w:val="TableBodyText"/>
                    <w:spacing w:after="0"/>
                    <w:ind w:left="227" w:right="0"/>
                    <w:jc w:val="left"/>
                  </w:pPr>
                  <w:r w:rsidRPr="00B2045C">
                    <w:t>Australian Space Science Program</w:t>
                  </w:r>
                </w:p>
              </w:tc>
              <w:tc>
                <w:tcPr>
                  <w:tcW w:w="466" w:type="pct"/>
                  <w:vAlign w:val="bottom"/>
                </w:tcPr>
                <w:p w:rsidR="00745FEA" w:rsidRPr="006D7FBD" w:rsidRDefault="00745FEA" w:rsidP="00745FEA">
                  <w:pPr>
                    <w:pStyle w:val="TableBodyText"/>
                    <w:ind w:right="57"/>
                  </w:pPr>
                  <w:r w:rsidRPr="006D7FBD">
                    <w:t>12.2</w:t>
                  </w:r>
                </w:p>
              </w:tc>
              <w:tc>
                <w:tcPr>
                  <w:tcW w:w="463" w:type="pct"/>
                  <w:vAlign w:val="bottom"/>
                </w:tcPr>
                <w:p w:rsidR="00745FEA" w:rsidRPr="006D7FBD" w:rsidRDefault="00745FEA" w:rsidP="00745FEA">
                  <w:pPr>
                    <w:pStyle w:val="TableBodyText"/>
                    <w:ind w:right="57"/>
                  </w:pPr>
                  <w:r w:rsidRPr="006D7FBD">
                    <w:t>12.7</w:t>
                  </w:r>
                </w:p>
              </w:tc>
              <w:tc>
                <w:tcPr>
                  <w:tcW w:w="465" w:type="pct"/>
                  <w:gridSpan w:val="2"/>
                  <w:vAlign w:val="bottom"/>
                </w:tcPr>
                <w:p w:rsidR="00745FEA" w:rsidRPr="006D7FBD" w:rsidRDefault="00745FEA" w:rsidP="00745FEA">
                  <w:pPr>
                    <w:pStyle w:val="TableBodyText"/>
                    <w:ind w:right="57"/>
                  </w:pPr>
                  <w:r w:rsidRPr="006D7FBD">
                    <w:t>–</w:t>
                  </w:r>
                </w:p>
              </w:tc>
              <w:tc>
                <w:tcPr>
                  <w:tcW w:w="466" w:type="pct"/>
                  <w:gridSpan w:val="2"/>
                  <w:vAlign w:val="bottom"/>
                </w:tcPr>
                <w:p w:rsidR="00745FEA" w:rsidRPr="006D7FBD" w:rsidRDefault="00745FEA" w:rsidP="00745FEA">
                  <w:pPr>
                    <w:pStyle w:val="TableBodyText"/>
                    <w:ind w:right="57"/>
                  </w:pPr>
                  <w:r w:rsidRPr="006D7FBD">
                    <w:t>–</w:t>
                  </w:r>
                </w:p>
              </w:tc>
              <w:tc>
                <w:tcPr>
                  <w:tcW w:w="463" w:type="pct"/>
                  <w:gridSpan w:val="2"/>
                  <w:shd w:val="clear" w:color="auto" w:fill="auto"/>
                  <w:vAlign w:val="bottom"/>
                </w:tcPr>
                <w:p w:rsidR="00745FEA" w:rsidRPr="006D7FBD" w:rsidRDefault="00745FEA" w:rsidP="00745FEA">
                  <w:pPr>
                    <w:pStyle w:val="TableBodyText"/>
                    <w:ind w:right="57"/>
                  </w:pPr>
                  <w:r w:rsidRPr="006D7FBD">
                    <w:t>–</w:t>
                  </w:r>
                </w:p>
              </w:tc>
              <w:tc>
                <w:tcPr>
                  <w:tcW w:w="457" w:type="pct"/>
                  <w:gridSpan w:val="2"/>
                  <w:shd w:val="clear" w:color="auto" w:fill="auto"/>
                  <w:vAlign w:val="bottom"/>
                </w:tcPr>
                <w:p w:rsidR="00745FEA" w:rsidRPr="006D7FBD" w:rsidRDefault="00745FEA" w:rsidP="00745FEA">
                  <w:pPr>
                    <w:pStyle w:val="TableBodyText"/>
                    <w:ind w:right="57"/>
                  </w:pPr>
                  <w:r w:rsidRPr="006D7FBD">
                    <w:t>–</w:t>
                  </w:r>
                </w:p>
              </w:tc>
            </w:tr>
            <w:tr w:rsidR="00745FEA" w:rsidTr="00745FEA">
              <w:tc>
                <w:tcPr>
                  <w:tcW w:w="2219" w:type="pct"/>
                  <w:shd w:val="clear" w:color="auto" w:fill="auto"/>
                </w:tcPr>
                <w:p w:rsidR="00745FEA" w:rsidRPr="00B2045C" w:rsidRDefault="00745FEA" w:rsidP="00745FEA">
                  <w:pPr>
                    <w:pStyle w:val="TableBodyText"/>
                    <w:spacing w:after="0"/>
                    <w:ind w:left="227" w:right="0"/>
                    <w:jc w:val="left"/>
                  </w:pPr>
                  <w:r w:rsidRPr="00B2045C">
                    <w:t>Clean Technology Investment - Food and Foundries Program</w:t>
                  </w:r>
                </w:p>
              </w:tc>
              <w:tc>
                <w:tcPr>
                  <w:tcW w:w="466" w:type="pct"/>
                  <w:vAlign w:val="bottom"/>
                </w:tcPr>
                <w:p w:rsidR="00745FEA" w:rsidRPr="006D7FBD" w:rsidRDefault="00745FEA" w:rsidP="00745FEA">
                  <w:pPr>
                    <w:pStyle w:val="TableBodyText"/>
                    <w:ind w:right="57"/>
                  </w:pPr>
                  <w:r w:rsidRPr="006D7FBD">
                    <w:t>–</w:t>
                  </w:r>
                </w:p>
              </w:tc>
              <w:tc>
                <w:tcPr>
                  <w:tcW w:w="463" w:type="pct"/>
                  <w:vAlign w:val="bottom"/>
                </w:tcPr>
                <w:p w:rsidR="00745FEA" w:rsidRPr="006D7FBD" w:rsidRDefault="00745FEA" w:rsidP="00745FEA">
                  <w:pPr>
                    <w:pStyle w:val="TableBodyText"/>
                    <w:ind w:right="57"/>
                  </w:pPr>
                  <w:r w:rsidRPr="006D7FBD">
                    <w:t>–</w:t>
                  </w:r>
                </w:p>
              </w:tc>
              <w:tc>
                <w:tcPr>
                  <w:tcW w:w="465" w:type="pct"/>
                  <w:gridSpan w:val="2"/>
                  <w:vAlign w:val="bottom"/>
                </w:tcPr>
                <w:p w:rsidR="00745FEA" w:rsidRPr="006D7FBD" w:rsidRDefault="00745FEA" w:rsidP="00745FEA">
                  <w:pPr>
                    <w:pStyle w:val="TableBodyText"/>
                    <w:ind w:right="57"/>
                  </w:pPr>
                  <w:r w:rsidRPr="006D7FBD">
                    <w:t>–</w:t>
                  </w:r>
                </w:p>
              </w:tc>
              <w:tc>
                <w:tcPr>
                  <w:tcW w:w="466" w:type="pct"/>
                  <w:gridSpan w:val="2"/>
                  <w:vAlign w:val="bottom"/>
                </w:tcPr>
                <w:p w:rsidR="00745FEA" w:rsidRPr="006D7FBD" w:rsidRDefault="00745FEA" w:rsidP="00745FEA">
                  <w:pPr>
                    <w:pStyle w:val="TableBodyText"/>
                    <w:ind w:right="57"/>
                  </w:pPr>
                  <w:r w:rsidRPr="006D7FBD">
                    <w:t>0.4</w:t>
                  </w:r>
                </w:p>
              </w:tc>
              <w:tc>
                <w:tcPr>
                  <w:tcW w:w="463" w:type="pct"/>
                  <w:gridSpan w:val="2"/>
                  <w:shd w:val="clear" w:color="auto" w:fill="auto"/>
                  <w:vAlign w:val="bottom"/>
                </w:tcPr>
                <w:p w:rsidR="00745FEA" w:rsidRPr="006D7FBD" w:rsidRDefault="00745FEA" w:rsidP="00745FEA">
                  <w:pPr>
                    <w:pStyle w:val="TableBodyText"/>
                    <w:ind w:right="57"/>
                  </w:pPr>
                  <w:r w:rsidRPr="006D7FBD">
                    <w:t>–</w:t>
                  </w:r>
                </w:p>
              </w:tc>
              <w:tc>
                <w:tcPr>
                  <w:tcW w:w="457" w:type="pct"/>
                  <w:gridSpan w:val="2"/>
                  <w:shd w:val="clear" w:color="auto" w:fill="auto"/>
                  <w:vAlign w:val="bottom"/>
                </w:tcPr>
                <w:p w:rsidR="00745FEA" w:rsidRPr="006D7FBD" w:rsidRDefault="00745FEA" w:rsidP="00745FEA">
                  <w:pPr>
                    <w:pStyle w:val="TableBodyText"/>
                    <w:ind w:right="57"/>
                  </w:pPr>
                  <w:r w:rsidRPr="006D7FBD">
                    <w:t>–</w:t>
                  </w:r>
                </w:p>
              </w:tc>
            </w:tr>
            <w:tr w:rsidR="00745FEA" w:rsidTr="00745FEA">
              <w:tc>
                <w:tcPr>
                  <w:tcW w:w="2219" w:type="pct"/>
                  <w:shd w:val="clear" w:color="auto" w:fill="auto"/>
                </w:tcPr>
                <w:p w:rsidR="00745FEA" w:rsidRPr="00B2045C" w:rsidRDefault="00745FEA" w:rsidP="00745FEA">
                  <w:pPr>
                    <w:pStyle w:val="TableBodyText"/>
                    <w:spacing w:after="0"/>
                    <w:ind w:left="227" w:right="0"/>
                    <w:jc w:val="left"/>
                  </w:pPr>
                  <w:r w:rsidRPr="00B2045C">
                    <w:t>National Urban Water and Desalination Plan</w:t>
                  </w:r>
                </w:p>
              </w:tc>
              <w:tc>
                <w:tcPr>
                  <w:tcW w:w="466" w:type="pct"/>
                  <w:vAlign w:val="bottom"/>
                </w:tcPr>
                <w:p w:rsidR="00745FEA" w:rsidRPr="006D7FBD" w:rsidRDefault="00745FEA" w:rsidP="00745FEA">
                  <w:pPr>
                    <w:pStyle w:val="TableBodyText"/>
                    <w:ind w:right="57"/>
                  </w:pPr>
                  <w:r w:rsidRPr="006D7FBD">
                    <w:t>88.9</w:t>
                  </w:r>
                </w:p>
              </w:tc>
              <w:tc>
                <w:tcPr>
                  <w:tcW w:w="463" w:type="pct"/>
                  <w:vAlign w:val="bottom"/>
                </w:tcPr>
                <w:p w:rsidR="00745FEA" w:rsidRPr="006D7FBD" w:rsidRDefault="00745FEA" w:rsidP="00745FEA">
                  <w:pPr>
                    <w:pStyle w:val="TableBodyText"/>
                    <w:ind w:right="57"/>
                  </w:pPr>
                  <w:r w:rsidRPr="006D7FBD">
                    <w:t>64.2</w:t>
                  </w:r>
                </w:p>
              </w:tc>
              <w:tc>
                <w:tcPr>
                  <w:tcW w:w="465" w:type="pct"/>
                  <w:gridSpan w:val="2"/>
                  <w:vAlign w:val="bottom"/>
                </w:tcPr>
                <w:p w:rsidR="00745FEA" w:rsidRPr="006D7FBD" w:rsidRDefault="00745FEA" w:rsidP="00745FEA">
                  <w:pPr>
                    <w:pStyle w:val="TableBodyText"/>
                    <w:ind w:right="57"/>
                  </w:pPr>
                  <w:r w:rsidRPr="006D7FBD">
                    <w:t>18.7</w:t>
                  </w:r>
                </w:p>
              </w:tc>
              <w:tc>
                <w:tcPr>
                  <w:tcW w:w="466" w:type="pct"/>
                  <w:gridSpan w:val="2"/>
                  <w:vAlign w:val="bottom"/>
                </w:tcPr>
                <w:p w:rsidR="00745FEA" w:rsidRPr="006D7FBD" w:rsidRDefault="00745FEA" w:rsidP="00745FEA">
                  <w:pPr>
                    <w:pStyle w:val="TableBodyText"/>
                    <w:ind w:right="57"/>
                  </w:pPr>
                  <w:r w:rsidRPr="006D7FBD">
                    <w:t>23.2</w:t>
                  </w:r>
                </w:p>
              </w:tc>
              <w:tc>
                <w:tcPr>
                  <w:tcW w:w="463" w:type="pct"/>
                  <w:gridSpan w:val="2"/>
                  <w:shd w:val="clear" w:color="auto" w:fill="auto"/>
                  <w:vAlign w:val="bottom"/>
                </w:tcPr>
                <w:p w:rsidR="00745FEA" w:rsidRPr="006D7FBD" w:rsidRDefault="00745FEA" w:rsidP="00745FEA">
                  <w:pPr>
                    <w:pStyle w:val="TableBodyText"/>
                    <w:ind w:right="57"/>
                  </w:pPr>
                  <w:r w:rsidRPr="006D7FBD">
                    <w:t>1.0</w:t>
                  </w:r>
                </w:p>
              </w:tc>
              <w:tc>
                <w:tcPr>
                  <w:tcW w:w="457" w:type="pct"/>
                  <w:gridSpan w:val="2"/>
                  <w:shd w:val="clear" w:color="auto" w:fill="auto"/>
                  <w:vAlign w:val="bottom"/>
                </w:tcPr>
                <w:p w:rsidR="00745FEA" w:rsidRPr="006D7FBD" w:rsidRDefault="00745FEA" w:rsidP="00745FEA">
                  <w:pPr>
                    <w:pStyle w:val="TableBodyText"/>
                    <w:ind w:right="57"/>
                  </w:pPr>
                  <w:r w:rsidRPr="006D7FBD">
                    <w:t>–</w:t>
                  </w:r>
                </w:p>
              </w:tc>
            </w:tr>
            <w:tr w:rsidR="00745FEA" w:rsidTr="00745FEA">
              <w:tc>
                <w:tcPr>
                  <w:tcW w:w="2219" w:type="pct"/>
                  <w:shd w:val="clear" w:color="auto" w:fill="auto"/>
                </w:tcPr>
                <w:p w:rsidR="00745FEA" w:rsidRPr="00B2045C" w:rsidRDefault="00745FEA" w:rsidP="00745FEA">
                  <w:pPr>
                    <w:pStyle w:val="TableBodyText"/>
                    <w:spacing w:after="0"/>
                    <w:ind w:left="227" w:right="0"/>
                    <w:jc w:val="left"/>
                  </w:pPr>
                  <w:r w:rsidRPr="00B2045C">
                    <w:t>National Energy Efficiency Initiative - Smart Grid, Smart City</w:t>
                  </w:r>
                </w:p>
              </w:tc>
              <w:tc>
                <w:tcPr>
                  <w:tcW w:w="466" w:type="pct"/>
                  <w:vAlign w:val="bottom"/>
                </w:tcPr>
                <w:p w:rsidR="00745FEA" w:rsidRPr="006D7FBD" w:rsidRDefault="00745FEA" w:rsidP="00745FEA">
                  <w:pPr>
                    <w:pStyle w:val="TableBodyText"/>
                    <w:ind w:right="57"/>
                  </w:pPr>
                  <w:r w:rsidRPr="006D7FBD">
                    <w:t>51.0</w:t>
                  </w:r>
                </w:p>
              </w:tc>
              <w:tc>
                <w:tcPr>
                  <w:tcW w:w="463" w:type="pct"/>
                  <w:vAlign w:val="bottom"/>
                </w:tcPr>
                <w:p w:rsidR="00745FEA" w:rsidRPr="006D7FBD" w:rsidRDefault="00745FEA" w:rsidP="00745FEA">
                  <w:pPr>
                    <w:pStyle w:val="TableBodyText"/>
                    <w:ind w:right="57"/>
                  </w:pPr>
                  <w:r w:rsidRPr="006D7FBD">
                    <w:t>9.1</w:t>
                  </w:r>
                </w:p>
              </w:tc>
              <w:tc>
                <w:tcPr>
                  <w:tcW w:w="465" w:type="pct"/>
                  <w:gridSpan w:val="2"/>
                  <w:vAlign w:val="bottom"/>
                </w:tcPr>
                <w:p w:rsidR="00745FEA" w:rsidRPr="006D7FBD" w:rsidRDefault="00745FEA" w:rsidP="00745FEA">
                  <w:pPr>
                    <w:pStyle w:val="TableBodyText"/>
                    <w:ind w:right="57"/>
                  </w:pPr>
                  <w:r w:rsidRPr="006D7FBD">
                    <w:t>–</w:t>
                  </w:r>
                </w:p>
              </w:tc>
              <w:tc>
                <w:tcPr>
                  <w:tcW w:w="466" w:type="pct"/>
                  <w:gridSpan w:val="2"/>
                  <w:vAlign w:val="bottom"/>
                </w:tcPr>
                <w:p w:rsidR="00745FEA" w:rsidRPr="006D7FBD" w:rsidRDefault="00745FEA" w:rsidP="00745FEA">
                  <w:pPr>
                    <w:pStyle w:val="TableBodyText"/>
                    <w:ind w:right="57"/>
                  </w:pPr>
                  <w:r w:rsidRPr="006D7FBD">
                    <w:t>–</w:t>
                  </w:r>
                </w:p>
              </w:tc>
              <w:tc>
                <w:tcPr>
                  <w:tcW w:w="463" w:type="pct"/>
                  <w:gridSpan w:val="2"/>
                  <w:shd w:val="clear" w:color="auto" w:fill="auto"/>
                  <w:vAlign w:val="bottom"/>
                </w:tcPr>
                <w:p w:rsidR="00745FEA" w:rsidRPr="006D7FBD" w:rsidRDefault="00745FEA" w:rsidP="00745FEA">
                  <w:pPr>
                    <w:pStyle w:val="TableBodyText"/>
                    <w:ind w:right="57"/>
                  </w:pPr>
                  <w:r w:rsidRPr="006D7FBD">
                    <w:t>–</w:t>
                  </w:r>
                </w:p>
              </w:tc>
              <w:tc>
                <w:tcPr>
                  <w:tcW w:w="457" w:type="pct"/>
                  <w:gridSpan w:val="2"/>
                  <w:shd w:val="clear" w:color="auto" w:fill="auto"/>
                  <w:vAlign w:val="bottom"/>
                </w:tcPr>
                <w:p w:rsidR="00745FEA" w:rsidRPr="006D7FBD" w:rsidRDefault="00745FEA" w:rsidP="00745FEA">
                  <w:pPr>
                    <w:pStyle w:val="TableBodyText"/>
                    <w:ind w:right="57"/>
                  </w:pPr>
                  <w:r w:rsidRPr="006D7FBD">
                    <w:t>–</w:t>
                  </w:r>
                </w:p>
              </w:tc>
            </w:tr>
            <w:tr w:rsidR="00745FEA" w:rsidTr="00745FEA">
              <w:tc>
                <w:tcPr>
                  <w:tcW w:w="2219" w:type="pct"/>
                  <w:shd w:val="clear" w:color="auto" w:fill="auto"/>
                </w:tcPr>
                <w:p w:rsidR="00745FEA" w:rsidRPr="00B2045C" w:rsidRDefault="00745FEA" w:rsidP="00745FEA">
                  <w:pPr>
                    <w:pStyle w:val="TableBodyText"/>
                    <w:spacing w:after="0"/>
                    <w:ind w:left="227" w:right="0"/>
                    <w:jc w:val="left"/>
                  </w:pPr>
                  <w:r w:rsidRPr="00B2045C">
                    <w:t>TCF Small Business Program</w:t>
                  </w:r>
                </w:p>
              </w:tc>
              <w:tc>
                <w:tcPr>
                  <w:tcW w:w="466" w:type="pct"/>
                  <w:vAlign w:val="bottom"/>
                </w:tcPr>
                <w:p w:rsidR="00745FEA" w:rsidRPr="006D7FBD" w:rsidRDefault="00745FEA" w:rsidP="00745FEA">
                  <w:pPr>
                    <w:pStyle w:val="TableBodyText"/>
                    <w:ind w:right="57"/>
                  </w:pPr>
                  <w:r w:rsidRPr="006D7FBD">
                    <w:t>0.2</w:t>
                  </w:r>
                </w:p>
              </w:tc>
              <w:tc>
                <w:tcPr>
                  <w:tcW w:w="463" w:type="pct"/>
                  <w:vAlign w:val="bottom"/>
                </w:tcPr>
                <w:p w:rsidR="00745FEA" w:rsidRPr="006D7FBD" w:rsidRDefault="00745FEA" w:rsidP="00745FEA">
                  <w:pPr>
                    <w:pStyle w:val="TableBodyText"/>
                    <w:ind w:right="57"/>
                  </w:pPr>
                  <w:r w:rsidRPr="006D7FBD">
                    <w:t>&lt;0.1</w:t>
                  </w:r>
                </w:p>
              </w:tc>
              <w:tc>
                <w:tcPr>
                  <w:tcW w:w="465" w:type="pct"/>
                  <w:gridSpan w:val="2"/>
                  <w:vAlign w:val="bottom"/>
                </w:tcPr>
                <w:p w:rsidR="00745FEA" w:rsidRPr="006D7FBD" w:rsidRDefault="00745FEA" w:rsidP="00745FEA">
                  <w:pPr>
                    <w:pStyle w:val="TableBodyText"/>
                    <w:ind w:right="57"/>
                  </w:pPr>
                  <w:r w:rsidRPr="006D7FBD">
                    <w:t>–</w:t>
                  </w:r>
                </w:p>
              </w:tc>
              <w:tc>
                <w:tcPr>
                  <w:tcW w:w="466" w:type="pct"/>
                  <w:gridSpan w:val="2"/>
                  <w:vAlign w:val="bottom"/>
                </w:tcPr>
                <w:p w:rsidR="00745FEA" w:rsidRPr="006D7FBD" w:rsidRDefault="00745FEA" w:rsidP="00745FEA">
                  <w:pPr>
                    <w:pStyle w:val="TableBodyText"/>
                    <w:ind w:right="57"/>
                  </w:pPr>
                  <w:r w:rsidRPr="006D7FBD">
                    <w:t>–</w:t>
                  </w:r>
                </w:p>
              </w:tc>
              <w:tc>
                <w:tcPr>
                  <w:tcW w:w="463" w:type="pct"/>
                  <w:gridSpan w:val="2"/>
                  <w:shd w:val="clear" w:color="auto" w:fill="auto"/>
                  <w:vAlign w:val="bottom"/>
                </w:tcPr>
                <w:p w:rsidR="00745FEA" w:rsidRPr="006D7FBD" w:rsidRDefault="00745FEA" w:rsidP="00745FEA">
                  <w:pPr>
                    <w:pStyle w:val="TableBodyText"/>
                    <w:ind w:right="57"/>
                  </w:pPr>
                  <w:r w:rsidRPr="006D7FBD">
                    <w:t>–</w:t>
                  </w:r>
                </w:p>
              </w:tc>
              <w:tc>
                <w:tcPr>
                  <w:tcW w:w="457" w:type="pct"/>
                  <w:gridSpan w:val="2"/>
                  <w:shd w:val="clear" w:color="auto" w:fill="auto"/>
                  <w:vAlign w:val="bottom"/>
                </w:tcPr>
                <w:p w:rsidR="00745FEA" w:rsidRDefault="00745FEA" w:rsidP="00745FEA">
                  <w:pPr>
                    <w:pStyle w:val="TableBodyText"/>
                    <w:ind w:right="57"/>
                  </w:pPr>
                  <w:r w:rsidRPr="006D7FBD">
                    <w:t>–</w:t>
                  </w:r>
                </w:p>
              </w:tc>
            </w:tr>
            <w:tr w:rsidR="00745FEA" w:rsidTr="00745FEA">
              <w:tc>
                <w:tcPr>
                  <w:tcW w:w="2219" w:type="pct"/>
                  <w:shd w:val="clear" w:color="auto" w:fill="auto"/>
                </w:tcPr>
                <w:p w:rsidR="00745FEA" w:rsidRPr="001D7E7E" w:rsidRDefault="00745FEA" w:rsidP="00745FEA">
                  <w:pPr>
                    <w:pStyle w:val="TableBodyText"/>
                    <w:spacing w:before="40" w:after="0"/>
                    <w:ind w:left="113"/>
                    <w:jc w:val="left"/>
                    <w:rPr>
                      <w:i/>
                    </w:rPr>
                  </w:pPr>
                  <w:r w:rsidRPr="001D7E7E">
                    <w:rPr>
                      <w:i/>
                    </w:rPr>
                    <w:t>Sector-specific measures</w:t>
                  </w:r>
                </w:p>
              </w:tc>
              <w:tc>
                <w:tcPr>
                  <w:tcW w:w="466" w:type="pct"/>
                  <w:vAlign w:val="bottom"/>
                </w:tcPr>
                <w:p w:rsidR="00745FEA" w:rsidRDefault="00745FEA" w:rsidP="00745FEA">
                  <w:pPr>
                    <w:pStyle w:val="TableBodyText"/>
                    <w:ind w:right="57"/>
                  </w:pPr>
                </w:p>
              </w:tc>
              <w:tc>
                <w:tcPr>
                  <w:tcW w:w="463" w:type="pct"/>
                  <w:vAlign w:val="bottom"/>
                </w:tcPr>
                <w:p w:rsidR="00745FEA" w:rsidRDefault="00745FEA" w:rsidP="00745FEA">
                  <w:pPr>
                    <w:pStyle w:val="TableBodyText"/>
                    <w:ind w:right="57"/>
                  </w:pPr>
                </w:p>
              </w:tc>
              <w:tc>
                <w:tcPr>
                  <w:tcW w:w="465" w:type="pct"/>
                  <w:gridSpan w:val="2"/>
                  <w:vAlign w:val="bottom"/>
                </w:tcPr>
                <w:p w:rsidR="00745FEA" w:rsidRDefault="00745FEA" w:rsidP="00745FEA">
                  <w:pPr>
                    <w:pStyle w:val="TableBodyText"/>
                    <w:ind w:right="57"/>
                  </w:pPr>
                </w:p>
              </w:tc>
              <w:tc>
                <w:tcPr>
                  <w:tcW w:w="466" w:type="pct"/>
                  <w:gridSpan w:val="2"/>
                  <w:vAlign w:val="bottom"/>
                </w:tcPr>
                <w:p w:rsidR="00745FEA" w:rsidRDefault="00745FEA" w:rsidP="00745FEA">
                  <w:pPr>
                    <w:pStyle w:val="TableBodyText"/>
                    <w:ind w:right="57"/>
                  </w:pPr>
                </w:p>
              </w:tc>
              <w:tc>
                <w:tcPr>
                  <w:tcW w:w="463" w:type="pct"/>
                  <w:gridSpan w:val="2"/>
                  <w:shd w:val="clear" w:color="auto" w:fill="auto"/>
                  <w:vAlign w:val="bottom"/>
                </w:tcPr>
                <w:p w:rsidR="00745FEA" w:rsidRDefault="00745FEA" w:rsidP="00745FEA">
                  <w:pPr>
                    <w:pStyle w:val="TableBodyText"/>
                    <w:ind w:right="57"/>
                  </w:pPr>
                </w:p>
              </w:tc>
              <w:tc>
                <w:tcPr>
                  <w:tcW w:w="457" w:type="pct"/>
                  <w:gridSpan w:val="2"/>
                  <w:shd w:val="clear" w:color="auto" w:fill="auto"/>
                  <w:vAlign w:val="bottom"/>
                </w:tcPr>
                <w:p w:rsidR="00745FEA" w:rsidRDefault="00745FEA" w:rsidP="00745FEA">
                  <w:pPr>
                    <w:pStyle w:val="TableBodyText"/>
                    <w:ind w:right="57"/>
                  </w:pPr>
                </w:p>
              </w:tc>
            </w:tr>
            <w:tr w:rsidR="00745FEA" w:rsidTr="00745FEA">
              <w:tc>
                <w:tcPr>
                  <w:tcW w:w="2219" w:type="pct"/>
                  <w:shd w:val="clear" w:color="auto" w:fill="auto"/>
                </w:tcPr>
                <w:p w:rsidR="00745FEA" w:rsidRPr="00F04A49" w:rsidRDefault="00745FEA" w:rsidP="00745FEA">
                  <w:pPr>
                    <w:pStyle w:val="TableBodyText"/>
                    <w:spacing w:after="0"/>
                    <w:ind w:left="227" w:right="0"/>
                    <w:jc w:val="left"/>
                  </w:pPr>
                  <w:r w:rsidRPr="00F04A49">
                    <w:t>Clean Technology Investment - General Program</w:t>
                  </w:r>
                </w:p>
              </w:tc>
              <w:tc>
                <w:tcPr>
                  <w:tcW w:w="466" w:type="pct"/>
                  <w:vAlign w:val="bottom"/>
                </w:tcPr>
                <w:p w:rsidR="00745FEA" w:rsidRPr="007A1C63" w:rsidRDefault="00745FEA" w:rsidP="00745FEA">
                  <w:pPr>
                    <w:pStyle w:val="TableBodyText"/>
                    <w:ind w:right="57"/>
                  </w:pPr>
                  <w:r w:rsidRPr="007A1C63">
                    <w:t>–</w:t>
                  </w:r>
                </w:p>
              </w:tc>
              <w:tc>
                <w:tcPr>
                  <w:tcW w:w="463" w:type="pct"/>
                  <w:vAlign w:val="bottom"/>
                </w:tcPr>
                <w:p w:rsidR="00745FEA" w:rsidRPr="007A1C63" w:rsidRDefault="00745FEA" w:rsidP="00745FEA">
                  <w:pPr>
                    <w:pStyle w:val="TableBodyText"/>
                    <w:ind w:right="57"/>
                  </w:pPr>
                  <w:r w:rsidRPr="007A1C63">
                    <w:t>–</w:t>
                  </w:r>
                </w:p>
              </w:tc>
              <w:tc>
                <w:tcPr>
                  <w:tcW w:w="465" w:type="pct"/>
                  <w:gridSpan w:val="2"/>
                  <w:vAlign w:val="bottom"/>
                </w:tcPr>
                <w:p w:rsidR="00745FEA" w:rsidRPr="007A1C63" w:rsidRDefault="00745FEA" w:rsidP="00745FEA">
                  <w:pPr>
                    <w:pStyle w:val="TableBodyText"/>
                    <w:ind w:right="57"/>
                  </w:pPr>
                  <w:r w:rsidRPr="007A1C63">
                    <w:t>–</w:t>
                  </w:r>
                </w:p>
              </w:tc>
              <w:tc>
                <w:tcPr>
                  <w:tcW w:w="466" w:type="pct"/>
                  <w:gridSpan w:val="2"/>
                  <w:vAlign w:val="bottom"/>
                </w:tcPr>
                <w:p w:rsidR="00745FEA" w:rsidRPr="007A1C63" w:rsidRDefault="00745FEA" w:rsidP="00745FEA">
                  <w:pPr>
                    <w:pStyle w:val="TableBodyText"/>
                    <w:ind w:right="57"/>
                  </w:pPr>
                  <w:r w:rsidRPr="007A1C63">
                    <w:t>1.1</w:t>
                  </w:r>
                </w:p>
              </w:tc>
              <w:tc>
                <w:tcPr>
                  <w:tcW w:w="463" w:type="pct"/>
                  <w:gridSpan w:val="2"/>
                  <w:shd w:val="clear" w:color="auto" w:fill="auto"/>
                  <w:vAlign w:val="bottom"/>
                </w:tcPr>
                <w:p w:rsidR="00745FEA" w:rsidRPr="007A1C63" w:rsidRDefault="00745FEA" w:rsidP="00745FEA">
                  <w:pPr>
                    <w:pStyle w:val="TableBodyText"/>
                    <w:ind w:right="57"/>
                  </w:pPr>
                  <w:r w:rsidRPr="007A1C63">
                    <w:t>–</w:t>
                  </w:r>
                </w:p>
              </w:tc>
              <w:tc>
                <w:tcPr>
                  <w:tcW w:w="457" w:type="pct"/>
                  <w:gridSpan w:val="2"/>
                  <w:shd w:val="clear" w:color="auto" w:fill="auto"/>
                  <w:vAlign w:val="bottom"/>
                </w:tcPr>
                <w:p w:rsidR="00745FEA" w:rsidRPr="007A1C63" w:rsidRDefault="00745FEA" w:rsidP="00745FEA">
                  <w:pPr>
                    <w:pStyle w:val="TableBodyText"/>
                    <w:ind w:right="57"/>
                  </w:pPr>
                  <w:r w:rsidRPr="007A1C63">
                    <w:t>–</w:t>
                  </w:r>
                </w:p>
              </w:tc>
            </w:tr>
            <w:tr w:rsidR="00745FEA" w:rsidTr="00745FEA">
              <w:tc>
                <w:tcPr>
                  <w:tcW w:w="2219" w:type="pct"/>
                  <w:shd w:val="clear" w:color="auto" w:fill="auto"/>
                </w:tcPr>
                <w:p w:rsidR="00745FEA" w:rsidRPr="00F04A49" w:rsidRDefault="00745FEA" w:rsidP="00745FEA">
                  <w:pPr>
                    <w:pStyle w:val="TableBodyText"/>
                    <w:spacing w:after="0"/>
                    <w:ind w:left="227" w:right="0"/>
                    <w:jc w:val="left"/>
                  </w:pPr>
                  <w:r w:rsidRPr="00F04A49">
                    <w:t>Farm Help</w:t>
                  </w:r>
                </w:p>
              </w:tc>
              <w:tc>
                <w:tcPr>
                  <w:tcW w:w="466" w:type="pct"/>
                  <w:vAlign w:val="bottom"/>
                </w:tcPr>
                <w:p w:rsidR="00745FEA" w:rsidRPr="007A1C63" w:rsidRDefault="00745FEA" w:rsidP="00745FEA">
                  <w:pPr>
                    <w:pStyle w:val="TableBodyText"/>
                    <w:ind w:right="57"/>
                  </w:pPr>
                  <w:r w:rsidRPr="007A1C63">
                    <w:t>&lt;0.1</w:t>
                  </w:r>
                </w:p>
              </w:tc>
              <w:tc>
                <w:tcPr>
                  <w:tcW w:w="463" w:type="pct"/>
                  <w:vAlign w:val="bottom"/>
                </w:tcPr>
                <w:p w:rsidR="00745FEA" w:rsidRPr="007A1C63" w:rsidRDefault="00745FEA" w:rsidP="00745FEA">
                  <w:pPr>
                    <w:pStyle w:val="TableBodyText"/>
                    <w:ind w:right="57"/>
                  </w:pPr>
                  <w:r w:rsidRPr="007A1C63">
                    <w:t>–</w:t>
                  </w:r>
                </w:p>
              </w:tc>
              <w:tc>
                <w:tcPr>
                  <w:tcW w:w="465" w:type="pct"/>
                  <w:gridSpan w:val="2"/>
                  <w:vAlign w:val="bottom"/>
                </w:tcPr>
                <w:p w:rsidR="00745FEA" w:rsidRPr="007A1C63" w:rsidRDefault="00745FEA" w:rsidP="00745FEA">
                  <w:pPr>
                    <w:pStyle w:val="TableBodyText"/>
                    <w:ind w:right="57"/>
                  </w:pPr>
                  <w:r w:rsidRPr="007A1C63">
                    <w:t>–</w:t>
                  </w:r>
                </w:p>
              </w:tc>
              <w:tc>
                <w:tcPr>
                  <w:tcW w:w="466" w:type="pct"/>
                  <w:gridSpan w:val="2"/>
                  <w:vAlign w:val="bottom"/>
                </w:tcPr>
                <w:p w:rsidR="00745FEA" w:rsidRPr="007A1C63" w:rsidRDefault="00745FEA" w:rsidP="00745FEA">
                  <w:pPr>
                    <w:pStyle w:val="TableBodyText"/>
                    <w:ind w:right="57"/>
                  </w:pPr>
                  <w:r w:rsidRPr="007A1C63">
                    <w:t>–</w:t>
                  </w:r>
                </w:p>
              </w:tc>
              <w:tc>
                <w:tcPr>
                  <w:tcW w:w="463" w:type="pct"/>
                  <w:gridSpan w:val="2"/>
                  <w:shd w:val="clear" w:color="auto" w:fill="auto"/>
                  <w:vAlign w:val="bottom"/>
                </w:tcPr>
                <w:p w:rsidR="00745FEA" w:rsidRPr="007A1C63" w:rsidRDefault="00745FEA" w:rsidP="00745FEA">
                  <w:pPr>
                    <w:pStyle w:val="TableBodyText"/>
                    <w:ind w:right="57"/>
                  </w:pPr>
                  <w:r w:rsidRPr="007A1C63">
                    <w:t>–</w:t>
                  </w:r>
                </w:p>
              </w:tc>
              <w:tc>
                <w:tcPr>
                  <w:tcW w:w="457" w:type="pct"/>
                  <w:gridSpan w:val="2"/>
                  <w:shd w:val="clear" w:color="auto" w:fill="auto"/>
                  <w:vAlign w:val="bottom"/>
                </w:tcPr>
                <w:p w:rsidR="00745FEA" w:rsidRPr="007A1C63" w:rsidRDefault="00745FEA" w:rsidP="00745FEA">
                  <w:pPr>
                    <w:pStyle w:val="TableBodyText"/>
                    <w:ind w:right="57"/>
                  </w:pPr>
                  <w:r w:rsidRPr="007A1C63">
                    <w:t>–</w:t>
                  </w:r>
                </w:p>
              </w:tc>
            </w:tr>
            <w:tr w:rsidR="00745FEA" w:rsidTr="00745FEA">
              <w:tc>
                <w:tcPr>
                  <w:tcW w:w="2219" w:type="pct"/>
                  <w:shd w:val="clear" w:color="auto" w:fill="auto"/>
                </w:tcPr>
                <w:p w:rsidR="00745FEA" w:rsidRPr="00F04A49" w:rsidRDefault="00745FEA" w:rsidP="00745FEA">
                  <w:pPr>
                    <w:pStyle w:val="TableBodyText"/>
                    <w:spacing w:after="0"/>
                    <w:ind w:left="227" w:right="0"/>
                    <w:jc w:val="left"/>
                  </w:pPr>
                  <w:r w:rsidRPr="0051265F">
                    <w:t>Manufacturing Transition Grants Programme</w:t>
                  </w:r>
                </w:p>
              </w:tc>
              <w:tc>
                <w:tcPr>
                  <w:tcW w:w="466" w:type="pct"/>
                  <w:vAlign w:val="bottom"/>
                </w:tcPr>
                <w:p w:rsidR="00745FEA" w:rsidRPr="007A1C63" w:rsidRDefault="00745FEA" w:rsidP="00745FEA">
                  <w:pPr>
                    <w:pStyle w:val="TableBodyText"/>
                    <w:ind w:right="57"/>
                  </w:pPr>
                  <w:r w:rsidRPr="007A1C63">
                    <w:t>–</w:t>
                  </w:r>
                </w:p>
              </w:tc>
              <w:tc>
                <w:tcPr>
                  <w:tcW w:w="463" w:type="pct"/>
                  <w:vAlign w:val="bottom"/>
                </w:tcPr>
                <w:p w:rsidR="00745FEA" w:rsidRPr="007A1C63" w:rsidRDefault="00745FEA" w:rsidP="00745FEA">
                  <w:pPr>
                    <w:pStyle w:val="TableBodyText"/>
                    <w:ind w:right="57"/>
                  </w:pPr>
                  <w:r w:rsidRPr="007A1C63">
                    <w:t>–</w:t>
                  </w:r>
                </w:p>
              </w:tc>
              <w:tc>
                <w:tcPr>
                  <w:tcW w:w="465" w:type="pct"/>
                  <w:gridSpan w:val="2"/>
                  <w:vAlign w:val="bottom"/>
                </w:tcPr>
                <w:p w:rsidR="00745FEA" w:rsidRPr="007A1C63" w:rsidRDefault="00745FEA" w:rsidP="00745FEA">
                  <w:pPr>
                    <w:pStyle w:val="TableBodyText"/>
                    <w:ind w:right="57"/>
                  </w:pPr>
                  <w:r w:rsidRPr="007A1C63">
                    <w:t>–</w:t>
                  </w:r>
                </w:p>
              </w:tc>
              <w:tc>
                <w:tcPr>
                  <w:tcW w:w="466" w:type="pct"/>
                  <w:gridSpan w:val="2"/>
                  <w:vAlign w:val="bottom"/>
                </w:tcPr>
                <w:p w:rsidR="00745FEA" w:rsidRPr="007A1C63" w:rsidRDefault="00745FEA" w:rsidP="00745FEA">
                  <w:pPr>
                    <w:pStyle w:val="TableBodyText"/>
                    <w:ind w:right="57"/>
                  </w:pPr>
                  <w:r w:rsidRPr="007A1C63">
                    <w:t>–</w:t>
                  </w:r>
                </w:p>
              </w:tc>
              <w:tc>
                <w:tcPr>
                  <w:tcW w:w="463" w:type="pct"/>
                  <w:gridSpan w:val="2"/>
                  <w:shd w:val="clear" w:color="auto" w:fill="auto"/>
                  <w:vAlign w:val="bottom"/>
                </w:tcPr>
                <w:p w:rsidR="00745FEA" w:rsidRPr="007A1C63" w:rsidRDefault="00745FEA" w:rsidP="00745FEA">
                  <w:pPr>
                    <w:pStyle w:val="TableBodyText"/>
                    <w:ind w:right="57"/>
                  </w:pPr>
                  <w:r w:rsidRPr="007A1C63">
                    <w:t>–</w:t>
                  </w:r>
                </w:p>
              </w:tc>
              <w:tc>
                <w:tcPr>
                  <w:tcW w:w="457" w:type="pct"/>
                  <w:gridSpan w:val="2"/>
                  <w:shd w:val="clear" w:color="auto" w:fill="auto"/>
                  <w:vAlign w:val="bottom"/>
                </w:tcPr>
                <w:p w:rsidR="00745FEA" w:rsidRPr="007A1C63" w:rsidRDefault="00745FEA" w:rsidP="00745FEA">
                  <w:pPr>
                    <w:pStyle w:val="TableBodyText"/>
                    <w:ind w:right="57"/>
                  </w:pPr>
                  <w:r w:rsidRPr="007A1C63">
                    <w:t>1.1</w:t>
                  </w:r>
                </w:p>
              </w:tc>
            </w:tr>
            <w:tr w:rsidR="00745FEA" w:rsidTr="00745FEA">
              <w:tc>
                <w:tcPr>
                  <w:tcW w:w="2219" w:type="pct"/>
                  <w:shd w:val="clear" w:color="auto" w:fill="auto"/>
                </w:tcPr>
                <w:p w:rsidR="00745FEA" w:rsidRPr="00F04A49" w:rsidRDefault="00745FEA" w:rsidP="00745FEA">
                  <w:pPr>
                    <w:pStyle w:val="TableBodyText"/>
                    <w:spacing w:after="0"/>
                    <w:ind w:left="227" w:right="0"/>
                    <w:jc w:val="left"/>
                  </w:pPr>
                  <w:r w:rsidRPr="005879A5">
                    <w:t>Next Generation Manufacturing Investment Programme</w:t>
                  </w:r>
                </w:p>
              </w:tc>
              <w:tc>
                <w:tcPr>
                  <w:tcW w:w="466" w:type="pct"/>
                  <w:vAlign w:val="bottom"/>
                </w:tcPr>
                <w:p w:rsidR="00745FEA" w:rsidRPr="007A1C63" w:rsidRDefault="00745FEA" w:rsidP="00745FEA">
                  <w:pPr>
                    <w:pStyle w:val="TableBodyText"/>
                    <w:ind w:right="57"/>
                  </w:pPr>
                  <w:r w:rsidRPr="007A1C63">
                    <w:t>–</w:t>
                  </w:r>
                </w:p>
              </w:tc>
              <w:tc>
                <w:tcPr>
                  <w:tcW w:w="463" w:type="pct"/>
                  <w:vAlign w:val="bottom"/>
                </w:tcPr>
                <w:p w:rsidR="00745FEA" w:rsidRPr="007A1C63" w:rsidRDefault="00745FEA" w:rsidP="00745FEA">
                  <w:pPr>
                    <w:pStyle w:val="TableBodyText"/>
                    <w:ind w:right="57"/>
                  </w:pPr>
                  <w:r w:rsidRPr="007A1C63">
                    <w:t>–</w:t>
                  </w:r>
                </w:p>
              </w:tc>
              <w:tc>
                <w:tcPr>
                  <w:tcW w:w="465" w:type="pct"/>
                  <w:gridSpan w:val="2"/>
                  <w:vAlign w:val="bottom"/>
                </w:tcPr>
                <w:p w:rsidR="00745FEA" w:rsidRPr="007A1C63" w:rsidRDefault="00745FEA" w:rsidP="00745FEA">
                  <w:pPr>
                    <w:pStyle w:val="TableBodyText"/>
                    <w:ind w:right="57"/>
                  </w:pPr>
                  <w:r w:rsidRPr="007A1C63">
                    <w:t>–</w:t>
                  </w:r>
                </w:p>
              </w:tc>
              <w:tc>
                <w:tcPr>
                  <w:tcW w:w="466" w:type="pct"/>
                  <w:gridSpan w:val="2"/>
                  <w:vAlign w:val="bottom"/>
                </w:tcPr>
                <w:p w:rsidR="00745FEA" w:rsidRPr="007A1C63" w:rsidRDefault="00745FEA" w:rsidP="00745FEA">
                  <w:pPr>
                    <w:pStyle w:val="TableBodyText"/>
                    <w:ind w:right="57"/>
                  </w:pPr>
                  <w:r w:rsidRPr="007A1C63">
                    <w:t>–</w:t>
                  </w:r>
                </w:p>
              </w:tc>
              <w:tc>
                <w:tcPr>
                  <w:tcW w:w="463" w:type="pct"/>
                  <w:gridSpan w:val="2"/>
                  <w:shd w:val="clear" w:color="auto" w:fill="auto"/>
                  <w:vAlign w:val="bottom"/>
                </w:tcPr>
                <w:p w:rsidR="00745FEA" w:rsidRPr="007A1C63" w:rsidRDefault="00745FEA" w:rsidP="00745FEA">
                  <w:pPr>
                    <w:pStyle w:val="TableBodyText"/>
                    <w:ind w:right="57"/>
                  </w:pPr>
                  <w:r w:rsidRPr="007A1C63">
                    <w:t>–</w:t>
                  </w:r>
                </w:p>
              </w:tc>
              <w:tc>
                <w:tcPr>
                  <w:tcW w:w="457" w:type="pct"/>
                  <w:gridSpan w:val="2"/>
                  <w:shd w:val="clear" w:color="auto" w:fill="auto"/>
                  <w:vAlign w:val="bottom"/>
                </w:tcPr>
                <w:p w:rsidR="00745FEA" w:rsidRDefault="00745FEA" w:rsidP="00745FEA">
                  <w:pPr>
                    <w:pStyle w:val="TableBodyText"/>
                    <w:ind w:right="57"/>
                  </w:pPr>
                  <w:r w:rsidRPr="007A1C63">
                    <w:t>3.6</w:t>
                  </w:r>
                </w:p>
              </w:tc>
            </w:tr>
            <w:tr w:rsidR="00745FEA" w:rsidTr="00745FEA">
              <w:tc>
                <w:tcPr>
                  <w:tcW w:w="2219" w:type="pct"/>
                  <w:shd w:val="clear" w:color="auto" w:fill="auto"/>
                </w:tcPr>
                <w:p w:rsidR="00745FEA" w:rsidRPr="001D7E7E" w:rsidRDefault="00745FEA" w:rsidP="00745FEA">
                  <w:pPr>
                    <w:pStyle w:val="TableBodyText"/>
                    <w:spacing w:before="40" w:after="0"/>
                    <w:ind w:left="113"/>
                    <w:jc w:val="left"/>
                    <w:rPr>
                      <w:i/>
                    </w:rPr>
                  </w:pPr>
                  <w:r w:rsidRPr="001D7E7E">
                    <w:rPr>
                      <w:i/>
                    </w:rPr>
                    <w:t>General export measures</w:t>
                  </w:r>
                </w:p>
              </w:tc>
              <w:tc>
                <w:tcPr>
                  <w:tcW w:w="466" w:type="pct"/>
                  <w:vAlign w:val="bottom"/>
                </w:tcPr>
                <w:p w:rsidR="00745FEA" w:rsidRDefault="00745FEA" w:rsidP="00745FEA">
                  <w:pPr>
                    <w:pStyle w:val="TableBodyText"/>
                    <w:ind w:right="57"/>
                  </w:pPr>
                </w:p>
              </w:tc>
              <w:tc>
                <w:tcPr>
                  <w:tcW w:w="463" w:type="pct"/>
                  <w:vAlign w:val="bottom"/>
                </w:tcPr>
                <w:p w:rsidR="00745FEA" w:rsidRDefault="00745FEA" w:rsidP="00745FEA">
                  <w:pPr>
                    <w:pStyle w:val="TableBodyText"/>
                    <w:ind w:right="57"/>
                  </w:pPr>
                </w:p>
              </w:tc>
              <w:tc>
                <w:tcPr>
                  <w:tcW w:w="465" w:type="pct"/>
                  <w:gridSpan w:val="2"/>
                  <w:vAlign w:val="bottom"/>
                </w:tcPr>
                <w:p w:rsidR="00745FEA" w:rsidRDefault="00745FEA" w:rsidP="00745FEA">
                  <w:pPr>
                    <w:pStyle w:val="TableBodyText"/>
                    <w:ind w:right="57"/>
                  </w:pPr>
                </w:p>
              </w:tc>
              <w:tc>
                <w:tcPr>
                  <w:tcW w:w="466" w:type="pct"/>
                  <w:gridSpan w:val="2"/>
                  <w:vAlign w:val="bottom"/>
                </w:tcPr>
                <w:p w:rsidR="00745FEA" w:rsidRDefault="00745FEA" w:rsidP="00745FEA">
                  <w:pPr>
                    <w:pStyle w:val="TableBodyText"/>
                    <w:ind w:right="57"/>
                  </w:pPr>
                </w:p>
              </w:tc>
              <w:tc>
                <w:tcPr>
                  <w:tcW w:w="463" w:type="pct"/>
                  <w:gridSpan w:val="2"/>
                  <w:shd w:val="clear" w:color="auto" w:fill="auto"/>
                  <w:vAlign w:val="bottom"/>
                </w:tcPr>
                <w:p w:rsidR="00745FEA" w:rsidRDefault="00745FEA" w:rsidP="00745FEA">
                  <w:pPr>
                    <w:pStyle w:val="TableBodyText"/>
                    <w:ind w:right="57"/>
                  </w:pPr>
                </w:p>
              </w:tc>
              <w:tc>
                <w:tcPr>
                  <w:tcW w:w="457" w:type="pct"/>
                  <w:gridSpan w:val="2"/>
                  <w:shd w:val="clear" w:color="auto" w:fill="auto"/>
                  <w:vAlign w:val="bottom"/>
                </w:tcPr>
                <w:p w:rsidR="00745FEA" w:rsidRDefault="00745FEA" w:rsidP="00745FEA">
                  <w:pPr>
                    <w:pStyle w:val="TableBodyText"/>
                    <w:ind w:right="57"/>
                  </w:pPr>
                </w:p>
              </w:tc>
            </w:tr>
            <w:tr w:rsidR="00745FEA" w:rsidTr="00745FEA">
              <w:tc>
                <w:tcPr>
                  <w:tcW w:w="2219" w:type="pct"/>
                  <w:shd w:val="clear" w:color="auto" w:fill="auto"/>
                </w:tcPr>
                <w:p w:rsidR="00745FEA" w:rsidRPr="00B6262B" w:rsidRDefault="00745FEA" w:rsidP="00745FEA">
                  <w:pPr>
                    <w:pStyle w:val="TableBodyText"/>
                    <w:spacing w:after="0"/>
                    <w:ind w:left="227" w:right="0"/>
                    <w:jc w:val="left"/>
                  </w:pPr>
                  <w:r w:rsidRPr="00B6262B">
                    <w:t>Austrade</w:t>
                  </w:r>
                </w:p>
              </w:tc>
              <w:tc>
                <w:tcPr>
                  <w:tcW w:w="466" w:type="pct"/>
                  <w:vAlign w:val="bottom"/>
                </w:tcPr>
                <w:p w:rsidR="00745FEA" w:rsidRPr="0073780E" w:rsidRDefault="00745FEA" w:rsidP="00745FEA">
                  <w:pPr>
                    <w:pStyle w:val="TableBodyText"/>
                    <w:ind w:right="57"/>
                  </w:pPr>
                  <w:r w:rsidRPr="0073780E">
                    <w:t>115.1</w:t>
                  </w:r>
                </w:p>
              </w:tc>
              <w:tc>
                <w:tcPr>
                  <w:tcW w:w="463" w:type="pct"/>
                  <w:vAlign w:val="bottom"/>
                </w:tcPr>
                <w:p w:rsidR="00745FEA" w:rsidRPr="0073780E" w:rsidRDefault="00745FEA" w:rsidP="00745FEA">
                  <w:pPr>
                    <w:pStyle w:val="TableBodyText"/>
                    <w:ind w:right="57"/>
                  </w:pPr>
                  <w:r w:rsidRPr="0073780E">
                    <w:t>101.5</w:t>
                  </w:r>
                </w:p>
              </w:tc>
              <w:tc>
                <w:tcPr>
                  <w:tcW w:w="465" w:type="pct"/>
                  <w:gridSpan w:val="2"/>
                  <w:vAlign w:val="bottom"/>
                </w:tcPr>
                <w:p w:rsidR="00745FEA" w:rsidRPr="0073780E" w:rsidRDefault="00745FEA" w:rsidP="00745FEA">
                  <w:pPr>
                    <w:pStyle w:val="TableBodyText"/>
                    <w:ind w:right="57"/>
                  </w:pPr>
                  <w:r w:rsidRPr="0073780E">
                    <w:t>112.1</w:t>
                  </w:r>
                </w:p>
              </w:tc>
              <w:tc>
                <w:tcPr>
                  <w:tcW w:w="466" w:type="pct"/>
                  <w:gridSpan w:val="2"/>
                  <w:vAlign w:val="bottom"/>
                </w:tcPr>
                <w:p w:rsidR="00745FEA" w:rsidRPr="0073780E" w:rsidRDefault="00745FEA" w:rsidP="00745FEA">
                  <w:pPr>
                    <w:pStyle w:val="TableBodyText"/>
                    <w:ind w:right="57"/>
                  </w:pPr>
                  <w:r w:rsidRPr="0073780E">
                    <w:t>115.7</w:t>
                  </w:r>
                </w:p>
              </w:tc>
              <w:tc>
                <w:tcPr>
                  <w:tcW w:w="463" w:type="pct"/>
                  <w:gridSpan w:val="2"/>
                  <w:shd w:val="clear" w:color="auto" w:fill="auto"/>
                  <w:vAlign w:val="bottom"/>
                </w:tcPr>
                <w:p w:rsidR="00745FEA" w:rsidRPr="0073780E" w:rsidRDefault="00745FEA" w:rsidP="00745FEA">
                  <w:pPr>
                    <w:pStyle w:val="TableBodyText"/>
                    <w:ind w:right="57"/>
                  </w:pPr>
                  <w:r w:rsidRPr="0073780E">
                    <w:t>136.5</w:t>
                  </w:r>
                </w:p>
              </w:tc>
              <w:tc>
                <w:tcPr>
                  <w:tcW w:w="457" w:type="pct"/>
                  <w:gridSpan w:val="2"/>
                  <w:shd w:val="clear" w:color="auto" w:fill="auto"/>
                  <w:vAlign w:val="bottom"/>
                </w:tcPr>
                <w:p w:rsidR="00745FEA" w:rsidRPr="0073780E" w:rsidRDefault="00745FEA" w:rsidP="00745FEA">
                  <w:pPr>
                    <w:pStyle w:val="TableBodyText"/>
                    <w:ind w:right="57"/>
                  </w:pPr>
                  <w:r w:rsidRPr="0073780E">
                    <w:t>123.5</w:t>
                  </w:r>
                </w:p>
              </w:tc>
            </w:tr>
            <w:tr w:rsidR="00745FEA" w:rsidTr="00745FEA">
              <w:tc>
                <w:tcPr>
                  <w:tcW w:w="2219" w:type="pct"/>
                  <w:shd w:val="clear" w:color="auto" w:fill="auto"/>
                </w:tcPr>
                <w:p w:rsidR="00745FEA" w:rsidRPr="00B6262B" w:rsidRDefault="00745FEA" w:rsidP="00745FEA">
                  <w:pPr>
                    <w:pStyle w:val="TableBodyText"/>
                    <w:spacing w:after="0"/>
                    <w:ind w:left="227" w:right="0"/>
                    <w:jc w:val="left"/>
                  </w:pPr>
                  <w:r w:rsidRPr="00B6262B">
                    <w:t>Clean Energy Trade and Investment Strategy</w:t>
                  </w:r>
                </w:p>
              </w:tc>
              <w:tc>
                <w:tcPr>
                  <w:tcW w:w="466" w:type="pct"/>
                  <w:vAlign w:val="bottom"/>
                </w:tcPr>
                <w:p w:rsidR="00745FEA" w:rsidRPr="0073780E" w:rsidRDefault="00745FEA" w:rsidP="00745FEA">
                  <w:pPr>
                    <w:pStyle w:val="TableBodyText"/>
                    <w:ind w:right="57"/>
                  </w:pPr>
                  <w:r w:rsidRPr="0073780E">
                    <w:t>4.9</w:t>
                  </w:r>
                </w:p>
              </w:tc>
              <w:tc>
                <w:tcPr>
                  <w:tcW w:w="463" w:type="pct"/>
                  <w:vAlign w:val="bottom"/>
                </w:tcPr>
                <w:p w:rsidR="00745FEA" w:rsidRPr="0073780E" w:rsidRDefault="00745FEA" w:rsidP="00745FEA">
                  <w:pPr>
                    <w:pStyle w:val="TableBodyText"/>
                    <w:ind w:right="57"/>
                  </w:pPr>
                  <w:r w:rsidRPr="0073780E">
                    <w:t>–</w:t>
                  </w:r>
                </w:p>
              </w:tc>
              <w:tc>
                <w:tcPr>
                  <w:tcW w:w="465" w:type="pct"/>
                  <w:gridSpan w:val="2"/>
                  <w:vAlign w:val="bottom"/>
                </w:tcPr>
                <w:p w:rsidR="00745FEA" w:rsidRPr="0073780E" w:rsidRDefault="00745FEA" w:rsidP="00745FEA">
                  <w:pPr>
                    <w:pStyle w:val="TableBodyText"/>
                    <w:ind w:right="57"/>
                  </w:pPr>
                  <w:r w:rsidRPr="0073780E">
                    <w:t>–</w:t>
                  </w:r>
                </w:p>
              </w:tc>
              <w:tc>
                <w:tcPr>
                  <w:tcW w:w="466" w:type="pct"/>
                  <w:gridSpan w:val="2"/>
                  <w:vAlign w:val="bottom"/>
                </w:tcPr>
                <w:p w:rsidR="00745FEA" w:rsidRPr="0073780E" w:rsidRDefault="00745FEA" w:rsidP="00745FEA">
                  <w:pPr>
                    <w:pStyle w:val="TableBodyText"/>
                    <w:ind w:right="57"/>
                  </w:pPr>
                  <w:r w:rsidRPr="0073780E">
                    <w:t>–</w:t>
                  </w:r>
                </w:p>
              </w:tc>
              <w:tc>
                <w:tcPr>
                  <w:tcW w:w="463" w:type="pct"/>
                  <w:gridSpan w:val="2"/>
                  <w:shd w:val="clear" w:color="auto" w:fill="auto"/>
                  <w:vAlign w:val="bottom"/>
                </w:tcPr>
                <w:p w:rsidR="00745FEA" w:rsidRPr="0073780E" w:rsidRDefault="00745FEA" w:rsidP="00745FEA">
                  <w:pPr>
                    <w:pStyle w:val="TableBodyText"/>
                    <w:ind w:right="57"/>
                  </w:pPr>
                  <w:r w:rsidRPr="0073780E">
                    <w:t>–</w:t>
                  </w:r>
                </w:p>
              </w:tc>
              <w:tc>
                <w:tcPr>
                  <w:tcW w:w="457" w:type="pct"/>
                  <w:gridSpan w:val="2"/>
                  <w:shd w:val="clear" w:color="auto" w:fill="auto"/>
                  <w:vAlign w:val="bottom"/>
                </w:tcPr>
                <w:p w:rsidR="00745FEA" w:rsidRDefault="00745FEA" w:rsidP="00745FEA">
                  <w:pPr>
                    <w:pStyle w:val="TableBodyText"/>
                    <w:ind w:right="57"/>
                  </w:pPr>
                  <w:r w:rsidRPr="0073780E">
                    <w:t>–</w:t>
                  </w:r>
                </w:p>
              </w:tc>
            </w:tr>
            <w:tr w:rsidR="00745FEA" w:rsidTr="00745FEA">
              <w:tc>
                <w:tcPr>
                  <w:tcW w:w="2219" w:type="pct"/>
                  <w:shd w:val="clear" w:color="auto" w:fill="auto"/>
                  <w:vAlign w:val="bottom"/>
                </w:tcPr>
                <w:p w:rsidR="00745FEA" w:rsidRPr="00B21065" w:rsidRDefault="00745FEA" w:rsidP="00745FEA">
                  <w:pPr>
                    <w:spacing w:before="40"/>
                    <w:ind w:left="113"/>
                    <w:rPr>
                      <w:rFonts w:ascii="Arial" w:hAnsi="Arial" w:cs="Arial"/>
                      <w:i/>
                      <w:color w:val="000000"/>
                      <w:sz w:val="18"/>
                      <w:szCs w:val="18"/>
                    </w:rPr>
                  </w:pPr>
                  <w:r w:rsidRPr="00B21065">
                    <w:rPr>
                      <w:rFonts w:ascii="Arial" w:hAnsi="Arial" w:cs="Arial"/>
                      <w:i/>
                      <w:color w:val="000000"/>
                      <w:sz w:val="18"/>
                      <w:szCs w:val="18"/>
                    </w:rPr>
                    <w:t>General investment measures</w:t>
                  </w:r>
                </w:p>
              </w:tc>
              <w:tc>
                <w:tcPr>
                  <w:tcW w:w="466" w:type="pct"/>
                  <w:vAlign w:val="bottom"/>
                </w:tcPr>
                <w:p w:rsidR="00745FEA" w:rsidRDefault="00745FEA" w:rsidP="00745FEA">
                  <w:pPr>
                    <w:pStyle w:val="TableBodyText"/>
                    <w:ind w:right="57"/>
                    <w:rPr>
                      <w:rFonts w:cs="Arial"/>
                      <w:szCs w:val="18"/>
                    </w:rPr>
                  </w:pPr>
                </w:p>
              </w:tc>
              <w:tc>
                <w:tcPr>
                  <w:tcW w:w="463" w:type="pct"/>
                  <w:vAlign w:val="bottom"/>
                </w:tcPr>
                <w:p w:rsidR="00745FEA" w:rsidRDefault="00745FEA" w:rsidP="00745FEA">
                  <w:pPr>
                    <w:pStyle w:val="TableBodyText"/>
                    <w:ind w:right="57"/>
                    <w:rPr>
                      <w:rFonts w:cs="Arial"/>
                      <w:szCs w:val="18"/>
                    </w:rPr>
                  </w:pPr>
                </w:p>
              </w:tc>
              <w:tc>
                <w:tcPr>
                  <w:tcW w:w="465" w:type="pct"/>
                  <w:gridSpan w:val="2"/>
                  <w:vAlign w:val="bottom"/>
                </w:tcPr>
                <w:p w:rsidR="00745FEA" w:rsidRDefault="00745FEA" w:rsidP="00745FEA">
                  <w:pPr>
                    <w:pStyle w:val="TableBodyText"/>
                    <w:ind w:right="57"/>
                    <w:rPr>
                      <w:rFonts w:cs="Arial"/>
                      <w:szCs w:val="18"/>
                    </w:rPr>
                  </w:pPr>
                </w:p>
              </w:tc>
              <w:tc>
                <w:tcPr>
                  <w:tcW w:w="466" w:type="pct"/>
                  <w:gridSpan w:val="2"/>
                  <w:vAlign w:val="bottom"/>
                </w:tcPr>
                <w:p w:rsidR="00745FEA" w:rsidRDefault="00745FEA" w:rsidP="00745FEA">
                  <w:pPr>
                    <w:pStyle w:val="TableBodyText"/>
                    <w:ind w:right="57"/>
                    <w:rPr>
                      <w:rFonts w:cs="Arial"/>
                      <w:szCs w:val="18"/>
                    </w:rPr>
                  </w:pPr>
                </w:p>
              </w:tc>
              <w:tc>
                <w:tcPr>
                  <w:tcW w:w="463" w:type="pct"/>
                  <w:gridSpan w:val="2"/>
                  <w:shd w:val="clear" w:color="auto" w:fill="auto"/>
                  <w:vAlign w:val="bottom"/>
                </w:tcPr>
                <w:p w:rsidR="00745FEA" w:rsidRDefault="00745FEA" w:rsidP="00745FEA">
                  <w:pPr>
                    <w:pStyle w:val="TableBodyText"/>
                    <w:ind w:right="57"/>
                    <w:rPr>
                      <w:rFonts w:cs="Arial"/>
                      <w:szCs w:val="18"/>
                    </w:rPr>
                  </w:pPr>
                </w:p>
              </w:tc>
              <w:tc>
                <w:tcPr>
                  <w:tcW w:w="457" w:type="pct"/>
                  <w:gridSpan w:val="2"/>
                  <w:shd w:val="clear" w:color="auto" w:fill="auto"/>
                  <w:vAlign w:val="bottom"/>
                </w:tcPr>
                <w:p w:rsidR="00745FEA" w:rsidRDefault="00745FEA" w:rsidP="00745FEA">
                  <w:pPr>
                    <w:pStyle w:val="TableBodyText"/>
                    <w:ind w:right="57"/>
                    <w:rPr>
                      <w:rFonts w:cs="Arial"/>
                      <w:szCs w:val="18"/>
                    </w:rPr>
                  </w:pPr>
                </w:p>
              </w:tc>
            </w:tr>
            <w:tr w:rsidR="00745FEA" w:rsidTr="00745FEA">
              <w:tc>
                <w:tcPr>
                  <w:tcW w:w="2219" w:type="pct"/>
                  <w:shd w:val="clear" w:color="auto" w:fill="auto"/>
                </w:tcPr>
                <w:p w:rsidR="00745FEA" w:rsidRPr="0026662D" w:rsidRDefault="00745FEA" w:rsidP="00745FEA">
                  <w:pPr>
                    <w:pStyle w:val="TableBodyText"/>
                    <w:spacing w:after="0"/>
                    <w:ind w:left="227" w:right="0"/>
                    <w:jc w:val="left"/>
                  </w:pPr>
                  <w:r w:rsidRPr="0026662D">
                    <w:t>Regional headquarters program</w:t>
                  </w:r>
                </w:p>
              </w:tc>
              <w:tc>
                <w:tcPr>
                  <w:tcW w:w="466" w:type="pct"/>
                  <w:vAlign w:val="bottom"/>
                </w:tcPr>
                <w:p w:rsidR="00745FEA" w:rsidRPr="009B016C" w:rsidRDefault="00745FEA" w:rsidP="00745FEA">
                  <w:pPr>
                    <w:pStyle w:val="TableBodyText"/>
                    <w:ind w:right="57"/>
                  </w:pPr>
                  <w:r w:rsidRPr="009B016C">
                    <w:t>0.5</w:t>
                  </w:r>
                </w:p>
              </w:tc>
              <w:tc>
                <w:tcPr>
                  <w:tcW w:w="463" w:type="pct"/>
                  <w:vAlign w:val="bottom"/>
                </w:tcPr>
                <w:p w:rsidR="00745FEA" w:rsidRPr="009B016C" w:rsidRDefault="00745FEA" w:rsidP="00745FEA">
                  <w:pPr>
                    <w:pStyle w:val="TableBodyText"/>
                    <w:ind w:right="57"/>
                  </w:pPr>
                  <w:r w:rsidRPr="009B016C">
                    <w:t>0.5</w:t>
                  </w:r>
                </w:p>
              </w:tc>
              <w:tc>
                <w:tcPr>
                  <w:tcW w:w="465" w:type="pct"/>
                  <w:gridSpan w:val="2"/>
                  <w:vAlign w:val="bottom"/>
                </w:tcPr>
                <w:p w:rsidR="00745FEA" w:rsidRPr="009B016C" w:rsidRDefault="00745FEA" w:rsidP="00745FEA">
                  <w:pPr>
                    <w:pStyle w:val="TableBodyText"/>
                    <w:ind w:right="57"/>
                  </w:pPr>
                  <w:r w:rsidRPr="009B016C">
                    <w:t>–</w:t>
                  </w:r>
                </w:p>
              </w:tc>
              <w:tc>
                <w:tcPr>
                  <w:tcW w:w="466" w:type="pct"/>
                  <w:gridSpan w:val="2"/>
                  <w:vAlign w:val="bottom"/>
                </w:tcPr>
                <w:p w:rsidR="00745FEA" w:rsidRPr="009B016C" w:rsidRDefault="00745FEA" w:rsidP="00745FEA">
                  <w:pPr>
                    <w:pStyle w:val="TableBodyText"/>
                    <w:ind w:right="57"/>
                  </w:pPr>
                  <w:r w:rsidRPr="009B016C">
                    <w:t>–</w:t>
                  </w:r>
                </w:p>
              </w:tc>
              <w:tc>
                <w:tcPr>
                  <w:tcW w:w="463" w:type="pct"/>
                  <w:gridSpan w:val="2"/>
                  <w:shd w:val="clear" w:color="auto" w:fill="auto"/>
                  <w:vAlign w:val="bottom"/>
                </w:tcPr>
                <w:p w:rsidR="00745FEA" w:rsidRPr="009B016C" w:rsidRDefault="00745FEA" w:rsidP="00745FEA">
                  <w:pPr>
                    <w:pStyle w:val="TableBodyText"/>
                    <w:ind w:right="57"/>
                  </w:pPr>
                  <w:r w:rsidRPr="009B016C">
                    <w:t>–</w:t>
                  </w:r>
                </w:p>
              </w:tc>
              <w:tc>
                <w:tcPr>
                  <w:tcW w:w="457" w:type="pct"/>
                  <w:gridSpan w:val="2"/>
                  <w:shd w:val="clear" w:color="auto" w:fill="auto"/>
                  <w:vAlign w:val="bottom"/>
                </w:tcPr>
                <w:p w:rsidR="00745FEA" w:rsidRDefault="00745FEA" w:rsidP="00745FEA">
                  <w:pPr>
                    <w:pStyle w:val="TableBodyText"/>
                    <w:ind w:right="57"/>
                  </w:pPr>
                  <w:r w:rsidRPr="009B016C">
                    <w:t>–</w:t>
                  </w:r>
                </w:p>
              </w:tc>
            </w:tr>
            <w:tr w:rsidR="00745FEA" w:rsidTr="00745FEA">
              <w:tc>
                <w:tcPr>
                  <w:tcW w:w="2219" w:type="pct"/>
                  <w:shd w:val="clear" w:color="auto" w:fill="auto"/>
                </w:tcPr>
                <w:p w:rsidR="00745FEA" w:rsidRPr="00B21065" w:rsidRDefault="00745FEA" w:rsidP="00745FEA">
                  <w:pPr>
                    <w:pStyle w:val="TableBodyText"/>
                    <w:spacing w:before="40" w:after="0"/>
                    <w:ind w:left="113"/>
                    <w:jc w:val="left"/>
                    <w:rPr>
                      <w:i/>
                    </w:rPr>
                  </w:pPr>
                  <w:r w:rsidRPr="00B21065">
                    <w:rPr>
                      <w:i/>
                    </w:rPr>
                    <w:t>General R&amp;D measures</w:t>
                  </w:r>
                </w:p>
              </w:tc>
              <w:tc>
                <w:tcPr>
                  <w:tcW w:w="466" w:type="pct"/>
                  <w:vAlign w:val="bottom"/>
                </w:tcPr>
                <w:p w:rsidR="00745FEA" w:rsidRDefault="00745FEA" w:rsidP="00745FEA">
                  <w:pPr>
                    <w:pStyle w:val="TableBodyText"/>
                    <w:ind w:right="57"/>
                  </w:pPr>
                </w:p>
              </w:tc>
              <w:tc>
                <w:tcPr>
                  <w:tcW w:w="463" w:type="pct"/>
                  <w:vAlign w:val="bottom"/>
                </w:tcPr>
                <w:p w:rsidR="00745FEA" w:rsidRDefault="00745FEA" w:rsidP="00745FEA">
                  <w:pPr>
                    <w:pStyle w:val="TableBodyText"/>
                    <w:ind w:right="57"/>
                  </w:pPr>
                </w:p>
              </w:tc>
              <w:tc>
                <w:tcPr>
                  <w:tcW w:w="465" w:type="pct"/>
                  <w:gridSpan w:val="2"/>
                  <w:vAlign w:val="bottom"/>
                </w:tcPr>
                <w:p w:rsidR="00745FEA" w:rsidRDefault="00745FEA" w:rsidP="00745FEA">
                  <w:pPr>
                    <w:pStyle w:val="TableBodyText"/>
                    <w:ind w:right="57"/>
                  </w:pPr>
                </w:p>
              </w:tc>
              <w:tc>
                <w:tcPr>
                  <w:tcW w:w="466" w:type="pct"/>
                  <w:gridSpan w:val="2"/>
                  <w:vAlign w:val="bottom"/>
                </w:tcPr>
                <w:p w:rsidR="00745FEA" w:rsidRDefault="00745FEA" w:rsidP="00745FEA">
                  <w:pPr>
                    <w:pStyle w:val="TableBodyText"/>
                    <w:ind w:right="57"/>
                  </w:pPr>
                </w:p>
              </w:tc>
              <w:tc>
                <w:tcPr>
                  <w:tcW w:w="463" w:type="pct"/>
                  <w:gridSpan w:val="2"/>
                  <w:shd w:val="clear" w:color="auto" w:fill="auto"/>
                  <w:vAlign w:val="bottom"/>
                </w:tcPr>
                <w:p w:rsidR="00745FEA" w:rsidRDefault="00745FEA" w:rsidP="00745FEA">
                  <w:pPr>
                    <w:pStyle w:val="TableBodyText"/>
                    <w:ind w:right="57"/>
                  </w:pPr>
                </w:p>
              </w:tc>
              <w:tc>
                <w:tcPr>
                  <w:tcW w:w="457" w:type="pct"/>
                  <w:gridSpan w:val="2"/>
                  <w:shd w:val="clear" w:color="auto" w:fill="auto"/>
                  <w:vAlign w:val="bottom"/>
                </w:tcPr>
                <w:p w:rsidR="00745FEA" w:rsidRDefault="00745FEA" w:rsidP="00745FEA">
                  <w:pPr>
                    <w:pStyle w:val="TableBodyText"/>
                    <w:ind w:right="57"/>
                  </w:pP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Australian Renewable Energy Agency</w:t>
                  </w:r>
                </w:p>
              </w:tc>
              <w:tc>
                <w:tcPr>
                  <w:tcW w:w="466" w:type="pct"/>
                  <w:vAlign w:val="bottom"/>
                </w:tcPr>
                <w:p w:rsidR="00745FEA" w:rsidRPr="00D91781" w:rsidRDefault="00745FEA" w:rsidP="00745FEA">
                  <w:pPr>
                    <w:pStyle w:val="TableBodyText"/>
                    <w:ind w:right="57"/>
                  </w:pPr>
                  <w:r w:rsidRPr="00D91781">
                    <w:t>23.8</w:t>
                  </w:r>
                </w:p>
              </w:tc>
              <w:tc>
                <w:tcPr>
                  <w:tcW w:w="463" w:type="pct"/>
                  <w:vAlign w:val="bottom"/>
                </w:tcPr>
                <w:p w:rsidR="00745FEA" w:rsidRPr="00D91781" w:rsidRDefault="00745FEA" w:rsidP="00745FEA">
                  <w:pPr>
                    <w:pStyle w:val="TableBodyText"/>
                    <w:ind w:right="57"/>
                  </w:pPr>
                  <w:r w:rsidRPr="00D91781">
                    <w:t>59.6</w:t>
                  </w:r>
                </w:p>
              </w:tc>
              <w:tc>
                <w:tcPr>
                  <w:tcW w:w="465" w:type="pct"/>
                  <w:gridSpan w:val="2"/>
                  <w:vAlign w:val="bottom"/>
                </w:tcPr>
                <w:p w:rsidR="00745FEA" w:rsidRPr="00D91781" w:rsidRDefault="00745FEA" w:rsidP="00745FEA">
                  <w:pPr>
                    <w:pStyle w:val="TableBodyText"/>
                    <w:ind w:right="57"/>
                  </w:pPr>
                  <w:r w:rsidRPr="00D91781">
                    <w:t>261.9</w:t>
                  </w:r>
                </w:p>
              </w:tc>
              <w:tc>
                <w:tcPr>
                  <w:tcW w:w="466" w:type="pct"/>
                  <w:gridSpan w:val="2"/>
                  <w:vAlign w:val="bottom"/>
                </w:tcPr>
                <w:p w:rsidR="00745FEA" w:rsidRPr="00D91781" w:rsidRDefault="00745FEA" w:rsidP="00745FEA">
                  <w:pPr>
                    <w:pStyle w:val="TableBodyText"/>
                    <w:ind w:right="57"/>
                  </w:pPr>
                  <w:r w:rsidRPr="00D91781">
                    <w:t>244.4</w:t>
                  </w:r>
                </w:p>
              </w:tc>
              <w:tc>
                <w:tcPr>
                  <w:tcW w:w="463" w:type="pct"/>
                  <w:gridSpan w:val="2"/>
                  <w:shd w:val="clear" w:color="auto" w:fill="auto"/>
                  <w:vAlign w:val="bottom"/>
                </w:tcPr>
                <w:p w:rsidR="00745FEA" w:rsidRPr="00D91781" w:rsidRDefault="00745FEA" w:rsidP="00745FEA">
                  <w:pPr>
                    <w:pStyle w:val="TableBodyText"/>
                    <w:ind w:right="57"/>
                  </w:pPr>
                  <w:r w:rsidRPr="00D91781">
                    <w:t>114.6</w:t>
                  </w:r>
                </w:p>
              </w:tc>
              <w:tc>
                <w:tcPr>
                  <w:tcW w:w="457" w:type="pct"/>
                  <w:gridSpan w:val="2"/>
                  <w:shd w:val="clear" w:color="auto" w:fill="auto"/>
                  <w:vAlign w:val="bottom"/>
                </w:tcPr>
                <w:p w:rsidR="00745FEA" w:rsidRPr="00D91781" w:rsidRDefault="00745FEA" w:rsidP="00745FEA">
                  <w:pPr>
                    <w:pStyle w:val="TableBodyText"/>
                    <w:ind w:right="57"/>
                  </w:pPr>
                  <w:r w:rsidRPr="00D91781">
                    <w:t>192.1</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Commercialisation Australia</w:t>
                  </w:r>
                </w:p>
              </w:tc>
              <w:tc>
                <w:tcPr>
                  <w:tcW w:w="466" w:type="pct"/>
                  <w:vAlign w:val="bottom"/>
                </w:tcPr>
                <w:p w:rsidR="00745FEA" w:rsidRPr="00D91781" w:rsidRDefault="00745FEA" w:rsidP="00745FEA">
                  <w:pPr>
                    <w:pStyle w:val="TableBodyText"/>
                    <w:ind w:right="57"/>
                  </w:pPr>
                  <w:r w:rsidRPr="00D91781">
                    <w:t>–</w:t>
                  </w:r>
                </w:p>
              </w:tc>
              <w:tc>
                <w:tcPr>
                  <w:tcW w:w="463" w:type="pct"/>
                  <w:vAlign w:val="bottom"/>
                </w:tcPr>
                <w:p w:rsidR="00745FEA" w:rsidRPr="00D91781" w:rsidRDefault="00745FEA" w:rsidP="00745FEA">
                  <w:pPr>
                    <w:pStyle w:val="TableBodyText"/>
                    <w:ind w:right="57"/>
                  </w:pPr>
                  <w:r w:rsidRPr="00D91781">
                    <w:t>–</w:t>
                  </w:r>
                </w:p>
              </w:tc>
              <w:tc>
                <w:tcPr>
                  <w:tcW w:w="465" w:type="pct"/>
                  <w:gridSpan w:val="2"/>
                  <w:vAlign w:val="bottom"/>
                </w:tcPr>
                <w:p w:rsidR="00745FEA" w:rsidRPr="00D91781" w:rsidRDefault="00745FEA" w:rsidP="00745FEA">
                  <w:pPr>
                    <w:pStyle w:val="TableBodyText"/>
                    <w:ind w:right="57"/>
                  </w:pPr>
                  <w:r w:rsidRPr="00D91781">
                    <w:t>0.2</w:t>
                  </w:r>
                </w:p>
              </w:tc>
              <w:tc>
                <w:tcPr>
                  <w:tcW w:w="466" w:type="pct"/>
                  <w:gridSpan w:val="2"/>
                  <w:vAlign w:val="bottom"/>
                </w:tcPr>
                <w:p w:rsidR="00745FEA" w:rsidRPr="00D91781" w:rsidRDefault="00745FEA" w:rsidP="00745FEA">
                  <w:pPr>
                    <w:pStyle w:val="TableBodyText"/>
                    <w:ind w:right="57"/>
                  </w:pPr>
                  <w:r w:rsidRPr="00D91781">
                    <w:t>–</w:t>
                  </w:r>
                </w:p>
              </w:tc>
              <w:tc>
                <w:tcPr>
                  <w:tcW w:w="463" w:type="pct"/>
                  <w:gridSpan w:val="2"/>
                  <w:shd w:val="clear" w:color="auto" w:fill="auto"/>
                  <w:vAlign w:val="bottom"/>
                </w:tcPr>
                <w:p w:rsidR="00745FEA" w:rsidRPr="00D91781" w:rsidRDefault="00745FEA" w:rsidP="00745FEA">
                  <w:pPr>
                    <w:pStyle w:val="TableBodyText"/>
                    <w:ind w:right="57"/>
                  </w:pPr>
                  <w:r w:rsidRPr="00D91781">
                    <w:t>–</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Clean Technology Innovation Program</w:t>
                  </w:r>
                </w:p>
              </w:tc>
              <w:tc>
                <w:tcPr>
                  <w:tcW w:w="466" w:type="pct"/>
                  <w:vAlign w:val="bottom"/>
                </w:tcPr>
                <w:p w:rsidR="00745FEA" w:rsidRPr="00D91781" w:rsidRDefault="00745FEA" w:rsidP="00745FEA">
                  <w:pPr>
                    <w:pStyle w:val="TableBodyText"/>
                    <w:ind w:right="57"/>
                  </w:pPr>
                  <w:r w:rsidRPr="00D91781">
                    <w:t>–</w:t>
                  </w:r>
                </w:p>
              </w:tc>
              <w:tc>
                <w:tcPr>
                  <w:tcW w:w="463" w:type="pct"/>
                  <w:vAlign w:val="bottom"/>
                </w:tcPr>
                <w:p w:rsidR="00745FEA" w:rsidRPr="00D91781" w:rsidRDefault="00745FEA" w:rsidP="00745FEA">
                  <w:pPr>
                    <w:pStyle w:val="TableBodyText"/>
                    <w:ind w:right="57"/>
                  </w:pPr>
                  <w:r w:rsidRPr="00D91781">
                    <w:t>–</w:t>
                  </w:r>
                </w:p>
              </w:tc>
              <w:tc>
                <w:tcPr>
                  <w:tcW w:w="465" w:type="pct"/>
                  <w:gridSpan w:val="2"/>
                  <w:vAlign w:val="bottom"/>
                </w:tcPr>
                <w:p w:rsidR="00745FEA" w:rsidRPr="00D91781" w:rsidRDefault="00745FEA" w:rsidP="00745FEA">
                  <w:pPr>
                    <w:pStyle w:val="TableBodyText"/>
                    <w:ind w:right="57"/>
                  </w:pPr>
                  <w:r w:rsidRPr="00D91781">
                    <w:t>–</w:t>
                  </w:r>
                </w:p>
              </w:tc>
              <w:tc>
                <w:tcPr>
                  <w:tcW w:w="466" w:type="pct"/>
                  <w:gridSpan w:val="2"/>
                  <w:vAlign w:val="bottom"/>
                </w:tcPr>
                <w:p w:rsidR="00745FEA" w:rsidRPr="00D91781" w:rsidRDefault="00745FEA" w:rsidP="00745FEA">
                  <w:pPr>
                    <w:pStyle w:val="TableBodyText"/>
                    <w:ind w:right="57"/>
                  </w:pPr>
                  <w:r w:rsidRPr="00D91781">
                    <w:t>0.9</w:t>
                  </w:r>
                </w:p>
              </w:tc>
              <w:tc>
                <w:tcPr>
                  <w:tcW w:w="463" w:type="pct"/>
                  <w:gridSpan w:val="2"/>
                  <w:shd w:val="clear" w:color="auto" w:fill="auto"/>
                  <w:vAlign w:val="bottom"/>
                </w:tcPr>
                <w:p w:rsidR="00745FEA" w:rsidRPr="00D91781" w:rsidRDefault="00745FEA" w:rsidP="00745FEA">
                  <w:pPr>
                    <w:pStyle w:val="TableBodyText"/>
                    <w:ind w:right="57"/>
                  </w:pPr>
                  <w:r w:rsidRPr="00D91781">
                    <w:t>–</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Innovation Investment Follow-on Fund</w:t>
                  </w:r>
                </w:p>
              </w:tc>
              <w:tc>
                <w:tcPr>
                  <w:tcW w:w="466" w:type="pct"/>
                  <w:vAlign w:val="bottom"/>
                </w:tcPr>
                <w:p w:rsidR="00745FEA" w:rsidRPr="00D91781" w:rsidRDefault="00745FEA" w:rsidP="00745FEA">
                  <w:pPr>
                    <w:pStyle w:val="TableBodyText"/>
                    <w:ind w:right="57"/>
                  </w:pPr>
                  <w:r w:rsidRPr="00D91781">
                    <w:t>1.0</w:t>
                  </w:r>
                </w:p>
              </w:tc>
              <w:tc>
                <w:tcPr>
                  <w:tcW w:w="463" w:type="pct"/>
                  <w:vAlign w:val="bottom"/>
                </w:tcPr>
                <w:p w:rsidR="00745FEA" w:rsidRPr="00D91781" w:rsidRDefault="00745FEA" w:rsidP="00745FEA">
                  <w:pPr>
                    <w:pStyle w:val="TableBodyText"/>
                    <w:ind w:right="57"/>
                  </w:pPr>
                  <w:r w:rsidRPr="00D91781">
                    <w:t>2.2</w:t>
                  </w:r>
                </w:p>
              </w:tc>
              <w:tc>
                <w:tcPr>
                  <w:tcW w:w="465" w:type="pct"/>
                  <w:gridSpan w:val="2"/>
                  <w:vAlign w:val="bottom"/>
                </w:tcPr>
                <w:p w:rsidR="00745FEA" w:rsidRPr="00D91781" w:rsidRDefault="00745FEA" w:rsidP="00745FEA">
                  <w:pPr>
                    <w:pStyle w:val="TableBodyText"/>
                    <w:ind w:right="57"/>
                  </w:pPr>
                  <w:r w:rsidRPr="00D91781">
                    <w:t>0.1</w:t>
                  </w:r>
                </w:p>
              </w:tc>
              <w:tc>
                <w:tcPr>
                  <w:tcW w:w="466" w:type="pct"/>
                  <w:gridSpan w:val="2"/>
                  <w:vAlign w:val="bottom"/>
                </w:tcPr>
                <w:p w:rsidR="00745FEA" w:rsidRPr="00D91781" w:rsidRDefault="00745FEA" w:rsidP="00745FEA">
                  <w:pPr>
                    <w:pStyle w:val="TableBodyText"/>
                    <w:ind w:right="57"/>
                  </w:pPr>
                  <w:r w:rsidRPr="00D91781">
                    <w:t>0.1</w:t>
                  </w:r>
                </w:p>
              </w:tc>
              <w:tc>
                <w:tcPr>
                  <w:tcW w:w="463" w:type="pct"/>
                  <w:gridSpan w:val="2"/>
                  <w:shd w:val="clear" w:color="auto" w:fill="auto"/>
                  <w:vAlign w:val="bottom"/>
                </w:tcPr>
                <w:p w:rsidR="00745FEA" w:rsidRPr="00D91781" w:rsidRDefault="00745FEA" w:rsidP="00745FEA">
                  <w:pPr>
                    <w:pStyle w:val="TableBodyText"/>
                    <w:ind w:right="57"/>
                  </w:pPr>
                  <w:r w:rsidRPr="00D91781">
                    <w:t>–</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Manufacturing Technology Innovation Centre</w:t>
                  </w:r>
                </w:p>
              </w:tc>
              <w:tc>
                <w:tcPr>
                  <w:tcW w:w="466" w:type="pct"/>
                  <w:vAlign w:val="bottom"/>
                </w:tcPr>
                <w:p w:rsidR="00745FEA" w:rsidRPr="00D91781" w:rsidRDefault="00745FEA" w:rsidP="00745FEA">
                  <w:pPr>
                    <w:pStyle w:val="TableBodyText"/>
                    <w:ind w:right="57"/>
                  </w:pPr>
                  <w:r w:rsidRPr="00D91781">
                    <w:t>–</w:t>
                  </w:r>
                </w:p>
              </w:tc>
              <w:tc>
                <w:tcPr>
                  <w:tcW w:w="463" w:type="pct"/>
                  <w:vAlign w:val="bottom"/>
                </w:tcPr>
                <w:p w:rsidR="00745FEA" w:rsidRPr="00D91781" w:rsidRDefault="00745FEA" w:rsidP="00745FEA">
                  <w:pPr>
                    <w:pStyle w:val="TableBodyText"/>
                    <w:ind w:right="57"/>
                  </w:pPr>
                  <w:r w:rsidRPr="00D91781">
                    <w:t>0.8</w:t>
                  </w:r>
                </w:p>
              </w:tc>
              <w:tc>
                <w:tcPr>
                  <w:tcW w:w="465" w:type="pct"/>
                  <w:gridSpan w:val="2"/>
                  <w:vAlign w:val="bottom"/>
                </w:tcPr>
                <w:p w:rsidR="00745FEA" w:rsidRPr="00D91781" w:rsidRDefault="00745FEA" w:rsidP="00745FEA">
                  <w:pPr>
                    <w:pStyle w:val="TableBodyText"/>
                    <w:ind w:right="57"/>
                  </w:pPr>
                  <w:r w:rsidRPr="00D91781">
                    <w:t>–</w:t>
                  </w:r>
                </w:p>
              </w:tc>
              <w:tc>
                <w:tcPr>
                  <w:tcW w:w="466" w:type="pct"/>
                  <w:gridSpan w:val="2"/>
                  <w:vAlign w:val="bottom"/>
                </w:tcPr>
                <w:p w:rsidR="00745FEA" w:rsidRPr="00D91781" w:rsidRDefault="00745FEA" w:rsidP="00745FEA">
                  <w:pPr>
                    <w:pStyle w:val="TableBodyText"/>
                    <w:ind w:right="57"/>
                  </w:pPr>
                  <w:r w:rsidRPr="00D91781">
                    <w:t>–</w:t>
                  </w:r>
                </w:p>
              </w:tc>
              <w:tc>
                <w:tcPr>
                  <w:tcW w:w="463" w:type="pct"/>
                  <w:gridSpan w:val="2"/>
                  <w:shd w:val="clear" w:color="auto" w:fill="auto"/>
                  <w:vAlign w:val="bottom"/>
                </w:tcPr>
                <w:p w:rsidR="00745FEA" w:rsidRPr="00D91781" w:rsidRDefault="00745FEA" w:rsidP="00745FEA">
                  <w:pPr>
                    <w:pStyle w:val="TableBodyText"/>
                    <w:ind w:right="57"/>
                  </w:pPr>
                  <w:r w:rsidRPr="00D91781">
                    <w:t>–</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National Enabling Technologies Strategy</w:t>
                  </w:r>
                </w:p>
              </w:tc>
              <w:tc>
                <w:tcPr>
                  <w:tcW w:w="466" w:type="pct"/>
                  <w:vAlign w:val="bottom"/>
                </w:tcPr>
                <w:p w:rsidR="00745FEA" w:rsidRPr="00D91781" w:rsidRDefault="00745FEA" w:rsidP="00745FEA">
                  <w:pPr>
                    <w:pStyle w:val="TableBodyText"/>
                    <w:ind w:right="57"/>
                  </w:pPr>
                  <w:r w:rsidRPr="00D91781">
                    <w:t>0.6</w:t>
                  </w:r>
                </w:p>
              </w:tc>
              <w:tc>
                <w:tcPr>
                  <w:tcW w:w="463" w:type="pct"/>
                  <w:vAlign w:val="bottom"/>
                </w:tcPr>
                <w:p w:rsidR="00745FEA" w:rsidRPr="00D91781" w:rsidRDefault="00745FEA" w:rsidP="00745FEA">
                  <w:pPr>
                    <w:pStyle w:val="TableBodyText"/>
                    <w:ind w:right="57"/>
                  </w:pPr>
                  <w:r w:rsidRPr="00D91781">
                    <w:t>0.3</w:t>
                  </w:r>
                </w:p>
              </w:tc>
              <w:tc>
                <w:tcPr>
                  <w:tcW w:w="465" w:type="pct"/>
                  <w:gridSpan w:val="2"/>
                  <w:vAlign w:val="bottom"/>
                </w:tcPr>
                <w:p w:rsidR="00745FEA" w:rsidRPr="00D91781" w:rsidRDefault="00745FEA" w:rsidP="00745FEA">
                  <w:pPr>
                    <w:pStyle w:val="TableBodyText"/>
                    <w:ind w:right="57"/>
                  </w:pPr>
                  <w:r w:rsidRPr="00D91781">
                    <w:t>–</w:t>
                  </w:r>
                </w:p>
              </w:tc>
              <w:tc>
                <w:tcPr>
                  <w:tcW w:w="466" w:type="pct"/>
                  <w:gridSpan w:val="2"/>
                  <w:vAlign w:val="bottom"/>
                </w:tcPr>
                <w:p w:rsidR="00745FEA" w:rsidRPr="00D91781" w:rsidRDefault="00745FEA" w:rsidP="00745FEA">
                  <w:pPr>
                    <w:pStyle w:val="TableBodyText"/>
                    <w:ind w:right="57"/>
                  </w:pPr>
                  <w:r w:rsidRPr="00D91781">
                    <w:t>–</w:t>
                  </w:r>
                </w:p>
              </w:tc>
              <w:tc>
                <w:tcPr>
                  <w:tcW w:w="463" w:type="pct"/>
                  <w:gridSpan w:val="2"/>
                  <w:shd w:val="clear" w:color="auto" w:fill="auto"/>
                  <w:vAlign w:val="bottom"/>
                </w:tcPr>
                <w:p w:rsidR="00745FEA" w:rsidRPr="00D91781" w:rsidRDefault="00745FEA" w:rsidP="00745FEA">
                  <w:pPr>
                    <w:pStyle w:val="TableBodyText"/>
                    <w:ind w:right="57"/>
                  </w:pPr>
                  <w:r w:rsidRPr="00D91781">
                    <w:t>–</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5879A5">
                    <w:t>R&amp;D Tax Incentive - refundable tax offset</w:t>
                  </w:r>
                </w:p>
              </w:tc>
              <w:tc>
                <w:tcPr>
                  <w:tcW w:w="466" w:type="pct"/>
                  <w:vAlign w:val="bottom"/>
                </w:tcPr>
                <w:p w:rsidR="00745FEA" w:rsidRPr="00D91781" w:rsidRDefault="00745FEA" w:rsidP="00745FEA">
                  <w:pPr>
                    <w:pStyle w:val="TableBodyText"/>
                    <w:ind w:right="57"/>
                  </w:pPr>
                  <w:r w:rsidRPr="00D91781">
                    <w:t>–</w:t>
                  </w:r>
                </w:p>
              </w:tc>
              <w:tc>
                <w:tcPr>
                  <w:tcW w:w="463" w:type="pct"/>
                  <w:vAlign w:val="bottom"/>
                </w:tcPr>
                <w:p w:rsidR="00745FEA" w:rsidRPr="00D91781" w:rsidRDefault="00745FEA" w:rsidP="00745FEA">
                  <w:pPr>
                    <w:pStyle w:val="TableBodyText"/>
                    <w:ind w:right="57"/>
                  </w:pPr>
                  <w:r w:rsidRPr="00D91781">
                    <w:t>0.1</w:t>
                  </w:r>
                </w:p>
              </w:tc>
              <w:tc>
                <w:tcPr>
                  <w:tcW w:w="465" w:type="pct"/>
                  <w:gridSpan w:val="2"/>
                  <w:vAlign w:val="bottom"/>
                </w:tcPr>
                <w:p w:rsidR="00745FEA" w:rsidRPr="00D91781" w:rsidRDefault="00745FEA" w:rsidP="00745FEA">
                  <w:pPr>
                    <w:pStyle w:val="TableBodyText"/>
                    <w:ind w:right="57"/>
                  </w:pPr>
                  <w:r w:rsidRPr="00D91781">
                    <w:t>0.1</w:t>
                  </w:r>
                </w:p>
              </w:tc>
              <w:tc>
                <w:tcPr>
                  <w:tcW w:w="466" w:type="pct"/>
                  <w:gridSpan w:val="2"/>
                  <w:vAlign w:val="bottom"/>
                </w:tcPr>
                <w:p w:rsidR="00745FEA" w:rsidRPr="00D91781" w:rsidRDefault="00745FEA" w:rsidP="00745FEA">
                  <w:pPr>
                    <w:pStyle w:val="TableBodyText"/>
                    <w:ind w:right="57"/>
                  </w:pPr>
                  <w:r w:rsidRPr="00D91781">
                    <w:t>0.1</w:t>
                  </w:r>
                </w:p>
              </w:tc>
              <w:tc>
                <w:tcPr>
                  <w:tcW w:w="463" w:type="pct"/>
                  <w:gridSpan w:val="2"/>
                  <w:shd w:val="clear" w:color="auto" w:fill="auto"/>
                  <w:vAlign w:val="bottom"/>
                </w:tcPr>
                <w:p w:rsidR="00745FEA" w:rsidRPr="00D91781" w:rsidRDefault="00745FEA" w:rsidP="00745FEA">
                  <w:pPr>
                    <w:pStyle w:val="TableBodyText"/>
                    <w:ind w:right="57"/>
                  </w:pPr>
                  <w:r w:rsidRPr="00D91781">
                    <w:t>0.1</w:t>
                  </w:r>
                </w:p>
              </w:tc>
              <w:tc>
                <w:tcPr>
                  <w:tcW w:w="457" w:type="pct"/>
                  <w:gridSpan w:val="2"/>
                  <w:shd w:val="clear" w:color="auto" w:fill="auto"/>
                  <w:vAlign w:val="bottom"/>
                </w:tcPr>
                <w:p w:rsidR="00745FEA" w:rsidRPr="00D91781" w:rsidRDefault="00745FEA" w:rsidP="00745FEA">
                  <w:pPr>
                    <w:pStyle w:val="TableBodyText"/>
                    <w:ind w:right="57"/>
                  </w:pPr>
                  <w:r w:rsidRPr="00D91781">
                    <w:t>0.1</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R&amp;D tax offsets - Refundable</w:t>
                  </w:r>
                </w:p>
              </w:tc>
              <w:tc>
                <w:tcPr>
                  <w:tcW w:w="466" w:type="pct"/>
                  <w:vAlign w:val="bottom"/>
                </w:tcPr>
                <w:p w:rsidR="00745FEA" w:rsidRPr="00D91781" w:rsidRDefault="00745FEA" w:rsidP="00745FEA">
                  <w:pPr>
                    <w:pStyle w:val="TableBodyText"/>
                    <w:ind w:right="57"/>
                  </w:pPr>
                  <w:r w:rsidRPr="00D91781">
                    <w:t>&lt;0.1</w:t>
                  </w:r>
                </w:p>
              </w:tc>
              <w:tc>
                <w:tcPr>
                  <w:tcW w:w="463" w:type="pct"/>
                  <w:vAlign w:val="bottom"/>
                </w:tcPr>
                <w:p w:rsidR="00745FEA" w:rsidRPr="00D91781" w:rsidRDefault="00745FEA" w:rsidP="00745FEA">
                  <w:pPr>
                    <w:pStyle w:val="TableBodyText"/>
                    <w:ind w:right="57"/>
                  </w:pPr>
                  <w:r w:rsidRPr="00D91781">
                    <w:t>–</w:t>
                  </w:r>
                </w:p>
              </w:tc>
              <w:tc>
                <w:tcPr>
                  <w:tcW w:w="465" w:type="pct"/>
                  <w:gridSpan w:val="2"/>
                  <w:vAlign w:val="bottom"/>
                </w:tcPr>
                <w:p w:rsidR="00745FEA" w:rsidRPr="00D91781" w:rsidRDefault="00745FEA" w:rsidP="00745FEA">
                  <w:pPr>
                    <w:pStyle w:val="TableBodyText"/>
                    <w:ind w:right="57"/>
                  </w:pPr>
                  <w:r w:rsidRPr="00D91781">
                    <w:t>–</w:t>
                  </w:r>
                </w:p>
              </w:tc>
              <w:tc>
                <w:tcPr>
                  <w:tcW w:w="466" w:type="pct"/>
                  <w:gridSpan w:val="2"/>
                  <w:vAlign w:val="bottom"/>
                </w:tcPr>
                <w:p w:rsidR="00745FEA" w:rsidRPr="00D91781" w:rsidRDefault="00745FEA" w:rsidP="00745FEA">
                  <w:pPr>
                    <w:pStyle w:val="TableBodyText"/>
                    <w:ind w:right="57"/>
                  </w:pPr>
                  <w:r w:rsidRPr="00D91781">
                    <w:t>–</w:t>
                  </w:r>
                </w:p>
              </w:tc>
              <w:tc>
                <w:tcPr>
                  <w:tcW w:w="463" w:type="pct"/>
                  <w:gridSpan w:val="2"/>
                  <w:shd w:val="clear" w:color="auto" w:fill="auto"/>
                  <w:vAlign w:val="bottom"/>
                </w:tcPr>
                <w:p w:rsidR="00745FEA" w:rsidRPr="00D91781" w:rsidRDefault="00745FEA" w:rsidP="00745FEA">
                  <w:pPr>
                    <w:pStyle w:val="TableBodyText"/>
                    <w:ind w:right="57"/>
                  </w:pPr>
                  <w:r w:rsidRPr="00D91781">
                    <w:t>–</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R&amp;D Tax Incentive - non-refundable tax offset</w:t>
                  </w:r>
                </w:p>
              </w:tc>
              <w:tc>
                <w:tcPr>
                  <w:tcW w:w="466" w:type="pct"/>
                  <w:vAlign w:val="bottom"/>
                </w:tcPr>
                <w:p w:rsidR="00745FEA" w:rsidRPr="00D91781" w:rsidRDefault="00745FEA" w:rsidP="00745FEA">
                  <w:pPr>
                    <w:pStyle w:val="TableBodyText"/>
                    <w:ind w:right="57"/>
                  </w:pPr>
                  <w:r w:rsidRPr="00D91781">
                    <w:t>–</w:t>
                  </w:r>
                </w:p>
              </w:tc>
              <w:tc>
                <w:tcPr>
                  <w:tcW w:w="463" w:type="pct"/>
                  <w:vAlign w:val="bottom"/>
                </w:tcPr>
                <w:p w:rsidR="00745FEA" w:rsidRPr="00D91781" w:rsidRDefault="00745FEA" w:rsidP="00745FEA">
                  <w:pPr>
                    <w:pStyle w:val="TableBodyText"/>
                    <w:ind w:right="57"/>
                  </w:pPr>
                  <w:r w:rsidRPr="00D91781">
                    <w:t>10.9</w:t>
                  </w:r>
                </w:p>
              </w:tc>
              <w:tc>
                <w:tcPr>
                  <w:tcW w:w="465" w:type="pct"/>
                  <w:gridSpan w:val="2"/>
                  <w:vAlign w:val="bottom"/>
                </w:tcPr>
                <w:p w:rsidR="00745FEA" w:rsidRPr="00D91781" w:rsidRDefault="00745FEA" w:rsidP="00745FEA">
                  <w:pPr>
                    <w:pStyle w:val="TableBodyText"/>
                    <w:ind w:right="57"/>
                  </w:pPr>
                  <w:r w:rsidRPr="00D91781">
                    <w:t>23.4</w:t>
                  </w:r>
                </w:p>
              </w:tc>
              <w:tc>
                <w:tcPr>
                  <w:tcW w:w="466" w:type="pct"/>
                  <w:gridSpan w:val="2"/>
                  <w:vAlign w:val="bottom"/>
                </w:tcPr>
                <w:p w:rsidR="00745FEA" w:rsidRPr="00D91781" w:rsidRDefault="00745FEA" w:rsidP="00745FEA">
                  <w:pPr>
                    <w:pStyle w:val="TableBodyText"/>
                    <w:ind w:right="57"/>
                  </w:pPr>
                  <w:r w:rsidRPr="00D91781">
                    <w:t>0.2</w:t>
                  </w:r>
                </w:p>
              </w:tc>
              <w:tc>
                <w:tcPr>
                  <w:tcW w:w="463" w:type="pct"/>
                  <w:gridSpan w:val="2"/>
                  <w:shd w:val="clear" w:color="auto" w:fill="auto"/>
                  <w:vAlign w:val="bottom"/>
                </w:tcPr>
                <w:p w:rsidR="00745FEA" w:rsidRPr="00D91781" w:rsidRDefault="00745FEA" w:rsidP="00745FEA">
                  <w:pPr>
                    <w:pStyle w:val="TableBodyText"/>
                    <w:ind w:right="57"/>
                  </w:pPr>
                  <w:r w:rsidRPr="00D91781">
                    <w:t>0.3</w:t>
                  </w:r>
                </w:p>
              </w:tc>
              <w:tc>
                <w:tcPr>
                  <w:tcW w:w="457" w:type="pct"/>
                  <w:gridSpan w:val="2"/>
                  <w:shd w:val="clear" w:color="auto" w:fill="auto"/>
                  <w:vAlign w:val="bottom"/>
                </w:tcPr>
                <w:p w:rsidR="00745FEA" w:rsidRPr="00D91781" w:rsidRDefault="00745FEA" w:rsidP="00745FEA">
                  <w:pPr>
                    <w:pStyle w:val="TableBodyText"/>
                    <w:ind w:right="57"/>
                  </w:pPr>
                  <w:r w:rsidRPr="00D91781">
                    <w:t>–</w:t>
                  </w:r>
                </w:p>
              </w:tc>
            </w:tr>
            <w:tr w:rsidR="00745FEA" w:rsidTr="00745FEA">
              <w:tc>
                <w:tcPr>
                  <w:tcW w:w="2219" w:type="pct"/>
                  <w:shd w:val="clear" w:color="auto" w:fill="auto"/>
                </w:tcPr>
                <w:p w:rsidR="00745FEA" w:rsidRPr="000C3395" w:rsidRDefault="00745FEA" w:rsidP="00745FEA">
                  <w:pPr>
                    <w:pStyle w:val="TableBodyText"/>
                    <w:spacing w:after="0"/>
                    <w:ind w:left="227" w:right="0"/>
                    <w:jc w:val="left"/>
                  </w:pPr>
                  <w:r w:rsidRPr="000C3395">
                    <w:t>R&amp;D tax offset payments - exemption</w:t>
                  </w:r>
                </w:p>
              </w:tc>
              <w:tc>
                <w:tcPr>
                  <w:tcW w:w="466" w:type="pct"/>
                  <w:vAlign w:val="bottom"/>
                </w:tcPr>
                <w:p w:rsidR="00745FEA" w:rsidRPr="00D91781" w:rsidRDefault="00745FEA" w:rsidP="00745FEA">
                  <w:pPr>
                    <w:pStyle w:val="TableBodyText"/>
                    <w:ind w:right="57"/>
                  </w:pPr>
                  <w:r w:rsidRPr="00D91781">
                    <w:t>-235.0</w:t>
                  </w:r>
                </w:p>
              </w:tc>
              <w:tc>
                <w:tcPr>
                  <w:tcW w:w="463" w:type="pct"/>
                  <w:vAlign w:val="bottom"/>
                </w:tcPr>
                <w:p w:rsidR="00745FEA" w:rsidRPr="00D91781" w:rsidRDefault="00745FEA" w:rsidP="00745FEA">
                  <w:pPr>
                    <w:pStyle w:val="TableBodyText"/>
                    <w:ind w:right="57"/>
                  </w:pPr>
                  <w:r w:rsidRPr="00D91781">
                    <w:t>-200.0</w:t>
                  </w:r>
                </w:p>
              </w:tc>
              <w:tc>
                <w:tcPr>
                  <w:tcW w:w="465" w:type="pct"/>
                  <w:gridSpan w:val="2"/>
                  <w:vAlign w:val="bottom"/>
                </w:tcPr>
                <w:p w:rsidR="00745FEA" w:rsidRPr="00D91781" w:rsidRDefault="00745FEA" w:rsidP="00745FEA">
                  <w:pPr>
                    <w:pStyle w:val="TableBodyText"/>
                    <w:ind w:right="57"/>
                  </w:pPr>
                  <w:r w:rsidRPr="00D91781">
                    <w:t>-135.0</w:t>
                  </w:r>
                </w:p>
              </w:tc>
              <w:tc>
                <w:tcPr>
                  <w:tcW w:w="466" w:type="pct"/>
                  <w:gridSpan w:val="2"/>
                  <w:vAlign w:val="bottom"/>
                </w:tcPr>
                <w:p w:rsidR="00745FEA" w:rsidRPr="00D91781" w:rsidRDefault="00745FEA" w:rsidP="00745FEA">
                  <w:pPr>
                    <w:pStyle w:val="TableBodyText"/>
                    <w:ind w:right="57"/>
                  </w:pPr>
                  <w:r w:rsidRPr="00D91781">
                    <w:t>-85.0</w:t>
                  </w:r>
                </w:p>
              </w:tc>
              <w:tc>
                <w:tcPr>
                  <w:tcW w:w="463" w:type="pct"/>
                  <w:gridSpan w:val="2"/>
                  <w:shd w:val="clear" w:color="auto" w:fill="auto"/>
                  <w:vAlign w:val="bottom"/>
                </w:tcPr>
                <w:p w:rsidR="00745FEA" w:rsidRPr="00D91781" w:rsidRDefault="00745FEA" w:rsidP="00745FEA">
                  <w:pPr>
                    <w:pStyle w:val="TableBodyText"/>
                    <w:ind w:right="57"/>
                  </w:pPr>
                  <w:r w:rsidRPr="00D91781">
                    <w:t>-50.0</w:t>
                  </w:r>
                </w:p>
              </w:tc>
              <w:tc>
                <w:tcPr>
                  <w:tcW w:w="457" w:type="pct"/>
                  <w:gridSpan w:val="2"/>
                  <w:shd w:val="clear" w:color="auto" w:fill="auto"/>
                  <w:vAlign w:val="bottom"/>
                </w:tcPr>
                <w:p w:rsidR="00745FEA" w:rsidRDefault="00745FEA" w:rsidP="00745FEA">
                  <w:pPr>
                    <w:pStyle w:val="TableBodyText"/>
                    <w:ind w:right="57"/>
                  </w:pPr>
                  <w:r w:rsidRPr="00D91781">
                    <w:t>-25.0</w:t>
                  </w:r>
                </w:p>
              </w:tc>
            </w:tr>
            <w:tr w:rsidR="00745FEA" w:rsidRPr="00527B68" w:rsidTr="00745FEA">
              <w:tc>
                <w:tcPr>
                  <w:tcW w:w="2219" w:type="pct"/>
                </w:tcPr>
                <w:p w:rsidR="00745FEA" w:rsidRPr="00527B68" w:rsidRDefault="00745FEA" w:rsidP="00745FEA">
                  <w:pPr>
                    <w:pStyle w:val="TableUnitsRow"/>
                    <w:spacing w:after="0"/>
                    <w:ind w:left="113"/>
                    <w:jc w:val="left"/>
                    <w:rPr>
                      <w:i/>
                    </w:rPr>
                  </w:pPr>
                  <w:r w:rsidRPr="00527B68">
                    <w:rPr>
                      <w:i/>
                    </w:rPr>
                    <w:t>Other measures</w:t>
                  </w:r>
                </w:p>
              </w:tc>
              <w:tc>
                <w:tcPr>
                  <w:tcW w:w="466" w:type="pct"/>
                  <w:vAlign w:val="bottom"/>
                </w:tcPr>
                <w:p w:rsidR="00745FEA" w:rsidRPr="00527B68" w:rsidRDefault="00745FEA" w:rsidP="00745FEA">
                  <w:pPr>
                    <w:pStyle w:val="TableUnitsRow"/>
                    <w:spacing w:after="0"/>
                    <w:ind w:left="113" w:right="57"/>
                    <w:rPr>
                      <w:i/>
                    </w:rPr>
                  </w:pPr>
                </w:p>
              </w:tc>
              <w:tc>
                <w:tcPr>
                  <w:tcW w:w="467" w:type="pct"/>
                  <w:gridSpan w:val="2"/>
                  <w:vAlign w:val="bottom"/>
                </w:tcPr>
                <w:p w:rsidR="00745FEA" w:rsidRPr="00527B68" w:rsidRDefault="00745FEA" w:rsidP="00745FEA">
                  <w:pPr>
                    <w:pStyle w:val="TableUnitsRow"/>
                    <w:spacing w:after="0"/>
                    <w:ind w:left="113" w:right="57"/>
                    <w:rPr>
                      <w:i/>
                    </w:rPr>
                  </w:pPr>
                </w:p>
              </w:tc>
              <w:tc>
                <w:tcPr>
                  <w:tcW w:w="465" w:type="pct"/>
                  <w:gridSpan w:val="2"/>
                  <w:vAlign w:val="bottom"/>
                </w:tcPr>
                <w:p w:rsidR="00745FEA" w:rsidRPr="00527B68" w:rsidRDefault="00745FEA" w:rsidP="00745FEA">
                  <w:pPr>
                    <w:pStyle w:val="TableUnitsRow"/>
                    <w:spacing w:after="0"/>
                    <w:ind w:left="113" w:right="57"/>
                    <w:rPr>
                      <w:i/>
                    </w:rPr>
                  </w:pPr>
                </w:p>
              </w:tc>
              <w:tc>
                <w:tcPr>
                  <w:tcW w:w="466" w:type="pct"/>
                  <w:gridSpan w:val="2"/>
                  <w:vAlign w:val="bottom"/>
                </w:tcPr>
                <w:p w:rsidR="00745FEA" w:rsidRPr="00527B68" w:rsidRDefault="00745FEA" w:rsidP="00745FEA">
                  <w:pPr>
                    <w:pStyle w:val="TableUnitsRow"/>
                    <w:spacing w:after="0"/>
                    <w:ind w:left="113" w:right="57"/>
                    <w:rPr>
                      <w:i/>
                    </w:rPr>
                  </w:pPr>
                </w:p>
              </w:tc>
              <w:tc>
                <w:tcPr>
                  <w:tcW w:w="465" w:type="pct"/>
                  <w:gridSpan w:val="2"/>
                  <w:vAlign w:val="bottom"/>
                </w:tcPr>
                <w:p w:rsidR="00745FEA" w:rsidRPr="00527B68" w:rsidRDefault="00745FEA" w:rsidP="00745FEA">
                  <w:pPr>
                    <w:pStyle w:val="TableUnitsRow"/>
                    <w:spacing w:after="0"/>
                    <w:ind w:left="113" w:right="57"/>
                    <w:rPr>
                      <w:i/>
                    </w:rPr>
                  </w:pPr>
                </w:p>
              </w:tc>
              <w:tc>
                <w:tcPr>
                  <w:tcW w:w="451" w:type="pct"/>
                  <w:vAlign w:val="bottom"/>
                </w:tcPr>
                <w:p w:rsidR="00745FEA" w:rsidRPr="00527B68" w:rsidRDefault="00745FEA" w:rsidP="00745FEA">
                  <w:pPr>
                    <w:pStyle w:val="TableUnitsRow"/>
                    <w:spacing w:after="0"/>
                    <w:ind w:left="113" w:right="57"/>
                    <w:rPr>
                      <w:i/>
                    </w:rPr>
                  </w:pPr>
                </w:p>
              </w:tc>
            </w:tr>
            <w:tr w:rsidR="00745FEA" w:rsidTr="00745FEA">
              <w:tc>
                <w:tcPr>
                  <w:tcW w:w="2219" w:type="pct"/>
                </w:tcPr>
                <w:p w:rsidR="00745FEA" w:rsidRPr="00310820" w:rsidRDefault="00745FEA" w:rsidP="00745FEA">
                  <w:pPr>
                    <w:pStyle w:val="TableBodyText"/>
                    <w:spacing w:after="0"/>
                    <w:ind w:left="227" w:right="0"/>
                    <w:jc w:val="left"/>
                  </w:pPr>
                  <w:r w:rsidRPr="00310820">
                    <w:t>Asialink Business</w:t>
                  </w:r>
                </w:p>
              </w:tc>
              <w:tc>
                <w:tcPr>
                  <w:tcW w:w="466" w:type="pct"/>
                  <w:vAlign w:val="bottom"/>
                </w:tcPr>
                <w:p w:rsidR="00745FEA" w:rsidRPr="005978ED" w:rsidRDefault="00745FEA" w:rsidP="00745FEA">
                  <w:pPr>
                    <w:pStyle w:val="TableBodyText"/>
                    <w:ind w:right="57"/>
                  </w:pPr>
                  <w:r w:rsidRPr="005978ED">
                    <w:t>–</w:t>
                  </w:r>
                </w:p>
              </w:tc>
              <w:tc>
                <w:tcPr>
                  <w:tcW w:w="467" w:type="pct"/>
                  <w:gridSpan w:val="2"/>
                  <w:vAlign w:val="bottom"/>
                </w:tcPr>
                <w:p w:rsidR="00745FEA" w:rsidRPr="005978ED" w:rsidRDefault="00745FEA" w:rsidP="00745FEA">
                  <w:pPr>
                    <w:pStyle w:val="TableBodyText"/>
                    <w:ind w:right="57"/>
                  </w:pPr>
                  <w:r w:rsidRPr="005978ED">
                    <w:t>–</w:t>
                  </w:r>
                </w:p>
              </w:tc>
              <w:tc>
                <w:tcPr>
                  <w:tcW w:w="465" w:type="pct"/>
                  <w:gridSpan w:val="2"/>
                  <w:vAlign w:val="bottom"/>
                </w:tcPr>
                <w:p w:rsidR="00745FEA" w:rsidRPr="005978ED" w:rsidRDefault="00745FEA" w:rsidP="00745FEA">
                  <w:pPr>
                    <w:pStyle w:val="TableBodyText"/>
                    <w:ind w:right="57"/>
                  </w:pPr>
                  <w:r w:rsidRPr="005978ED">
                    <w:t>–</w:t>
                  </w:r>
                </w:p>
              </w:tc>
              <w:tc>
                <w:tcPr>
                  <w:tcW w:w="466" w:type="pct"/>
                  <w:gridSpan w:val="2"/>
                  <w:vAlign w:val="bottom"/>
                </w:tcPr>
                <w:p w:rsidR="00745FEA" w:rsidRPr="005978ED" w:rsidRDefault="00745FEA" w:rsidP="00745FEA">
                  <w:pPr>
                    <w:pStyle w:val="TableBodyText"/>
                    <w:ind w:right="57"/>
                  </w:pPr>
                  <w:r w:rsidRPr="005978ED">
                    <w:t>–</w:t>
                  </w:r>
                </w:p>
              </w:tc>
              <w:tc>
                <w:tcPr>
                  <w:tcW w:w="465" w:type="pct"/>
                  <w:gridSpan w:val="2"/>
                  <w:vAlign w:val="bottom"/>
                </w:tcPr>
                <w:p w:rsidR="00745FEA" w:rsidRPr="005978ED" w:rsidRDefault="00745FEA" w:rsidP="00745FEA">
                  <w:pPr>
                    <w:pStyle w:val="TableBodyText"/>
                    <w:ind w:right="57"/>
                  </w:pPr>
                  <w:r w:rsidRPr="005978ED">
                    <w:t>3.4</w:t>
                  </w:r>
                </w:p>
              </w:tc>
              <w:tc>
                <w:tcPr>
                  <w:tcW w:w="451" w:type="pct"/>
                  <w:vAlign w:val="bottom"/>
                </w:tcPr>
                <w:p w:rsidR="00745FEA" w:rsidRPr="005978ED" w:rsidRDefault="00745FEA" w:rsidP="00745FEA">
                  <w:pPr>
                    <w:pStyle w:val="TableBodyText"/>
                    <w:ind w:right="57"/>
                  </w:pPr>
                  <w:r w:rsidRPr="005978ED">
                    <w:t>3.5</w:t>
                  </w:r>
                </w:p>
              </w:tc>
            </w:tr>
            <w:tr w:rsidR="00745FEA" w:rsidTr="00745FEA">
              <w:tc>
                <w:tcPr>
                  <w:tcW w:w="2219" w:type="pct"/>
                  <w:shd w:val="clear" w:color="auto" w:fill="auto"/>
                </w:tcPr>
                <w:p w:rsidR="00745FEA" w:rsidRPr="00310820" w:rsidRDefault="00745FEA" w:rsidP="00745FEA">
                  <w:pPr>
                    <w:pStyle w:val="TableBodyText"/>
                    <w:spacing w:after="0"/>
                    <w:ind w:left="227" w:right="0"/>
                    <w:jc w:val="left"/>
                  </w:pPr>
                  <w:r w:rsidRPr="005879A5">
                    <w:t>Australian Government Innovation and Investment Fund - Tasmania</w:t>
                  </w:r>
                </w:p>
              </w:tc>
              <w:tc>
                <w:tcPr>
                  <w:tcW w:w="466" w:type="pct"/>
                  <w:vAlign w:val="bottom"/>
                </w:tcPr>
                <w:p w:rsidR="00745FEA" w:rsidRPr="005978ED" w:rsidRDefault="00745FEA" w:rsidP="00745FEA">
                  <w:pPr>
                    <w:pStyle w:val="TableBodyText"/>
                    <w:ind w:right="57"/>
                  </w:pPr>
                  <w:r w:rsidRPr="005978ED">
                    <w:t>–</w:t>
                  </w:r>
                </w:p>
              </w:tc>
              <w:tc>
                <w:tcPr>
                  <w:tcW w:w="467" w:type="pct"/>
                  <w:gridSpan w:val="2"/>
                  <w:vAlign w:val="bottom"/>
                </w:tcPr>
                <w:p w:rsidR="00745FEA" w:rsidRPr="005978ED" w:rsidRDefault="00745FEA" w:rsidP="00745FEA">
                  <w:pPr>
                    <w:pStyle w:val="TableBodyText"/>
                    <w:ind w:right="57"/>
                  </w:pPr>
                  <w:r w:rsidRPr="005978ED">
                    <w:t>–</w:t>
                  </w:r>
                </w:p>
              </w:tc>
              <w:tc>
                <w:tcPr>
                  <w:tcW w:w="465" w:type="pct"/>
                  <w:gridSpan w:val="2"/>
                  <w:vAlign w:val="bottom"/>
                </w:tcPr>
                <w:p w:rsidR="00745FEA" w:rsidRPr="005978ED" w:rsidRDefault="00745FEA" w:rsidP="00745FEA">
                  <w:pPr>
                    <w:pStyle w:val="TableBodyText"/>
                    <w:ind w:right="57"/>
                  </w:pPr>
                  <w:r w:rsidRPr="005978ED">
                    <w:t>–</w:t>
                  </w:r>
                </w:p>
              </w:tc>
              <w:tc>
                <w:tcPr>
                  <w:tcW w:w="466" w:type="pct"/>
                  <w:gridSpan w:val="2"/>
                  <w:vAlign w:val="bottom"/>
                </w:tcPr>
                <w:p w:rsidR="00745FEA" w:rsidRPr="005978ED" w:rsidRDefault="00745FEA" w:rsidP="00745FEA">
                  <w:pPr>
                    <w:pStyle w:val="TableBodyText"/>
                    <w:ind w:right="57"/>
                  </w:pPr>
                  <w:r w:rsidRPr="005978ED">
                    <w:t>–</w:t>
                  </w:r>
                </w:p>
              </w:tc>
              <w:tc>
                <w:tcPr>
                  <w:tcW w:w="465" w:type="pct"/>
                  <w:gridSpan w:val="2"/>
                  <w:shd w:val="clear" w:color="auto" w:fill="auto"/>
                  <w:vAlign w:val="bottom"/>
                </w:tcPr>
                <w:p w:rsidR="00745FEA" w:rsidRPr="005978ED" w:rsidRDefault="00745FEA" w:rsidP="00745FEA">
                  <w:pPr>
                    <w:pStyle w:val="TableBodyText"/>
                    <w:ind w:right="57"/>
                  </w:pPr>
                  <w:r w:rsidRPr="005978ED">
                    <w:t>–</w:t>
                  </w:r>
                </w:p>
              </w:tc>
              <w:tc>
                <w:tcPr>
                  <w:tcW w:w="451" w:type="pct"/>
                  <w:shd w:val="clear" w:color="auto" w:fill="auto"/>
                  <w:vAlign w:val="bottom"/>
                </w:tcPr>
                <w:p w:rsidR="00745FEA" w:rsidRPr="005978ED" w:rsidRDefault="00745FEA" w:rsidP="00745FEA">
                  <w:pPr>
                    <w:pStyle w:val="TableBodyText"/>
                    <w:ind w:right="57"/>
                  </w:pPr>
                  <w:r w:rsidRPr="005978ED">
                    <w:t>0.7</w:t>
                  </w:r>
                </w:p>
              </w:tc>
            </w:tr>
            <w:tr w:rsidR="00745FEA" w:rsidTr="00745FEA">
              <w:tc>
                <w:tcPr>
                  <w:tcW w:w="2219" w:type="pct"/>
                  <w:shd w:val="clear" w:color="auto" w:fill="auto"/>
                </w:tcPr>
                <w:p w:rsidR="00745FEA" w:rsidRPr="00310820" w:rsidRDefault="00745FEA" w:rsidP="00745FEA">
                  <w:pPr>
                    <w:pStyle w:val="TableBodyText"/>
                    <w:spacing w:after="0"/>
                    <w:ind w:left="227" w:right="0"/>
                    <w:jc w:val="left"/>
                  </w:pPr>
                  <w:r w:rsidRPr="00310820">
                    <w:t>Asia Marketing Fund</w:t>
                  </w:r>
                </w:p>
              </w:tc>
              <w:tc>
                <w:tcPr>
                  <w:tcW w:w="466" w:type="pct"/>
                  <w:vAlign w:val="bottom"/>
                </w:tcPr>
                <w:p w:rsidR="00745FEA" w:rsidRPr="005978ED" w:rsidRDefault="00745FEA" w:rsidP="00745FEA">
                  <w:pPr>
                    <w:pStyle w:val="TableBodyText"/>
                    <w:ind w:right="57"/>
                  </w:pPr>
                  <w:r w:rsidRPr="005978ED">
                    <w:t>–</w:t>
                  </w:r>
                </w:p>
              </w:tc>
              <w:tc>
                <w:tcPr>
                  <w:tcW w:w="467" w:type="pct"/>
                  <w:gridSpan w:val="2"/>
                  <w:vAlign w:val="bottom"/>
                </w:tcPr>
                <w:p w:rsidR="00745FEA" w:rsidRPr="005978ED" w:rsidRDefault="00745FEA" w:rsidP="00745FEA">
                  <w:pPr>
                    <w:pStyle w:val="TableBodyText"/>
                    <w:ind w:right="57"/>
                  </w:pPr>
                  <w:r w:rsidRPr="005978ED">
                    <w:t>8.5</w:t>
                  </w:r>
                </w:p>
              </w:tc>
              <w:tc>
                <w:tcPr>
                  <w:tcW w:w="465" w:type="pct"/>
                  <w:gridSpan w:val="2"/>
                  <w:vAlign w:val="bottom"/>
                </w:tcPr>
                <w:p w:rsidR="00745FEA" w:rsidRPr="005978ED" w:rsidRDefault="00745FEA" w:rsidP="00745FEA">
                  <w:pPr>
                    <w:pStyle w:val="TableBodyText"/>
                    <w:ind w:right="57"/>
                  </w:pPr>
                  <w:r w:rsidRPr="005978ED">
                    <w:t>12.5</w:t>
                  </w:r>
                </w:p>
              </w:tc>
              <w:tc>
                <w:tcPr>
                  <w:tcW w:w="466" w:type="pct"/>
                  <w:gridSpan w:val="2"/>
                  <w:vAlign w:val="bottom"/>
                </w:tcPr>
                <w:p w:rsidR="00745FEA" w:rsidRPr="005978ED" w:rsidRDefault="00745FEA" w:rsidP="00745FEA">
                  <w:pPr>
                    <w:pStyle w:val="TableBodyText"/>
                    <w:ind w:right="57"/>
                  </w:pPr>
                  <w:r w:rsidRPr="005978ED">
                    <w:t>13.5</w:t>
                  </w:r>
                </w:p>
              </w:tc>
              <w:tc>
                <w:tcPr>
                  <w:tcW w:w="465" w:type="pct"/>
                  <w:gridSpan w:val="2"/>
                  <w:shd w:val="clear" w:color="auto" w:fill="auto"/>
                  <w:vAlign w:val="bottom"/>
                </w:tcPr>
                <w:p w:rsidR="00745FEA" w:rsidRPr="005978ED" w:rsidRDefault="00745FEA" w:rsidP="00745FEA">
                  <w:pPr>
                    <w:pStyle w:val="TableBodyText"/>
                    <w:ind w:right="57"/>
                  </w:pPr>
                  <w:r w:rsidRPr="005978ED">
                    <w:t>14.0</w:t>
                  </w:r>
                </w:p>
              </w:tc>
              <w:tc>
                <w:tcPr>
                  <w:tcW w:w="451" w:type="pct"/>
                  <w:shd w:val="clear" w:color="auto" w:fill="auto"/>
                  <w:vAlign w:val="bottom"/>
                </w:tcPr>
                <w:p w:rsidR="00745FEA" w:rsidRPr="005978ED" w:rsidRDefault="00745FEA" w:rsidP="00745FEA">
                  <w:pPr>
                    <w:pStyle w:val="TableBodyText"/>
                    <w:ind w:right="57"/>
                  </w:pPr>
                  <w:r w:rsidRPr="005978ED">
                    <w:t>14.0</w:t>
                  </w:r>
                </w:p>
              </w:tc>
            </w:tr>
            <w:tr w:rsidR="00745FEA" w:rsidTr="00745FEA">
              <w:tc>
                <w:tcPr>
                  <w:tcW w:w="2219" w:type="pct"/>
                  <w:shd w:val="clear" w:color="auto" w:fill="auto"/>
                </w:tcPr>
                <w:p w:rsidR="00745FEA" w:rsidRPr="00310820" w:rsidRDefault="00745FEA" w:rsidP="00745FEA">
                  <w:pPr>
                    <w:pStyle w:val="TableBodyText"/>
                    <w:spacing w:after="0"/>
                    <w:ind w:left="227" w:right="0"/>
                    <w:jc w:val="left"/>
                  </w:pPr>
                  <w:r w:rsidRPr="00310820">
                    <w:t>Asia Pacific Partnership on Clean Development and Climate</w:t>
                  </w:r>
                </w:p>
              </w:tc>
              <w:tc>
                <w:tcPr>
                  <w:tcW w:w="466" w:type="pct"/>
                  <w:vAlign w:val="bottom"/>
                </w:tcPr>
                <w:p w:rsidR="00745FEA" w:rsidRPr="005978ED" w:rsidRDefault="00745FEA" w:rsidP="00745FEA">
                  <w:pPr>
                    <w:pStyle w:val="TableBodyText"/>
                    <w:ind w:right="57"/>
                  </w:pPr>
                  <w:r w:rsidRPr="005978ED">
                    <w:t>2.3</w:t>
                  </w:r>
                </w:p>
              </w:tc>
              <w:tc>
                <w:tcPr>
                  <w:tcW w:w="467" w:type="pct"/>
                  <w:gridSpan w:val="2"/>
                  <w:vAlign w:val="bottom"/>
                </w:tcPr>
                <w:p w:rsidR="00745FEA" w:rsidRPr="005978ED" w:rsidRDefault="00745FEA" w:rsidP="00745FEA">
                  <w:pPr>
                    <w:pStyle w:val="TableBodyText"/>
                    <w:ind w:right="57"/>
                  </w:pPr>
                  <w:r w:rsidRPr="005978ED">
                    <w:t>0.2</w:t>
                  </w:r>
                </w:p>
              </w:tc>
              <w:tc>
                <w:tcPr>
                  <w:tcW w:w="465" w:type="pct"/>
                  <w:gridSpan w:val="2"/>
                  <w:vAlign w:val="bottom"/>
                </w:tcPr>
                <w:p w:rsidR="00745FEA" w:rsidRPr="005978ED" w:rsidRDefault="00745FEA" w:rsidP="00745FEA">
                  <w:pPr>
                    <w:pStyle w:val="TableBodyText"/>
                    <w:ind w:right="57"/>
                  </w:pPr>
                  <w:r w:rsidRPr="005978ED">
                    <w:t>–</w:t>
                  </w:r>
                </w:p>
              </w:tc>
              <w:tc>
                <w:tcPr>
                  <w:tcW w:w="466" w:type="pct"/>
                  <w:gridSpan w:val="2"/>
                  <w:vAlign w:val="bottom"/>
                </w:tcPr>
                <w:p w:rsidR="00745FEA" w:rsidRPr="005978ED" w:rsidRDefault="00745FEA" w:rsidP="00745FEA">
                  <w:pPr>
                    <w:pStyle w:val="TableBodyText"/>
                    <w:ind w:right="57"/>
                  </w:pPr>
                  <w:r w:rsidRPr="005978ED">
                    <w:t>–</w:t>
                  </w:r>
                </w:p>
              </w:tc>
              <w:tc>
                <w:tcPr>
                  <w:tcW w:w="465" w:type="pct"/>
                  <w:gridSpan w:val="2"/>
                  <w:shd w:val="clear" w:color="auto" w:fill="auto"/>
                  <w:vAlign w:val="bottom"/>
                </w:tcPr>
                <w:p w:rsidR="00745FEA" w:rsidRPr="005978ED" w:rsidRDefault="00745FEA" w:rsidP="00745FEA">
                  <w:pPr>
                    <w:pStyle w:val="TableBodyText"/>
                    <w:ind w:right="57"/>
                  </w:pPr>
                  <w:r w:rsidRPr="005978ED">
                    <w:t>–</w:t>
                  </w:r>
                </w:p>
              </w:tc>
              <w:tc>
                <w:tcPr>
                  <w:tcW w:w="451" w:type="pct"/>
                  <w:shd w:val="clear" w:color="auto" w:fill="auto"/>
                  <w:vAlign w:val="bottom"/>
                </w:tcPr>
                <w:p w:rsidR="00745FEA" w:rsidRPr="005978ED" w:rsidRDefault="00745FEA" w:rsidP="00745FEA">
                  <w:pPr>
                    <w:pStyle w:val="TableBodyText"/>
                    <w:ind w:right="57"/>
                  </w:pPr>
                  <w:r w:rsidRPr="005978ED">
                    <w:t>–</w:t>
                  </w:r>
                </w:p>
              </w:tc>
            </w:tr>
            <w:tr w:rsidR="00745FEA" w:rsidTr="00745FEA">
              <w:tc>
                <w:tcPr>
                  <w:tcW w:w="2219" w:type="pct"/>
                  <w:tcBorders>
                    <w:bottom w:val="single" w:sz="6" w:space="0" w:color="BFBFBF"/>
                  </w:tcBorders>
                  <w:shd w:val="clear" w:color="auto" w:fill="auto"/>
                </w:tcPr>
                <w:p w:rsidR="00745FEA" w:rsidRPr="00310820" w:rsidRDefault="00745FEA" w:rsidP="00745FEA">
                  <w:pPr>
                    <w:pStyle w:val="TableBodyText"/>
                    <w:spacing w:after="0"/>
                    <w:ind w:left="227" w:right="0"/>
                    <w:jc w:val="left"/>
                  </w:pPr>
                  <w:r w:rsidRPr="00310820">
                    <w:t>Digital Enterprise Program</w:t>
                  </w:r>
                </w:p>
              </w:tc>
              <w:tc>
                <w:tcPr>
                  <w:tcW w:w="466" w:type="pct"/>
                  <w:tcBorders>
                    <w:bottom w:val="single" w:sz="6" w:space="0" w:color="BFBFBF"/>
                  </w:tcBorders>
                  <w:vAlign w:val="bottom"/>
                </w:tcPr>
                <w:p w:rsidR="00745FEA" w:rsidRPr="005978ED" w:rsidRDefault="00745FEA" w:rsidP="00745FEA">
                  <w:pPr>
                    <w:pStyle w:val="TableBodyText"/>
                    <w:ind w:right="57"/>
                  </w:pPr>
                  <w:r w:rsidRPr="005978ED">
                    <w:t>4.0</w:t>
                  </w:r>
                </w:p>
              </w:tc>
              <w:tc>
                <w:tcPr>
                  <w:tcW w:w="467" w:type="pct"/>
                  <w:gridSpan w:val="2"/>
                  <w:tcBorders>
                    <w:bottom w:val="single" w:sz="6" w:space="0" w:color="BFBFBF"/>
                  </w:tcBorders>
                  <w:vAlign w:val="bottom"/>
                </w:tcPr>
                <w:p w:rsidR="00745FEA" w:rsidRPr="005978ED" w:rsidRDefault="00745FEA" w:rsidP="00745FEA">
                  <w:pPr>
                    <w:pStyle w:val="TableBodyText"/>
                    <w:ind w:right="57"/>
                  </w:pPr>
                  <w:r w:rsidRPr="005978ED">
                    <w:t>1.9</w:t>
                  </w:r>
                </w:p>
              </w:tc>
              <w:tc>
                <w:tcPr>
                  <w:tcW w:w="465" w:type="pct"/>
                  <w:gridSpan w:val="2"/>
                  <w:tcBorders>
                    <w:bottom w:val="single" w:sz="6" w:space="0" w:color="BFBFBF"/>
                  </w:tcBorders>
                  <w:vAlign w:val="bottom"/>
                </w:tcPr>
                <w:p w:rsidR="00745FEA" w:rsidRPr="005978ED" w:rsidRDefault="00745FEA" w:rsidP="00745FEA">
                  <w:pPr>
                    <w:pStyle w:val="TableBodyText"/>
                    <w:ind w:right="57"/>
                  </w:pPr>
                  <w:r w:rsidRPr="005978ED">
                    <w:t>5.2</w:t>
                  </w:r>
                </w:p>
              </w:tc>
              <w:tc>
                <w:tcPr>
                  <w:tcW w:w="466" w:type="pct"/>
                  <w:gridSpan w:val="2"/>
                  <w:tcBorders>
                    <w:bottom w:val="single" w:sz="6" w:space="0" w:color="BFBFBF"/>
                  </w:tcBorders>
                  <w:vAlign w:val="bottom"/>
                </w:tcPr>
                <w:p w:rsidR="00745FEA" w:rsidRPr="005978ED" w:rsidRDefault="00745FEA" w:rsidP="00745FEA">
                  <w:pPr>
                    <w:pStyle w:val="TableBodyText"/>
                    <w:ind w:right="57"/>
                  </w:pPr>
                  <w:r w:rsidRPr="005978ED">
                    <w:t>0.3</w:t>
                  </w:r>
                </w:p>
              </w:tc>
              <w:tc>
                <w:tcPr>
                  <w:tcW w:w="465" w:type="pct"/>
                  <w:gridSpan w:val="2"/>
                  <w:tcBorders>
                    <w:bottom w:val="single" w:sz="6" w:space="0" w:color="BFBFBF"/>
                  </w:tcBorders>
                  <w:shd w:val="clear" w:color="auto" w:fill="auto"/>
                  <w:vAlign w:val="bottom"/>
                </w:tcPr>
                <w:p w:rsidR="00745FEA" w:rsidRPr="005978ED" w:rsidRDefault="00745FEA" w:rsidP="00745FEA">
                  <w:pPr>
                    <w:pStyle w:val="TableBodyText"/>
                    <w:ind w:right="57"/>
                  </w:pPr>
                  <w:r w:rsidRPr="005978ED">
                    <w:t>–</w:t>
                  </w:r>
                </w:p>
              </w:tc>
              <w:tc>
                <w:tcPr>
                  <w:tcW w:w="451" w:type="pct"/>
                  <w:tcBorders>
                    <w:bottom w:val="single" w:sz="6" w:space="0" w:color="BFBFBF"/>
                  </w:tcBorders>
                  <w:shd w:val="clear" w:color="auto" w:fill="auto"/>
                  <w:vAlign w:val="bottom"/>
                </w:tcPr>
                <w:p w:rsidR="00745FEA" w:rsidRPr="005978ED" w:rsidRDefault="00745FEA" w:rsidP="00745FEA">
                  <w:pPr>
                    <w:pStyle w:val="TableBodyText"/>
                    <w:ind w:right="57"/>
                  </w:pPr>
                  <w:r w:rsidRPr="005978ED">
                    <w:t>–</w:t>
                  </w:r>
                </w:p>
              </w:tc>
            </w:tr>
          </w:tbl>
          <w:p w:rsidR="00745FEA" w:rsidRDefault="00745FEA" w:rsidP="00745FEA">
            <w:pPr>
              <w:pStyle w:val="Box"/>
            </w:pPr>
          </w:p>
        </w:tc>
      </w:tr>
      <w:tr w:rsidR="00745FEA" w:rsidTr="00C2311B">
        <w:trPr>
          <w:cantSplit/>
        </w:trPr>
        <w:tc>
          <w:tcPr>
            <w:tcW w:w="5000" w:type="pct"/>
            <w:tcBorders>
              <w:top w:val="nil"/>
              <w:left w:val="nil"/>
              <w:bottom w:val="nil"/>
              <w:right w:val="nil"/>
            </w:tcBorders>
            <w:shd w:val="clear" w:color="auto" w:fill="auto"/>
          </w:tcPr>
          <w:p w:rsidR="00745FEA" w:rsidRDefault="00745FEA" w:rsidP="00745FEA">
            <w:pPr>
              <w:pStyle w:val="Source"/>
              <w:ind w:firstLine="6499"/>
            </w:pPr>
            <w:r>
              <w:t xml:space="preserve"> (continued next page)</w:t>
            </w:r>
          </w:p>
        </w:tc>
      </w:tr>
      <w:tr w:rsidR="00745FEA" w:rsidTr="00C2311B">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C2311B">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745F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45FEA" w:rsidTr="00C719FB">
        <w:trPr>
          <w:tblHeader/>
        </w:trPr>
        <w:tc>
          <w:tcPr>
            <w:tcW w:w="5000" w:type="pct"/>
            <w:tcBorders>
              <w:top w:val="single" w:sz="6" w:space="0" w:color="78A22F"/>
              <w:left w:val="nil"/>
              <w:bottom w:val="nil"/>
              <w:right w:val="nil"/>
            </w:tcBorders>
            <w:shd w:val="clear" w:color="auto" w:fill="auto"/>
          </w:tcPr>
          <w:p w:rsidR="00745FEA" w:rsidRPr="00784A05" w:rsidRDefault="00745FEA" w:rsidP="00745FEA">
            <w:pPr>
              <w:pStyle w:val="TableTitle"/>
            </w:pPr>
            <w:r>
              <w:rPr>
                <w:b w:val="0"/>
              </w:rPr>
              <w:t>Table A.14</w:t>
            </w:r>
            <w:r>
              <w:tab/>
            </w:r>
            <w:r w:rsidR="00116EA6" w:rsidRPr="00116EA6">
              <w:rPr>
                <w:b w:val="0"/>
                <w:sz w:val="18"/>
                <w:szCs w:val="20"/>
              </w:rPr>
              <w:t>(continued)</w:t>
            </w:r>
          </w:p>
        </w:tc>
      </w:tr>
      <w:tr w:rsidR="00745FEA" w:rsidTr="00C2311B">
        <w:trPr>
          <w:cantSplit/>
        </w:trPr>
        <w:tc>
          <w:tcPr>
            <w:tcW w:w="5000" w:type="pct"/>
            <w:tcBorders>
              <w:top w:val="nil"/>
              <w:left w:val="nil"/>
              <w:bottom w:val="nil"/>
              <w:right w:val="nil"/>
            </w:tcBorders>
            <w:shd w:val="clear" w:color="auto" w:fill="auto"/>
          </w:tcPr>
          <w:tbl>
            <w:tblPr>
              <w:tblW w:w="8555" w:type="dxa"/>
              <w:tblCellMar>
                <w:top w:w="28" w:type="dxa"/>
                <w:left w:w="0" w:type="dxa"/>
                <w:right w:w="0" w:type="dxa"/>
              </w:tblCellMar>
              <w:tblLook w:val="0000" w:firstRow="0" w:lastRow="0" w:firstColumn="0" w:lastColumn="0" w:noHBand="0" w:noVBand="0"/>
            </w:tblPr>
            <w:tblGrid>
              <w:gridCol w:w="3798"/>
              <w:gridCol w:w="797"/>
              <w:gridCol w:w="799"/>
              <w:gridCol w:w="794"/>
              <w:gridCol w:w="794"/>
              <w:gridCol w:w="794"/>
              <w:gridCol w:w="779"/>
            </w:tblGrid>
            <w:tr w:rsidR="00745FEA" w:rsidTr="00C719FB">
              <w:trPr>
                <w:tblHeader/>
              </w:trPr>
              <w:tc>
                <w:tcPr>
                  <w:tcW w:w="2220" w:type="pct"/>
                  <w:tcBorders>
                    <w:top w:val="single" w:sz="6" w:space="0" w:color="BFBFBF"/>
                    <w:bottom w:val="single" w:sz="6" w:space="0" w:color="BFBFBF"/>
                  </w:tcBorders>
                  <w:shd w:val="clear" w:color="auto" w:fill="auto"/>
                  <w:tcMar>
                    <w:top w:w="28" w:type="dxa"/>
                  </w:tcMar>
                </w:tcPr>
                <w:p w:rsidR="00745FEA" w:rsidRDefault="00745FEA" w:rsidP="00745FEA">
                  <w:pPr>
                    <w:pStyle w:val="TableColumnHeading"/>
                    <w:jc w:val="left"/>
                  </w:pPr>
                </w:p>
              </w:tc>
              <w:tc>
                <w:tcPr>
                  <w:tcW w:w="466"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2011</w:t>
                  </w:r>
                  <w:r>
                    <w:rPr>
                      <w:szCs w:val="18"/>
                    </w:rPr>
                    <w:noBreakHyphen/>
                  </w:r>
                  <w:r w:rsidRPr="00AB1D7C">
                    <w:rPr>
                      <w:szCs w:val="18"/>
                    </w:rPr>
                    <w:t>12</w:t>
                  </w:r>
                </w:p>
              </w:tc>
              <w:tc>
                <w:tcPr>
                  <w:tcW w:w="467"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2012</w:t>
                  </w:r>
                  <w:r>
                    <w:rPr>
                      <w:szCs w:val="18"/>
                    </w:rPr>
                    <w:noBreakHyphen/>
                  </w:r>
                  <w:r w:rsidRPr="00AB1D7C">
                    <w:rPr>
                      <w:szCs w:val="18"/>
                    </w:rPr>
                    <w:t>13</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2013</w:t>
                  </w:r>
                  <w:r>
                    <w:rPr>
                      <w:szCs w:val="18"/>
                    </w:rPr>
                    <w:noBreakHyphen/>
                  </w:r>
                  <w:r w:rsidRPr="00AB1D7C">
                    <w:rPr>
                      <w:szCs w:val="18"/>
                    </w:rPr>
                    <w:t>14</w:t>
                  </w:r>
                </w:p>
              </w:tc>
              <w:tc>
                <w:tcPr>
                  <w:tcW w:w="464" w:type="pct"/>
                  <w:tcBorders>
                    <w:top w:val="single" w:sz="6" w:space="0" w:color="BFBFBF"/>
                    <w:bottom w:val="single" w:sz="6" w:space="0" w:color="BFBFBF"/>
                  </w:tcBorders>
                </w:tcPr>
                <w:p w:rsidR="00745FEA" w:rsidRPr="00AB1D7C" w:rsidRDefault="00745FEA" w:rsidP="00745FEA">
                  <w:pPr>
                    <w:pStyle w:val="TableColumnHeading"/>
                    <w:spacing w:before="60" w:after="60"/>
                    <w:ind w:left="0" w:right="57"/>
                    <w:rPr>
                      <w:szCs w:val="18"/>
                    </w:rPr>
                  </w:pPr>
                  <w:r w:rsidRPr="00AB1D7C">
                    <w:rPr>
                      <w:szCs w:val="18"/>
                    </w:rPr>
                    <w:t>201</w:t>
                  </w:r>
                  <w:r>
                    <w:rPr>
                      <w:szCs w:val="18"/>
                    </w:rPr>
                    <w:t>4</w:t>
                  </w:r>
                  <w:r>
                    <w:rPr>
                      <w:szCs w:val="18"/>
                    </w:rPr>
                    <w:noBreakHyphen/>
                  </w:r>
                  <w:r w:rsidRPr="00AB1D7C">
                    <w:rPr>
                      <w:szCs w:val="18"/>
                    </w:rPr>
                    <w:t>1</w:t>
                  </w:r>
                  <w:r>
                    <w:rPr>
                      <w:szCs w:val="18"/>
                    </w:rPr>
                    <w:t>5</w:t>
                  </w:r>
                </w:p>
              </w:tc>
              <w:tc>
                <w:tcPr>
                  <w:tcW w:w="464"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5</w:t>
                  </w:r>
                  <w:r>
                    <w:rPr>
                      <w:szCs w:val="18"/>
                    </w:rPr>
                    <w:noBreakHyphen/>
                  </w:r>
                  <w:r w:rsidRPr="00AB1D7C">
                    <w:rPr>
                      <w:szCs w:val="18"/>
                    </w:rPr>
                    <w:t>1</w:t>
                  </w:r>
                  <w:r>
                    <w:rPr>
                      <w:szCs w:val="18"/>
                    </w:rPr>
                    <w:t>6</w:t>
                  </w:r>
                </w:p>
              </w:tc>
              <w:tc>
                <w:tcPr>
                  <w:tcW w:w="455" w:type="pct"/>
                  <w:tcBorders>
                    <w:top w:val="single" w:sz="6" w:space="0" w:color="BFBFBF"/>
                    <w:bottom w:val="single" w:sz="6" w:space="0" w:color="BFBFBF"/>
                  </w:tcBorders>
                  <w:shd w:val="clear" w:color="auto" w:fill="auto"/>
                  <w:tcMar>
                    <w:top w:w="28" w:type="dxa"/>
                  </w:tcMar>
                </w:tcPr>
                <w:p w:rsidR="00745FEA" w:rsidRPr="00AB1D7C" w:rsidRDefault="00745FEA" w:rsidP="00745FEA">
                  <w:pPr>
                    <w:pStyle w:val="TableColumnHeading"/>
                    <w:spacing w:before="60" w:after="60"/>
                    <w:ind w:left="0" w:right="57"/>
                    <w:rPr>
                      <w:szCs w:val="18"/>
                    </w:rPr>
                  </w:pPr>
                  <w:r w:rsidRPr="00AB1D7C">
                    <w:rPr>
                      <w:szCs w:val="18"/>
                    </w:rPr>
                    <w:t>201</w:t>
                  </w:r>
                  <w:r>
                    <w:rPr>
                      <w:szCs w:val="18"/>
                    </w:rPr>
                    <w:t>6</w:t>
                  </w:r>
                  <w:r>
                    <w:rPr>
                      <w:szCs w:val="18"/>
                    </w:rPr>
                    <w:noBreakHyphen/>
                  </w:r>
                  <w:r w:rsidRPr="00AB1D7C">
                    <w:rPr>
                      <w:szCs w:val="18"/>
                    </w:rPr>
                    <w:t>1</w:t>
                  </w:r>
                  <w:r>
                    <w:rPr>
                      <w:szCs w:val="18"/>
                    </w:rPr>
                    <w:t>7</w:t>
                  </w:r>
                </w:p>
              </w:tc>
            </w:tr>
            <w:tr w:rsidR="00745FEA" w:rsidRPr="00527B68" w:rsidTr="00745FEA">
              <w:tc>
                <w:tcPr>
                  <w:tcW w:w="2220" w:type="pct"/>
                </w:tcPr>
                <w:p w:rsidR="00745FEA" w:rsidRPr="00527B68" w:rsidRDefault="00745FEA" w:rsidP="00745FEA">
                  <w:pPr>
                    <w:pStyle w:val="TableUnitsRow"/>
                    <w:spacing w:after="0"/>
                    <w:ind w:left="113"/>
                    <w:jc w:val="left"/>
                    <w:rPr>
                      <w:i/>
                    </w:rPr>
                  </w:pPr>
                  <w:r w:rsidRPr="00527B68">
                    <w:rPr>
                      <w:i/>
                    </w:rPr>
                    <w:t>Other measures</w:t>
                  </w:r>
                  <w:r>
                    <w:rPr>
                      <w:i/>
                    </w:rPr>
                    <w:t xml:space="preserve"> (continued)</w:t>
                  </w:r>
                </w:p>
              </w:tc>
              <w:tc>
                <w:tcPr>
                  <w:tcW w:w="466" w:type="pct"/>
                  <w:vAlign w:val="bottom"/>
                </w:tcPr>
                <w:p w:rsidR="00745FEA" w:rsidRPr="00527B68" w:rsidRDefault="00745FEA" w:rsidP="00745FEA">
                  <w:pPr>
                    <w:pStyle w:val="TableUnitsRow"/>
                    <w:spacing w:after="0"/>
                    <w:ind w:left="113" w:right="57"/>
                    <w:rPr>
                      <w:i/>
                    </w:rPr>
                  </w:pPr>
                </w:p>
              </w:tc>
              <w:tc>
                <w:tcPr>
                  <w:tcW w:w="467" w:type="pct"/>
                  <w:vAlign w:val="bottom"/>
                </w:tcPr>
                <w:p w:rsidR="00745FEA" w:rsidRPr="00527B68" w:rsidRDefault="00745FEA" w:rsidP="00745FEA">
                  <w:pPr>
                    <w:pStyle w:val="TableUnitsRow"/>
                    <w:spacing w:after="0"/>
                    <w:ind w:left="113" w:right="57"/>
                    <w:rPr>
                      <w:i/>
                    </w:rPr>
                  </w:pPr>
                </w:p>
              </w:tc>
              <w:tc>
                <w:tcPr>
                  <w:tcW w:w="464" w:type="pct"/>
                  <w:vAlign w:val="bottom"/>
                </w:tcPr>
                <w:p w:rsidR="00745FEA" w:rsidRPr="00527B68" w:rsidRDefault="00745FEA" w:rsidP="00745FEA">
                  <w:pPr>
                    <w:pStyle w:val="TableUnitsRow"/>
                    <w:spacing w:after="0"/>
                    <w:ind w:left="113" w:right="57"/>
                    <w:rPr>
                      <w:i/>
                    </w:rPr>
                  </w:pPr>
                </w:p>
              </w:tc>
              <w:tc>
                <w:tcPr>
                  <w:tcW w:w="464" w:type="pct"/>
                  <w:vAlign w:val="bottom"/>
                </w:tcPr>
                <w:p w:rsidR="00745FEA" w:rsidRPr="00527B68" w:rsidRDefault="00745FEA" w:rsidP="00745FEA">
                  <w:pPr>
                    <w:pStyle w:val="TableUnitsRow"/>
                    <w:spacing w:after="0"/>
                    <w:ind w:left="113" w:right="57"/>
                    <w:rPr>
                      <w:i/>
                    </w:rPr>
                  </w:pPr>
                </w:p>
              </w:tc>
              <w:tc>
                <w:tcPr>
                  <w:tcW w:w="464" w:type="pct"/>
                  <w:vAlign w:val="bottom"/>
                </w:tcPr>
                <w:p w:rsidR="00745FEA" w:rsidRPr="00527B68" w:rsidRDefault="00745FEA" w:rsidP="00745FEA">
                  <w:pPr>
                    <w:pStyle w:val="TableUnitsRow"/>
                    <w:spacing w:after="0"/>
                    <w:ind w:left="113" w:right="57"/>
                    <w:rPr>
                      <w:i/>
                    </w:rPr>
                  </w:pPr>
                </w:p>
              </w:tc>
              <w:tc>
                <w:tcPr>
                  <w:tcW w:w="455" w:type="pct"/>
                  <w:vAlign w:val="bottom"/>
                </w:tcPr>
                <w:p w:rsidR="00745FEA" w:rsidRPr="00527B68" w:rsidRDefault="00745FEA" w:rsidP="00745FEA">
                  <w:pPr>
                    <w:pStyle w:val="TableUnitsRow"/>
                    <w:spacing w:after="0"/>
                    <w:ind w:left="113" w:right="57"/>
                    <w:rPr>
                      <w:i/>
                    </w:rPr>
                  </w:pPr>
                </w:p>
              </w:tc>
            </w:tr>
            <w:tr w:rsidR="00745FEA" w:rsidTr="00745FEA">
              <w:tc>
                <w:tcPr>
                  <w:tcW w:w="2220" w:type="pct"/>
                  <w:shd w:val="clear" w:color="auto" w:fill="auto"/>
                </w:tcPr>
                <w:p w:rsidR="00745FEA" w:rsidRPr="00310820" w:rsidRDefault="00745FEA" w:rsidP="00745FEA">
                  <w:pPr>
                    <w:pStyle w:val="TableBodyText"/>
                    <w:spacing w:after="0"/>
                    <w:ind w:left="227" w:right="0"/>
                    <w:jc w:val="left"/>
                  </w:pPr>
                  <w:r w:rsidRPr="00310820">
                    <w:t>Enterprise Connect Innovation Centres</w:t>
                  </w:r>
                </w:p>
              </w:tc>
              <w:tc>
                <w:tcPr>
                  <w:tcW w:w="466" w:type="pct"/>
                  <w:vAlign w:val="bottom"/>
                </w:tcPr>
                <w:p w:rsidR="00745FEA" w:rsidRPr="005978ED" w:rsidRDefault="00745FEA" w:rsidP="00745FEA">
                  <w:pPr>
                    <w:pStyle w:val="TableBodyText"/>
                    <w:ind w:right="57"/>
                  </w:pPr>
                  <w:r w:rsidRPr="005978ED">
                    <w:t>–</w:t>
                  </w:r>
                </w:p>
              </w:tc>
              <w:tc>
                <w:tcPr>
                  <w:tcW w:w="467" w:type="pct"/>
                  <w:vAlign w:val="bottom"/>
                </w:tcPr>
                <w:p w:rsidR="00745FEA" w:rsidRPr="005978ED" w:rsidRDefault="00745FEA" w:rsidP="00745FEA">
                  <w:pPr>
                    <w:pStyle w:val="TableBodyText"/>
                    <w:ind w:right="57"/>
                  </w:pPr>
                  <w:r w:rsidRPr="005978ED">
                    <w:t>–</w:t>
                  </w:r>
                </w:p>
              </w:tc>
              <w:tc>
                <w:tcPr>
                  <w:tcW w:w="464" w:type="pct"/>
                  <w:vAlign w:val="bottom"/>
                </w:tcPr>
                <w:p w:rsidR="00745FEA" w:rsidRPr="005978ED" w:rsidRDefault="00745FEA" w:rsidP="00745FEA">
                  <w:pPr>
                    <w:pStyle w:val="TableBodyText"/>
                    <w:ind w:right="57"/>
                  </w:pPr>
                  <w:r w:rsidRPr="005978ED">
                    <w:t>–</w:t>
                  </w:r>
                </w:p>
              </w:tc>
              <w:tc>
                <w:tcPr>
                  <w:tcW w:w="464" w:type="pct"/>
                  <w:vAlign w:val="bottom"/>
                </w:tcPr>
                <w:p w:rsidR="00745FEA" w:rsidRPr="005978ED" w:rsidRDefault="00745FEA" w:rsidP="00745FEA">
                  <w:pPr>
                    <w:pStyle w:val="TableBodyText"/>
                    <w:ind w:right="57"/>
                  </w:pPr>
                  <w:r w:rsidRPr="005978ED">
                    <w:t>6.7</w:t>
                  </w:r>
                </w:p>
              </w:tc>
              <w:tc>
                <w:tcPr>
                  <w:tcW w:w="464" w:type="pct"/>
                  <w:shd w:val="clear" w:color="auto" w:fill="auto"/>
                  <w:vAlign w:val="bottom"/>
                </w:tcPr>
                <w:p w:rsidR="00745FEA" w:rsidRPr="005978ED" w:rsidRDefault="00745FEA" w:rsidP="00745FEA">
                  <w:pPr>
                    <w:pStyle w:val="TableBodyText"/>
                    <w:ind w:right="57"/>
                  </w:pPr>
                  <w:r w:rsidRPr="005978ED">
                    <w:t>0.1</w:t>
                  </w:r>
                </w:p>
              </w:tc>
              <w:tc>
                <w:tcPr>
                  <w:tcW w:w="455" w:type="pct"/>
                  <w:shd w:val="clear" w:color="auto" w:fill="auto"/>
                  <w:vAlign w:val="bottom"/>
                </w:tcPr>
                <w:p w:rsidR="00745FEA" w:rsidRPr="005978ED" w:rsidRDefault="00745FEA" w:rsidP="00745FEA">
                  <w:pPr>
                    <w:pStyle w:val="TableBodyText"/>
                    <w:ind w:right="57"/>
                  </w:pPr>
                  <w:r w:rsidRPr="005978ED">
                    <w:t>–</w:t>
                  </w:r>
                </w:p>
              </w:tc>
            </w:tr>
            <w:tr w:rsidR="00745FEA" w:rsidTr="00745FEA">
              <w:tc>
                <w:tcPr>
                  <w:tcW w:w="2220" w:type="pct"/>
                  <w:shd w:val="clear" w:color="auto" w:fill="auto"/>
                </w:tcPr>
                <w:p w:rsidR="00745FEA" w:rsidRPr="00184E1D" w:rsidRDefault="00745FEA" w:rsidP="00745FEA">
                  <w:pPr>
                    <w:pStyle w:val="TableBodyText"/>
                    <w:ind w:left="227" w:right="0"/>
                    <w:jc w:val="left"/>
                  </w:pPr>
                  <w:r w:rsidRPr="00184E1D">
                    <w:t>Energy Efficiency Information Grants</w:t>
                  </w:r>
                </w:p>
              </w:tc>
              <w:tc>
                <w:tcPr>
                  <w:tcW w:w="466" w:type="pct"/>
                  <w:vAlign w:val="bottom"/>
                </w:tcPr>
                <w:p w:rsidR="00745FEA" w:rsidRPr="005978ED" w:rsidRDefault="00745FEA" w:rsidP="00745FEA">
                  <w:pPr>
                    <w:pStyle w:val="TableBodyText"/>
                    <w:ind w:right="57"/>
                  </w:pPr>
                  <w:r w:rsidRPr="005978ED">
                    <w:t>7.3</w:t>
                  </w:r>
                </w:p>
              </w:tc>
              <w:tc>
                <w:tcPr>
                  <w:tcW w:w="467" w:type="pct"/>
                  <w:vAlign w:val="bottom"/>
                </w:tcPr>
                <w:p w:rsidR="00745FEA" w:rsidRPr="005978ED" w:rsidRDefault="00745FEA" w:rsidP="00745FEA">
                  <w:pPr>
                    <w:pStyle w:val="TableBodyText"/>
                    <w:ind w:right="57"/>
                  </w:pPr>
                  <w:r w:rsidRPr="005978ED">
                    <w:t>20.8</w:t>
                  </w:r>
                </w:p>
              </w:tc>
              <w:tc>
                <w:tcPr>
                  <w:tcW w:w="464" w:type="pct"/>
                  <w:vAlign w:val="bottom"/>
                </w:tcPr>
                <w:p w:rsidR="00745FEA" w:rsidRPr="005978ED" w:rsidRDefault="00745FEA" w:rsidP="00745FEA">
                  <w:pPr>
                    <w:pStyle w:val="TableBodyText"/>
                    <w:ind w:right="57"/>
                  </w:pPr>
                  <w:r w:rsidRPr="005978ED">
                    <w:t>9.5</w:t>
                  </w:r>
                </w:p>
              </w:tc>
              <w:tc>
                <w:tcPr>
                  <w:tcW w:w="464" w:type="pct"/>
                  <w:vAlign w:val="bottom"/>
                </w:tcPr>
                <w:p w:rsidR="00745FEA" w:rsidRPr="005978ED" w:rsidRDefault="00745FEA" w:rsidP="00745FEA">
                  <w:pPr>
                    <w:pStyle w:val="TableBodyText"/>
                    <w:ind w:right="57"/>
                  </w:pPr>
                  <w:r w:rsidRPr="005978ED">
                    <w:t>–</w:t>
                  </w:r>
                </w:p>
              </w:tc>
              <w:tc>
                <w:tcPr>
                  <w:tcW w:w="464" w:type="pct"/>
                  <w:shd w:val="clear" w:color="auto" w:fill="auto"/>
                  <w:vAlign w:val="bottom"/>
                </w:tcPr>
                <w:p w:rsidR="00745FEA" w:rsidRPr="005978ED" w:rsidRDefault="00745FEA" w:rsidP="00745FEA">
                  <w:pPr>
                    <w:pStyle w:val="TableBodyText"/>
                    <w:ind w:right="57"/>
                  </w:pPr>
                  <w:r w:rsidRPr="005978ED">
                    <w:t>–</w:t>
                  </w:r>
                </w:p>
              </w:tc>
              <w:tc>
                <w:tcPr>
                  <w:tcW w:w="455" w:type="pct"/>
                  <w:shd w:val="clear" w:color="auto" w:fill="auto"/>
                  <w:vAlign w:val="bottom"/>
                </w:tcPr>
                <w:p w:rsidR="00745FEA" w:rsidRDefault="00745FEA" w:rsidP="00745FEA">
                  <w:pPr>
                    <w:pStyle w:val="TableBodyText"/>
                    <w:ind w:right="57"/>
                  </w:pPr>
                  <w:r w:rsidRPr="005978ED">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Entrepreneurs’ Infrastructure Programme - Accelerating Commercialisation</w:t>
                  </w:r>
                </w:p>
              </w:tc>
              <w:tc>
                <w:tcPr>
                  <w:tcW w:w="466" w:type="pct"/>
                  <w:vAlign w:val="bottom"/>
                </w:tcPr>
                <w:p w:rsidR="00745FEA" w:rsidRPr="007A4EC5" w:rsidRDefault="00745FEA" w:rsidP="00745FEA">
                  <w:pPr>
                    <w:pStyle w:val="TableBodyText"/>
                    <w:ind w:right="57"/>
                  </w:pPr>
                  <w:r w:rsidRPr="007A4EC5">
                    <w:t>–</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0.1</w:t>
                  </w:r>
                </w:p>
              </w:tc>
              <w:tc>
                <w:tcPr>
                  <w:tcW w:w="464" w:type="pct"/>
                  <w:shd w:val="clear" w:color="auto" w:fill="auto"/>
                  <w:vAlign w:val="bottom"/>
                </w:tcPr>
                <w:p w:rsidR="00745FEA" w:rsidRPr="007A4EC5" w:rsidRDefault="00745FEA" w:rsidP="00745FEA">
                  <w:pPr>
                    <w:pStyle w:val="TableBodyText"/>
                    <w:ind w:right="57"/>
                  </w:pPr>
                  <w:r w:rsidRPr="007A4EC5">
                    <w:t>1.1</w:t>
                  </w:r>
                </w:p>
              </w:tc>
              <w:tc>
                <w:tcPr>
                  <w:tcW w:w="455" w:type="pct"/>
                  <w:shd w:val="clear" w:color="auto" w:fill="auto"/>
                  <w:vAlign w:val="bottom"/>
                </w:tcPr>
                <w:p w:rsidR="00745FEA" w:rsidRPr="007A4EC5" w:rsidRDefault="00745FEA" w:rsidP="00745FEA">
                  <w:pPr>
                    <w:pStyle w:val="TableBodyText"/>
                    <w:ind w:right="57"/>
                  </w:pPr>
                  <w:r w:rsidRPr="007A4EC5">
                    <w:t>9.5</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Entrepreneurs’ Infrastructure Programme - Business Management Skills</w:t>
                  </w:r>
                </w:p>
              </w:tc>
              <w:tc>
                <w:tcPr>
                  <w:tcW w:w="466" w:type="pct"/>
                  <w:vAlign w:val="bottom"/>
                </w:tcPr>
                <w:p w:rsidR="00745FEA" w:rsidRPr="007A4EC5" w:rsidRDefault="00745FEA" w:rsidP="00745FEA">
                  <w:pPr>
                    <w:pStyle w:val="TableBodyText"/>
                    <w:ind w:right="57"/>
                  </w:pPr>
                  <w:r w:rsidRPr="007A4EC5">
                    <w:t>–</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0.3</w:t>
                  </w:r>
                </w:p>
              </w:tc>
              <w:tc>
                <w:tcPr>
                  <w:tcW w:w="464" w:type="pct"/>
                  <w:shd w:val="clear" w:color="auto" w:fill="auto"/>
                  <w:vAlign w:val="bottom"/>
                </w:tcPr>
                <w:p w:rsidR="00745FEA" w:rsidRPr="007A4EC5" w:rsidRDefault="00745FEA" w:rsidP="00745FEA">
                  <w:pPr>
                    <w:pStyle w:val="TableBodyText"/>
                    <w:ind w:right="57"/>
                  </w:pPr>
                  <w:r w:rsidRPr="007A4EC5">
                    <w:t>1.2</w:t>
                  </w:r>
                </w:p>
              </w:tc>
              <w:tc>
                <w:tcPr>
                  <w:tcW w:w="455" w:type="pct"/>
                  <w:shd w:val="clear" w:color="auto" w:fill="auto"/>
                  <w:vAlign w:val="bottom"/>
                </w:tcPr>
                <w:p w:rsidR="00745FEA" w:rsidRPr="007A4EC5" w:rsidRDefault="00745FEA" w:rsidP="00745FEA">
                  <w:pPr>
                    <w:pStyle w:val="TableBodyText"/>
                    <w:ind w:right="57"/>
                  </w:pPr>
                  <w:r w:rsidRPr="007A4EC5">
                    <w:t>&lt;0.1</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Illawarra Region Innovation and Investment Fund</w:t>
                  </w:r>
                </w:p>
              </w:tc>
              <w:tc>
                <w:tcPr>
                  <w:tcW w:w="466" w:type="pct"/>
                  <w:vAlign w:val="bottom"/>
                </w:tcPr>
                <w:p w:rsidR="00745FEA" w:rsidRPr="007A4EC5" w:rsidRDefault="00745FEA" w:rsidP="00745FEA">
                  <w:pPr>
                    <w:pStyle w:val="TableBodyText"/>
                    <w:ind w:right="57"/>
                  </w:pPr>
                  <w:r w:rsidRPr="007A4EC5">
                    <w:t>–</w:t>
                  </w:r>
                </w:p>
              </w:tc>
              <w:tc>
                <w:tcPr>
                  <w:tcW w:w="467" w:type="pct"/>
                  <w:vAlign w:val="bottom"/>
                </w:tcPr>
                <w:p w:rsidR="00745FEA" w:rsidRPr="007A4EC5" w:rsidRDefault="00745FEA" w:rsidP="00745FEA">
                  <w:pPr>
                    <w:pStyle w:val="TableBodyText"/>
                    <w:ind w:right="57"/>
                  </w:pPr>
                  <w:r w:rsidRPr="007A4EC5">
                    <w:t>0.1</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Procurement strategy</w:t>
                  </w:r>
                </w:p>
              </w:tc>
              <w:tc>
                <w:tcPr>
                  <w:tcW w:w="466" w:type="pct"/>
                  <w:vAlign w:val="bottom"/>
                </w:tcPr>
                <w:p w:rsidR="00745FEA" w:rsidRPr="007A4EC5" w:rsidRDefault="00745FEA" w:rsidP="00745FEA">
                  <w:pPr>
                    <w:pStyle w:val="TableBodyText"/>
                    <w:ind w:right="57"/>
                  </w:pPr>
                  <w:r w:rsidRPr="007A4EC5">
                    <w:t>6.4</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Small Business Advisory Services Program</w:t>
                  </w:r>
                </w:p>
              </w:tc>
              <w:tc>
                <w:tcPr>
                  <w:tcW w:w="466" w:type="pct"/>
                  <w:vAlign w:val="bottom"/>
                </w:tcPr>
                <w:p w:rsidR="00745FEA" w:rsidRPr="007A4EC5" w:rsidRDefault="00745FEA" w:rsidP="00745FEA">
                  <w:pPr>
                    <w:pStyle w:val="TableBodyText"/>
                    <w:ind w:right="57"/>
                  </w:pPr>
                  <w:r w:rsidRPr="007A4EC5">
                    <w:t>12.1</w:t>
                  </w:r>
                </w:p>
              </w:tc>
              <w:tc>
                <w:tcPr>
                  <w:tcW w:w="467" w:type="pct"/>
                  <w:vAlign w:val="bottom"/>
                </w:tcPr>
                <w:p w:rsidR="00745FEA" w:rsidRPr="007A4EC5" w:rsidRDefault="00745FEA" w:rsidP="00745FEA">
                  <w:pPr>
                    <w:pStyle w:val="TableBodyText"/>
                    <w:ind w:right="57"/>
                  </w:pPr>
                  <w:r w:rsidRPr="007A4EC5">
                    <w:t>8.0</w:t>
                  </w:r>
                </w:p>
              </w:tc>
              <w:tc>
                <w:tcPr>
                  <w:tcW w:w="464" w:type="pct"/>
                  <w:vAlign w:val="bottom"/>
                </w:tcPr>
                <w:p w:rsidR="00745FEA" w:rsidRPr="007A4EC5" w:rsidRDefault="00745FEA" w:rsidP="00745FEA">
                  <w:pPr>
                    <w:pStyle w:val="TableBodyText"/>
                    <w:ind w:right="57"/>
                  </w:pPr>
                  <w:r w:rsidRPr="007A4EC5">
                    <w:t>7.1</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Temporary Assistance for Tasmanian Exporters</w:t>
                  </w:r>
                </w:p>
              </w:tc>
              <w:tc>
                <w:tcPr>
                  <w:tcW w:w="466" w:type="pct"/>
                  <w:vAlign w:val="bottom"/>
                </w:tcPr>
                <w:p w:rsidR="00745FEA" w:rsidRPr="007A4EC5" w:rsidRDefault="00745FEA" w:rsidP="00745FEA">
                  <w:pPr>
                    <w:pStyle w:val="TableBodyText"/>
                    <w:ind w:right="57"/>
                  </w:pPr>
                  <w:r w:rsidRPr="007A4EC5">
                    <w:t>0.9</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Tasmanian Freight Equalisation Scheme</w:t>
                  </w:r>
                </w:p>
              </w:tc>
              <w:tc>
                <w:tcPr>
                  <w:tcW w:w="466" w:type="pct"/>
                  <w:vAlign w:val="bottom"/>
                </w:tcPr>
                <w:p w:rsidR="00745FEA" w:rsidRPr="007A4EC5" w:rsidRDefault="00745FEA" w:rsidP="00745FEA">
                  <w:pPr>
                    <w:pStyle w:val="TableBodyText"/>
                    <w:ind w:right="57"/>
                  </w:pPr>
                  <w:r w:rsidRPr="007A4EC5">
                    <w:t>6.3</w:t>
                  </w:r>
                </w:p>
              </w:tc>
              <w:tc>
                <w:tcPr>
                  <w:tcW w:w="467" w:type="pct"/>
                  <w:vAlign w:val="bottom"/>
                </w:tcPr>
                <w:p w:rsidR="00745FEA" w:rsidRPr="007A4EC5" w:rsidRDefault="00745FEA" w:rsidP="00745FEA">
                  <w:pPr>
                    <w:pStyle w:val="TableBodyText"/>
                    <w:ind w:right="57"/>
                  </w:pPr>
                  <w:r w:rsidRPr="007A4EC5">
                    <w:t>7.5</w:t>
                  </w:r>
                </w:p>
              </w:tc>
              <w:tc>
                <w:tcPr>
                  <w:tcW w:w="464" w:type="pct"/>
                  <w:vAlign w:val="bottom"/>
                </w:tcPr>
                <w:p w:rsidR="00745FEA" w:rsidRPr="007A4EC5" w:rsidRDefault="00745FEA" w:rsidP="00745FEA">
                  <w:pPr>
                    <w:pStyle w:val="TableBodyText"/>
                    <w:ind w:right="57"/>
                  </w:pPr>
                  <w:r w:rsidRPr="007A4EC5">
                    <w:t>6.8</w:t>
                  </w:r>
                </w:p>
              </w:tc>
              <w:tc>
                <w:tcPr>
                  <w:tcW w:w="464" w:type="pct"/>
                  <w:vAlign w:val="bottom"/>
                </w:tcPr>
                <w:p w:rsidR="00745FEA" w:rsidRPr="007A4EC5" w:rsidRDefault="00745FEA" w:rsidP="00745FEA">
                  <w:pPr>
                    <w:pStyle w:val="TableBodyText"/>
                    <w:ind w:right="57"/>
                  </w:pPr>
                  <w:r w:rsidRPr="007A4EC5">
                    <w:t>7.5</w:t>
                  </w:r>
                </w:p>
              </w:tc>
              <w:tc>
                <w:tcPr>
                  <w:tcW w:w="464" w:type="pct"/>
                  <w:shd w:val="clear" w:color="auto" w:fill="auto"/>
                  <w:vAlign w:val="bottom"/>
                </w:tcPr>
                <w:p w:rsidR="00745FEA" w:rsidRPr="007A4EC5" w:rsidRDefault="00745FEA" w:rsidP="00745FEA">
                  <w:pPr>
                    <w:pStyle w:val="TableBodyText"/>
                    <w:ind w:right="57"/>
                  </w:pPr>
                  <w:r w:rsidRPr="007A4EC5">
                    <w:t>8.7</w:t>
                  </w:r>
                </w:p>
              </w:tc>
              <w:tc>
                <w:tcPr>
                  <w:tcW w:w="455" w:type="pct"/>
                  <w:shd w:val="clear" w:color="auto" w:fill="auto"/>
                  <w:vAlign w:val="bottom"/>
                </w:tcPr>
                <w:p w:rsidR="00745FEA" w:rsidRPr="007A4EC5" w:rsidRDefault="00745FEA" w:rsidP="00745FEA">
                  <w:pPr>
                    <w:pStyle w:val="TableBodyText"/>
                    <w:ind w:right="57"/>
                  </w:pPr>
                  <w:r w:rsidRPr="007A4EC5">
                    <w:t>9.2</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5879A5">
                    <w:t>Tasmanian Jobs and Investment Fund</w:t>
                  </w:r>
                </w:p>
              </w:tc>
              <w:tc>
                <w:tcPr>
                  <w:tcW w:w="466" w:type="pct"/>
                  <w:vAlign w:val="bottom"/>
                </w:tcPr>
                <w:p w:rsidR="00745FEA" w:rsidRPr="007A4EC5" w:rsidRDefault="00745FEA" w:rsidP="00745FEA">
                  <w:pPr>
                    <w:pStyle w:val="TableBodyText"/>
                    <w:ind w:right="57"/>
                  </w:pPr>
                  <w:r w:rsidRPr="007A4EC5">
                    <w:t>–</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1.5</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Concessional taxation for small business - Lower company tax rate</w:t>
                  </w:r>
                </w:p>
              </w:tc>
              <w:tc>
                <w:tcPr>
                  <w:tcW w:w="466" w:type="pct"/>
                  <w:vAlign w:val="bottom"/>
                </w:tcPr>
                <w:p w:rsidR="00745FEA" w:rsidRPr="007A4EC5" w:rsidRDefault="00745FEA" w:rsidP="00745FEA">
                  <w:pPr>
                    <w:pStyle w:val="TableBodyText"/>
                    <w:ind w:right="57"/>
                  </w:pPr>
                  <w:r w:rsidRPr="007A4EC5">
                    <w:t>–</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250.0</w:t>
                  </w:r>
                </w:p>
              </w:tc>
              <w:tc>
                <w:tcPr>
                  <w:tcW w:w="455" w:type="pct"/>
                  <w:shd w:val="clear" w:color="auto" w:fill="auto"/>
                  <w:vAlign w:val="bottom"/>
                </w:tcPr>
                <w:p w:rsidR="00745FEA" w:rsidRPr="007A4EC5" w:rsidRDefault="00745FEA" w:rsidP="00745FEA">
                  <w:pPr>
                    <w:pStyle w:val="TableBodyText"/>
                    <w:ind w:right="57"/>
                  </w:pPr>
                  <w:r w:rsidRPr="007A4EC5">
                    <w:t>1100.0</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 xml:space="preserve">Small business </w:t>
                  </w:r>
                  <w:r>
                    <w:t>capital gains tax</w:t>
                  </w:r>
                  <w:r w:rsidRPr="008A4E99">
                    <w:t xml:space="preserve"> rollover deferral</w:t>
                  </w:r>
                </w:p>
              </w:tc>
              <w:tc>
                <w:tcPr>
                  <w:tcW w:w="466" w:type="pct"/>
                  <w:vAlign w:val="bottom"/>
                </w:tcPr>
                <w:p w:rsidR="00745FEA" w:rsidRPr="007A4EC5" w:rsidRDefault="00745FEA" w:rsidP="00745FEA">
                  <w:pPr>
                    <w:pStyle w:val="TableBodyText"/>
                    <w:ind w:right="57"/>
                  </w:pPr>
                  <w:r w:rsidRPr="007A4EC5">
                    <w:t>111.4</w:t>
                  </w:r>
                </w:p>
              </w:tc>
              <w:tc>
                <w:tcPr>
                  <w:tcW w:w="467" w:type="pct"/>
                  <w:vAlign w:val="bottom"/>
                </w:tcPr>
                <w:p w:rsidR="00745FEA" w:rsidRPr="007A4EC5" w:rsidRDefault="00745FEA" w:rsidP="00745FEA">
                  <w:pPr>
                    <w:pStyle w:val="TableBodyText"/>
                    <w:ind w:right="57"/>
                  </w:pPr>
                  <w:r w:rsidRPr="007A4EC5">
                    <w:t>131.1</w:t>
                  </w:r>
                </w:p>
              </w:tc>
              <w:tc>
                <w:tcPr>
                  <w:tcW w:w="464" w:type="pct"/>
                  <w:vAlign w:val="bottom"/>
                </w:tcPr>
                <w:p w:rsidR="00745FEA" w:rsidRPr="007A4EC5" w:rsidRDefault="00745FEA" w:rsidP="00745FEA">
                  <w:pPr>
                    <w:pStyle w:val="TableBodyText"/>
                    <w:ind w:right="57"/>
                  </w:pPr>
                  <w:r w:rsidRPr="007A4EC5">
                    <w:t>137.6</w:t>
                  </w:r>
                </w:p>
              </w:tc>
              <w:tc>
                <w:tcPr>
                  <w:tcW w:w="464" w:type="pct"/>
                  <w:vAlign w:val="bottom"/>
                </w:tcPr>
                <w:p w:rsidR="00745FEA" w:rsidRPr="007A4EC5" w:rsidRDefault="00745FEA" w:rsidP="00745FEA">
                  <w:pPr>
                    <w:pStyle w:val="TableBodyText"/>
                    <w:ind w:right="57"/>
                  </w:pPr>
                  <w:r w:rsidRPr="007A4EC5">
                    <w:t>52.8</w:t>
                  </w:r>
                </w:p>
              </w:tc>
              <w:tc>
                <w:tcPr>
                  <w:tcW w:w="464" w:type="pct"/>
                  <w:shd w:val="clear" w:color="auto" w:fill="auto"/>
                  <w:vAlign w:val="bottom"/>
                </w:tcPr>
                <w:p w:rsidR="00745FEA" w:rsidRPr="007A4EC5" w:rsidRDefault="00745FEA" w:rsidP="00745FEA">
                  <w:pPr>
                    <w:pStyle w:val="TableBodyText"/>
                    <w:ind w:right="57"/>
                  </w:pPr>
                  <w:r w:rsidRPr="007A4EC5">
                    <w:t>123.8</w:t>
                  </w:r>
                </w:p>
              </w:tc>
              <w:tc>
                <w:tcPr>
                  <w:tcW w:w="455" w:type="pct"/>
                  <w:shd w:val="clear" w:color="auto" w:fill="auto"/>
                  <w:vAlign w:val="bottom"/>
                </w:tcPr>
                <w:p w:rsidR="00745FEA" w:rsidRPr="007A4EC5" w:rsidRDefault="00745FEA" w:rsidP="00745FEA">
                  <w:pPr>
                    <w:pStyle w:val="TableBodyText"/>
                    <w:ind w:right="57"/>
                  </w:pPr>
                  <w:r w:rsidRPr="007A4EC5">
                    <w:t>170.7</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The Small Business and General Business Tax Break</w:t>
                  </w:r>
                </w:p>
              </w:tc>
              <w:tc>
                <w:tcPr>
                  <w:tcW w:w="466" w:type="pct"/>
                  <w:vAlign w:val="bottom"/>
                </w:tcPr>
                <w:p w:rsidR="00745FEA" w:rsidRPr="007A4EC5" w:rsidRDefault="00745FEA" w:rsidP="00745FEA">
                  <w:pPr>
                    <w:pStyle w:val="TableBodyText"/>
                    <w:ind w:right="57"/>
                  </w:pPr>
                  <w:r w:rsidRPr="007A4EC5">
                    <w:t>21.8</w:t>
                  </w:r>
                </w:p>
              </w:tc>
              <w:tc>
                <w:tcPr>
                  <w:tcW w:w="467" w:type="pct"/>
                  <w:vAlign w:val="bottom"/>
                </w:tcPr>
                <w:p w:rsidR="00745FEA" w:rsidRPr="007A4EC5" w:rsidRDefault="00745FEA" w:rsidP="00745FEA">
                  <w:pPr>
                    <w:pStyle w:val="TableBodyText"/>
                    <w:ind w:right="57"/>
                  </w:pPr>
                  <w:r w:rsidRPr="007A4EC5">
                    <w:t>7.6</w:t>
                  </w:r>
                </w:p>
              </w:tc>
              <w:tc>
                <w:tcPr>
                  <w:tcW w:w="464" w:type="pct"/>
                  <w:vAlign w:val="bottom"/>
                </w:tcPr>
                <w:p w:rsidR="00745FEA" w:rsidRPr="007A4EC5" w:rsidRDefault="00745FEA" w:rsidP="00745FEA">
                  <w:pPr>
                    <w:pStyle w:val="TableBodyText"/>
                    <w:ind w:right="57"/>
                  </w:pPr>
                  <w:r w:rsidRPr="007A4EC5">
                    <w:t>0.9</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Small Business - Simplified depreciation rules</w:t>
                  </w:r>
                </w:p>
              </w:tc>
              <w:tc>
                <w:tcPr>
                  <w:tcW w:w="466" w:type="pct"/>
                  <w:vAlign w:val="bottom"/>
                </w:tcPr>
                <w:p w:rsidR="00745FEA" w:rsidRPr="007A4EC5" w:rsidRDefault="00745FEA" w:rsidP="00745FEA">
                  <w:pPr>
                    <w:pStyle w:val="TableBodyText"/>
                    <w:ind w:right="57"/>
                  </w:pPr>
                  <w:r w:rsidRPr="007A4EC5">
                    <w:t>0.3</w:t>
                  </w:r>
                </w:p>
              </w:tc>
              <w:tc>
                <w:tcPr>
                  <w:tcW w:w="467" w:type="pct"/>
                  <w:vAlign w:val="bottom"/>
                </w:tcPr>
                <w:p w:rsidR="00745FEA" w:rsidRPr="007A4EC5" w:rsidRDefault="00745FEA" w:rsidP="00745FEA">
                  <w:pPr>
                    <w:pStyle w:val="TableBodyText"/>
                    <w:ind w:right="57"/>
                  </w:pPr>
                  <w:r w:rsidRPr="007A4EC5">
                    <w:t>-1.2</w:t>
                  </w:r>
                </w:p>
              </w:tc>
              <w:tc>
                <w:tcPr>
                  <w:tcW w:w="464" w:type="pct"/>
                  <w:vAlign w:val="bottom"/>
                </w:tcPr>
                <w:p w:rsidR="00745FEA" w:rsidRPr="007A4EC5" w:rsidRDefault="00745FEA" w:rsidP="00745FEA">
                  <w:pPr>
                    <w:pStyle w:val="TableBodyText"/>
                    <w:ind w:right="57"/>
                  </w:pPr>
                  <w:r w:rsidRPr="007A4EC5">
                    <w:t>4.0</w:t>
                  </w:r>
                </w:p>
              </w:tc>
              <w:tc>
                <w:tcPr>
                  <w:tcW w:w="464" w:type="pct"/>
                  <w:vAlign w:val="bottom"/>
                </w:tcPr>
                <w:p w:rsidR="00745FEA" w:rsidRPr="007A4EC5" w:rsidRDefault="00745FEA" w:rsidP="00745FEA">
                  <w:pPr>
                    <w:pStyle w:val="TableBodyText"/>
                    <w:ind w:right="57"/>
                  </w:pPr>
                  <w:r w:rsidRPr="007A4EC5">
                    <w:t>-1.5</w:t>
                  </w:r>
                </w:p>
              </w:tc>
              <w:tc>
                <w:tcPr>
                  <w:tcW w:w="464" w:type="pct"/>
                  <w:shd w:val="clear" w:color="auto" w:fill="auto"/>
                  <w:vAlign w:val="bottom"/>
                </w:tcPr>
                <w:p w:rsidR="00745FEA" w:rsidRPr="007A4EC5" w:rsidRDefault="00745FEA" w:rsidP="00745FEA">
                  <w:pPr>
                    <w:pStyle w:val="TableBodyText"/>
                    <w:ind w:right="57"/>
                  </w:pPr>
                  <w:r w:rsidRPr="007A4EC5">
                    <w:t>-2.7</w:t>
                  </w:r>
                </w:p>
              </w:tc>
              <w:tc>
                <w:tcPr>
                  <w:tcW w:w="455" w:type="pct"/>
                  <w:shd w:val="clear" w:color="auto" w:fill="auto"/>
                  <w:vAlign w:val="bottom"/>
                </w:tcPr>
                <w:p w:rsidR="00745FEA" w:rsidRPr="007A4EC5" w:rsidRDefault="00745FEA" w:rsidP="00745FEA">
                  <w:pPr>
                    <w:pStyle w:val="TableBodyText"/>
                    <w:ind w:right="57"/>
                  </w:pPr>
                  <w:r w:rsidRPr="007A4EC5">
                    <w:t>13.5</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 xml:space="preserve">Small business </w:t>
                  </w:r>
                  <w:r>
                    <w:t>capital gains tax</w:t>
                  </w:r>
                  <w:r w:rsidRPr="008A4E99">
                    <w:t xml:space="preserve"> 15-year asset exemption</w:t>
                  </w:r>
                </w:p>
              </w:tc>
              <w:tc>
                <w:tcPr>
                  <w:tcW w:w="466" w:type="pct"/>
                  <w:vAlign w:val="bottom"/>
                </w:tcPr>
                <w:p w:rsidR="00745FEA" w:rsidRPr="007A4EC5" w:rsidRDefault="00745FEA" w:rsidP="00745FEA">
                  <w:pPr>
                    <w:pStyle w:val="TableBodyText"/>
                    <w:ind w:right="57"/>
                  </w:pPr>
                  <w:r w:rsidRPr="007A4EC5">
                    <w:t>76.2</w:t>
                  </w:r>
                </w:p>
              </w:tc>
              <w:tc>
                <w:tcPr>
                  <w:tcW w:w="467" w:type="pct"/>
                  <w:vAlign w:val="bottom"/>
                </w:tcPr>
                <w:p w:rsidR="00745FEA" w:rsidRPr="007A4EC5" w:rsidRDefault="00745FEA" w:rsidP="00745FEA">
                  <w:pPr>
                    <w:pStyle w:val="TableBodyText"/>
                    <w:ind w:right="57"/>
                  </w:pPr>
                  <w:r w:rsidRPr="007A4EC5">
                    <w:t>79.1</w:t>
                  </w:r>
                </w:p>
              </w:tc>
              <w:tc>
                <w:tcPr>
                  <w:tcW w:w="464" w:type="pct"/>
                  <w:vAlign w:val="bottom"/>
                </w:tcPr>
                <w:p w:rsidR="00745FEA" w:rsidRPr="007A4EC5" w:rsidRDefault="00745FEA" w:rsidP="00745FEA">
                  <w:pPr>
                    <w:pStyle w:val="TableBodyText"/>
                    <w:ind w:right="57"/>
                  </w:pPr>
                  <w:r w:rsidRPr="007A4EC5">
                    <w:t>90.8</w:t>
                  </w:r>
                </w:p>
              </w:tc>
              <w:tc>
                <w:tcPr>
                  <w:tcW w:w="464" w:type="pct"/>
                  <w:vAlign w:val="bottom"/>
                </w:tcPr>
                <w:p w:rsidR="00745FEA" w:rsidRPr="007A4EC5" w:rsidRDefault="00745FEA" w:rsidP="00745FEA">
                  <w:pPr>
                    <w:pStyle w:val="TableBodyText"/>
                    <w:ind w:right="57"/>
                  </w:pPr>
                  <w:r w:rsidRPr="007A4EC5">
                    <w:t>34.6</w:t>
                  </w:r>
                </w:p>
              </w:tc>
              <w:tc>
                <w:tcPr>
                  <w:tcW w:w="464" w:type="pct"/>
                  <w:shd w:val="clear" w:color="auto" w:fill="auto"/>
                  <w:vAlign w:val="bottom"/>
                </w:tcPr>
                <w:p w:rsidR="00745FEA" w:rsidRPr="007A4EC5" w:rsidRDefault="00745FEA" w:rsidP="00745FEA">
                  <w:pPr>
                    <w:pStyle w:val="TableBodyText"/>
                    <w:ind w:right="57"/>
                  </w:pPr>
                  <w:r w:rsidRPr="007A4EC5">
                    <w:t>74.5</w:t>
                  </w:r>
                </w:p>
              </w:tc>
              <w:tc>
                <w:tcPr>
                  <w:tcW w:w="455" w:type="pct"/>
                  <w:shd w:val="clear" w:color="auto" w:fill="auto"/>
                  <w:vAlign w:val="bottom"/>
                </w:tcPr>
                <w:p w:rsidR="00745FEA" w:rsidRPr="007A4EC5" w:rsidRDefault="00745FEA" w:rsidP="00745FEA">
                  <w:pPr>
                    <w:pStyle w:val="TableBodyText"/>
                    <w:ind w:right="57"/>
                  </w:pPr>
                  <w:r w:rsidRPr="007A4EC5">
                    <w:t>158.0</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 xml:space="preserve">Small business </w:t>
                  </w:r>
                  <w:r>
                    <w:t>capital gains tax</w:t>
                  </w:r>
                  <w:r w:rsidRPr="008A4E99">
                    <w:t xml:space="preserve"> retirement exemption</w:t>
                  </w:r>
                </w:p>
              </w:tc>
              <w:tc>
                <w:tcPr>
                  <w:tcW w:w="466" w:type="pct"/>
                  <w:vAlign w:val="bottom"/>
                </w:tcPr>
                <w:p w:rsidR="00745FEA" w:rsidRPr="007A4EC5" w:rsidRDefault="00745FEA" w:rsidP="00745FEA">
                  <w:pPr>
                    <w:pStyle w:val="TableBodyText"/>
                    <w:ind w:right="57"/>
                  </w:pPr>
                  <w:r w:rsidRPr="007A4EC5">
                    <w:t>210.6</w:t>
                  </w:r>
                </w:p>
              </w:tc>
              <w:tc>
                <w:tcPr>
                  <w:tcW w:w="467" w:type="pct"/>
                  <w:vAlign w:val="bottom"/>
                </w:tcPr>
                <w:p w:rsidR="00745FEA" w:rsidRPr="007A4EC5" w:rsidRDefault="00745FEA" w:rsidP="00745FEA">
                  <w:pPr>
                    <w:pStyle w:val="TableBodyText"/>
                    <w:ind w:right="57"/>
                  </w:pPr>
                  <w:r w:rsidRPr="007A4EC5">
                    <w:t>216.3</w:t>
                  </w:r>
                </w:p>
              </w:tc>
              <w:tc>
                <w:tcPr>
                  <w:tcW w:w="464" w:type="pct"/>
                  <w:vAlign w:val="bottom"/>
                </w:tcPr>
                <w:p w:rsidR="00745FEA" w:rsidRPr="007A4EC5" w:rsidRDefault="00745FEA" w:rsidP="00745FEA">
                  <w:pPr>
                    <w:pStyle w:val="TableBodyText"/>
                    <w:ind w:right="57"/>
                  </w:pPr>
                  <w:r w:rsidRPr="007A4EC5">
                    <w:t>222.0</w:t>
                  </w:r>
                </w:p>
              </w:tc>
              <w:tc>
                <w:tcPr>
                  <w:tcW w:w="464" w:type="pct"/>
                  <w:vAlign w:val="bottom"/>
                </w:tcPr>
                <w:p w:rsidR="00745FEA" w:rsidRPr="007A4EC5" w:rsidRDefault="00745FEA" w:rsidP="00745FEA">
                  <w:pPr>
                    <w:pStyle w:val="TableBodyText"/>
                    <w:ind w:right="57"/>
                  </w:pPr>
                  <w:r w:rsidRPr="007A4EC5">
                    <w:t>100.5</w:t>
                  </w:r>
                </w:p>
              </w:tc>
              <w:tc>
                <w:tcPr>
                  <w:tcW w:w="464" w:type="pct"/>
                  <w:shd w:val="clear" w:color="auto" w:fill="auto"/>
                  <w:vAlign w:val="bottom"/>
                </w:tcPr>
                <w:p w:rsidR="00745FEA" w:rsidRPr="007A4EC5" w:rsidRDefault="00745FEA" w:rsidP="00745FEA">
                  <w:pPr>
                    <w:pStyle w:val="TableBodyText"/>
                    <w:ind w:right="57"/>
                  </w:pPr>
                  <w:r w:rsidRPr="007A4EC5">
                    <w:t>153.1</w:t>
                  </w:r>
                </w:p>
              </w:tc>
              <w:tc>
                <w:tcPr>
                  <w:tcW w:w="455" w:type="pct"/>
                  <w:shd w:val="clear" w:color="auto" w:fill="auto"/>
                  <w:vAlign w:val="bottom"/>
                </w:tcPr>
                <w:p w:rsidR="00745FEA" w:rsidRPr="007A4EC5" w:rsidRDefault="00745FEA" w:rsidP="00745FEA">
                  <w:pPr>
                    <w:pStyle w:val="TableBodyText"/>
                    <w:ind w:right="57"/>
                  </w:pPr>
                  <w:r w:rsidRPr="007A4EC5">
                    <w:t>311.4</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 xml:space="preserve">Small business </w:t>
                  </w:r>
                  <w:r>
                    <w:t>capital gains tax</w:t>
                  </w:r>
                  <w:r w:rsidRPr="008A4E99">
                    <w:t xml:space="preserve"> 50 per cent reduction</w:t>
                  </w:r>
                </w:p>
              </w:tc>
              <w:tc>
                <w:tcPr>
                  <w:tcW w:w="466" w:type="pct"/>
                  <w:vAlign w:val="bottom"/>
                </w:tcPr>
                <w:p w:rsidR="00745FEA" w:rsidRPr="007A4EC5" w:rsidRDefault="00745FEA" w:rsidP="00745FEA">
                  <w:pPr>
                    <w:pStyle w:val="TableBodyText"/>
                    <w:ind w:right="57"/>
                  </w:pPr>
                  <w:r w:rsidRPr="007A4EC5">
                    <w:t>270.7</w:t>
                  </w:r>
                </w:p>
              </w:tc>
              <w:tc>
                <w:tcPr>
                  <w:tcW w:w="467" w:type="pct"/>
                  <w:vAlign w:val="bottom"/>
                </w:tcPr>
                <w:p w:rsidR="00745FEA" w:rsidRPr="007A4EC5" w:rsidRDefault="00745FEA" w:rsidP="00745FEA">
                  <w:pPr>
                    <w:pStyle w:val="TableBodyText"/>
                    <w:ind w:right="57"/>
                  </w:pPr>
                  <w:r w:rsidRPr="007A4EC5">
                    <w:t>285.5</w:t>
                  </w:r>
                </w:p>
              </w:tc>
              <w:tc>
                <w:tcPr>
                  <w:tcW w:w="464" w:type="pct"/>
                  <w:vAlign w:val="bottom"/>
                </w:tcPr>
                <w:p w:rsidR="00745FEA" w:rsidRPr="007A4EC5" w:rsidRDefault="00745FEA" w:rsidP="00745FEA">
                  <w:pPr>
                    <w:pStyle w:val="TableBodyText"/>
                    <w:ind w:right="57"/>
                  </w:pPr>
                  <w:r w:rsidRPr="007A4EC5">
                    <w:t>285.5</w:t>
                  </w:r>
                </w:p>
              </w:tc>
              <w:tc>
                <w:tcPr>
                  <w:tcW w:w="464" w:type="pct"/>
                  <w:vAlign w:val="bottom"/>
                </w:tcPr>
                <w:p w:rsidR="00745FEA" w:rsidRPr="007A4EC5" w:rsidRDefault="00745FEA" w:rsidP="00745FEA">
                  <w:pPr>
                    <w:pStyle w:val="TableBodyText"/>
                    <w:ind w:right="57"/>
                  </w:pPr>
                  <w:r w:rsidRPr="007A4EC5">
                    <w:t>149.7</w:t>
                  </w:r>
                </w:p>
              </w:tc>
              <w:tc>
                <w:tcPr>
                  <w:tcW w:w="464" w:type="pct"/>
                  <w:shd w:val="clear" w:color="auto" w:fill="auto"/>
                  <w:vAlign w:val="bottom"/>
                </w:tcPr>
                <w:p w:rsidR="00745FEA" w:rsidRPr="007A4EC5" w:rsidRDefault="00745FEA" w:rsidP="00745FEA">
                  <w:pPr>
                    <w:pStyle w:val="TableBodyText"/>
                    <w:ind w:right="57"/>
                  </w:pPr>
                  <w:r w:rsidRPr="007A4EC5">
                    <w:t>217.5</w:t>
                  </w:r>
                </w:p>
              </w:tc>
              <w:tc>
                <w:tcPr>
                  <w:tcW w:w="455" w:type="pct"/>
                  <w:shd w:val="clear" w:color="auto" w:fill="auto"/>
                  <w:vAlign w:val="bottom"/>
                </w:tcPr>
                <w:p w:rsidR="00745FEA" w:rsidRPr="007A4EC5" w:rsidRDefault="00745FEA" w:rsidP="00745FEA">
                  <w:pPr>
                    <w:pStyle w:val="TableBodyText"/>
                    <w:ind w:right="57"/>
                  </w:pPr>
                  <w:r w:rsidRPr="007A4EC5">
                    <w:t>466.4</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25 per cent entrepreneurs' tax offset</w:t>
                  </w:r>
                </w:p>
              </w:tc>
              <w:tc>
                <w:tcPr>
                  <w:tcW w:w="466" w:type="pct"/>
                  <w:vAlign w:val="bottom"/>
                </w:tcPr>
                <w:p w:rsidR="00745FEA" w:rsidRPr="007A4EC5" w:rsidRDefault="00745FEA" w:rsidP="00745FEA">
                  <w:pPr>
                    <w:pStyle w:val="TableBodyText"/>
                    <w:ind w:right="57"/>
                  </w:pPr>
                  <w:r w:rsidRPr="007A4EC5">
                    <w:t>35.6</w:t>
                  </w:r>
                </w:p>
              </w:tc>
              <w:tc>
                <w:tcPr>
                  <w:tcW w:w="467" w:type="pct"/>
                  <w:vAlign w:val="bottom"/>
                </w:tcPr>
                <w:p w:rsidR="00745FEA" w:rsidRPr="007A4EC5" w:rsidRDefault="00745FEA" w:rsidP="00745FEA">
                  <w:pPr>
                    <w:pStyle w:val="TableBodyText"/>
                    <w:ind w:right="57"/>
                  </w:pPr>
                  <w:r w:rsidRPr="007A4EC5">
                    <w:t>28.6</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Taxation assistance for victims of Australian natural disasters</w:t>
                  </w:r>
                </w:p>
              </w:tc>
              <w:tc>
                <w:tcPr>
                  <w:tcW w:w="466" w:type="pct"/>
                  <w:vAlign w:val="bottom"/>
                </w:tcPr>
                <w:p w:rsidR="00745FEA" w:rsidRPr="007A4EC5" w:rsidRDefault="00745FEA" w:rsidP="00745FEA">
                  <w:pPr>
                    <w:pStyle w:val="TableBodyText"/>
                    <w:ind w:right="57"/>
                  </w:pPr>
                  <w:r w:rsidRPr="007A4EC5">
                    <w:t>58.0</w:t>
                  </w:r>
                </w:p>
              </w:tc>
              <w:tc>
                <w:tcPr>
                  <w:tcW w:w="467" w:type="pct"/>
                  <w:vAlign w:val="bottom"/>
                </w:tcPr>
                <w:p w:rsidR="00745FEA" w:rsidRPr="007A4EC5" w:rsidRDefault="00745FEA" w:rsidP="00745FEA">
                  <w:pPr>
                    <w:pStyle w:val="TableBodyText"/>
                    <w:ind w:right="57"/>
                  </w:pPr>
                  <w:r w:rsidRPr="007A4EC5">
                    <w:t>31.0</w:t>
                  </w:r>
                </w:p>
              </w:tc>
              <w:tc>
                <w:tcPr>
                  <w:tcW w:w="464" w:type="pct"/>
                  <w:vAlign w:val="bottom"/>
                </w:tcPr>
                <w:p w:rsidR="00745FEA" w:rsidRPr="007A4EC5" w:rsidRDefault="00745FEA" w:rsidP="00745FEA">
                  <w:pPr>
                    <w:pStyle w:val="TableBodyText"/>
                    <w:ind w:right="57"/>
                  </w:pPr>
                  <w:r w:rsidRPr="007A4EC5">
                    <w:t>10.0</w:t>
                  </w:r>
                </w:p>
              </w:tc>
              <w:tc>
                <w:tcPr>
                  <w:tcW w:w="464" w:type="pct"/>
                  <w:vAlign w:val="bottom"/>
                </w:tcPr>
                <w:p w:rsidR="00745FEA" w:rsidRPr="007A4EC5" w:rsidRDefault="00745FEA" w:rsidP="00745FEA">
                  <w:pPr>
                    <w:pStyle w:val="TableBodyText"/>
                    <w:ind w:right="57"/>
                  </w:pPr>
                  <w:r w:rsidRPr="007A4EC5">
                    <w:t>3.0</w:t>
                  </w:r>
                </w:p>
              </w:tc>
              <w:tc>
                <w:tcPr>
                  <w:tcW w:w="464" w:type="pct"/>
                  <w:shd w:val="clear" w:color="auto" w:fill="auto"/>
                  <w:vAlign w:val="bottom"/>
                </w:tcPr>
                <w:p w:rsidR="00745FEA" w:rsidRPr="007A4EC5" w:rsidRDefault="00745FEA" w:rsidP="00745FEA">
                  <w:pPr>
                    <w:pStyle w:val="TableBodyText"/>
                    <w:ind w:right="57"/>
                  </w:pPr>
                  <w:r w:rsidRPr="007A4EC5">
                    <w:t>3.0</w:t>
                  </w:r>
                </w:p>
              </w:tc>
              <w:tc>
                <w:tcPr>
                  <w:tcW w:w="455" w:type="pct"/>
                  <w:shd w:val="clear" w:color="auto" w:fill="auto"/>
                  <w:vAlign w:val="bottom"/>
                </w:tcPr>
                <w:p w:rsidR="00745FEA" w:rsidRPr="007A4EC5" w:rsidRDefault="00745FEA" w:rsidP="00745FEA">
                  <w:pPr>
                    <w:pStyle w:val="TableBodyText"/>
                    <w:ind w:right="57"/>
                  </w:pPr>
                  <w:r w:rsidRPr="007A4EC5">
                    <w:t>–</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8A4E99">
                    <w:t>TCF corporate wear program</w:t>
                  </w:r>
                </w:p>
              </w:tc>
              <w:tc>
                <w:tcPr>
                  <w:tcW w:w="466" w:type="pct"/>
                  <w:vAlign w:val="bottom"/>
                </w:tcPr>
                <w:p w:rsidR="00745FEA" w:rsidRPr="007A4EC5" w:rsidRDefault="00745FEA" w:rsidP="00745FEA">
                  <w:pPr>
                    <w:pStyle w:val="TableBodyText"/>
                    <w:ind w:right="57"/>
                  </w:pPr>
                  <w:r w:rsidRPr="007A4EC5">
                    <w:t>85.4</w:t>
                  </w:r>
                </w:p>
              </w:tc>
              <w:tc>
                <w:tcPr>
                  <w:tcW w:w="467" w:type="pct"/>
                  <w:vAlign w:val="bottom"/>
                </w:tcPr>
                <w:p w:rsidR="00745FEA" w:rsidRPr="007A4EC5" w:rsidRDefault="00745FEA" w:rsidP="00745FEA">
                  <w:pPr>
                    <w:pStyle w:val="TableBodyText"/>
                    <w:ind w:right="57"/>
                  </w:pPr>
                  <w:r w:rsidRPr="007A4EC5">
                    <w:t>85.4</w:t>
                  </w:r>
                </w:p>
              </w:tc>
              <w:tc>
                <w:tcPr>
                  <w:tcW w:w="464" w:type="pct"/>
                  <w:vAlign w:val="bottom"/>
                </w:tcPr>
                <w:p w:rsidR="00745FEA" w:rsidRPr="007A4EC5" w:rsidRDefault="00745FEA" w:rsidP="00745FEA">
                  <w:pPr>
                    <w:pStyle w:val="TableBodyText"/>
                    <w:ind w:right="57"/>
                  </w:pPr>
                  <w:r w:rsidRPr="007A4EC5">
                    <w:t>85.4</w:t>
                  </w:r>
                </w:p>
              </w:tc>
              <w:tc>
                <w:tcPr>
                  <w:tcW w:w="464" w:type="pct"/>
                  <w:vAlign w:val="bottom"/>
                </w:tcPr>
                <w:p w:rsidR="00745FEA" w:rsidRPr="007A4EC5" w:rsidRDefault="00745FEA" w:rsidP="00745FEA">
                  <w:pPr>
                    <w:pStyle w:val="TableBodyText"/>
                    <w:ind w:right="57"/>
                  </w:pPr>
                  <w:r w:rsidRPr="007A4EC5">
                    <w:t>30.0</w:t>
                  </w:r>
                </w:p>
              </w:tc>
              <w:tc>
                <w:tcPr>
                  <w:tcW w:w="464" w:type="pct"/>
                  <w:shd w:val="clear" w:color="auto" w:fill="auto"/>
                  <w:vAlign w:val="bottom"/>
                </w:tcPr>
                <w:p w:rsidR="00745FEA" w:rsidRPr="007A4EC5" w:rsidRDefault="00745FEA" w:rsidP="00745FEA">
                  <w:pPr>
                    <w:pStyle w:val="TableBodyText"/>
                    <w:ind w:right="57"/>
                  </w:pPr>
                  <w:r w:rsidRPr="007A4EC5">
                    <w:t>30.0</w:t>
                  </w:r>
                </w:p>
              </w:tc>
              <w:tc>
                <w:tcPr>
                  <w:tcW w:w="455" w:type="pct"/>
                  <w:shd w:val="clear" w:color="auto" w:fill="auto"/>
                  <w:vAlign w:val="bottom"/>
                </w:tcPr>
                <w:p w:rsidR="00745FEA" w:rsidRPr="007A4EC5" w:rsidRDefault="00745FEA" w:rsidP="00745FEA">
                  <w:pPr>
                    <w:pStyle w:val="TableBodyText"/>
                    <w:ind w:right="57"/>
                  </w:pPr>
                  <w:r w:rsidRPr="007A4EC5">
                    <w:t>30.0</w:t>
                  </w:r>
                </w:p>
              </w:tc>
            </w:tr>
            <w:tr w:rsidR="00745FEA" w:rsidTr="00745FEA">
              <w:tc>
                <w:tcPr>
                  <w:tcW w:w="2220" w:type="pct"/>
                  <w:shd w:val="clear" w:color="auto" w:fill="auto"/>
                </w:tcPr>
                <w:p w:rsidR="00745FEA" w:rsidRPr="008A4E99" w:rsidRDefault="00745FEA" w:rsidP="00745FEA">
                  <w:pPr>
                    <w:pStyle w:val="TableBodyText"/>
                    <w:spacing w:after="0"/>
                    <w:ind w:left="227" w:right="0"/>
                    <w:jc w:val="left"/>
                  </w:pPr>
                  <w:r w:rsidRPr="005879A5">
                    <w:t>Unincorporated Small Business Tax Discount</w:t>
                  </w:r>
                </w:p>
              </w:tc>
              <w:tc>
                <w:tcPr>
                  <w:tcW w:w="466" w:type="pct"/>
                  <w:vAlign w:val="bottom"/>
                </w:tcPr>
                <w:p w:rsidR="00745FEA" w:rsidRPr="007A4EC5" w:rsidRDefault="00745FEA" w:rsidP="00745FEA">
                  <w:pPr>
                    <w:pStyle w:val="TableBodyText"/>
                    <w:ind w:right="57"/>
                  </w:pPr>
                  <w:r w:rsidRPr="007A4EC5">
                    <w:t>–</w:t>
                  </w:r>
                </w:p>
              </w:tc>
              <w:tc>
                <w:tcPr>
                  <w:tcW w:w="467"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vAlign w:val="bottom"/>
                </w:tcPr>
                <w:p w:rsidR="00745FEA" w:rsidRPr="007A4EC5" w:rsidRDefault="00745FEA" w:rsidP="00745FEA">
                  <w:pPr>
                    <w:pStyle w:val="TableBodyText"/>
                    <w:ind w:right="57"/>
                  </w:pPr>
                  <w:r w:rsidRPr="007A4EC5">
                    <w:t>–</w:t>
                  </w:r>
                </w:p>
              </w:tc>
              <w:tc>
                <w:tcPr>
                  <w:tcW w:w="464" w:type="pct"/>
                  <w:shd w:val="clear" w:color="auto" w:fill="auto"/>
                  <w:vAlign w:val="bottom"/>
                </w:tcPr>
                <w:p w:rsidR="00745FEA" w:rsidRPr="007A4EC5" w:rsidRDefault="00745FEA" w:rsidP="00745FEA">
                  <w:pPr>
                    <w:pStyle w:val="TableBodyText"/>
                    <w:ind w:right="57"/>
                  </w:pPr>
                  <w:r w:rsidRPr="007A4EC5">
                    <w:t>–</w:t>
                  </w:r>
                </w:p>
              </w:tc>
              <w:tc>
                <w:tcPr>
                  <w:tcW w:w="455" w:type="pct"/>
                  <w:shd w:val="clear" w:color="auto" w:fill="auto"/>
                  <w:vAlign w:val="bottom"/>
                </w:tcPr>
                <w:p w:rsidR="00745FEA" w:rsidRDefault="00745FEA" w:rsidP="00745FEA">
                  <w:pPr>
                    <w:pStyle w:val="TableBodyText"/>
                    <w:ind w:right="57"/>
                  </w:pPr>
                  <w:r w:rsidRPr="007A4EC5">
                    <w:t>550.0</w:t>
                  </w:r>
                </w:p>
              </w:tc>
            </w:tr>
            <w:tr w:rsidR="00745FEA" w:rsidTr="00745FEA">
              <w:tc>
                <w:tcPr>
                  <w:tcW w:w="2220" w:type="pct"/>
                  <w:shd w:val="clear" w:color="auto" w:fill="auto"/>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outlays</w:t>
                  </w:r>
                </w:p>
              </w:tc>
              <w:tc>
                <w:tcPr>
                  <w:tcW w:w="466" w:type="pct"/>
                  <w:vAlign w:val="center"/>
                </w:tcPr>
                <w:p w:rsidR="00745FEA" w:rsidRPr="003F42F5" w:rsidRDefault="00745FEA" w:rsidP="00745FEA">
                  <w:pPr>
                    <w:pStyle w:val="TableBodyText"/>
                    <w:ind w:right="57"/>
                    <w:rPr>
                      <w:b/>
                    </w:rPr>
                  </w:pPr>
                  <w:r>
                    <w:rPr>
                      <w:b/>
                    </w:rPr>
                    <w:t>337.1</w:t>
                  </w:r>
                </w:p>
              </w:tc>
              <w:tc>
                <w:tcPr>
                  <w:tcW w:w="467" w:type="pct"/>
                  <w:vAlign w:val="center"/>
                </w:tcPr>
                <w:p w:rsidR="00745FEA" w:rsidRPr="003F42F5" w:rsidRDefault="00745FEA" w:rsidP="00745FEA">
                  <w:pPr>
                    <w:pStyle w:val="TableBodyText"/>
                    <w:ind w:right="57"/>
                    <w:rPr>
                      <w:b/>
                    </w:rPr>
                  </w:pPr>
                  <w:r>
                    <w:rPr>
                      <w:b/>
                    </w:rPr>
                    <w:t>297.5</w:t>
                  </w:r>
                </w:p>
              </w:tc>
              <w:tc>
                <w:tcPr>
                  <w:tcW w:w="464" w:type="pct"/>
                  <w:vAlign w:val="center"/>
                </w:tcPr>
                <w:p w:rsidR="00745FEA" w:rsidRPr="005526C5" w:rsidRDefault="00745FEA" w:rsidP="00745FEA">
                  <w:pPr>
                    <w:pStyle w:val="TableBodyText"/>
                    <w:ind w:right="57"/>
                    <w:rPr>
                      <w:b/>
                    </w:rPr>
                  </w:pPr>
                  <w:r>
                    <w:rPr>
                      <w:b/>
                    </w:rPr>
                    <w:t>436.0</w:t>
                  </w:r>
                </w:p>
              </w:tc>
              <w:tc>
                <w:tcPr>
                  <w:tcW w:w="464" w:type="pct"/>
                  <w:vAlign w:val="center"/>
                </w:tcPr>
                <w:p w:rsidR="00745FEA" w:rsidRPr="005526C5" w:rsidRDefault="00745FEA" w:rsidP="00745FEA">
                  <w:pPr>
                    <w:pStyle w:val="TableBodyText"/>
                    <w:ind w:right="57"/>
                    <w:rPr>
                      <w:b/>
                    </w:rPr>
                  </w:pPr>
                  <w:r>
                    <w:rPr>
                      <w:b/>
                    </w:rPr>
                    <w:t>415.7</w:t>
                  </w:r>
                </w:p>
              </w:tc>
              <w:tc>
                <w:tcPr>
                  <w:tcW w:w="464" w:type="pct"/>
                  <w:shd w:val="clear" w:color="auto" w:fill="auto"/>
                  <w:vAlign w:val="center"/>
                </w:tcPr>
                <w:p w:rsidR="00745FEA" w:rsidRPr="005526C5" w:rsidRDefault="00745FEA" w:rsidP="00745FEA">
                  <w:pPr>
                    <w:pStyle w:val="TableBodyText"/>
                    <w:ind w:right="57"/>
                    <w:rPr>
                      <w:b/>
                    </w:rPr>
                  </w:pPr>
                  <w:r>
                    <w:rPr>
                      <w:b/>
                    </w:rPr>
                    <w:t>281.3</w:t>
                  </w:r>
                </w:p>
              </w:tc>
              <w:tc>
                <w:tcPr>
                  <w:tcW w:w="455" w:type="pct"/>
                  <w:shd w:val="clear" w:color="auto" w:fill="auto"/>
                  <w:vAlign w:val="center"/>
                </w:tcPr>
                <w:p w:rsidR="00745FEA" w:rsidRPr="005526C5" w:rsidRDefault="00745FEA" w:rsidP="00745FEA">
                  <w:pPr>
                    <w:pStyle w:val="TableBodyText"/>
                    <w:ind w:right="57"/>
                    <w:rPr>
                      <w:b/>
                    </w:rPr>
                  </w:pPr>
                  <w:r>
                    <w:rPr>
                      <w:b/>
                    </w:rPr>
                    <w:t>359.1</w:t>
                  </w:r>
                </w:p>
              </w:tc>
            </w:tr>
            <w:tr w:rsidR="00745FEA" w:rsidTr="00745FEA">
              <w:tc>
                <w:tcPr>
                  <w:tcW w:w="2220" w:type="pct"/>
                  <w:shd w:val="clear" w:color="auto" w:fill="auto"/>
                  <w:vAlign w:val="center"/>
                </w:tcPr>
                <w:p w:rsidR="00745FEA" w:rsidRPr="002207C9" w:rsidRDefault="00745FEA" w:rsidP="00745FEA">
                  <w:pPr>
                    <w:spacing w:before="80" w:after="40"/>
                    <w:rPr>
                      <w:rFonts w:ascii="Arial" w:hAnsi="Arial" w:cs="Arial"/>
                      <w:b/>
                      <w:color w:val="000000"/>
                      <w:sz w:val="18"/>
                      <w:szCs w:val="18"/>
                    </w:rPr>
                  </w:pPr>
                  <w:r w:rsidRPr="002207C9">
                    <w:rPr>
                      <w:rFonts w:ascii="Arial" w:hAnsi="Arial" w:cs="Arial"/>
                      <w:b/>
                      <w:color w:val="000000"/>
                      <w:sz w:val="18"/>
                      <w:szCs w:val="18"/>
                    </w:rPr>
                    <w:t>Total tax concessions</w:t>
                  </w:r>
                </w:p>
              </w:tc>
              <w:tc>
                <w:tcPr>
                  <w:tcW w:w="466" w:type="pct"/>
                  <w:vAlign w:val="center"/>
                </w:tcPr>
                <w:p w:rsidR="00745FEA" w:rsidRPr="003F42F5" w:rsidRDefault="00745FEA" w:rsidP="00745FEA">
                  <w:pPr>
                    <w:pStyle w:val="TableBodyText"/>
                    <w:ind w:right="57"/>
                    <w:rPr>
                      <w:b/>
                    </w:rPr>
                  </w:pPr>
                  <w:r>
                    <w:rPr>
                      <w:b/>
                    </w:rPr>
                    <w:t>635.4</w:t>
                  </w:r>
                </w:p>
              </w:tc>
              <w:tc>
                <w:tcPr>
                  <w:tcW w:w="467" w:type="pct"/>
                  <w:vAlign w:val="center"/>
                </w:tcPr>
                <w:p w:rsidR="00745FEA" w:rsidRPr="003F42F5" w:rsidRDefault="00745FEA" w:rsidP="00745FEA">
                  <w:pPr>
                    <w:pStyle w:val="TableBodyText"/>
                    <w:ind w:right="57"/>
                    <w:rPr>
                      <w:b/>
                    </w:rPr>
                  </w:pPr>
                  <w:r>
                    <w:rPr>
                      <w:b/>
                    </w:rPr>
                    <w:t>674.7</w:t>
                  </w:r>
                </w:p>
              </w:tc>
              <w:tc>
                <w:tcPr>
                  <w:tcW w:w="464" w:type="pct"/>
                  <w:vAlign w:val="center"/>
                </w:tcPr>
                <w:p w:rsidR="00745FEA" w:rsidRPr="005526C5" w:rsidRDefault="00745FEA" w:rsidP="00745FEA">
                  <w:pPr>
                    <w:pStyle w:val="TableBodyText"/>
                    <w:ind w:right="57"/>
                    <w:rPr>
                      <w:b/>
                    </w:rPr>
                  </w:pPr>
                  <w:r>
                    <w:rPr>
                      <w:b/>
                    </w:rPr>
                    <w:t>724.6</w:t>
                  </w:r>
                </w:p>
              </w:tc>
              <w:tc>
                <w:tcPr>
                  <w:tcW w:w="464" w:type="pct"/>
                  <w:vAlign w:val="center"/>
                </w:tcPr>
                <w:p w:rsidR="00745FEA" w:rsidRPr="005526C5" w:rsidRDefault="00745FEA" w:rsidP="00745FEA">
                  <w:pPr>
                    <w:pStyle w:val="TableBodyText"/>
                    <w:ind w:right="57"/>
                    <w:rPr>
                      <w:b/>
                    </w:rPr>
                  </w:pPr>
                  <w:r>
                    <w:rPr>
                      <w:b/>
                    </w:rPr>
                    <w:t>284.3</w:t>
                  </w:r>
                </w:p>
              </w:tc>
              <w:tc>
                <w:tcPr>
                  <w:tcW w:w="464" w:type="pct"/>
                  <w:shd w:val="clear" w:color="auto" w:fill="auto"/>
                  <w:vAlign w:val="center"/>
                </w:tcPr>
                <w:p w:rsidR="00745FEA" w:rsidRPr="005526C5" w:rsidRDefault="00745FEA" w:rsidP="00745FEA">
                  <w:pPr>
                    <w:pStyle w:val="TableBodyText"/>
                    <w:ind w:right="57"/>
                    <w:rPr>
                      <w:b/>
                    </w:rPr>
                  </w:pPr>
                  <w:r>
                    <w:rPr>
                      <w:b/>
                    </w:rPr>
                    <w:t>799.5</w:t>
                  </w:r>
                </w:p>
              </w:tc>
              <w:tc>
                <w:tcPr>
                  <w:tcW w:w="455" w:type="pct"/>
                  <w:shd w:val="clear" w:color="auto" w:fill="auto"/>
                  <w:vAlign w:val="center"/>
                </w:tcPr>
                <w:p w:rsidR="00745FEA" w:rsidRPr="005526C5" w:rsidRDefault="00745FEA" w:rsidP="00745FEA">
                  <w:pPr>
                    <w:pStyle w:val="TableBodyText"/>
                    <w:ind w:right="57"/>
                    <w:rPr>
                      <w:b/>
                    </w:rPr>
                  </w:pPr>
                  <w:r>
                    <w:rPr>
                      <w:b/>
                    </w:rPr>
                    <w:t>2775.0</w:t>
                  </w:r>
                </w:p>
              </w:tc>
            </w:tr>
            <w:tr w:rsidR="00745FEA" w:rsidTr="00745FEA">
              <w:tc>
                <w:tcPr>
                  <w:tcW w:w="2220" w:type="pct"/>
                  <w:tcBorders>
                    <w:bottom w:val="single" w:sz="6" w:space="0" w:color="BFBFBF"/>
                  </w:tcBorders>
                  <w:shd w:val="clear" w:color="auto" w:fill="auto"/>
                  <w:vAlign w:val="center"/>
                </w:tcPr>
                <w:p w:rsidR="00745FEA" w:rsidRPr="002B0D0D" w:rsidRDefault="00745FEA" w:rsidP="00745FEA">
                  <w:pPr>
                    <w:spacing w:before="80" w:after="40"/>
                    <w:rPr>
                      <w:rFonts w:ascii="Arial" w:hAnsi="Arial" w:cs="Arial"/>
                      <w:b/>
                      <w:sz w:val="18"/>
                      <w:szCs w:val="18"/>
                    </w:rPr>
                  </w:pPr>
                  <w:r w:rsidRPr="002B0D0D">
                    <w:rPr>
                      <w:rFonts w:ascii="Arial" w:hAnsi="Arial" w:cs="Arial"/>
                      <w:b/>
                      <w:sz w:val="18"/>
                      <w:szCs w:val="18"/>
                    </w:rPr>
                    <w:t>Total budgetary assistance</w:t>
                  </w:r>
                </w:p>
              </w:tc>
              <w:tc>
                <w:tcPr>
                  <w:tcW w:w="466" w:type="pct"/>
                  <w:tcBorders>
                    <w:bottom w:val="single" w:sz="6" w:space="0" w:color="BFBFBF"/>
                  </w:tcBorders>
                  <w:vAlign w:val="center"/>
                </w:tcPr>
                <w:p w:rsidR="00745FEA" w:rsidRPr="003F42F5" w:rsidRDefault="00745FEA" w:rsidP="00745FEA">
                  <w:pPr>
                    <w:pStyle w:val="TableBodyText"/>
                    <w:ind w:right="57"/>
                    <w:rPr>
                      <w:b/>
                    </w:rPr>
                  </w:pPr>
                  <w:r>
                    <w:rPr>
                      <w:b/>
                    </w:rPr>
                    <w:t>972.5</w:t>
                  </w:r>
                </w:p>
              </w:tc>
              <w:tc>
                <w:tcPr>
                  <w:tcW w:w="467" w:type="pct"/>
                  <w:tcBorders>
                    <w:bottom w:val="single" w:sz="6" w:space="0" w:color="BFBFBF"/>
                  </w:tcBorders>
                  <w:vAlign w:val="center"/>
                </w:tcPr>
                <w:p w:rsidR="00745FEA" w:rsidRPr="003F42F5" w:rsidRDefault="00745FEA" w:rsidP="00745FEA">
                  <w:pPr>
                    <w:pStyle w:val="TableBodyText"/>
                    <w:ind w:right="57"/>
                    <w:rPr>
                      <w:b/>
                    </w:rPr>
                  </w:pPr>
                  <w:r>
                    <w:rPr>
                      <w:b/>
                    </w:rPr>
                    <w:t>972.1</w:t>
                  </w:r>
                </w:p>
              </w:tc>
              <w:tc>
                <w:tcPr>
                  <w:tcW w:w="464" w:type="pct"/>
                  <w:tcBorders>
                    <w:bottom w:val="single" w:sz="6" w:space="0" w:color="BFBFBF"/>
                  </w:tcBorders>
                  <w:vAlign w:val="center"/>
                </w:tcPr>
                <w:p w:rsidR="00745FEA" w:rsidRPr="005526C5" w:rsidRDefault="00745FEA" w:rsidP="00745FEA">
                  <w:pPr>
                    <w:pStyle w:val="TableBodyText"/>
                    <w:ind w:right="57"/>
                    <w:rPr>
                      <w:b/>
                    </w:rPr>
                  </w:pPr>
                  <w:r>
                    <w:rPr>
                      <w:b/>
                    </w:rPr>
                    <w:t>1160.6</w:t>
                  </w:r>
                </w:p>
              </w:tc>
              <w:tc>
                <w:tcPr>
                  <w:tcW w:w="464" w:type="pct"/>
                  <w:tcBorders>
                    <w:bottom w:val="single" w:sz="6" w:space="0" w:color="BFBFBF"/>
                  </w:tcBorders>
                  <w:vAlign w:val="center"/>
                </w:tcPr>
                <w:p w:rsidR="00745FEA" w:rsidRPr="005526C5" w:rsidRDefault="00745FEA" w:rsidP="00745FEA">
                  <w:pPr>
                    <w:pStyle w:val="TableBodyText"/>
                    <w:ind w:right="57"/>
                    <w:rPr>
                      <w:b/>
                    </w:rPr>
                  </w:pPr>
                  <w:r>
                    <w:rPr>
                      <w:b/>
                    </w:rPr>
                    <w:t>700.1</w:t>
                  </w:r>
                </w:p>
              </w:tc>
              <w:tc>
                <w:tcPr>
                  <w:tcW w:w="464" w:type="pct"/>
                  <w:tcBorders>
                    <w:bottom w:val="single" w:sz="6" w:space="0" w:color="BFBFBF"/>
                  </w:tcBorders>
                  <w:shd w:val="clear" w:color="auto" w:fill="auto"/>
                  <w:vAlign w:val="center"/>
                </w:tcPr>
                <w:p w:rsidR="00745FEA" w:rsidRPr="005526C5" w:rsidRDefault="00745FEA" w:rsidP="00745FEA">
                  <w:pPr>
                    <w:pStyle w:val="TableBodyText"/>
                    <w:ind w:right="57"/>
                    <w:rPr>
                      <w:b/>
                    </w:rPr>
                  </w:pPr>
                  <w:r>
                    <w:rPr>
                      <w:b/>
                    </w:rPr>
                    <w:t>1080.9</w:t>
                  </w:r>
                </w:p>
              </w:tc>
              <w:tc>
                <w:tcPr>
                  <w:tcW w:w="455" w:type="pct"/>
                  <w:tcBorders>
                    <w:bottom w:val="single" w:sz="6" w:space="0" w:color="BFBFBF"/>
                  </w:tcBorders>
                  <w:shd w:val="clear" w:color="auto" w:fill="auto"/>
                  <w:vAlign w:val="center"/>
                </w:tcPr>
                <w:p w:rsidR="00745FEA" w:rsidRPr="005526C5" w:rsidRDefault="00745FEA" w:rsidP="00745FEA">
                  <w:pPr>
                    <w:pStyle w:val="TableBodyText"/>
                    <w:ind w:right="57"/>
                    <w:rPr>
                      <w:b/>
                    </w:rPr>
                  </w:pPr>
                  <w:r>
                    <w:rPr>
                      <w:b/>
                    </w:rPr>
                    <w:t>3134.1</w:t>
                  </w:r>
                </w:p>
              </w:tc>
            </w:tr>
          </w:tbl>
          <w:p w:rsidR="00745FEA" w:rsidRDefault="00745FEA" w:rsidP="00745FEA">
            <w:pPr>
              <w:pStyle w:val="Box"/>
            </w:pPr>
          </w:p>
        </w:tc>
      </w:tr>
      <w:tr w:rsidR="00745FEA" w:rsidTr="00C2311B">
        <w:trPr>
          <w:cantSplit/>
        </w:trPr>
        <w:tc>
          <w:tcPr>
            <w:tcW w:w="5000" w:type="pct"/>
            <w:tcBorders>
              <w:top w:val="nil"/>
              <w:left w:val="nil"/>
              <w:bottom w:val="nil"/>
              <w:right w:val="nil"/>
            </w:tcBorders>
            <w:shd w:val="clear" w:color="auto" w:fill="auto"/>
          </w:tcPr>
          <w:p w:rsidR="00745FEA" w:rsidRDefault="00745FEA" w:rsidP="00745FEA">
            <w:pPr>
              <w:pStyle w:val="Note"/>
              <w:rPr>
                <w:i/>
              </w:rPr>
            </w:pPr>
            <w:r w:rsidRPr="00215193">
              <w:t>– Nil. Figures may not add to totals due to rounding</w:t>
            </w:r>
            <w:r>
              <w:t xml:space="preserve">. </w:t>
            </w:r>
            <w:r w:rsidRPr="008E77FE">
              <w:rPr>
                <w:rStyle w:val="NoteLabel"/>
              </w:rPr>
              <w:t>a</w:t>
            </w:r>
            <w:r>
              <w:t> </w:t>
            </w:r>
            <w:r w:rsidRPr="00215193">
              <w:t>The estimates are derived primarily from Australian Government departmental annual reports and Treasury’s Tax Expenditure Statements and unpublished information provided by relevant agencies.</w:t>
            </w:r>
            <w:r>
              <w:t xml:space="preserve"> </w:t>
            </w:r>
            <w:r>
              <w:rPr>
                <w:rStyle w:val="NoteLabel"/>
              </w:rPr>
              <w:t>b</w:t>
            </w:r>
            <w:r>
              <w:t> </w:t>
            </w:r>
            <w:r w:rsidRPr="00215193">
              <w:t>Includes programs or amounts of funding where the initial benefiting industry is not stated and/or has not been ascertained.</w:t>
            </w:r>
          </w:p>
        </w:tc>
      </w:tr>
      <w:tr w:rsidR="00745FEA" w:rsidTr="00C2311B">
        <w:trPr>
          <w:cantSplit/>
        </w:trPr>
        <w:tc>
          <w:tcPr>
            <w:tcW w:w="5000" w:type="pct"/>
            <w:tcBorders>
              <w:top w:val="nil"/>
              <w:left w:val="nil"/>
              <w:bottom w:val="nil"/>
              <w:right w:val="nil"/>
            </w:tcBorders>
            <w:shd w:val="clear" w:color="auto" w:fill="auto"/>
          </w:tcPr>
          <w:p w:rsidR="00745FEA" w:rsidRDefault="00745FEA" w:rsidP="00745FEA">
            <w:pPr>
              <w:pStyle w:val="Source"/>
            </w:pPr>
            <w:r>
              <w:rPr>
                <w:i/>
              </w:rPr>
              <w:t>Source</w:t>
            </w:r>
            <w:r w:rsidRPr="00167F06">
              <w:t xml:space="preserve">: </w:t>
            </w:r>
            <w:r>
              <w:t>Commission estimates.</w:t>
            </w:r>
          </w:p>
        </w:tc>
      </w:tr>
      <w:tr w:rsidR="00745FEA" w:rsidTr="00C2311B">
        <w:trPr>
          <w:cantSplit/>
        </w:trPr>
        <w:tc>
          <w:tcPr>
            <w:tcW w:w="5000" w:type="pct"/>
            <w:tcBorders>
              <w:top w:val="nil"/>
              <w:left w:val="nil"/>
              <w:bottom w:val="single" w:sz="6" w:space="0" w:color="78A22F"/>
              <w:right w:val="nil"/>
            </w:tcBorders>
            <w:shd w:val="clear" w:color="auto" w:fill="auto"/>
          </w:tcPr>
          <w:p w:rsidR="00745FEA" w:rsidRDefault="00745FEA" w:rsidP="00745FEA">
            <w:pPr>
              <w:pStyle w:val="Box"/>
              <w:spacing w:before="0" w:line="120" w:lineRule="exact"/>
            </w:pPr>
          </w:p>
        </w:tc>
      </w:tr>
      <w:tr w:rsidR="00745FEA" w:rsidRPr="000863A5" w:rsidTr="00C2311B">
        <w:tc>
          <w:tcPr>
            <w:tcW w:w="5000" w:type="pct"/>
            <w:tcBorders>
              <w:top w:val="single" w:sz="6" w:space="0" w:color="78A22F"/>
              <w:left w:val="nil"/>
              <w:bottom w:val="nil"/>
              <w:right w:val="nil"/>
            </w:tcBorders>
          </w:tcPr>
          <w:p w:rsidR="00745FEA" w:rsidRPr="00626D32" w:rsidRDefault="00745FEA" w:rsidP="00745FEA">
            <w:pPr>
              <w:pStyle w:val="BoxSpaceBelow"/>
            </w:pPr>
          </w:p>
        </w:tc>
      </w:tr>
    </w:tbl>
    <w:p w:rsidR="00745FEA" w:rsidRDefault="00745FEA" w:rsidP="00120072">
      <w:pPr>
        <w:pStyle w:val="BodyText"/>
      </w:pPr>
    </w:p>
    <w:p w:rsidR="00745FEA" w:rsidRDefault="00745FEA" w:rsidP="00745FEA">
      <w:pPr>
        <w:sectPr w:rsidR="00745FEA" w:rsidSect="00745FEA">
          <w:headerReference w:type="even" r:id="rId65"/>
          <w:headerReference w:type="default" r:id="rId66"/>
          <w:footerReference w:type="even" r:id="rId67"/>
          <w:footerReference w:type="default" r:id="rId68"/>
          <w:type w:val="oddPage"/>
          <w:pgSz w:w="11907" w:h="16840" w:code="9"/>
          <w:pgMar w:top="1985" w:right="1304" w:bottom="1247" w:left="1814" w:header="1701" w:footer="397" w:gutter="0"/>
          <w:pgNumType w:chapSep="period"/>
          <w:cols w:space="720"/>
          <w:docGrid w:linePitch="326"/>
        </w:sectPr>
      </w:pPr>
    </w:p>
    <w:p w:rsidR="00745FEA" w:rsidRDefault="00745FEA" w:rsidP="00745FEA">
      <w:pPr>
        <w:pStyle w:val="Heading1"/>
        <w:spacing w:before="0"/>
      </w:pPr>
      <w:bookmarkStart w:id="49" w:name="_References"/>
      <w:bookmarkStart w:id="50" w:name="_Toc511745384"/>
      <w:bookmarkEnd w:id="49"/>
      <w:r>
        <w:t>References</w:t>
      </w:r>
      <w:bookmarkEnd w:id="50"/>
    </w:p>
    <w:p w:rsidR="00745FEA" w:rsidRPr="005F3644" w:rsidRDefault="00745FEA" w:rsidP="00745FEA">
      <w:pPr>
        <w:pStyle w:val="Reference"/>
      </w:pPr>
      <w:r w:rsidRPr="005F3644">
        <w:t>AAA (Australian Airports Association) 2015, Australian Airports Association submission to the Senate Rural and Regional Affairs and Transport References Committee Inquiry into Airport and Aviation Security, Submission 17.</w:t>
      </w:r>
    </w:p>
    <w:p w:rsidR="00745FEA" w:rsidRPr="005F3644" w:rsidRDefault="00745FEA" w:rsidP="00745FEA">
      <w:pPr>
        <w:pStyle w:val="Reference"/>
      </w:pPr>
      <w:r w:rsidRPr="005F3644">
        <w:t>ABS (Australian Bureau of Statistics) 2013, Australian</w:t>
      </w:r>
      <w:r w:rsidR="00A20F2C">
        <w:t xml:space="preserve"> </w:t>
      </w:r>
      <w:r w:rsidRPr="005F3644">
        <w:t>and New Zealand Standard Industrial Classification (ANZSIC) 2006 (Revision 2.0), Cat. no. 1292.0.</w:t>
      </w:r>
    </w:p>
    <w:p w:rsidR="00745FEA" w:rsidRPr="005F3644" w:rsidRDefault="00745FEA" w:rsidP="00745FEA">
      <w:pPr>
        <w:pStyle w:val="Reference"/>
      </w:pPr>
      <w:r w:rsidRPr="005F3644">
        <w:t>——</w:t>
      </w:r>
      <w:r>
        <w:t> </w:t>
      </w:r>
      <w:r w:rsidRPr="005F3644">
        <w:t>2017a, Australian System of National Accounts 2016-17, Cat. no. 5204.0.</w:t>
      </w:r>
    </w:p>
    <w:p w:rsidR="00745FEA" w:rsidRPr="005F3644" w:rsidRDefault="00745FEA" w:rsidP="00745FEA">
      <w:pPr>
        <w:pStyle w:val="Reference"/>
      </w:pPr>
      <w:r w:rsidRPr="005F3644">
        <w:t>——</w:t>
      </w:r>
      <w:r>
        <w:t> </w:t>
      </w:r>
      <w:r w:rsidRPr="005F3644">
        <w:t>2017b, International Trade: Supplementary Information, Financial Year, 2016-17, 24 November, Cat. no. 5368.0.55.003.</w:t>
      </w:r>
    </w:p>
    <w:p w:rsidR="00745FEA" w:rsidRPr="001B5C8B" w:rsidRDefault="00745FEA" w:rsidP="00745FEA">
      <w:pPr>
        <w:pStyle w:val="Reference"/>
      </w:pPr>
      <w:r w:rsidRPr="005F3644">
        <w:t>ACCC (Australian Competition and Consumer Commission) 2017a,</w:t>
      </w:r>
      <w:r w:rsidRPr="00A20F2C">
        <w:rPr>
          <w:i/>
        </w:rPr>
        <w:t xml:space="preserve"> Airport Monitoring </w:t>
      </w:r>
      <w:r w:rsidRPr="001B5C8B">
        <w:rPr>
          <w:i/>
        </w:rPr>
        <w:t>Report 2015-16 (Brisbane Melbourne Perth Sydney)</w:t>
      </w:r>
      <w:r w:rsidRPr="001B5C8B">
        <w:t>, March.</w:t>
      </w:r>
    </w:p>
    <w:p w:rsidR="00745FEA" w:rsidRPr="001B5C8B" w:rsidRDefault="00745FEA" w:rsidP="00745FEA">
      <w:pPr>
        <w:pStyle w:val="Reference"/>
      </w:pPr>
      <w:r w:rsidRPr="001B5C8B">
        <w:t>—— 2017b, Interim gas report finds substantial shortfall for east coast likely in 2018, https://www.accc.gov.au/media-release/interim-gas-report-finds-substantial-shortfall-for-east-coast-likely-in-2018 (accessed 6 April 2018).</w:t>
      </w:r>
    </w:p>
    <w:p w:rsidR="00745FEA" w:rsidRPr="001B5C8B" w:rsidRDefault="00745FEA" w:rsidP="00745FEA">
      <w:pPr>
        <w:pStyle w:val="Reference"/>
      </w:pPr>
      <w:r w:rsidRPr="001B5C8B">
        <w:t xml:space="preserve">Achard, P., Rupp, J. and Jomini, P. 2008, </w:t>
      </w:r>
      <w:r w:rsidRPr="001B5C8B">
        <w:rPr>
          <w:i/>
        </w:rPr>
        <w:t>The Hit Parade: The Concentration of Tariff Water in Manufactured Products and the Risks to Global Trade</w:t>
      </w:r>
      <w:r w:rsidRPr="001B5C8B">
        <w:t>, Groupe d’Economie Mondiale, Policy Brief, November 17.</w:t>
      </w:r>
    </w:p>
    <w:p w:rsidR="00745FEA" w:rsidRPr="001B5C8B" w:rsidRDefault="00745FEA" w:rsidP="00745FEA">
      <w:pPr>
        <w:pStyle w:val="Reference"/>
      </w:pPr>
      <w:r w:rsidRPr="001B5C8B">
        <w:t xml:space="preserve">AFP (Australian Federal Police) nd, </w:t>
      </w:r>
      <w:r w:rsidRPr="001B5C8B">
        <w:rPr>
          <w:i/>
        </w:rPr>
        <w:t>Air Security Officers</w:t>
      </w:r>
      <w:r w:rsidR="001E4012" w:rsidRPr="001E4012">
        <w:t>,</w:t>
      </w:r>
      <w:r w:rsidR="001E4012">
        <w:t xml:space="preserve"> </w:t>
      </w:r>
      <w:r w:rsidR="001E4012" w:rsidRPr="001E4012">
        <w:t>https://www.afp.gov.au/what-we-do/our-work-airports/air-security-officers (accessed 19 February 2018)</w:t>
      </w:r>
      <w:r w:rsidRPr="001B5C8B">
        <w:t>.</w:t>
      </w:r>
    </w:p>
    <w:p w:rsidR="00745FEA" w:rsidRPr="001B5C8B" w:rsidRDefault="00745FEA" w:rsidP="00745FEA">
      <w:pPr>
        <w:pStyle w:val="Reference"/>
      </w:pPr>
      <w:r w:rsidRPr="001B5C8B">
        <w:t xml:space="preserve">AGD (Attorney-General’s Department) 2016, </w:t>
      </w:r>
      <w:r w:rsidRPr="001B5C8B">
        <w:rPr>
          <w:i/>
        </w:rPr>
        <w:t>Telecommunications (Interception and Access) Act 1979</w:t>
      </w:r>
      <w:r w:rsidRPr="001B5C8B">
        <w:t xml:space="preserve">, </w:t>
      </w:r>
      <w:r w:rsidRPr="001B5C8B">
        <w:rPr>
          <w:i/>
        </w:rPr>
        <w:t>Annual Report 2015–16</w:t>
      </w:r>
      <w:r w:rsidR="00A20F2C" w:rsidRPr="001B5C8B">
        <w:t>, Canberra</w:t>
      </w:r>
      <w:r w:rsidRPr="001B5C8B">
        <w:t>.</w:t>
      </w:r>
    </w:p>
    <w:p w:rsidR="00745FEA" w:rsidRPr="001B5C8B" w:rsidRDefault="00745FEA" w:rsidP="00745FEA">
      <w:pPr>
        <w:pStyle w:val="Reference"/>
      </w:pPr>
      <w:r w:rsidRPr="001B5C8B">
        <w:t>AIPA (Australian and International Pilots Association) 2015, Submission, Inquiry into Airport and Aviation Security, Senate Regional Affairs and Transport References Committee.</w:t>
      </w:r>
    </w:p>
    <w:p w:rsidR="00745FEA" w:rsidRPr="001B5C8B" w:rsidRDefault="00745FEA" w:rsidP="001E4012">
      <w:pPr>
        <w:pStyle w:val="Reference"/>
      </w:pPr>
      <w:r w:rsidRPr="001B5C8B">
        <w:t xml:space="preserve">Albanese, A. </w:t>
      </w:r>
      <w:r w:rsidR="001E4012">
        <w:t xml:space="preserve">(Minister for Infrastructure, Transport, Regional Development and Local Government) </w:t>
      </w:r>
      <w:r w:rsidRPr="001B5C8B">
        <w:t xml:space="preserve">2010, </w:t>
      </w:r>
      <w:r w:rsidRPr="001B5C8B">
        <w:rPr>
          <w:i/>
        </w:rPr>
        <w:t>Strengthening aviation security</w:t>
      </w:r>
      <w:r w:rsidRPr="001B5C8B">
        <w:t>, February.</w:t>
      </w:r>
    </w:p>
    <w:p w:rsidR="00745FEA" w:rsidRPr="005F3644" w:rsidRDefault="00745FEA" w:rsidP="00745FEA">
      <w:pPr>
        <w:pStyle w:val="Reference"/>
      </w:pPr>
      <w:r w:rsidRPr="001B5C8B">
        <w:t>ANAO (Australian National Audit Office) 2015,</w:t>
      </w:r>
      <w:r w:rsidRPr="001B5C8B">
        <w:rPr>
          <w:i/>
        </w:rPr>
        <w:t xml:space="preserve"> The Ethanol Production Grants Program,</w:t>
      </w:r>
      <w:r w:rsidRPr="00A20F2C">
        <w:rPr>
          <w:i/>
        </w:rPr>
        <w:t xml:space="preserve"> 2014-15</w:t>
      </w:r>
      <w:r w:rsidRPr="005F3644">
        <w:t>, Report No. 18.</w:t>
      </w:r>
    </w:p>
    <w:p w:rsidR="00745FEA" w:rsidRPr="00745FEA" w:rsidRDefault="00745FEA" w:rsidP="00745FEA">
      <w:pPr>
        <w:pStyle w:val="Reference"/>
        <w:rPr>
          <w:spacing w:val="-4"/>
        </w:rPr>
      </w:pPr>
      <w:r w:rsidRPr="00745FEA">
        <w:rPr>
          <w:spacing w:val="-4"/>
        </w:rPr>
        <w:t xml:space="preserve">—— 2016, </w:t>
      </w:r>
      <w:r w:rsidRPr="00A20F2C">
        <w:rPr>
          <w:i/>
          <w:spacing w:val="-4"/>
        </w:rPr>
        <w:t>Passenger Security Screening at Domestic Airports</w:t>
      </w:r>
      <w:r w:rsidRPr="00745FEA">
        <w:rPr>
          <w:spacing w:val="-4"/>
        </w:rPr>
        <w:t>, August, Report No.5</w:t>
      </w:r>
      <w:r w:rsidR="00A20F2C">
        <w:rPr>
          <w:spacing w:val="-4"/>
        </w:rPr>
        <w:t>,</w:t>
      </w:r>
      <w:r w:rsidRPr="00745FEA">
        <w:rPr>
          <w:spacing w:val="-4"/>
        </w:rPr>
        <w:t xml:space="preserve"> 2016–17.</w:t>
      </w:r>
    </w:p>
    <w:p w:rsidR="00745FEA" w:rsidRPr="005F3644" w:rsidRDefault="00745FEA" w:rsidP="00745FEA">
      <w:pPr>
        <w:pStyle w:val="Reference"/>
      </w:pPr>
      <w:r w:rsidRPr="005F3644">
        <w:t xml:space="preserve">Anson, J., Cadot, O., Estavadeoral, A., de Melo, J., Suwa-Eisenmann, A. and Tumurchudur, B. 2005, ‘Rules of Origin in North-South Preferential Trading Agreements with an application to NAFTA’, </w:t>
      </w:r>
      <w:r w:rsidRPr="00A20F2C">
        <w:rPr>
          <w:i/>
        </w:rPr>
        <w:t>Review of International Economics</w:t>
      </w:r>
      <w:r w:rsidRPr="005F3644">
        <w:t>, July.</w:t>
      </w:r>
    </w:p>
    <w:p w:rsidR="00745FEA" w:rsidRPr="005F3644" w:rsidRDefault="00745FEA" w:rsidP="00745FEA">
      <w:pPr>
        <w:pStyle w:val="Reference"/>
      </w:pPr>
      <w:r w:rsidRPr="005F3644">
        <w:t>ASIO (Australian Security Intelligence Organisation) 2015, Submission, Inquiry into Airport and Aviation security, January, Rural and Regional Affairs and Transport References Committee.</w:t>
      </w:r>
    </w:p>
    <w:p w:rsidR="00745FEA" w:rsidRPr="005F3644" w:rsidRDefault="00745FEA" w:rsidP="00745FEA">
      <w:pPr>
        <w:pStyle w:val="Reference"/>
      </w:pPr>
      <w:r w:rsidRPr="005F3644">
        <w:t>ATO (Australian Taxation Office) 2018, Reducing the corporate tax rate, https://www.ato.gov.au/General/New-legislation/In-detail/Direct-taxes/Income-tax-for-businesses/Reducing-the-corporate-tax-rate/?default (accessed 6 April 2018).</w:t>
      </w:r>
    </w:p>
    <w:p w:rsidR="00745FEA" w:rsidRPr="005F3644" w:rsidRDefault="00745FEA" w:rsidP="00745FEA">
      <w:pPr>
        <w:pStyle w:val="Reference"/>
      </w:pPr>
      <w:r w:rsidRPr="005F3644">
        <w:t xml:space="preserve">Australian Government 2010, </w:t>
      </w:r>
      <w:r w:rsidRPr="00745FEA">
        <w:rPr>
          <w:i/>
        </w:rPr>
        <w:t>Counter-Terrorism White Paper: Securing Australia, Protecting our Community</w:t>
      </w:r>
      <w:r w:rsidRPr="005F3644">
        <w:t xml:space="preserve">, </w:t>
      </w:r>
      <w:r w:rsidR="0055201A" w:rsidRPr="005F3644">
        <w:t>Department</w:t>
      </w:r>
      <w:r w:rsidRPr="005F3644">
        <w:t xml:space="preserve"> of the Prime Minister and Cabinet, Canberra.</w:t>
      </w:r>
    </w:p>
    <w:p w:rsidR="00745FEA" w:rsidRPr="005F3644" w:rsidRDefault="00745FEA" w:rsidP="00745FEA">
      <w:pPr>
        <w:pStyle w:val="Reference"/>
      </w:pPr>
      <w:r>
        <w:t>—— </w:t>
      </w:r>
      <w:r w:rsidRPr="005F3644">
        <w:t xml:space="preserve">2017a, </w:t>
      </w:r>
      <w:r w:rsidRPr="00745FEA">
        <w:rPr>
          <w:i/>
        </w:rPr>
        <w:t>Budget overview 2017-18</w:t>
      </w:r>
      <w:r w:rsidRPr="005F3644">
        <w:t>, 9 May.</w:t>
      </w:r>
    </w:p>
    <w:p w:rsidR="00745FEA" w:rsidRPr="005F3644" w:rsidRDefault="00745FEA" w:rsidP="00745FEA">
      <w:pPr>
        <w:pStyle w:val="Reference"/>
      </w:pPr>
      <w:r w:rsidRPr="005F3644">
        <w:t>——</w:t>
      </w:r>
      <w:r>
        <w:t> </w:t>
      </w:r>
      <w:r w:rsidRPr="005F3644">
        <w:t xml:space="preserve">2017b, </w:t>
      </w:r>
      <w:r w:rsidRPr="00745FEA">
        <w:rPr>
          <w:i/>
        </w:rPr>
        <w:t>Foreign Policy White Paper</w:t>
      </w:r>
      <w:r w:rsidRPr="005F3644">
        <w:t>.</w:t>
      </w:r>
    </w:p>
    <w:p w:rsidR="00745FEA" w:rsidRPr="005F3644" w:rsidRDefault="00745FEA" w:rsidP="00745FEA">
      <w:pPr>
        <w:pStyle w:val="Reference"/>
      </w:pPr>
      <w:r w:rsidRPr="005F3644">
        <w:t xml:space="preserve">Barker, C. 2016, </w:t>
      </w:r>
      <w:r w:rsidRPr="00745FEA">
        <w:rPr>
          <w:i/>
        </w:rPr>
        <w:t>Countering terrorism and violent extremism</w:t>
      </w:r>
      <w:r w:rsidRPr="005F3644">
        <w:t>, Parliamentary Library Briefing Book, August, Australian Government, Parliamentary Library, Canberra.</w:t>
      </w:r>
    </w:p>
    <w:p w:rsidR="00745FEA" w:rsidRPr="005F3644" w:rsidRDefault="00745FEA" w:rsidP="00745FEA">
      <w:pPr>
        <w:pStyle w:val="Reference"/>
      </w:pPr>
      <w:r w:rsidRPr="005F3644">
        <w:t xml:space="preserve">Bauer, M., Ferracane, M., Lee-Makiyama, H. and van der Marel, E. 2016, </w:t>
      </w:r>
      <w:r w:rsidRPr="00745FEA">
        <w:rPr>
          <w:i/>
        </w:rPr>
        <w:t>Unleashing Internal Data Flows in the EU: An Economic Assessment of Data Localisation Measures in the EU Member State</w:t>
      </w:r>
      <w:r w:rsidRPr="005F3644">
        <w:t>s, December, European Centre for International Political Economy, http://ecipe.org/publications/unleashing-internal-data-flows-in-the-eu/ (accessed 3 April 2018).</w:t>
      </w:r>
    </w:p>
    <w:p w:rsidR="00745FEA" w:rsidRPr="005F3644" w:rsidRDefault="00745FEA" w:rsidP="00745FEA">
      <w:pPr>
        <w:pStyle w:val="Reference"/>
      </w:pPr>
      <w:r w:rsidRPr="005F3644">
        <w:t xml:space="preserve">——, —— and van der Marel, E. 2016, </w:t>
      </w:r>
      <w:r w:rsidRPr="00745FEA">
        <w:rPr>
          <w:i/>
        </w:rPr>
        <w:t>Tracing the Economic impact of Regulations on the Free Flow of Data and Data Localisation</w:t>
      </w:r>
      <w:r w:rsidRPr="005F3644">
        <w:t>, Paper Series 30, Global Commission on Internet Governance and Chatham House (the Royal Institute of International Affairs).</w:t>
      </w:r>
    </w:p>
    <w:p w:rsidR="00745FEA" w:rsidRPr="001B5C8B" w:rsidRDefault="00745FEA" w:rsidP="00745FEA">
      <w:pPr>
        <w:pStyle w:val="Reference"/>
      </w:pPr>
      <w:r w:rsidRPr="001B5C8B">
        <w:t xml:space="preserve">——, Lee-Makiyama, H., van der Marel, E. and Verschelde, B. 2014, </w:t>
      </w:r>
      <w:r w:rsidRPr="001B5C8B">
        <w:rPr>
          <w:i/>
        </w:rPr>
        <w:t>The Costs of Data Localisation: Friendly Fire on Economic Recovery</w:t>
      </w:r>
      <w:r w:rsidRPr="001B5C8B">
        <w:t>, ECIPE Occasional Paper, No. 3/2014.</w:t>
      </w:r>
    </w:p>
    <w:p w:rsidR="009D1112" w:rsidRPr="005F3644" w:rsidRDefault="009D1112" w:rsidP="009D1112">
      <w:pPr>
        <w:pStyle w:val="Reference"/>
      </w:pPr>
      <w:r w:rsidRPr="009D1112">
        <w:t xml:space="preserve">Bergin, A. 2015, ‘The paradox of increased counter-terrorism spending’, </w:t>
      </w:r>
      <w:r w:rsidRPr="009D1112">
        <w:rPr>
          <w:i/>
        </w:rPr>
        <w:t>The Strategist</w:t>
      </w:r>
      <w:r w:rsidRPr="009D1112">
        <w:t>, Australian Strategic Policy Institute, 7 July.</w:t>
      </w:r>
    </w:p>
    <w:p w:rsidR="00745FEA" w:rsidRPr="001B5C8B" w:rsidRDefault="00745FEA" w:rsidP="00745FEA">
      <w:pPr>
        <w:pStyle w:val="Reference"/>
      </w:pPr>
      <w:r w:rsidRPr="001B5C8B">
        <w:t xml:space="preserve">Bergin, A. and Khosa, R. 2008, </w:t>
      </w:r>
      <w:r w:rsidRPr="001B5C8B">
        <w:rPr>
          <w:i/>
        </w:rPr>
        <w:t>Terrorism and the Australian tourism industry</w:t>
      </w:r>
      <w:r w:rsidRPr="001B5C8B">
        <w:t>, Policy Analysis, Australian Strategic Policy Institute, Canberra.</w:t>
      </w:r>
    </w:p>
    <w:p w:rsidR="00745FEA" w:rsidRPr="001B5C8B" w:rsidRDefault="00745FEA" w:rsidP="00745FEA">
      <w:pPr>
        <w:pStyle w:val="Reference"/>
      </w:pPr>
      <w:r w:rsidRPr="001B5C8B">
        <w:t xml:space="preserve">Bhagwati, J. 2008, </w:t>
      </w:r>
      <w:r w:rsidRPr="001B5C8B">
        <w:rPr>
          <w:i/>
        </w:rPr>
        <w:t>Termites in the Trading System: How preferential agreements undermine free trade</w:t>
      </w:r>
      <w:r w:rsidRPr="001B5C8B">
        <w:t>, Oxford University Press.</w:t>
      </w:r>
    </w:p>
    <w:p w:rsidR="00745FEA" w:rsidRPr="001B5C8B" w:rsidRDefault="00745FEA" w:rsidP="00745FEA">
      <w:pPr>
        <w:pStyle w:val="Reference"/>
      </w:pPr>
      <w:r w:rsidRPr="001B5C8B">
        <w:t>BIAC (Business and Industry Advisory Committee to the OECD) 2017,</w:t>
      </w:r>
      <w:r w:rsidRPr="001B5C8B">
        <w:rPr>
          <w:i/>
        </w:rPr>
        <w:t xml:space="preserve"> The Flow of Data Across Borders: A BIAC Trade Policy Perspective</w:t>
      </w:r>
      <w:r w:rsidRPr="001B5C8B">
        <w:t>, OECD, http://biac.org/wp-content/uploads/2016/03/The-Flow-of-Data-Across-Borders_A-BIAC-Trade-Policy-Perspective.pdf (accessed 6 November 2017).</w:t>
      </w:r>
    </w:p>
    <w:p w:rsidR="00745FEA" w:rsidRPr="001B5C8B" w:rsidRDefault="00745FEA" w:rsidP="00745FEA">
      <w:pPr>
        <w:pStyle w:val="Reference"/>
      </w:pPr>
      <w:r w:rsidRPr="001B5C8B">
        <w:t xml:space="preserve">Cadot, O. and Ing, L.Y. 2014, </w:t>
      </w:r>
      <w:r w:rsidRPr="001B5C8B">
        <w:rPr>
          <w:i/>
        </w:rPr>
        <w:t>How Restrictive are ASEAN’s RoO?</w:t>
      </w:r>
      <w:r w:rsidRPr="001B5C8B">
        <w:t>, ERIA Discussion Paper Series, 2014–18, September.</w:t>
      </w:r>
    </w:p>
    <w:p w:rsidR="00745FEA" w:rsidRPr="001B5C8B" w:rsidRDefault="00745FEA" w:rsidP="00745FEA">
      <w:pPr>
        <w:pStyle w:val="Reference"/>
      </w:pPr>
      <w:r w:rsidRPr="001B5C8B">
        <w:t xml:space="preserve">Cao, L., Hosking, A., Kouparitsas, M., Mullaly, D., Rimmer, X., Shi, Q., Stark, W. and Wende, S. 2015, </w:t>
      </w:r>
      <w:r w:rsidRPr="001B5C8B">
        <w:rPr>
          <w:i/>
        </w:rPr>
        <w:t>Understanding the economy-wide efficiency and incidence of major Australian taxes</w:t>
      </w:r>
      <w:r w:rsidRPr="001B5C8B">
        <w:t>, Working Paper 2015-01, Australian Government Treasury, Canberra, April.</w:t>
      </w:r>
    </w:p>
    <w:p w:rsidR="00745FEA" w:rsidRPr="005F3644" w:rsidRDefault="00745FEA" w:rsidP="00745FEA">
      <w:pPr>
        <w:pStyle w:val="Reference"/>
      </w:pPr>
      <w:r w:rsidRPr="001B5C8B">
        <w:t>Cherny, D. 2016, ‘MCG security fence not returning for 2016/17 cricket season’, The Sydney Morning Herald</w:t>
      </w:r>
      <w:r w:rsidR="009D1112">
        <w:t>, 29 November</w:t>
      </w:r>
      <w:r w:rsidRPr="001B5C8B">
        <w:t>.</w:t>
      </w:r>
    </w:p>
    <w:p w:rsidR="00745FEA" w:rsidRPr="005F3644" w:rsidRDefault="00745FEA" w:rsidP="00745FEA">
      <w:pPr>
        <w:pStyle w:val="Reference"/>
      </w:pPr>
      <w:r w:rsidRPr="005F3644">
        <w:t xml:space="preserve">Chong, J. 2017, ‘Extra security placing significant cost burden on airlines’, </w:t>
      </w:r>
      <w:r w:rsidRPr="00A14321">
        <w:rPr>
          <w:i/>
        </w:rPr>
        <w:t>Australian Aviation</w:t>
      </w:r>
      <w:r w:rsidRPr="005F3644">
        <w:t>, 25 October.</w:t>
      </w:r>
    </w:p>
    <w:p w:rsidR="00745FEA" w:rsidRPr="00745FEA" w:rsidRDefault="00745FEA" w:rsidP="00745FEA">
      <w:pPr>
        <w:pStyle w:val="Reference"/>
        <w:rPr>
          <w:spacing w:val="-2"/>
        </w:rPr>
      </w:pPr>
      <w:r w:rsidRPr="00745FEA">
        <w:rPr>
          <w:spacing w:val="-2"/>
        </w:rPr>
        <w:t xml:space="preserve">Ciobo, S. </w:t>
      </w:r>
      <w:r w:rsidR="009D1112">
        <w:rPr>
          <w:spacing w:val="-2"/>
        </w:rPr>
        <w:t>(</w:t>
      </w:r>
      <w:r w:rsidR="009D1112" w:rsidRPr="009D1112">
        <w:rPr>
          <w:spacing w:val="-2"/>
        </w:rPr>
        <w:t>Minister for Trade, Tourism and Investment)</w:t>
      </w:r>
      <w:r w:rsidR="009D1112">
        <w:rPr>
          <w:spacing w:val="-2"/>
        </w:rPr>
        <w:t xml:space="preserve"> </w:t>
      </w:r>
      <w:r w:rsidRPr="00745FEA">
        <w:rPr>
          <w:spacing w:val="-2"/>
        </w:rPr>
        <w:t>2018, A new Trans-Pacific Partnership (TPP) Agreement, Media Release, 8 March.</w:t>
      </w:r>
    </w:p>
    <w:p w:rsidR="00745FEA" w:rsidRPr="005F3644" w:rsidRDefault="00745FEA" w:rsidP="00745FEA">
      <w:pPr>
        <w:pStyle w:val="Reference"/>
      </w:pPr>
      <w:r w:rsidRPr="005F3644">
        <w:t>Cory, N. 2017, Cross-Border Data Flows: Where Are the Barriers, and What Do They Cost?</w:t>
      </w:r>
      <w:r w:rsidR="0055201A">
        <w:t xml:space="preserve"> </w:t>
      </w:r>
      <w:r w:rsidRPr="005F3644">
        <w:t>https://itif.org/publications/2017/05/01/cross-border-data-flows-where-are-barriers-and-what-do-they-cost (accessed 7 November 2017).</w:t>
      </w:r>
    </w:p>
    <w:p w:rsidR="00745FEA" w:rsidRPr="005F3644" w:rsidRDefault="00745FEA" w:rsidP="00745FEA">
      <w:pPr>
        <w:pStyle w:val="Reference"/>
      </w:pPr>
      <w:r w:rsidRPr="005F3644">
        <w:t xml:space="preserve">Crook, W. and Gordon, J. 2007, </w:t>
      </w:r>
      <w:r w:rsidRPr="00A14321">
        <w:rPr>
          <w:i/>
        </w:rPr>
        <w:t>Rules of Origin: can the noodle bowl of trade agreements be untangled</w:t>
      </w:r>
      <w:r w:rsidRPr="005F3644">
        <w:t>, Productivity Commission Staff Research Note, May, Canberra.</w:t>
      </w:r>
    </w:p>
    <w:p w:rsidR="00745FEA" w:rsidRPr="005F3644" w:rsidRDefault="00745FEA" w:rsidP="00745FEA">
      <w:pPr>
        <w:pStyle w:val="Reference"/>
      </w:pPr>
      <w:r w:rsidRPr="005F3644">
        <w:t xml:space="preserve">DAWG (Department of Agriculture and Water Resources) 2017a, </w:t>
      </w:r>
      <w:r w:rsidRPr="00745FEA">
        <w:rPr>
          <w:i/>
        </w:rPr>
        <w:t>Annual Report 2016-17</w:t>
      </w:r>
      <w:r w:rsidR="00A14321" w:rsidRPr="00A14321">
        <w:t>, Canberra</w:t>
      </w:r>
      <w:r w:rsidRPr="005F3644">
        <w:t>.</w:t>
      </w:r>
    </w:p>
    <w:p w:rsidR="00745FEA" w:rsidRPr="00A14321" w:rsidRDefault="00745FEA" w:rsidP="00745FEA">
      <w:pPr>
        <w:pStyle w:val="Reference"/>
        <w:rPr>
          <w:spacing w:val="-4"/>
        </w:rPr>
      </w:pPr>
      <w:r w:rsidRPr="00A14321">
        <w:rPr>
          <w:spacing w:val="-4"/>
        </w:rPr>
        <w:t xml:space="preserve">—— 2017b, </w:t>
      </w:r>
      <w:r w:rsidRPr="00A14321">
        <w:rPr>
          <w:i/>
          <w:spacing w:val="-4"/>
        </w:rPr>
        <w:t>National Water Infrastructure Loan Facility Investment Guidelines</w:t>
      </w:r>
      <w:r w:rsidRPr="00A14321">
        <w:rPr>
          <w:spacing w:val="-4"/>
        </w:rPr>
        <w:t>, July</w:t>
      </w:r>
      <w:r w:rsidR="00A14321" w:rsidRPr="00A14321">
        <w:rPr>
          <w:spacing w:val="-4"/>
        </w:rPr>
        <w:t>, Canberra</w:t>
      </w:r>
      <w:r w:rsidRPr="00A14321">
        <w:rPr>
          <w:spacing w:val="-4"/>
        </w:rPr>
        <w:t>.</w:t>
      </w:r>
    </w:p>
    <w:p w:rsidR="00745FEA" w:rsidRPr="005F3644" w:rsidRDefault="00745FEA" w:rsidP="00745FEA">
      <w:pPr>
        <w:pStyle w:val="Reference"/>
      </w:pPr>
      <w:r w:rsidRPr="005F3644">
        <w:t>——</w:t>
      </w:r>
      <w:r>
        <w:t> </w:t>
      </w:r>
      <w:r w:rsidRPr="005F3644">
        <w:t xml:space="preserve">2017c, </w:t>
      </w:r>
      <w:r w:rsidRPr="00A14321">
        <w:rPr>
          <w:i/>
        </w:rPr>
        <w:t>Regional Investment Corporation, New Concessional Loans Scheme for farm businesses</w:t>
      </w:r>
      <w:r w:rsidRPr="005F3644">
        <w:t>, Discussion Paper on key loan settings</w:t>
      </w:r>
      <w:r w:rsidR="00A14321">
        <w:t>, Canberra</w:t>
      </w:r>
      <w:r w:rsidRPr="005F3644">
        <w:t>.</w:t>
      </w:r>
    </w:p>
    <w:p w:rsidR="00745FEA" w:rsidRPr="005F3644" w:rsidRDefault="00745FEA" w:rsidP="00745FEA">
      <w:pPr>
        <w:pStyle w:val="Reference"/>
      </w:pPr>
      <w:r w:rsidRPr="005F3644">
        <w:t xml:space="preserve">DFAT (Department of Foreign Affairs and Trade) 2016, WTO Tenth Ministerial Conference </w:t>
      </w:r>
      <w:r>
        <w:t>—</w:t>
      </w:r>
      <w:r w:rsidRPr="005F3644">
        <w:t xml:space="preserve"> December 2015, https://web.archive.org/web/20161112121202/dfat.gov.au/</w:t>
      </w:r>
      <w:r>
        <w:br/>
      </w:r>
      <w:r w:rsidRPr="005F3644">
        <w:t>international-relations/international-organisations/wto/Pages/tenth-ministerial-conference-december-2015.aspx (accessed 9 April 2018).</w:t>
      </w:r>
    </w:p>
    <w:p w:rsidR="00745FEA" w:rsidRPr="005F3644" w:rsidRDefault="00745FEA" w:rsidP="00745FEA">
      <w:pPr>
        <w:pStyle w:val="Reference"/>
      </w:pPr>
      <w:r w:rsidRPr="005F3644">
        <w:t>——</w:t>
      </w:r>
      <w:r>
        <w:t> </w:t>
      </w:r>
      <w:r w:rsidRPr="005F3644">
        <w:t xml:space="preserve">2017, </w:t>
      </w:r>
      <w:r w:rsidRPr="00A14321">
        <w:rPr>
          <w:i/>
        </w:rPr>
        <w:t>Comprehensive and Progressive Agreement for Trans-Pacific Partnership</w:t>
      </w:r>
      <w:r w:rsidRPr="005F3644">
        <w:t>.</w:t>
      </w:r>
    </w:p>
    <w:p w:rsidR="00745FEA" w:rsidRPr="005F3644" w:rsidRDefault="00745FEA" w:rsidP="00745FEA">
      <w:pPr>
        <w:pStyle w:val="Reference"/>
      </w:pPr>
      <w:r w:rsidRPr="005F3644">
        <w:t>——</w:t>
      </w:r>
      <w:r>
        <w:t> </w:t>
      </w:r>
      <w:r w:rsidRPr="005F3644">
        <w:t>2018a, Fourth Intersessional RCEP Ministerial Meeting – 3 March 2018, Singapore, http://dfat.gov.au/trade/agreements/negotiations/rcep/news/Pages/fourth-intersessional-rcep-ministerial-meeting-3-march-2018-singapore.aspx (accessed 9 April 2018).</w:t>
      </w:r>
    </w:p>
    <w:p w:rsidR="00745FEA" w:rsidRPr="005F3644" w:rsidRDefault="00745FEA" w:rsidP="00745FEA">
      <w:pPr>
        <w:pStyle w:val="Reference"/>
      </w:pPr>
      <w:r w:rsidRPr="005F3644">
        <w:t>——</w:t>
      </w:r>
      <w:r>
        <w:t> </w:t>
      </w:r>
      <w:r w:rsidRPr="005F3644">
        <w:t>2018b, Pacific Alliance Free Trade Agreement, http://dfat.gov.au/trade/agreements</w:t>
      </w:r>
      <w:r>
        <w:br/>
      </w:r>
      <w:r w:rsidRPr="005F3644">
        <w:t>/negotiations/pacificalliancefta/Pages/pacific-alliance-free-trade-agreement.aspx (accessed 9 April 2018).</w:t>
      </w:r>
    </w:p>
    <w:p w:rsidR="00745FEA" w:rsidRPr="005F3644" w:rsidRDefault="00745FEA" w:rsidP="00745FEA">
      <w:pPr>
        <w:pStyle w:val="Reference"/>
      </w:pPr>
      <w:r w:rsidRPr="005F3644">
        <w:t>——</w:t>
      </w:r>
      <w:r>
        <w:t> </w:t>
      </w:r>
      <w:r w:rsidRPr="005F3644">
        <w:t>2018c, Trade &amp; investment data, information &amp; publications, Fact sheets for countries and regions, http://dfat.gov.au/trade/resources/Pages/trade-and-economic-fact-sheets-for-countries-and-regions.aspx (accessed 9 April 2018).</w:t>
      </w:r>
    </w:p>
    <w:p w:rsidR="00745FEA" w:rsidRPr="005F3644" w:rsidRDefault="00745FEA" w:rsidP="00745FEA">
      <w:pPr>
        <w:pStyle w:val="Reference"/>
      </w:pPr>
      <w:r w:rsidRPr="005F3644">
        <w:t xml:space="preserve">DHA </w:t>
      </w:r>
      <w:r w:rsidR="00A14321" w:rsidRPr="005F3644">
        <w:t>(Department of Home Affairs</w:t>
      </w:r>
      <w:r w:rsidR="00A14321">
        <w:t>)</w:t>
      </w:r>
      <w:r w:rsidR="00A14321" w:rsidRPr="005F3644">
        <w:t xml:space="preserve"> </w:t>
      </w:r>
      <w:r w:rsidRPr="005F3644">
        <w:t xml:space="preserve">and DAWR </w:t>
      </w:r>
      <w:r w:rsidR="00A14321">
        <w:t>(</w:t>
      </w:r>
      <w:r w:rsidRPr="005F3644">
        <w:t xml:space="preserve">Department of Agriculture and Water Resources) 2018, </w:t>
      </w:r>
      <w:r w:rsidRPr="00A14321">
        <w:rPr>
          <w:i/>
        </w:rPr>
        <w:t>Trade and Cargo Activities – Cost Recovery</w:t>
      </w:r>
      <w:r w:rsidRPr="005F3644">
        <w:t>, Discussion Paper, Australian Government, Canberra, February.</w:t>
      </w:r>
    </w:p>
    <w:p w:rsidR="00745FEA" w:rsidRPr="005F3644" w:rsidRDefault="00745FEA" w:rsidP="00745FEA">
      <w:pPr>
        <w:pStyle w:val="Reference"/>
      </w:pPr>
      <w:r w:rsidRPr="005F3644">
        <w:t>DIIR (Department of Industry, Innovation, and Resources) 2018a, Gas Acceleration Program, https://industry.gov.au/resource/Programs/Pages/Gas-Acceleration-Program.aspx (accessed 6 April 2018).</w:t>
      </w:r>
    </w:p>
    <w:p w:rsidR="00745FEA" w:rsidRPr="005F3644" w:rsidRDefault="00745FEA" w:rsidP="00745FEA">
      <w:pPr>
        <w:pStyle w:val="Reference"/>
      </w:pPr>
      <w:r w:rsidRPr="005F3644">
        <w:t>——</w:t>
      </w:r>
      <w:r>
        <w:t> </w:t>
      </w:r>
      <w:r w:rsidRPr="005F3644">
        <w:t>2018b, Gas Acceleration Program, Program Guidelines, https://www.business.gov.au/</w:t>
      </w:r>
      <w:r>
        <w:br/>
      </w:r>
      <w:r w:rsidRPr="005F3644">
        <w:t>assistance/gas-acceleration-program (accessed 6 April 2018).</w:t>
      </w:r>
    </w:p>
    <w:p w:rsidR="00745FEA" w:rsidRPr="005F3644" w:rsidRDefault="00745FEA" w:rsidP="00745FEA">
      <w:pPr>
        <w:pStyle w:val="Reference"/>
      </w:pPr>
      <w:r w:rsidRPr="005F3644">
        <w:t>——</w:t>
      </w:r>
      <w:r>
        <w:t> </w:t>
      </w:r>
      <w:r w:rsidRPr="005F3644">
        <w:t>2018c, The Australian Domestic Gas Security Mechanism, https://industry.gov.au/</w:t>
      </w:r>
      <w:r>
        <w:br/>
      </w:r>
      <w:r w:rsidRPr="005F3644">
        <w:t>resource/UpstreamPetroleum/AustralianLiquefiedNaturalGas/Pages/Australian-Domestic-Gas-Security-Mechanism.aspx (accessed 6 April 2018).</w:t>
      </w:r>
    </w:p>
    <w:p w:rsidR="00745FEA" w:rsidRPr="005F3644" w:rsidRDefault="00745FEA" w:rsidP="00745FEA">
      <w:pPr>
        <w:pStyle w:val="Reference"/>
      </w:pPr>
      <w:r w:rsidRPr="005F3644">
        <w:t xml:space="preserve">DIIS (Department of Industry, Innovation and Science) 2017, </w:t>
      </w:r>
      <w:r w:rsidRPr="00A14321">
        <w:rPr>
          <w:i/>
        </w:rPr>
        <w:t>Science, Research and Innovation Budget Tables 2017-18</w:t>
      </w:r>
      <w:r w:rsidR="00A14321">
        <w:t>, Canberra</w:t>
      </w:r>
      <w:r w:rsidRPr="005F3644">
        <w:t>.</w:t>
      </w:r>
    </w:p>
    <w:p w:rsidR="00745FEA" w:rsidRPr="001B5C8B" w:rsidRDefault="00745FEA" w:rsidP="00745FEA">
      <w:pPr>
        <w:pStyle w:val="Reference"/>
      </w:pPr>
      <w:r w:rsidRPr="005F3644">
        <w:t xml:space="preserve">DIRD (Department of Infrastructure and Regional Development) 2016, </w:t>
      </w:r>
      <w:r w:rsidRPr="00A14321">
        <w:rPr>
          <w:i/>
        </w:rPr>
        <w:t xml:space="preserve">2015-2016 </w:t>
      </w:r>
      <w:r w:rsidRPr="001B5C8B">
        <w:rPr>
          <w:i/>
        </w:rPr>
        <w:t xml:space="preserve">Regulator Performance Framework </w:t>
      </w:r>
      <w:r w:rsidR="00A14321" w:rsidRPr="001B5C8B">
        <w:rPr>
          <w:i/>
        </w:rPr>
        <w:t>—</w:t>
      </w:r>
      <w:r w:rsidRPr="001B5C8B">
        <w:rPr>
          <w:i/>
        </w:rPr>
        <w:t xml:space="preserve"> OTS Self-assessment Report</w:t>
      </w:r>
      <w:r w:rsidRPr="001B5C8B">
        <w:t>.</w:t>
      </w:r>
    </w:p>
    <w:p w:rsidR="009D1112" w:rsidRPr="009D1112" w:rsidRDefault="009D1112" w:rsidP="00745FEA">
      <w:pPr>
        <w:pStyle w:val="Reference"/>
        <w:rPr>
          <w:spacing w:val="-4"/>
        </w:rPr>
      </w:pPr>
      <w:r w:rsidRPr="009D1112">
        <w:rPr>
          <w:spacing w:val="-4"/>
        </w:rPr>
        <w:t>—— 2017a, T</w:t>
      </w:r>
      <w:r w:rsidRPr="009D1112">
        <w:rPr>
          <w:i/>
          <w:spacing w:val="-4"/>
        </w:rPr>
        <w:t>ransport security</w:t>
      </w:r>
      <w:r w:rsidRPr="009D1112">
        <w:rPr>
          <w:spacing w:val="-4"/>
        </w:rPr>
        <w:t>, https://infrastructure.gov.au/security/ (accessed 17 April 2018)</w:t>
      </w:r>
    </w:p>
    <w:p w:rsidR="00745FEA" w:rsidRPr="001B5C8B" w:rsidRDefault="00745FEA" w:rsidP="00745FEA">
      <w:pPr>
        <w:pStyle w:val="Reference"/>
      </w:pPr>
      <w:r w:rsidRPr="001B5C8B">
        <w:t xml:space="preserve">—— 2017b, </w:t>
      </w:r>
      <w:r w:rsidRPr="001B5C8B">
        <w:rPr>
          <w:i/>
        </w:rPr>
        <w:t>Transport Security Outlook to 2025 — Security Environment Review</w:t>
      </w:r>
      <w:r w:rsidRPr="001B5C8B">
        <w:t>, October, Australian Government, Canberra.</w:t>
      </w:r>
    </w:p>
    <w:p w:rsidR="001E4012" w:rsidRDefault="001E4012" w:rsidP="001E4012">
      <w:pPr>
        <w:pStyle w:val="Reference"/>
      </w:pPr>
      <w:r>
        <w:t>DIT (Department of Infrastructure and Transport) 2012, Annual Report 2011-12.</w:t>
      </w:r>
    </w:p>
    <w:p w:rsidR="001E4012" w:rsidRDefault="001E4012" w:rsidP="001E4012">
      <w:pPr>
        <w:pStyle w:val="Reference"/>
      </w:pPr>
      <w:r>
        <w:t>—— 2013, Annual Report 2012-13.</w:t>
      </w:r>
    </w:p>
    <w:p w:rsidR="00745FEA" w:rsidRPr="001B5C8B" w:rsidRDefault="00745FEA" w:rsidP="00745FEA">
      <w:pPr>
        <w:pStyle w:val="Reference"/>
      </w:pPr>
      <w:r w:rsidRPr="001B5C8B">
        <w:t xml:space="preserve">DoD (Department of Defence) 2017, </w:t>
      </w:r>
      <w:r w:rsidRPr="001B5C8B">
        <w:rPr>
          <w:i/>
        </w:rPr>
        <w:t>Australian Government Information Security Manual</w:t>
      </w:r>
      <w:r w:rsidRPr="001B5C8B">
        <w:t>, Australian Government, Canberra.</w:t>
      </w:r>
    </w:p>
    <w:p w:rsidR="00745FEA" w:rsidRPr="001B5C8B" w:rsidRDefault="00745FEA" w:rsidP="00745FEA">
      <w:pPr>
        <w:pStyle w:val="Reference"/>
      </w:pPr>
      <w:r w:rsidRPr="001B5C8B">
        <w:t xml:space="preserve">—— 2018, </w:t>
      </w:r>
      <w:r w:rsidRPr="001B5C8B">
        <w:rPr>
          <w:i/>
        </w:rPr>
        <w:t>Defence Export Strategy</w:t>
      </w:r>
      <w:r w:rsidRPr="001B5C8B">
        <w:t>.</w:t>
      </w:r>
    </w:p>
    <w:p w:rsidR="00745FEA" w:rsidRPr="001B5C8B" w:rsidRDefault="00745FEA" w:rsidP="00745FEA">
      <w:pPr>
        <w:pStyle w:val="Reference"/>
      </w:pPr>
      <w:r w:rsidRPr="001B5C8B">
        <w:t>DTA (Digital Transformation Agency) 2017, Local government, www.australia.gov.au/about-government/how-government-works/local-government (accessed 8 February 2017).</w:t>
      </w:r>
    </w:p>
    <w:p w:rsidR="00745FEA" w:rsidRPr="001B5C8B" w:rsidRDefault="00745FEA" w:rsidP="00745FEA">
      <w:pPr>
        <w:pStyle w:val="Reference"/>
      </w:pPr>
      <w:r w:rsidRPr="001B5C8B">
        <w:t xml:space="preserve">EISC (Economics and Industry Standing Committee) 2017, </w:t>
      </w:r>
      <w:r w:rsidRPr="001B5C8B">
        <w:rPr>
          <w:i/>
        </w:rPr>
        <w:t>Perceptions and Realities of Regional Airfare Prices in Western Australia</w:t>
      </w:r>
      <w:r w:rsidRPr="001B5C8B">
        <w:t>, Report No. 2, November, Legislative Assembly, Parliament of Western Australia, Perth.</w:t>
      </w:r>
    </w:p>
    <w:p w:rsidR="00745FEA" w:rsidRPr="001B5C8B" w:rsidRDefault="00745FEA" w:rsidP="00745FEA">
      <w:pPr>
        <w:pStyle w:val="Reference"/>
      </w:pPr>
      <w:r w:rsidRPr="001B5C8B">
        <w:t>Eslake, S. 2016, Potential impediments to improving Australia’s productivity performance, transcript, Productivity Review Conference, Productivity Commission</w:t>
      </w:r>
      <w:r w:rsidR="009D1112">
        <w:t xml:space="preserve">, </w:t>
      </w:r>
      <w:r w:rsidR="009D1112" w:rsidRPr="009D1112">
        <w:t>3 December</w:t>
      </w:r>
      <w:r w:rsidRPr="001B5C8B">
        <w:t>.</w:t>
      </w:r>
    </w:p>
    <w:p w:rsidR="00745FEA" w:rsidRPr="001B5C8B" w:rsidRDefault="00745FEA" w:rsidP="00745FEA">
      <w:pPr>
        <w:pStyle w:val="Reference"/>
      </w:pPr>
      <w:r w:rsidRPr="001B5C8B">
        <w:t xml:space="preserve">Essential Research 2017, </w:t>
      </w:r>
      <w:r w:rsidRPr="001B5C8B">
        <w:rPr>
          <w:i/>
        </w:rPr>
        <w:t>The Essential Report: 22 August 2017</w:t>
      </w:r>
      <w:r w:rsidRPr="001B5C8B">
        <w:t>.</w:t>
      </w:r>
    </w:p>
    <w:p w:rsidR="00745FEA" w:rsidRPr="001B5C8B" w:rsidRDefault="00745FEA" w:rsidP="00745FEA">
      <w:pPr>
        <w:pStyle w:val="Reference"/>
      </w:pPr>
      <w:r w:rsidRPr="001B5C8B">
        <w:t xml:space="preserve">FIRB (Foreign Investment Review Board) 2017, </w:t>
      </w:r>
      <w:r w:rsidRPr="001B5C8B">
        <w:rPr>
          <w:i/>
        </w:rPr>
        <w:t>Annual Report 2015-16</w:t>
      </w:r>
      <w:r w:rsidRPr="001B5C8B">
        <w:t>, The Treasury, Australian Government, Canberra.</w:t>
      </w:r>
    </w:p>
    <w:p w:rsidR="00745FEA" w:rsidRPr="001B5C8B" w:rsidRDefault="00745FEA" w:rsidP="00745FEA">
      <w:pPr>
        <w:pStyle w:val="Reference"/>
      </w:pPr>
      <w:r w:rsidRPr="001B5C8B">
        <w:t xml:space="preserve">GAO (United States Government Accountability Office) 2017, </w:t>
      </w:r>
      <w:r w:rsidRPr="001B5C8B">
        <w:rPr>
          <w:i/>
        </w:rPr>
        <w:t>Aviation Security: Actions Needed to Systematically Evaluate Cost and Effectiveness Across Security Countermeasures, Report to Congressional Requesters</w:t>
      </w:r>
      <w:r w:rsidRPr="001B5C8B">
        <w:t>, September, US Government, https://www.gao.gov/products/GAO-17-794 (accessed 4 April 2018).</w:t>
      </w:r>
    </w:p>
    <w:p w:rsidR="00745FEA" w:rsidRPr="001B5C8B" w:rsidRDefault="00745FEA" w:rsidP="00745FEA">
      <w:pPr>
        <w:pStyle w:val="Reference"/>
      </w:pPr>
      <w:r w:rsidRPr="001B5C8B">
        <w:t xml:space="preserve">Gillen, D. and Morrison, W. 2015, ‘Aviation security: Costing, pricing, finance and performance’, </w:t>
      </w:r>
      <w:r w:rsidRPr="001B5C8B">
        <w:rPr>
          <w:i/>
        </w:rPr>
        <w:t>Journal of Air Transport Management</w:t>
      </w:r>
      <w:r w:rsidRPr="001B5C8B">
        <w:t>, vol. 48.</w:t>
      </w:r>
    </w:p>
    <w:p w:rsidR="00745FEA" w:rsidRPr="001B5C8B" w:rsidRDefault="00745FEA" w:rsidP="00745FEA">
      <w:pPr>
        <w:pStyle w:val="Reference"/>
      </w:pPr>
      <w:r w:rsidRPr="001B5C8B">
        <w:t xml:space="preserve">Goel, R., Hsieh, E., Nelson, M. and Ram, R. 2006, ‘Demand elasticities for Internet services’, </w:t>
      </w:r>
      <w:r w:rsidRPr="001B5C8B">
        <w:rPr>
          <w:i/>
        </w:rPr>
        <w:t>Applied Economics</w:t>
      </w:r>
      <w:r w:rsidRPr="001B5C8B">
        <w:t>, vol. 38, no. 9, pp. 975–980.</w:t>
      </w:r>
    </w:p>
    <w:p w:rsidR="00745FEA" w:rsidRPr="001B5C8B" w:rsidRDefault="00745FEA" w:rsidP="00745FEA">
      <w:pPr>
        <w:pStyle w:val="Reference"/>
      </w:pPr>
      <w:r w:rsidRPr="001B5C8B">
        <w:t xml:space="preserve">Griswold, D.T. 2003, </w:t>
      </w:r>
      <w:r w:rsidRPr="001B5C8B">
        <w:rPr>
          <w:i/>
        </w:rPr>
        <w:t>Free-trade Agreements: Steppingstones to a More Open World</w:t>
      </w:r>
      <w:r w:rsidRPr="001B5C8B">
        <w:t>, Trade Briefing Paper 18, Cato Institute, Centre for Trade Policy Studies.</w:t>
      </w:r>
    </w:p>
    <w:p w:rsidR="00745FEA" w:rsidRPr="001B5C8B" w:rsidRDefault="00745FEA" w:rsidP="00745FEA">
      <w:pPr>
        <w:pStyle w:val="Reference"/>
      </w:pPr>
      <w:r w:rsidRPr="001B5C8B">
        <w:t xml:space="preserve">HRSCCA (House Of Representatives Standing Committee on Communications and the Arts) 2017, </w:t>
      </w:r>
      <w:r w:rsidRPr="001B5C8B">
        <w:rPr>
          <w:i/>
        </w:rPr>
        <w:t>Report on the inquiry into the Australian film and television industry</w:t>
      </w:r>
      <w:r w:rsidRPr="001B5C8B">
        <w:t>, December.</w:t>
      </w:r>
    </w:p>
    <w:p w:rsidR="00745FEA" w:rsidRPr="001B5C8B" w:rsidRDefault="009D1112" w:rsidP="00745FEA">
      <w:pPr>
        <w:pStyle w:val="Reference"/>
      </w:pPr>
      <w:r w:rsidRPr="001B5C8B">
        <w:t xml:space="preserve">Joyce, B. </w:t>
      </w:r>
      <w:r>
        <w:t xml:space="preserve">(Deputy Prime Minister and Minister for Agriculture and Water Resources) </w:t>
      </w:r>
      <w:r w:rsidRPr="001B5C8B">
        <w:t>2017,</w:t>
      </w:r>
      <w:r w:rsidR="00745FEA" w:rsidRPr="001B5C8B">
        <w:t xml:space="preserve"> </w:t>
      </w:r>
      <w:r w:rsidR="00745FEA" w:rsidRPr="001B5C8B">
        <w:rPr>
          <w:i/>
        </w:rPr>
        <w:t>Regional Investment Corporation gets green light in Orange</w:t>
      </w:r>
      <w:r w:rsidR="00745FEA" w:rsidRPr="001B5C8B">
        <w:t>, Media Release</w:t>
      </w:r>
      <w:r w:rsidR="006E001F" w:rsidRPr="001B5C8B">
        <w:t>,</w:t>
      </w:r>
      <w:r w:rsidR="00745FEA" w:rsidRPr="001B5C8B">
        <w:t xml:space="preserve"> 16</w:t>
      </w:r>
      <w:r w:rsidR="006E001F" w:rsidRPr="001B5C8B">
        <w:t> </w:t>
      </w:r>
      <w:r w:rsidR="00745FEA" w:rsidRPr="001B5C8B">
        <w:t>May.</w:t>
      </w:r>
    </w:p>
    <w:p w:rsidR="00745FEA" w:rsidRPr="001B5C8B" w:rsidRDefault="00745FEA" w:rsidP="00745FEA">
      <w:pPr>
        <w:pStyle w:val="Reference"/>
      </w:pPr>
      <w:r w:rsidRPr="001B5C8B">
        <w:t xml:space="preserve">Kuner, C. 2011, </w:t>
      </w:r>
      <w:r w:rsidRPr="001B5C8B">
        <w:rPr>
          <w:i/>
        </w:rPr>
        <w:t>Regulation of Transborder Data Flows under Data Protection and Privacy Law: Past, Present, and Future</w:t>
      </w:r>
      <w:r w:rsidRPr="001B5C8B">
        <w:t>, 187, OECD Digital Economy Papers, OECD Publishing, Paris.</w:t>
      </w:r>
    </w:p>
    <w:p w:rsidR="00745FEA" w:rsidRPr="001B5C8B" w:rsidRDefault="00745FEA" w:rsidP="00745FEA">
      <w:pPr>
        <w:pStyle w:val="Reference"/>
        <w:rPr>
          <w:spacing w:val="-4"/>
        </w:rPr>
      </w:pPr>
      <w:r w:rsidRPr="001B5C8B">
        <w:rPr>
          <w:spacing w:val="-4"/>
        </w:rPr>
        <w:t xml:space="preserve">Mauskopf, J., Chirila, C., Masaquel, C., Boye, K.S., Bowman, L., Birt, J. and Grainger, D. 2013, ‘Relationship between Financial Impact and Coverage of Drugs in Australia’, </w:t>
      </w:r>
      <w:r w:rsidRPr="001B5C8B">
        <w:rPr>
          <w:i/>
          <w:spacing w:val="-4"/>
        </w:rPr>
        <w:t>International Journal of Technology Assessment in Health Care</w:t>
      </w:r>
      <w:r w:rsidRPr="001B5C8B">
        <w:rPr>
          <w:spacing w:val="-4"/>
        </w:rPr>
        <w:t>, vol. 29, no. 1, pp. 92–100.</w:t>
      </w:r>
    </w:p>
    <w:p w:rsidR="00745FEA" w:rsidRPr="001B5C8B" w:rsidRDefault="00745FEA" w:rsidP="00745FEA">
      <w:pPr>
        <w:pStyle w:val="Reference"/>
      </w:pPr>
      <w:r w:rsidRPr="001B5C8B">
        <w:t xml:space="preserve">Mavroidis, P.C. and Vermulst, E. 2018, ‘The Case for Dropping Preferential Rules of Origin’, </w:t>
      </w:r>
      <w:r w:rsidRPr="001B5C8B">
        <w:rPr>
          <w:i/>
        </w:rPr>
        <w:t>Journal of World Trade</w:t>
      </w:r>
      <w:r w:rsidRPr="001B5C8B">
        <w:t>, vol. 52, no. 1, pp. 1–14.</w:t>
      </w:r>
    </w:p>
    <w:p w:rsidR="00745FEA" w:rsidRPr="001B5C8B" w:rsidRDefault="00745FEA" w:rsidP="00745FEA">
      <w:pPr>
        <w:pStyle w:val="Reference"/>
      </w:pPr>
      <w:r w:rsidRPr="001B5C8B">
        <w:t xml:space="preserve">Meltzer, J. 2013, ‘The Internet, Cross-Border Data Flows and International Trade’, </w:t>
      </w:r>
      <w:r w:rsidRPr="001B5C8B">
        <w:rPr>
          <w:i/>
        </w:rPr>
        <w:t>Issues in Technology Innovation</w:t>
      </w:r>
      <w:r w:rsidRPr="001B5C8B">
        <w:t>, no. 22.</w:t>
      </w:r>
    </w:p>
    <w:p w:rsidR="00745FEA" w:rsidRPr="001B5C8B" w:rsidRDefault="00745FEA" w:rsidP="00745FEA">
      <w:pPr>
        <w:pStyle w:val="Reference"/>
      </w:pPr>
      <w:r w:rsidRPr="001B5C8B">
        <w:t>Morrison, S</w:t>
      </w:r>
      <w:r w:rsidR="009D1112">
        <w:t>. (Treasurer)</w:t>
      </w:r>
      <w:r w:rsidRPr="001B5C8B">
        <w:t xml:space="preserve"> 2016, </w:t>
      </w:r>
      <w:r w:rsidRPr="001B5C8B">
        <w:rPr>
          <w:i/>
        </w:rPr>
        <w:t>A tax plan for Australia’s future</w:t>
      </w:r>
      <w:r w:rsidRPr="001B5C8B">
        <w:t>, Media Release</w:t>
      </w:r>
      <w:r w:rsidR="006E001F" w:rsidRPr="001B5C8B">
        <w:t>,</w:t>
      </w:r>
      <w:r w:rsidRPr="001B5C8B">
        <w:t xml:space="preserve"> 3 May.</w:t>
      </w:r>
    </w:p>
    <w:p w:rsidR="00745FEA" w:rsidRPr="001B5C8B" w:rsidRDefault="00745FEA" w:rsidP="00745FEA">
      <w:pPr>
        <w:pStyle w:val="Reference"/>
      </w:pPr>
      <w:r w:rsidRPr="001B5C8B">
        <w:t xml:space="preserve">Mowery, K., Wustrow, E., Wypych, T., Singleton, C., Comfort, C., Rescorla, E., Checkoway, S., Halderman, J.A. and Shacham, H. 2014, </w:t>
      </w:r>
      <w:r w:rsidRPr="001B5C8B">
        <w:rPr>
          <w:i/>
        </w:rPr>
        <w:t>Security Analysis of a Full-Body Scanner</w:t>
      </w:r>
      <w:r w:rsidRPr="001B5C8B">
        <w:t>, Proceedings of the 23rd USENIX Security Symposium, August 2014.</w:t>
      </w:r>
    </w:p>
    <w:p w:rsidR="00745FEA" w:rsidRPr="001B5C8B" w:rsidRDefault="00745FEA" w:rsidP="00745FEA">
      <w:pPr>
        <w:pStyle w:val="Reference"/>
      </w:pPr>
      <w:r w:rsidRPr="001B5C8B">
        <w:t xml:space="preserve">Mueller, J. and Stewart, M. 2011, </w:t>
      </w:r>
      <w:r w:rsidRPr="001B5C8B">
        <w:rPr>
          <w:i/>
        </w:rPr>
        <w:t>Terror, Security, and Money: Balancing the risks, benefits, and costs of homeland security</w:t>
      </w:r>
      <w:r w:rsidRPr="001B5C8B">
        <w:t xml:space="preserve">, Prepared for presentation at the panel, </w:t>
      </w:r>
      <w:r w:rsidR="004139DD" w:rsidRPr="001B5C8B">
        <w:t>‘</w:t>
      </w:r>
      <w:r w:rsidRPr="001B5C8B">
        <w:t>Terror and the Economy: Which Institutions Help Mitigate the Damage?</w:t>
      </w:r>
      <w:r w:rsidR="004139DD" w:rsidRPr="001B5C8B">
        <w:t>’</w:t>
      </w:r>
      <w:r w:rsidRPr="001B5C8B">
        <w:t xml:space="preserve"> at the Annual Convention of the Midwest Political Science Association Chicago, IL, </w:t>
      </w:r>
      <w:r w:rsidR="004139DD" w:rsidRPr="001B5C8B">
        <w:t xml:space="preserve">1 </w:t>
      </w:r>
      <w:r w:rsidRPr="001B5C8B">
        <w:t>April.</w:t>
      </w:r>
    </w:p>
    <w:p w:rsidR="00745FEA" w:rsidRPr="001B5C8B" w:rsidRDefault="00745FEA" w:rsidP="00745FEA">
      <w:pPr>
        <w:pStyle w:val="Reference"/>
      </w:pPr>
      <w:r w:rsidRPr="001B5C8B">
        <w:t xml:space="preserve">—— and —— 2014, ‘Evaluating Counterterrorism Spending’, </w:t>
      </w:r>
      <w:r w:rsidRPr="001B5C8B">
        <w:rPr>
          <w:i/>
        </w:rPr>
        <w:t>Journal of Economic Perspectives</w:t>
      </w:r>
      <w:r w:rsidRPr="001B5C8B">
        <w:t>, vol. 28, no. 3, pp. 237–248.</w:t>
      </w:r>
    </w:p>
    <w:p w:rsidR="00745FEA" w:rsidRPr="001B5C8B" w:rsidRDefault="00745FEA" w:rsidP="00745FEA">
      <w:pPr>
        <w:pStyle w:val="Reference"/>
      </w:pPr>
      <w:r w:rsidRPr="001B5C8B">
        <w:t xml:space="preserve">NAIF (Northern Australia Infrastructure Facility) 2017, </w:t>
      </w:r>
      <w:r w:rsidRPr="001B5C8B">
        <w:rPr>
          <w:i/>
        </w:rPr>
        <w:t>Corporate Plan 2017-18</w:t>
      </w:r>
      <w:r w:rsidR="004139DD" w:rsidRPr="001B5C8B">
        <w:t>, Cairns</w:t>
      </w:r>
      <w:r w:rsidRPr="001B5C8B">
        <w:t>.</w:t>
      </w:r>
    </w:p>
    <w:p w:rsidR="00745FEA" w:rsidRPr="001B5C8B" w:rsidRDefault="00745FEA" w:rsidP="00745FEA">
      <w:pPr>
        <w:pStyle w:val="Reference"/>
      </w:pPr>
      <w:r w:rsidRPr="001B5C8B">
        <w:t>—— 2018a, NAIF Investments – NAIF, http://www.naif.gov.au/application-process/naif-investments/ (accessed 6 April 2018).</w:t>
      </w:r>
    </w:p>
    <w:p w:rsidR="00745FEA" w:rsidRPr="001B5C8B" w:rsidRDefault="00745FEA" w:rsidP="00745FEA">
      <w:pPr>
        <w:pStyle w:val="Reference"/>
      </w:pPr>
      <w:r w:rsidRPr="001B5C8B">
        <w:t>—— 2018b, Pipeline Information – NAIF, http://www.naif.gov.au/application-process/</w:t>
      </w:r>
      <w:r w:rsidRPr="001B5C8B">
        <w:br/>
        <w:t>pipeline-information/ (accessed 14 February 2018).</w:t>
      </w:r>
    </w:p>
    <w:p w:rsidR="00745FEA" w:rsidRPr="001B5C8B" w:rsidRDefault="00745FEA" w:rsidP="00745FEA">
      <w:pPr>
        <w:pStyle w:val="Reference"/>
      </w:pPr>
      <w:r w:rsidRPr="001B5C8B">
        <w:t xml:space="preserve">Newell, B., Donkin, C. and Navarro, D. 2017, </w:t>
      </w:r>
      <w:r w:rsidR="004139DD" w:rsidRPr="001B5C8B">
        <w:t>‘</w:t>
      </w:r>
      <w:r w:rsidRPr="001B5C8B">
        <w:t>Worried about shark attacks or terrorism? Here’s how to think about the real risk of rare events</w:t>
      </w:r>
      <w:r w:rsidR="004139DD" w:rsidRPr="001B5C8B">
        <w:t>’</w:t>
      </w:r>
      <w:r w:rsidRPr="001B5C8B">
        <w:t xml:space="preserve">, </w:t>
      </w:r>
      <w:r w:rsidRPr="001B5C8B">
        <w:rPr>
          <w:i/>
        </w:rPr>
        <w:t>The Conversation</w:t>
      </w:r>
      <w:r w:rsidRPr="001B5C8B">
        <w:t>, http://theconversation.com/worried-about-shark-attacks-or-terrorism-heres-how-to-think-about-the-real-risk-of-rare-events-74690 (accessed 3 April 2018).</w:t>
      </w:r>
    </w:p>
    <w:p w:rsidR="00745FEA" w:rsidRPr="001B5C8B" w:rsidRDefault="00745FEA" w:rsidP="00745FEA">
      <w:pPr>
        <w:pStyle w:val="Reference"/>
      </w:pPr>
      <w:r w:rsidRPr="001B5C8B">
        <w:t xml:space="preserve">NSW Government 2017, </w:t>
      </w:r>
      <w:r w:rsidRPr="001B5C8B">
        <w:rPr>
          <w:i/>
        </w:rPr>
        <w:t>The 35-year Concession of Land and Property Information (LPI): LPI Concession Fast Facts</w:t>
      </w:r>
      <w:r w:rsidRPr="001B5C8B">
        <w:t>, April, Sydney, NSW, https://www.treasury.nsw.gov.au/</w:t>
      </w:r>
      <w:r w:rsidRPr="001B5C8B">
        <w:br/>
        <w:t>sites/default/files/2017-04/Fact%20sheet%20-%20The%2035-year%20Concession%</w:t>
      </w:r>
      <w:r w:rsidRPr="001B5C8B">
        <w:br/>
        <w:t>20of%20Land%20and%20Property%20Information%20%28LPI%29.pdf (accessed 20 November 2017).</w:t>
      </w:r>
    </w:p>
    <w:p w:rsidR="00745FEA" w:rsidRPr="001B5C8B" w:rsidRDefault="00745FEA" w:rsidP="00745FEA">
      <w:pPr>
        <w:pStyle w:val="Reference"/>
      </w:pPr>
      <w:r w:rsidRPr="001B5C8B">
        <w:t xml:space="preserve">OAIC (Office of the Australian Information Commissioner) 2015, </w:t>
      </w:r>
      <w:r w:rsidRPr="001B5C8B">
        <w:rPr>
          <w:i/>
        </w:rPr>
        <w:t>Australian Privacy Principles guidelines</w:t>
      </w:r>
      <w:r w:rsidRPr="001B5C8B">
        <w:t>, Australian Government, Canberra.</w:t>
      </w:r>
    </w:p>
    <w:p w:rsidR="00745FEA" w:rsidRPr="001B5C8B" w:rsidRDefault="00745FEA" w:rsidP="00745FEA">
      <w:pPr>
        <w:pStyle w:val="Reference"/>
      </w:pPr>
      <w:r w:rsidRPr="001B5C8B">
        <w:t>Panday, J. 2017, Rising Demands for Data Localization a Response to Weak Data Protection Mechanisms, 14 August, https://www.eff.org/deeplinks/2017/08/rising-demands-data-localization-response-weak-data-protection-mechanisms (accessed 3 April 2018).</w:t>
      </w:r>
    </w:p>
    <w:p w:rsidR="00745FEA" w:rsidRPr="001B5C8B" w:rsidRDefault="00745FEA" w:rsidP="00745FEA">
      <w:pPr>
        <w:pStyle w:val="Reference"/>
      </w:pPr>
      <w:r w:rsidRPr="001B5C8B">
        <w:t xml:space="preserve">PC (Productivity Commission) 1999, </w:t>
      </w:r>
      <w:r w:rsidRPr="001B5C8B">
        <w:rPr>
          <w:i/>
        </w:rPr>
        <w:t>Microeconomic Reforms and Australian Productivity: Exploring the Links</w:t>
      </w:r>
      <w:r w:rsidRPr="001B5C8B">
        <w:t>, Commission Research Paper, Canberra.</w:t>
      </w:r>
    </w:p>
    <w:p w:rsidR="00745FEA" w:rsidRPr="001B5C8B" w:rsidRDefault="00745FEA" w:rsidP="00745FEA">
      <w:pPr>
        <w:pStyle w:val="Reference"/>
      </w:pPr>
      <w:r w:rsidRPr="001B5C8B">
        <w:t xml:space="preserve">—— 2000, </w:t>
      </w:r>
      <w:r w:rsidRPr="001B5C8B">
        <w:rPr>
          <w:i/>
        </w:rPr>
        <w:t>Review of Australia’s General Tariff Arrangements</w:t>
      </w:r>
      <w:r w:rsidRPr="001B5C8B">
        <w:t>, Report no. 12, Canberra.</w:t>
      </w:r>
    </w:p>
    <w:p w:rsidR="00745FEA" w:rsidRPr="001B5C8B" w:rsidRDefault="00745FEA" w:rsidP="00745FEA">
      <w:pPr>
        <w:pStyle w:val="Reference"/>
      </w:pPr>
      <w:r w:rsidRPr="001B5C8B">
        <w:t xml:space="preserve">—— 2009, </w:t>
      </w:r>
      <w:r w:rsidRPr="001B5C8B">
        <w:rPr>
          <w:i/>
        </w:rPr>
        <w:t>Government Drought Support</w:t>
      </w:r>
      <w:r w:rsidRPr="001B5C8B">
        <w:t>, Report no. 46, Canberra.</w:t>
      </w:r>
    </w:p>
    <w:p w:rsidR="00745FEA" w:rsidRPr="001B5C8B" w:rsidRDefault="00745FEA" w:rsidP="00745FEA">
      <w:pPr>
        <w:pStyle w:val="Reference"/>
      </w:pPr>
      <w:r w:rsidRPr="001B5C8B">
        <w:t xml:space="preserve">—— 2010, </w:t>
      </w:r>
      <w:r w:rsidRPr="001B5C8B">
        <w:rPr>
          <w:i/>
        </w:rPr>
        <w:t>Bilateral and Regional Trade Agreements</w:t>
      </w:r>
      <w:r w:rsidRPr="001B5C8B">
        <w:t>, Research Report, Canberra.</w:t>
      </w:r>
    </w:p>
    <w:p w:rsidR="00745FEA" w:rsidRPr="001B5C8B" w:rsidRDefault="00745FEA" w:rsidP="00745FEA">
      <w:pPr>
        <w:pStyle w:val="Reference"/>
      </w:pPr>
      <w:r w:rsidRPr="001B5C8B">
        <w:t xml:space="preserve">—— 2011, </w:t>
      </w:r>
      <w:r w:rsidRPr="001B5C8B">
        <w:rPr>
          <w:i/>
        </w:rPr>
        <w:t>Trade and Assistance Review 2009-10</w:t>
      </w:r>
      <w:r w:rsidRPr="001B5C8B">
        <w:t>, Annual Report Series, Canberra.</w:t>
      </w:r>
    </w:p>
    <w:p w:rsidR="00745FEA" w:rsidRPr="001B5C8B" w:rsidRDefault="00745FEA" w:rsidP="00745FEA">
      <w:pPr>
        <w:pStyle w:val="Reference"/>
      </w:pPr>
      <w:r w:rsidRPr="001B5C8B">
        <w:t xml:space="preserve">—— 2014, </w:t>
      </w:r>
      <w:r w:rsidRPr="001B5C8B">
        <w:rPr>
          <w:i/>
        </w:rPr>
        <w:t>Tasmanian Shipping and Freight</w:t>
      </w:r>
      <w:r w:rsidRPr="001B5C8B">
        <w:t>, Report no. 69, Canberra.</w:t>
      </w:r>
    </w:p>
    <w:p w:rsidR="00745FEA" w:rsidRPr="001B5C8B" w:rsidRDefault="00745FEA" w:rsidP="00745FEA">
      <w:pPr>
        <w:pStyle w:val="Reference"/>
      </w:pPr>
      <w:r w:rsidRPr="001B5C8B">
        <w:t xml:space="preserve">—— 2015a, </w:t>
      </w:r>
      <w:r w:rsidRPr="001B5C8B">
        <w:rPr>
          <w:i/>
        </w:rPr>
        <w:t>Barriers to Growth in Service Exports</w:t>
      </w:r>
      <w:r w:rsidRPr="001B5C8B">
        <w:t>, Research Report, Canberra.</w:t>
      </w:r>
    </w:p>
    <w:p w:rsidR="00745FEA" w:rsidRPr="001B5C8B" w:rsidRDefault="00745FEA" w:rsidP="00745FEA">
      <w:pPr>
        <w:pStyle w:val="Reference"/>
      </w:pPr>
      <w:r w:rsidRPr="001B5C8B">
        <w:t xml:space="preserve">—— 2015b, </w:t>
      </w:r>
      <w:r w:rsidRPr="001B5C8B">
        <w:rPr>
          <w:i/>
        </w:rPr>
        <w:t>Trade and Assistance Review 2013-14</w:t>
      </w:r>
      <w:r w:rsidRPr="001B5C8B">
        <w:t>, June.</w:t>
      </w:r>
    </w:p>
    <w:p w:rsidR="00745FEA" w:rsidRPr="001B5C8B" w:rsidRDefault="00745FEA" w:rsidP="00745FEA">
      <w:pPr>
        <w:pStyle w:val="Reference"/>
      </w:pPr>
      <w:r w:rsidRPr="001B5C8B">
        <w:t xml:space="preserve">—— 2016a, </w:t>
      </w:r>
      <w:r w:rsidRPr="001B5C8B">
        <w:rPr>
          <w:i/>
        </w:rPr>
        <w:t>Developments in Anti-Dumping Arrangements</w:t>
      </w:r>
      <w:r w:rsidRPr="001B5C8B">
        <w:t>, Commission Research Paper, Canberra.</w:t>
      </w:r>
    </w:p>
    <w:p w:rsidR="00745FEA" w:rsidRPr="001B5C8B" w:rsidRDefault="00745FEA" w:rsidP="00745FEA">
      <w:pPr>
        <w:pStyle w:val="Reference"/>
      </w:pPr>
      <w:r w:rsidRPr="001B5C8B">
        <w:t xml:space="preserve">—— 2016b, </w:t>
      </w:r>
      <w:r w:rsidRPr="001B5C8B">
        <w:rPr>
          <w:i/>
        </w:rPr>
        <w:t>Trade and Assistance Review 2014-15</w:t>
      </w:r>
      <w:r w:rsidRPr="001B5C8B">
        <w:t>, Annual Report Series, Canberra.</w:t>
      </w:r>
    </w:p>
    <w:p w:rsidR="00745FEA" w:rsidRPr="001B5C8B" w:rsidRDefault="00745FEA" w:rsidP="00745FEA">
      <w:pPr>
        <w:pStyle w:val="Reference"/>
      </w:pPr>
      <w:r w:rsidRPr="001B5C8B">
        <w:t xml:space="preserve">—— 2017a, </w:t>
      </w:r>
      <w:r w:rsidRPr="001B5C8B">
        <w:rPr>
          <w:i/>
        </w:rPr>
        <w:t>Collection Models for GST on Low Value Imported Goods</w:t>
      </w:r>
      <w:r w:rsidRPr="001B5C8B">
        <w:t>, Report no. 86, Canberra.</w:t>
      </w:r>
    </w:p>
    <w:p w:rsidR="00745FEA" w:rsidRPr="001B5C8B" w:rsidRDefault="00745FEA" w:rsidP="00745FEA">
      <w:pPr>
        <w:pStyle w:val="Reference"/>
      </w:pPr>
      <w:r w:rsidRPr="001B5C8B">
        <w:t xml:space="preserve">—— 2017b, </w:t>
      </w:r>
      <w:r w:rsidRPr="001B5C8B">
        <w:rPr>
          <w:i/>
        </w:rPr>
        <w:t>Rising Protectionism: Challenges, threats and opportunities for Australia</w:t>
      </w:r>
      <w:r w:rsidRPr="001B5C8B">
        <w:t>, Commission Research Paper, Canberra.</w:t>
      </w:r>
    </w:p>
    <w:p w:rsidR="00745FEA" w:rsidRPr="001B5C8B" w:rsidRDefault="00745FEA" w:rsidP="00745FEA">
      <w:pPr>
        <w:pStyle w:val="Reference"/>
      </w:pPr>
      <w:r w:rsidRPr="001B5C8B">
        <w:t xml:space="preserve">—— 2017c, </w:t>
      </w:r>
      <w:r w:rsidRPr="001B5C8B">
        <w:rPr>
          <w:i/>
        </w:rPr>
        <w:t>Shifting the Dial: 5 Year Productivity Review</w:t>
      </w:r>
      <w:r w:rsidRPr="001B5C8B">
        <w:t>, Report no. 84, Canberra.</w:t>
      </w:r>
    </w:p>
    <w:p w:rsidR="00745FEA" w:rsidRPr="001B5C8B" w:rsidRDefault="00745FEA" w:rsidP="00745FEA">
      <w:pPr>
        <w:pStyle w:val="Reference"/>
      </w:pPr>
      <w:r w:rsidRPr="001B5C8B">
        <w:t xml:space="preserve">—— 2017d, </w:t>
      </w:r>
      <w:r w:rsidRPr="001B5C8B">
        <w:rPr>
          <w:i/>
        </w:rPr>
        <w:t>Trade and Assistance Review 2015-16</w:t>
      </w:r>
      <w:r w:rsidRPr="001B5C8B">
        <w:t>, Annual Report Series, Canberra.</w:t>
      </w:r>
    </w:p>
    <w:p w:rsidR="00745FEA" w:rsidRPr="001B5C8B" w:rsidRDefault="00745FEA" w:rsidP="00745FEA">
      <w:pPr>
        <w:pStyle w:val="Reference"/>
      </w:pPr>
      <w:r w:rsidRPr="001B5C8B">
        <w:t xml:space="preserve">Peng, S. and Liu, H. 2017, ‘The Legality of Data Residency Requirements: How Can the Trans-Pacific Partnership Help?’, </w:t>
      </w:r>
      <w:r w:rsidRPr="001B5C8B">
        <w:rPr>
          <w:i/>
        </w:rPr>
        <w:t>Journal of World Trade</w:t>
      </w:r>
      <w:r w:rsidRPr="001B5C8B">
        <w:t>, vol. 51, no. 2, p. 183.</w:t>
      </w:r>
    </w:p>
    <w:p w:rsidR="00745FEA" w:rsidRPr="001B5C8B" w:rsidRDefault="00745FEA" w:rsidP="00745FEA">
      <w:pPr>
        <w:pStyle w:val="Reference"/>
        <w:rPr>
          <w:spacing w:val="-4"/>
        </w:rPr>
      </w:pPr>
      <w:r w:rsidRPr="001B5C8B">
        <w:rPr>
          <w:spacing w:val="-4"/>
        </w:rPr>
        <w:t xml:space="preserve">PJCIS (Parliamentary Joint Committee on Intelligence and Security) 2013, </w:t>
      </w:r>
      <w:r w:rsidRPr="001B5C8B">
        <w:rPr>
          <w:i/>
          <w:spacing w:val="-4"/>
        </w:rPr>
        <w:t>Report of the Inquiry into Potential Reforms of Australia’s National Security Legislation</w:t>
      </w:r>
      <w:r w:rsidRPr="001B5C8B">
        <w:rPr>
          <w:spacing w:val="-4"/>
        </w:rPr>
        <w:t>, 24 June 2013.</w:t>
      </w:r>
    </w:p>
    <w:p w:rsidR="00745FEA" w:rsidRPr="001B5C8B" w:rsidRDefault="00745FEA" w:rsidP="00745FEA">
      <w:pPr>
        <w:pStyle w:val="Reference"/>
      </w:pPr>
      <w:r w:rsidRPr="001B5C8B">
        <w:t xml:space="preserve">—— 2015, </w:t>
      </w:r>
      <w:r w:rsidRPr="001B5C8B">
        <w:rPr>
          <w:i/>
        </w:rPr>
        <w:t xml:space="preserve">Advisory report on the </w:t>
      </w:r>
      <w:r w:rsidRPr="001B5C8B">
        <w:t>Telecommunications (Interception and Access) Amendment (Data Retention) Bill 2014, February.</w:t>
      </w:r>
    </w:p>
    <w:p w:rsidR="00745FEA" w:rsidRPr="001B5C8B" w:rsidRDefault="00745FEA" w:rsidP="00745FEA">
      <w:pPr>
        <w:pStyle w:val="Reference"/>
      </w:pPr>
      <w:r w:rsidRPr="001B5C8B">
        <w:t>PMC (</w:t>
      </w:r>
      <w:r w:rsidR="004139DD" w:rsidRPr="001B5C8B">
        <w:t xml:space="preserve">Department of the </w:t>
      </w:r>
      <w:r w:rsidRPr="001B5C8B">
        <w:t xml:space="preserve">Prime Minister and Cabinet) 2015, </w:t>
      </w:r>
      <w:r w:rsidRPr="001B5C8B">
        <w:rPr>
          <w:i/>
        </w:rPr>
        <w:t>Review of Australia’s Counter-Terrorism Machinery</w:t>
      </w:r>
      <w:r w:rsidRPr="001B5C8B">
        <w:t>, Australian Government, Canberra.</w:t>
      </w:r>
    </w:p>
    <w:p w:rsidR="00745FEA" w:rsidRPr="001B5C8B" w:rsidRDefault="00745FEA" w:rsidP="00745FEA">
      <w:pPr>
        <w:pStyle w:val="Reference"/>
        <w:rPr>
          <w:spacing w:val="-4"/>
        </w:rPr>
      </w:pPr>
      <w:r w:rsidRPr="001B5C8B">
        <w:rPr>
          <w:spacing w:val="-4"/>
        </w:rPr>
        <w:t>Qantas 2015, Qantas Group submission to the Senate Rural and Regional Affairs and Transport References Committee Inquiry into Airport and Aviation Security, Submission 14.</w:t>
      </w:r>
    </w:p>
    <w:p w:rsidR="00745FEA" w:rsidRPr="001B5C8B" w:rsidRDefault="00745FEA" w:rsidP="00745FEA">
      <w:pPr>
        <w:pStyle w:val="Reference"/>
      </w:pPr>
      <w:r w:rsidRPr="001B5C8B">
        <w:t>Reinsch, W. 2018, A Data Localization Free-for-All?, Center for Strategic and International Studies, https://www.csis.org/blogs/future-digital-trade-policy-and-role-us-and-uk/data-localization-free-all (accessed 3 April 2018).</w:t>
      </w:r>
    </w:p>
    <w:p w:rsidR="00745FEA" w:rsidRPr="001B5C8B" w:rsidRDefault="00745FEA" w:rsidP="00745FEA">
      <w:pPr>
        <w:pStyle w:val="Reference"/>
      </w:pPr>
      <w:r w:rsidRPr="001B5C8B">
        <w:t xml:space="preserve">Rex Airlines 2017, Response to Senate Rural and Regional Affairs and Transport References Committee </w:t>
      </w:r>
      <w:r w:rsidR="004139DD" w:rsidRPr="001B5C8B">
        <w:t>—</w:t>
      </w:r>
      <w:r w:rsidRPr="001B5C8B">
        <w:t xml:space="preserve"> Airport and Aviation Security Inquiry.</w:t>
      </w:r>
    </w:p>
    <w:p w:rsidR="00745FEA" w:rsidRPr="001B5C8B" w:rsidRDefault="00745FEA" w:rsidP="00745FEA">
      <w:pPr>
        <w:pStyle w:val="Reference"/>
      </w:pPr>
      <w:r w:rsidRPr="001B5C8B">
        <w:t>SA (Screen Australia) 2017, Drama Production Activity Summary, https://www.screenaustralia.gov.au/fact-finders/production-trends/all-drama-production/activity-summary (accessed 13 April 2018).</w:t>
      </w:r>
    </w:p>
    <w:p w:rsidR="00745FEA" w:rsidRPr="001B5C8B" w:rsidRDefault="00745FEA" w:rsidP="00745FEA">
      <w:pPr>
        <w:pStyle w:val="Reference"/>
      </w:pPr>
      <w:r w:rsidRPr="001B5C8B">
        <w:t xml:space="preserve">Saffioti, R. </w:t>
      </w:r>
      <w:r w:rsidR="0099232A" w:rsidRPr="001B5C8B">
        <w:t>(Minister for Transport, Western</w:t>
      </w:r>
      <w:r w:rsidR="004139DD" w:rsidRPr="001B5C8B">
        <w:t xml:space="preserve"> Australia</w:t>
      </w:r>
      <w:r w:rsidR="0099232A" w:rsidRPr="001B5C8B">
        <w:t>n Government</w:t>
      </w:r>
      <w:r w:rsidR="004139DD" w:rsidRPr="001B5C8B">
        <w:t xml:space="preserve">) </w:t>
      </w:r>
      <w:r w:rsidRPr="001B5C8B">
        <w:t xml:space="preserve">2017, </w:t>
      </w:r>
      <w:r w:rsidRPr="001B5C8B">
        <w:rPr>
          <w:i/>
        </w:rPr>
        <w:t>Onslow Marine Support Base a boost to local economy</w:t>
      </w:r>
      <w:r w:rsidRPr="001B5C8B">
        <w:t>, Media Statement</w:t>
      </w:r>
      <w:r w:rsidR="0099232A" w:rsidRPr="001B5C8B">
        <w:t>,</w:t>
      </w:r>
      <w:r w:rsidRPr="001B5C8B">
        <w:t xml:space="preserve"> 20 October.</w:t>
      </w:r>
    </w:p>
    <w:p w:rsidR="00745FEA" w:rsidRPr="001B5C8B" w:rsidRDefault="00745FEA" w:rsidP="00745FEA">
      <w:pPr>
        <w:pStyle w:val="Reference"/>
      </w:pPr>
      <w:r w:rsidRPr="001B5C8B">
        <w:t xml:space="preserve">Sheppard, J. 2016, </w:t>
      </w:r>
      <w:r w:rsidRPr="001B5C8B">
        <w:rPr>
          <w:i/>
        </w:rPr>
        <w:t>Attitudes to National Security: Balancing Safety and Privacy</w:t>
      </w:r>
      <w:r w:rsidRPr="001B5C8B">
        <w:t>, 22, October, ANUpoll, Australian National University, Canberra, October.</w:t>
      </w:r>
    </w:p>
    <w:p w:rsidR="00745FEA" w:rsidRPr="001B5C8B" w:rsidRDefault="00745FEA" w:rsidP="00745FEA">
      <w:pPr>
        <w:pStyle w:val="Reference"/>
      </w:pPr>
      <w:r w:rsidRPr="001B5C8B">
        <w:t xml:space="preserve">SRRATRC (Senate Rural and Regional Affairs and Transport References Committee) 2017, </w:t>
      </w:r>
      <w:r w:rsidRPr="001B5C8B">
        <w:rPr>
          <w:i/>
        </w:rPr>
        <w:t>Airport and aviation security</w:t>
      </w:r>
      <w:r w:rsidRPr="001B5C8B">
        <w:t xml:space="preserve">, </w:t>
      </w:r>
      <w:r w:rsidR="009D1112" w:rsidRPr="009D1112">
        <w:t>Report, 30 March, Parliament of Australia.</w:t>
      </w:r>
    </w:p>
    <w:p w:rsidR="00745FEA" w:rsidRPr="001B5C8B" w:rsidRDefault="00745FEA" w:rsidP="00745FEA">
      <w:pPr>
        <w:pStyle w:val="Reference"/>
      </w:pPr>
      <w:r w:rsidRPr="001B5C8B">
        <w:t xml:space="preserve">Stevens, G., Taylor, M.R., Jorm, L.R., Giffin, M., Ferguson, R., Agho, K.E. and Raphael, B. 2009, ‘Public perceptions of the threat of terrorist attack in Australia and anticipated compliance behaviours’, </w:t>
      </w:r>
      <w:r w:rsidRPr="001B5C8B">
        <w:rPr>
          <w:i/>
        </w:rPr>
        <w:t>Australia and New Zealand Journal of Public Health</w:t>
      </w:r>
      <w:r w:rsidRPr="001B5C8B">
        <w:t>, vol. 33, no. 4, pp. 339–346.</w:t>
      </w:r>
    </w:p>
    <w:p w:rsidR="00745FEA" w:rsidRPr="001B5C8B" w:rsidRDefault="00745FEA" w:rsidP="00745FEA">
      <w:pPr>
        <w:pStyle w:val="Reference"/>
      </w:pPr>
      <w:r w:rsidRPr="001B5C8B">
        <w:t xml:space="preserve">Stewart, M. and Mueller, J. 2011, ‘Cost-Benefit Analysis of Advanced Imaging Technology Full Body Scanners for Airline Passenger Security Screening’, </w:t>
      </w:r>
      <w:r w:rsidRPr="001B5C8B">
        <w:rPr>
          <w:i/>
        </w:rPr>
        <w:t>Journal of Homeland Security and Emergency Management</w:t>
      </w:r>
      <w:r w:rsidRPr="001B5C8B">
        <w:t>, vol. 8, no. 1, p. article 30.</w:t>
      </w:r>
    </w:p>
    <w:p w:rsidR="00745FEA" w:rsidRPr="001B5C8B" w:rsidRDefault="00745FEA" w:rsidP="00745FEA">
      <w:pPr>
        <w:pStyle w:val="Reference"/>
      </w:pPr>
      <w:r w:rsidRPr="001B5C8B">
        <w:t xml:space="preserve">Sunstein, C. 2002, ‘The Perception of Risk’, </w:t>
      </w:r>
      <w:r w:rsidRPr="001B5C8B">
        <w:rPr>
          <w:i/>
        </w:rPr>
        <w:t>Harvard Law Review</w:t>
      </w:r>
      <w:r w:rsidRPr="001B5C8B">
        <w:t>, no. 115.</w:t>
      </w:r>
    </w:p>
    <w:p w:rsidR="00745FEA" w:rsidRPr="001B5C8B" w:rsidRDefault="0099232A" w:rsidP="00745FEA">
      <w:pPr>
        <w:pStyle w:val="Reference"/>
      </w:pPr>
      <w:r w:rsidRPr="001B5C8B">
        <w:t xml:space="preserve">The </w:t>
      </w:r>
      <w:r w:rsidR="00745FEA" w:rsidRPr="001B5C8B">
        <w:t xml:space="preserve">Treasury 2018, </w:t>
      </w:r>
      <w:r w:rsidR="00745FEA" w:rsidRPr="001B5C8B">
        <w:rPr>
          <w:i/>
        </w:rPr>
        <w:t>Tax Expenditures Statement 2017</w:t>
      </w:r>
      <w:r w:rsidR="00745FEA" w:rsidRPr="001B5C8B">
        <w:t>, Canberra.</w:t>
      </w:r>
    </w:p>
    <w:p w:rsidR="009D1112" w:rsidRPr="001B5C8B" w:rsidRDefault="009D1112" w:rsidP="009D1112">
      <w:pPr>
        <w:pStyle w:val="Reference"/>
      </w:pPr>
      <w:r>
        <w:t xml:space="preserve">Turnbull, M. (Prime Minister) and </w:t>
      </w:r>
      <w:r w:rsidRPr="001B5C8B">
        <w:t xml:space="preserve">Joyce, B. </w:t>
      </w:r>
      <w:r>
        <w:t xml:space="preserve">(Deputy Prime Minister and Minister for Agriculture and Water) </w:t>
      </w:r>
      <w:r w:rsidRPr="001B5C8B">
        <w:t xml:space="preserve">2017, </w:t>
      </w:r>
      <w:r w:rsidRPr="001B5C8B">
        <w:rPr>
          <w:i/>
        </w:rPr>
        <w:t>$4 billion Regional Investment Corporation to back strong rural and regional communities</w:t>
      </w:r>
      <w:r w:rsidRPr="001B5C8B">
        <w:t>, Media Release, Australian Government, 9 May.</w:t>
      </w:r>
    </w:p>
    <w:p w:rsidR="00745FEA" w:rsidRPr="001B5C8B" w:rsidRDefault="00745FEA" w:rsidP="00745FEA">
      <w:pPr>
        <w:pStyle w:val="Reference"/>
      </w:pPr>
      <w:r w:rsidRPr="001B5C8B">
        <w:t xml:space="preserve">Vaile, M. </w:t>
      </w:r>
      <w:r w:rsidR="0099232A" w:rsidRPr="001B5C8B">
        <w:t xml:space="preserve">(Deputy Prime Minister and Minister for Transport and Regional Services) </w:t>
      </w:r>
      <w:r w:rsidRPr="001B5C8B">
        <w:t xml:space="preserve">2007, </w:t>
      </w:r>
      <w:r w:rsidRPr="001B5C8B">
        <w:rPr>
          <w:i/>
        </w:rPr>
        <w:t>Boosting Aviation Security</w:t>
      </w:r>
      <w:r w:rsidRPr="001B5C8B">
        <w:t>, Media Release, 8 May, Australian Government.</w:t>
      </w:r>
    </w:p>
    <w:p w:rsidR="00745FEA" w:rsidRPr="001B5C8B" w:rsidRDefault="00745FEA" w:rsidP="00745FEA">
      <w:pPr>
        <w:pStyle w:val="Reference"/>
      </w:pPr>
      <w:r w:rsidRPr="001B5C8B">
        <w:t>Walker, L. 2018, NAIF Opening Statement, Governance and operation of the Northern Australia Infrastructure Facility, Senate Economic References Committee, Hansard 1 February.</w:t>
      </w:r>
    </w:p>
    <w:p w:rsidR="00745FEA" w:rsidRPr="001B5C8B" w:rsidRDefault="00745FEA" w:rsidP="00745FEA">
      <w:pPr>
        <w:pStyle w:val="Reference"/>
      </w:pPr>
      <w:r w:rsidRPr="001B5C8B">
        <w:t xml:space="preserve">Williams, C. 2017, </w:t>
      </w:r>
      <w:r w:rsidR="00D87546" w:rsidRPr="00D87546">
        <w:t>‘</w:t>
      </w:r>
      <w:r w:rsidRPr="00D87546">
        <w:t>The Australian budget and counterterrorism</w:t>
      </w:r>
      <w:r w:rsidR="00D87546" w:rsidRPr="00D87546">
        <w:t>’</w:t>
      </w:r>
      <w:r w:rsidRPr="00D87546">
        <w:t xml:space="preserve">, </w:t>
      </w:r>
      <w:r w:rsidR="009D1112" w:rsidRPr="00D87546">
        <w:rPr>
          <w:i/>
        </w:rPr>
        <w:t>The Interpreter</w:t>
      </w:r>
      <w:r w:rsidR="009D1112" w:rsidRPr="009D1112">
        <w:t xml:space="preserve">, </w:t>
      </w:r>
      <w:r w:rsidR="00D87546">
        <w:t xml:space="preserve">Lowy Institute, </w:t>
      </w:r>
      <w:r w:rsidR="009D1112" w:rsidRPr="009D1112">
        <w:t>9 May, https://www.lowyinstitute.org/the-interpreter/australian-budget-and-counterterrorism (accessed 17 April 2018)</w:t>
      </w:r>
    </w:p>
    <w:p w:rsidR="00745FEA" w:rsidRPr="001B5C8B" w:rsidRDefault="00745FEA" w:rsidP="00745FEA">
      <w:pPr>
        <w:pStyle w:val="Reference"/>
      </w:pPr>
      <w:r w:rsidRPr="001B5C8B">
        <w:t xml:space="preserve">WTO (World Trade Organization) 2017, </w:t>
      </w:r>
      <w:r w:rsidRPr="001B5C8B">
        <w:rPr>
          <w:i/>
        </w:rPr>
        <w:t>Draft Report (2017) of the Committee on Government Procurement (Revision)</w:t>
      </w:r>
      <w:r w:rsidRPr="001B5C8B">
        <w:t>, 9 November, GPA/W/345/Rev.1.</w:t>
      </w:r>
    </w:p>
    <w:p w:rsidR="00745FEA" w:rsidRPr="001B5C8B" w:rsidRDefault="00745FEA" w:rsidP="00745FEA">
      <w:pPr>
        <w:pStyle w:val="Reference"/>
      </w:pPr>
      <w:r w:rsidRPr="001B5C8B">
        <w:t>—— 2018a, Committee moves ahead on multiple accessions to Government Procurement Agreement, 14 March, https://www.wto.org/english/news_e/news18_e/gpro_</w:t>
      </w:r>
      <w:r w:rsidRPr="001B5C8B">
        <w:br/>
        <w:t>14mar18_e.htm (accessed 9 April 2018).</w:t>
      </w:r>
    </w:p>
    <w:p w:rsidR="00745FEA" w:rsidRPr="001E4012" w:rsidRDefault="00745FEA" w:rsidP="00745FEA">
      <w:pPr>
        <w:pStyle w:val="Reference"/>
        <w:rPr>
          <w:spacing w:val="-2"/>
        </w:rPr>
      </w:pPr>
      <w:r w:rsidRPr="001E4012">
        <w:rPr>
          <w:spacing w:val="-2"/>
        </w:rPr>
        <w:t>—— 2018b, The Government Procurement Agreement, https://www.wto.org/english/tratop_</w:t>
      </w:r>
      <w:r w:rsidR="001E4012" w:rsidRPr="001E4012">
        <w:rPr>
          <w:spacing w:val="-2"/>
        </w:rPr>
        <w:br/>
      </w:r>
      <w:r w:rsidRPr="001E4012">
        <w:rPr>
          <w:spacing w:val="-2"/>
        </w:rPr>
        <w:t>e/gproc_e/gp_gpa_e.htm (accessed 12 April 2018).</w:t>
      </w:r>
    </w:p>
    <w:sectPr w:rsidR="00745FEA" w:rsidRPr="001E4012" w:rsidSect="00745FEA">
      <w:headerReference w:type="even" r:id="rId69"/>
      <w:headerReference w:type="default" r:id="rId70"/>
      <w:footerReference w:type="even" r:id="rId71"/>
      <w:footerReference w:type="default" r:id="rId72"/>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CF" w:rsidRDefault="00530FCF">
      <w:r>
        <w:separator/>
      </w:r>
    </w:p>
  </w:endnote>
  <w:endnote w:type="continuationSeparator" w:id="0">
    <w:p w:rsidR="00530FCF" w:rsidRDefault="005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Bold">
    <w:altName w:val="DINOT-Bold"/>
    <w:panose1 w:val="00000000000000000000"/>
    <w:charset w:val="00"/>
    <w:family w:val="swiss"/>
    <w:notTrueType/>
    <w:pitch w:val="default"/>
    <w:sig w:usb0="00000003" w:usb1="00000000" w:usb2="00000000" w:usb3="00000000" w:csb0="00000001" w:csb1="00000000"/>
  </w:font>
  <w:font w:name="DINOT-Light">
    <w:altName w:val="DINOT-Light"/>
    <w:panose1 w:val="00000000000000000000"/>
    <w:charset w:val="00"/>
    <w:family w:val="swiss"/>
    <w:notTrueType/>
    <w:pitch w:val="default"/>
    <w:sig w:usb0="00000003" w:usb1="00000000" w:usb2="00000000" w:usb3="00000000" w:csb0="00000001" w:csb1="00000000"/>
  </w:font>
  <w:font w:name="HelveticaNeueW01-75Bold">
    <w:altName w:val="Times New Roman"/>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0FCF" w:rsidTr="005F48ED">
      <w:trPr>
        <w:trHeight w:hRule="exact" w:val="567"/>
      </w:trPr>
      <w:tc>
        <w:tcPr>
          <w:tcW w:w="510" w:type="dxa"/>
        </w:tcPr>
        <w:p w:rsidR="00530FCF" w:rsidRPr="00A24443" w:rsidRDefault="00530FC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iii</w:t>
          </w:r>
          <w:r w:rsidRPr="00A24443">
            <w:rPr>
              <w:rStyle w:val="PageNumber"/>
              <w:caps w:val="0"/>
            </w:rPr>
            <w:fldChar w:fldCharType="end"/>
          </w:r>
        </w:p>
      </w:tc>
      <w:tc>
        <w:tcPr>
          <w:tcW w:w="7767" w:type="dxa"/>
        </w:tcPr>
        <w:p w:rsidR="00530FCF" w:rsidRPr="0013739A" w:rsidRDefault="00530FCF" w:rsidP="009D1112">
          <w:pPr>
            <w:pStyle w:val="Footer"/>
            <w:rPr>
              <w:rFonts w:cs="Arial"/>
            </w:rPr>
          </w:pPr>
          <w:r w:rsidRPr="00BA5B14">
            <w:rPr>
              <w:rFonts w:cs="Arial"/>
            </w:rPr>
            <w:fldChar w:fldCharType="begin"/>
          </w:r>
          <w:r w:rsidRPr="00BA5B14">
            <w:rPr>
              <w:rFonts w:cs="Arial"/>
            </w:rPr>
            <w:instrText xml:space="preserve"> </w:instrText>
          </w:r>
          <w:r>
            <w:rPr>
              <w:rFonts w:cs="Arial"/>
            </w:rPr>
            <w:instrText>title</w:instrText>
          </w:r>
          <w:r w:rsidRPr="00BA5B14">
            <w:rPr>
              <w:rFonts w:cs="Arial"/>
            </w:rPr>
            <w:instrText xml:space="preserve"> </w:instrText>
          </w:r>
          <w:r w:rsidRPr="00BA5B14">
            <w:rPr>
              <w:rFonts w:cs="Arial"/>
            </w:rPr>
            <w:fldChar w:fldCharType="separate"/>
          </w:r>
          <w:r>
            <w:rPr>
              <w:rFonts w:cs="Arial"/>
            </w:rPr>
            <w:t>Prelims</w:t>
          </w:r>
          <w:r w:rsidRPr="00BA5B14">
            <w:rPr>
              <w:rFonts w:cs="Arial"/>
            </w:rPr>
            <w:fldChar w:fldCharType="end"/>
          </w:r>
        </w:p>
      </w:tc>
      <w:tc>
        <w:tcPr>
          <w:tcW w:w="510" w:type="dxa"/>
        </w:tcPr>
        <w:p w:rsidR="00530FCF" w:rsidRDefault="00530FCF" w:rsidP="0019293B">
          <w:pPr>
            <w:pStyle w:val="Footer"/>
          </w:pPr>
        </w:p>
      </w:tc>
    </w:tr>
  </w:tbl>
  <w:p w:rsidR="00530FCF" w:rsidRDefault="00530FCF" w:rsidP="0019293B">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ASSISTANCE ESTIMATES</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19</w:t>
          </w:r>
          <w:r>
            <w:rPr>
              <w:rStyle w:val="PageNumber"/>
            </w:rPr>
            <w:fldChar w:fldCharType="end"/>
          </w:r>
        </w:p>
      </w:tc>
    </w:tr>
  </w:tbl>
  <w:p w:rsidR="00530FCF" w:rsidRPr="00745FEA" w:rsidRDefault="00530FCF" w:rsidP="00745FEA">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62</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National security measures</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61</w:t>
          </w:r>
          <w:r>
            <w:rPr>
              <w:rStyle w:val="PageNumber"/>
            </w:rPr>
            <w:fldChar w:fldCharType="end"/>
          </w:r>
        </w:p>
      </w:tc>
    </w:tr>
  </w:tbl>
  <w:p w:rsidR="00530FCF" w:rsidRPr="00745FEA" w:rsidRDefault="00530FCF" w:rsidP="00745FEA">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70</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RECENT DEVELOPMENTS</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71</w:t>
          </w:r>
          <w:r>
            <w:rPr>
              <w:rStyle w:val="PageNumber"/>
            </w:rPr>
            <w:fldChar w:fldCharType="end"/>
          </w:r>
        </w:p>
      </w:tc>
    </w:tr>
  </w:tbl>
  <w:p w:rsidR="00530FCF" w:rsidRPr="00745FEA" w:rsidRDefault="00530FCF" w:rsidP="00745FEA">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80</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TRADE POlicy developments</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79</w:t>
          </w:r>
          <w:r>
            <w:rPr>
              <w:rStyle w:val="PageNumber"/>
            </w:rPr>
            <w:fldChar w:fldCharType="end"/>
          </w:r>
        </w:p>
      </w:tc>
    </w:tr>
  </w:tbl>
  <w:p w:rsidR="00530FCF" w:rsidRPr="00745FEA" w:rsidRDefault="00530FCF" w:rsidP="00745FEA">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134</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DETAILED ESTIMATES</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133</w:t>
          </w:r>
          <w:r>
            <w:rPr>
              <w:rStyle w:val="PageNumber"/>
            </w:rPr>
            <w:fldChar w:fldCharType="end"/>
          </w:r>
        </w:p>
      </w:tc>
    </w:tr>
  </w:tbl>
  <w:p w:rsidR="00530FCF" w:rsidRPr="00745FEA" w:rsidRDefault="00530FCF" w:rsidP="00745FEA">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140</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0FCF" w:rsidTr="005F48ED">
      <w:trPr>
        <w:trHeight w:hRule="exact" w:val="567"/>
      </w:trPr>
      <w:tc>
        <w:tcPr>
          <w:tcW w:w="510" w:type="dxa"/>
        </w:tcPr>
        <w:p w:rsidR="00530FCF" w:rsidRDefault="00530FCF">
          <w:pPr>
            <w:pStyle w:val="Footer"/>
            <w:ind w:right="360" w:firstLine="360"/>
          </w:pPr>
        </w:p>
      </w:tc>
      <w:tc>
        <w:tcPr>
          <w:tcW w:w="7767" w:type="dxa"/>
        </w:tcPr>
        <w:p w:rsidR="00530FCF" w:rsidRPr="00160417" w:rsidRDefault="00530FCF" w:rsidP="009D1112">
          <w:pPr>
            <w:pStyle w:val="Footer"/>
            <w:jc w:val="right"/>
            <w:rPr>
              <w:rFonts w:cs="Arial"/>
            </w:rPr>
          </w:pPr>
          <w:r w:rsidRPr="00160417">
            <w:rPr>
              <w:noProof/>
            </w:rPr>
            <w:fldChar w:fldCharType="begin"/>
          </w:r>
          <w:r w:rsidRPr="00160417">
            <w:rPr>
              <w:noProof/>
            </w:rPr>
            <w:instrText xml:space="preserve"> STYLEREF "Heading 1" \* MERGEFORMAT </w:instrText>
          </w:r>
          <w:r w:rsidRPr="00160417">
            <w:rPr>
              <w:noProof/>
            </w:rPr>
            <w:fldChar w:fldCharType="separate"/>
          </w:r>
          <w:r w:rsidR="00440BF6" w:rsidRPr="00440BF6">
            <w:rPr>
              <w:bCs/>
              <w:noProof/>
              <w:lang w:val="en-US"/>
            </w:rPr>
            <w:t>Foreword</w:t>
          </w:r>
          <w:r w:rsidRPr="00160417">
            <w:rPr>
              <w:noProof/>
            </w:rPr>
            <w:fldChar w:fldCharType="end"/>
          </w:r>
        </w:p>
      </w:tc>
      <w:tc>
        <w:tcPr>
          <w:tcW w:w="510" w:type="dxa"/>
        </w:tcPr>
        <w:p w:rsidR="00530FCF" w:rsidRPr="00634771" w:rsidRDefault="00530FCF">
          <w:pPr>
            <w:pStyle w:val="Footer"/>
            <w:jc w:val="right"/>
            <w:rPr>
              <w:caps w:val="0"/>
            </w:rPr>
          </w:pPr>
          <w:r w:rsidRPr="00634771">
            <w:rPr>
              <w:rStyle w:val="PageNumber"/>
              <w:caps w:val="0"/>
            </w:rPr>
            <w:fldChar w:fldCharType="begin"/>
          </w:r>
          <w:r w:rsidRPr="00634771">
            <w:rPr>
              <w:rStyle w:val="PageNumber"/>
              <w:caps w:val="0"/>
            </w:rPr>
            <w:instrText xml:space="preserve">PAGE  </w:instrText>
          </w:r>
          <w:r w:rsidRPr="00634771">
            <w:rPr>
              <w:rStyle w:val="PageNumber"/>
              <w:caps w:val="0"/>
            </w:rPr>
            <w:fldChar w:fldCharType="separate"/>
          </w:r>
          <w:r w:rsidR="00440BF6">
            <w:rPr>
              <w:rStyle w:val="PageNumber"/>
              <w:caps w:val="0"/>
              <w:noProof/>
            </w:rPr>
            <w:t>iii</w:t>
          </w:r>
          <w:r w:rsidRPr="00634771">
            <w:rPr>
              <w:rStyle w:val="PageNumber"/>
              <w:caps w:val="0"/>
            </w:rPr>
            <w:fldChar w:fldCharType="end"/>
          </w:r>
        </w:p>
      </w:tc>
    </w:tr>
  </w:tbl>
  <w:p w:rsidR="00530FCF" w:rsidRDefault="00530FCF">
    <w:pPr>
      <w:pStyle w:val="FooterEnd"/>
    </w:pPr>
  </w:p>
  <w:p w:rsidR="00530FCF" w:rsidRDefault="00530FCF">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References</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141</w:t>
          </w:r>
          <w:r>
            <w:rPr>
              <w:rStyle w:val="PageNumber"/>
            </w:rPr>
            <w:fldChar w:fldCharType="end"/>
          </w:r>
        </w:p>
      </w:tc>
    </w:tr>
  </w:tbl>
  <w:p w:rsidR="00530FCF" w:rsidRPr="00745FEA" w:rsidRDefault="00530FCF" w:rsidP="00745FEA">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0FCF" w:rsidTr="005F48ED">
      <w:trPr>
        <w:trHeight w:hRule="exact" w:val="567"/>
      </w:trPr>
      <w:tc>
        <w:tcPr>
          <w:tcW w:w="510" w:type="dxa"/>
        </w:tcPr>
        <w:p w:rsidR="00530FCF" w:rsidRPr="00A24443" w:rsidRDefault="00530FC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0BF6">
            <w:rPr>
              <w:rStyle w:val="PageNumber"/>
              <w:caps w:val="0"/>
              <w:noProof/>
            </w:rPr>
            <w:t>vi</w:t>
          </w:r>
          <w:r w:rsidRPr="00A24443">
            <w:rPr>
              <w:rStyle w:val="PageNumber"/>
              <w:caps w:val="0"/>
            </w:rPr>
            <w:fldChar w:fldCharType="end"/>
          </w:r>
        </w:p>
      </w:tc>
      <w:tc>
        <w:tcPr>
          <w:tcW w:w="7767" w:type="dxa"/>
        </w:tcPr>
        <w:p w:rsidR="00530FCF" w:rsidRPr="0013739A" w:rsidRDefault="00530FCF" w:rsidP="0013739A">
          <w:pPr>
            <w:pStyle w:val="Footer"/>
            <w:rPr>
              <w:rFonts w:cs="Arial"/>
            </w:rPr>
          </w:pPr>
          <w:r>
            <w:rPr>
              <w:rFonts w:cs="Arial"/>
            </w:rPr>
            <w:t>trade and assistance review 2016-17</w:t>
          </w:r>
        </w:p>
      </w:tc>
      <w:tc>
        <w:tcPr>
          <w:tcW w:w="510" w:type="dxa"/>
        </w:tcPr>
        <w:p w:rsidR="00530FCF" w:rsidRDefault="00530FCF" w:rsidP="0019293B">
          <w:pPr>
            <w:pStyle w:val="Footer"/>
          </w:pPr>
        </w:p>
      </w:tc>
    </w:tr>
  </w:tbl>
  <w:p w:rsidR="00530FCF" w:rsidRDefault="00530FCF" w:rsidP="0019293B">
    <w:pPr>
      <w:pStyle w:val="FooterEnd"/>
    </w:pPr>
  </w:p>
  <w:p w:rsidR="00530FCF" w:rsidRDefault="00530FCF">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0FCF" w:rsidTr="005F48ED">
      <w:trPr>
        <w:trHeight w:hRule="exact" w:val="567"/>
      </w:trPr>
      <w:tc>
        <w:tcPr>
          <w:tcW w:w="510" w:type="dxa"/>
        </w:tcPr>
        <w:p w:rsidR="00530FCF" w:rsidRDefault="00530FCF">
          <w:pPr>
            <w:pStyle w:val="Footer"/>
            <w:ind w:right="360" w:firstLine="360"/>
          </w:pPr>
        </w:p>
      </w:tc>
      <w:tc>
        <w:tcPr>
          <w:tcW w:w="7767" w:type="dxa"/>
        </w:tcPr>
        <w:p w:rsidR="00530FCF" w:rsidRPr="00BA5B14" w:rsidRDefault="00530FCF" w:rsidP="009D1112">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440BF6" w:rsidRPr="00440BF6">
            <w:rPr>
              <w:bCs/>
              <w:noProof/>
            </w:rPr>
            <w:t>Contents</w:t>
          </w:r>
          <w:r w:rsidRPr="008F7DB7">
            <w:rPr>
              <w:noProof/>
            </w:rPr>
            <w:fldChar w:fldCharType="end"/>
          </w:r>
          <w:r>
            <w:rPr>
              <w:rFonts w:cs="Arial"/>
            </w:rPr>
            <w:t xml:space="preserve"> </w:t>
          </w:r>
        </w:p>
      </w:tc>
      <w:tc>
        <w:tcPr>
          <w:tcW w:w="510" w:type="dxa"/>
        </w:tcPr>
        <w:p w:rsidR="00530FCF" w:rsidRPr="007448F7" w:rsidRDefault="00530FCF">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440BF6">
            <w:rPr>
              <w:rStyle w:val="PageNumber"/>
              <w:caps w:val="0"/>
              <w:noProof/>
            </w:rPr>
            <w:t>v</w:t>
          </w:r>
          <w:r w:rsidRPr="007448F7">
            <w:rPr>
              <w:rStyle w:val="PageNumber"/>
              <w:caps w:val="0"/>
            </w:rPr>
            <w:fldChar w:fldCharType="end"/>
          </w:r>
        </w:p>
      </w:tc>
    </w:tr>
  </w:tbl>
  <w:p w:rsidR="00530FCF" w:rsidRDefault="00530FCF">
    <w:pPr>
      <w:pStyle w:val="FooterEnd"/>
    </w:pPr>
  </w:p>
  <w:p w:rsidR="00530FCF" w:rsidRDefault="00530FCF">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0FCF" w:rsidTr="005F48ED">
      <w:trPr>
        <w:trHeight w:hRule="exact" w:val="567"/>
      </w:trPr>
      <w:tc>
        <w:tcPr>
          <w:tcW w:w="510" w:type="dxa"/>
        </w:tcPr>
        <w:p w:rsidR="00530FCF" w:rsidRPr="007448F7" w:rsidRDefault="00530FCF"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viii</w:t>
          </w:r>
          <w:r w:rsidRPr="007448F7">
            <w:rPr>
              <w:rStyle w:val="PageNumber"/>
              <w:caps w:val="0"/>
            </w:rPr>
            <w:fldChar w:fldCharType="end"/>
          </w:r>
        </w:p>
      </w:tc>
      <w:tc>
        <w:tcPr>
          <w:tcW w:w="7767" w:type="dxa"/>
        </w:tcPr>
        <w:p w:rsidR="00530FCF" w:rsidRPr="0013739A" w:rsidRDefault="00530FCF" w:rsidP="009D1112">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Prelims</w:t>
          </w:r>
          <w:r w:rsidRPr="00BA5B14">
            <w:rPr>
              <w:rFonts w:cs="Arial"/>
            </w:rPr>
            <w:fldChar w:fldCharType="end"/>
          </w:r>
        </w:p>
      </w:tc>
      <w:tc>
        <w:tcPr>
          <w:tcW w:w="510" w:type="dxa"/>
        </w:tcPr>
        <w:p w:rsidR="00530FCF" w:rsidRDefault="00530FCF" w:rsidP="0019293B">
          <w:pPr>
            <w:pStyle w:val="Footer"/>
          </w:pPr>
        </w:p>
      </w:tc>
    </w:tr>
  </w:tbl>
  <w:p w:rsidR="00530FCF" w:rsidRDefault="00530FCF" w:rsidP="0019293B">
    <w:pPr>
      <w:pStyle w:val="FooterEnd"/>
    </w:pPr>
  </w:p>
  <w:p w:rsidR="00530FCF" w:rsidRDefault="00530FCF">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0FCF" w:rsidTr="005F48ED">
      <w:trPr>
        <w:trHeight w:hRule="exact" w:val="567"/>
      </w:trPr>
      <w:tc>
        <w:tcPr>
          <w:tcW w:w="510" w:type="dxa"/>
        </w:tcPr>
        <w:p w:rsidR="00530FCF" w:rsidRDefault="00530FCF">
          <w:pPr>
            <w:pStyle w:val="Footer"/>
            <w:ind w:right="360" w:firstLine="360"/>
          </w:pPr>
        </w:p>
      </w:tc>
      <w:tc>
        <w:tcPr>
          <w:tcW w:w="7767" w:type="dxa"/>
        </w:tcPr>
        <w:p w:rsidR="00530FCF" w:rsidRPr="00340511" w:rsidRDefault="00530FCF" w:rsidP="009D1112">
          <w:pPr>
            <w:pStyle w:val="Footer"/>
            <w:jc w:val="right"/>
            <w:rPr>
              <w:rFonts w:cs="Arial"/>
            </w:rPr>
          </w:pPr>
          <w:r w:rsidRPr="00B103C5">
            <w:rPr>
              <w:bCs/>
              <w:noProof/>
              <w:lang w:val="en-US"/>
            </w:rPr>
            <w:t>Abbreviations</w:t>
          </w:r>
          <w:r>
            <w:rPr>
              <w:noProof/>
            </w:rPr>
            <w:t xml:space="preserve"> and explanations</w:t>
          </w:r>
        </w:p>
      </w:tc>
      <w:tc>
        <w:tcPr>
          <w:tcW w:w="510" w:type="dxa"/>
        </w:tcPr>
        <w:p w:rsidR="00530FCF" w:rsidRPr="00A24443" w:rsidRDefault="00530FC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0BF6">
            <w:rPr>
              <w:rStyle w:val="PageNumber"/>
              <w:caps w:val="0"/>
              <w:noProof/>
            </w:rPr>
            <w:t>vii</w:t>
          </w:r>
          <w:r w:rsidRPr="00A24443">
            <w:rPr>
              <w:rStyle w:val="PageNumber"/>
              <w:caps w:val="0"/>
            </w:rPr>
            <w:fldChar w:fldCharType="end"/>
          </w:r>
        </w:p>
      </w:tc>
    </w:tr>
  </w:tbl>
  <w:p w:rsidR="00530FCF" w:rsidRDefault="00530FCF">
    <w:pPr>
      <w:pStyle w:val="FooterEnd"/>
    </w:pPr>
  </w:p>
  <w:p w:rsidR="00530FCF" w:rsidRDefault="00530FCF" w:rsidP="009D111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16</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Default="00530FCF" w:rsidP="00745FEA">
          <w:pPr>
            <w:pStyle w:val="Footer"/>
          </w:pPr>
        </w:p>
      </w:tc>
      <w:tc>
        <w:tcPr>
          <w:tcW w:w="7767" w:type="dxa"/>
          <w:tcBorders>
            <w:top w:val="single" w:sz="4" w:space="0" w:color="auto"/>
          </w:tcBorders>
          <w:shd w:val="clear" w:color="auto" w:fill="auto"/>
        </w:tcPr>
        <w:p w:rsidR="00530FCF" w:rsidRDefault="00530FCF" w:rsidP="00745FEA">
          <w:pPr>
            <w:pStyle w:val="Footer"/>
            <w:jc w:val="right"/>
          </w:pPr>
          <w:r>
            <w:t>key results and policy development</w:t>
          </w:r>
        </w:p>
      </w:tc>
      <w:tc>
        <w:tcPr>
          <w:tcW w:w="510" w:type="dxa"/>
          <w:tcBorders>
            <w:top w:val="single" w:sz="4" w:space="0" w:color="auto"/>
          </w:tcBorders>
          <w:shd w:val="clear" w:color="auto" w:fill="auto"/>
        </w:tcPr>
        <w:p w:rsidR="00530FCF" w:rsidRPr="00745FEA" w:rsidRDefault="00530FCF" w:rsidP="00745FEA">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15</w:t>
          </w:r>
          <w:r>
            <w:rPr>
              <w:rStyle w:val="PageNumber"/>
            </w:rPr>
            <w:fldChar w:fldCharType="end"/>
          </w:r>
        </w:p>
      </w:tc>
    </w:tr>
  </w:tbl>
  <w:p w:rsidR="00530FCF" w:rsidRPr="00745FEA" w:rsidRDefault="00530FCF" w:rsidP="00745FEA">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30FCF" w:rsidTr="00745FEA">
      <w:trPr>
        <w:trHeight w:val="567"/>
      </w:trPr>
      <w:tc>
        <w:tcPr>
          <w:tcW w:w="510" w:type="dxa"/>
          <w:tcBorders>
            <w:top w:val="single" w:sz="4" w:space="0" w:color="auto"/>
          </w:tcBorders>
          <w:shd w:val="clear" w:color="auto" w:fill="auto"/>
        </w:tcPr>
        <w:p w:rsidR="00530FCF" w:rsidRPr="00745FEA" w:rsidRDefault="00530FCF" w:rsidP="00745FEA">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40BF6">
            <w:rPr>
              <w:rStyle w:val="PageNumber"/>
              <w:noProof/>
            </w:rPr>
            <w:t>20</w:t>
          </w:r>
          <w:r>
            <w:rPr>
              <w:rStyle w:val="PageNumber"/>
            </w:rPr>
            <w:fldChar w:fldCharType="end"/>
          </w:r>
        </w:p>
      </w:tc>
      <w:tc>
        <w:tcPr>
          <w:tcW w:w="7767" w:type="dxa"/>
          <w:tcBorders>
            <w:top w:val="single" w:sz="4" w:space="0" w:color="auto"/>
          </w:tcBorders>
          <w:shd w:val="clear" w:color="auto" w:fill="auto"/>
        </w:tcPr>
        <w:p w:rsidR="00530FCF" w:rsidRDefault="00530FCF" w:rsidP="00745FEA">
          <w:pPr>
            <w:pStyle w:val="Footer"/>
          </w:pPr>
          <w:r>
            <w:t>TRADE AND ASSISTANCE REVIEW 2016-17</w:t>
          </w:r>
        </w:p>
      </w:tc>
      <w:tc>
        <w:tcPr>
          <w:tcW w:w="510" w:type="dxa"/>
          <w:tcBorders>
            <w:top w:val="single" w:sz="4" w:space="0" w:color="auto"/>
          </w:tcBorders>
          <w:shd w:val="clear" w:color="auto" w:fill="auto"/>
        </w:tcPr>
        <w:p w:rsidR="00530FCF" w:rsidRDefault="00530FCF" w:rsidP="00745FEA">
          <w:pPr>
            <w:pStyle w:val="Footer"/>
          </w:pPr>
        </w:p>
      </w:tc>
    </w:tr>
  </w:tbl>
  <w:p w:rsidR="00530FCF" w:rsidRPr="00745FEA" w:rsidRDefault="00530FCF" w:rsidP="00745FE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CF" w:rsidRDefault="00530FCF">
      <w:r>
        <w:separator/>
      </w:r>
    </w:p>
  </w:footnote>
  <w:footnote w:type="continuationSeparator" w:id="0">
    <w:p w:rsidR="00530FCF" w:rsidRDefault="00530FCF">
      <w:r>
        <w:continuationSeparator/>
      </w:r>
    </w:p>
  </w:footnote>
  <w:footnote w:id="1">
    <w:p w:rsidR="00530FCF" w:rsidRDefault="00530FCF">
      <w:pPr>
        <w:pStyle w:val="FootnoteText"/>
      </w:pPr>
      <w:r w:rsidRPr="001907BC">
        <w:rPr>
          <w:rStyle w:val="FootnoteReference"/>
        </w:rPr>
        <w:footnoteRef/>
      </w:r>
      <w:r>
        <w:tab/>
      </w:r>
      <w:r w:rsidRPr="00007285">
        <w:t xml:space="preserve">These are the shares of assistance that can be allocated to a sector, which is </w:t>
      </w:r>
      <w:r>
        <w:t>77 per cent</w:t>
      </w:r>
      <w:r w:rsidRPr="00007285">
        <w:t xml:space="preserve"> of net assistance and </w:t>
      </w:r>
      <w:r>
        <w:t>84 per cent</w:t>
      </w:r>
      <w:r w:rsidRPr="00007285">
        <w:t xml:space="preserve"> of gross assistance.</w:t>
      </w:r>
      <w:r>
        <w:t xml:space="preserve"> </w:t>
      </w:r>
    </w:p>
  </w:footnote>
  <w:footnote w:id="2">
    <w:p w:rsidR="00530FCF" w:rsidRPr="00846DCE" w:rsidRDefault="00530FCF">
      <w:pPr>
        <w:pStyle w:val="FootnoteText"/>
        <w:rPr>
          <w:spacing w:val="-2"/>
        </w:rPr>
      </w:pPr>
      <w:r w:rsidRPr="001907BC">
        <w:rPr>
          <w:rStyle w:val="FootnoteReference"/>
        </w:rPr>
        <w:footnoteRef/>
      </w:r>
      <w:r>
        <w:tab/>
      </w:r>
      <w:r w:rsidRPr="00846DCE">
        <w:rPr>
          <w:spacing w:val="-2"/>
        </w:rPr>
        <w:t>This estimate is slightly higher than that reported by the Department of Industry, Innovation and Science (DIIS), which for 2016</w:t>
      </w:r>
      <w:r w:rsidRPr="00846DCE">
        <w:rPr>
          <w:spacing w:val="-2"/>
        </w:rPr>
        <w:noBreakHyphen/>
        <w:t xml:space="preserve">17 was $3.134 billion </w:t>
      </w:r>
      <w:r w:rsidRPr="00846DCE">
        <w:rPr>
          <w:spacing w:val="-2"/>
          <w:szCs w:val="24"/>
        </w:rPr>
        <w:t>(DIIS 2017)</w:t>
      </w:r>
      <w:r w:rsidRPr="00846DCE">
        <w:rPr>
          <w:spacing w:val="-2"/>
        </w:rPr>
        <w:t xml:space="preserve">. DIIS reports the tax concession in the year in which the activity (generating the concession) occurs. The Commission (following Treasury’s treatment) traditionally has reported the concession in the year in which it is received by the company. This is typically the following year after tax returns are completed (the year after the activity creating the concession occurs). Hence, discrepancies between the </w:t>
      </w:r>
      <w:r w:rsidRPr="00846DCE">
        <w:rPr>
          <w:i/>
          <w:spacing w:val="-2"/>
        </w:rPr>
        <w:t>Review</w:t>
      </w:r>
      <w:r w:rsidRPr="00846DCE">
        <w:rPr>
          <w:spacing w:val="-2"/>
        </w:rPr>
        <w:t xml:space="preserve"> and department estimates will arise when a program is growing or contracting. </w:t>
      </w:r>
      <w:r w:rsidR="00846DCE" w:rsidRPr="00846DCE">
        <w:rPr>
          <w:spacing w:val="-2"/>
        </w:rPr>
        <w:t>Further, budgetary assistance estimates for the R&amp;D Tax Incentive are not collected or reported elsewhere at the industry or sector level. The figures provided in this report are estimates only, derived from Treasury’s Tax Expenditure Statements and DIIS’s Science, Research and Innovation Budget Tables.</w:t>
      </w:r>
    </w:p>
  </w:footnote>
  <w:footnote w:id="3">
    <w:p w:rsidR="00530FCF" w:rsidRDefault="00530FCF">
      <w:pPr>
        <w:pStyle w:val="FootnoteText"/>
      </w:pPr>
      <w:r w:rsidRPr="001907BC">
        <w:rPr>
          <w:rStyle w:val="FootnoteReference"/>
        </w:rPr>
        <w:footnoteRef/>
      </w:r>
      <w:r>
        <w:tab/>
        <w:t>For example, in relation to chemical products</w:t>
      </w:r>
      <w:r w:rsidRPr="00CF1B2C">
        <w:t xml:space="preserve"> </w:t>
      </w:r>
      <w:r>
        <w:t xml:space="preserve">the AUSFTA sets out separate ‘originating good’ tests in relation to transformation of imported inputs by chemical reaction, purification, mixing and blending, change in particle size or isomer separation, or for the production of standards materials. </w:t>
      </w:r>
    </w:p>
  </w:footnote>
  <w:footnote w:id="4">
    <w:p w:rsidR="00530FCF" w:rsidRDefault="00530FCF">
      <w:pPr>
        <w:pStyle w:val="FootnoteText"/>
      </w:pPr>
      <w:r w:rsidRPr="00B76C5B">
        <w:rPr>
          <w:rStyle w:val="FootnoteReference"/>
        </w:rPr>
        <w:footnoteRef/>
      </w:r>
      <w:r>
        <w:tab/>
        <w:t xml:space="preserve">The </w:t>
      </w:r>
      <w:r w:rsidRPr="00E3612A">
        <w:t xml:space="preserve">assistance estimates reported in this year’s </w:t>
      </w:r>
      <w:r w:rsidRPr="00E3612A">
        <w:rPr>
          <w:i/>
        </w:rPr>
        <w:t>Review</w:t>
      </w:r>
      <w:r w:rsidRPr="00E3612A">
        <w:t xml:space="preserve"> cover the period 201</w:t>
      </w:r>
      <w:r>
        <w:t>1</w:t>
      </w:r>
      <w:r>
        <w:noBreakHyphen/>
      </w:r>
      <w:r w:rsidRPr="00E3612A">
        <w:t>1</w:t>
      </w:r>
      <w:r>
        <w:t>2</w:t>
      </w:r>
      <w:r w:rsidRPr="00E3612A">
        <w:t xml:space="preserve"> to 201</w:t>
      </w:r>
      <w:r>
        <w:t>6</w:t>
      </w:r>
      <w:r>
        <w:noBreakHyphen/>
      </w:r>
      <w:r w:rsidRPr="00E3612A">
        <w:t>1</w:t>
      </w:r>
      <w:r>
        <w:t>7</w:t>
      </w:r>
      <w:r w:rsidRPr="00E3612A">
        <w:t>.</w:t>
      </w:r>
      <w:r>
        <w:t xml:space="preserve"> </w:t>
      </w:r>
      <w:r w:rsidRPr="005B65D6">
        <w:t>Further information on the assistance estimation methodology, program coverage</w:t>
      </w:r>
      <w:r>
        <w:t xml:space="preserve"> and </w:t>
      </w:r>
      <w:r w:rsidRPr="005B65D6">
        <w:t xml:space="preserve">industry allocation is to be provided in a (forthcoming) Methodological Annex to this </w:t>
      </w:r>
      <w:r w:rsidRPr="005B65D6">
        <w:rPr>
          <w:i/>
        </w:rPr>
        <w:t>Review</w:t>
      </w:r>
      <w:r w:rsidRPr="005B65D6">
        <w:t>.</w:t>
      </w:r>
      <w:r>
        <w:t xml:space="preserve"> </w:t>
      </w:r>
    </w:p>
  </w:footnote>
  <w:footnote w:id="5">
    <w:p w:rsidR="00530FCF" w:rsidRDefault="00530FCF">
      <w:pPr>
        <w:pStyle w:val="FootnoteText"/>
      </w:pPr>
      <w:r w:rsidRPr="00B76C5B">
        <w:rPr>
          <w:rStyle w:val="FootnoteReference"/>
        </w:rPr>
        <w:footnoteRef/>
      </w:r>
      <w:r>
        <w:tab/>
      </w:r>
      <w:r w:rsidRPr="00AE7C58">
        <w:t>The Commission’s assistance estimates do not include the full government appropriation for CSIRO. Excluded are certain public research such as environmental R&amp;D, some renewable energy R&amp;D and general research towards expanding knowledge in various fields.</w:t>
      </w:r>
      <w:r>
        <w:t xml:space="preserve"> </w:t>
      </w:r>
    </w:p>
  </w:footnote>
  <w:footnote w:id="6">
    <w:p w:rsidR="00530FCF" w:rsidRDefault="00530FCF" w:rsidP="00745FEA">
      <w:pPr>
        <w:pStyle w:val="FootnoteText"/>
      </w:pPr>
      <w:r w:rsidRPr="00B76C5B">
        <w:rPr>
          <w:rStyle w:val="FootnoteReference"/>
        </w:rPr>
        <w:footnoteRef/>
      </w:r>
      <w:r>
        <w:tab/>
      </w:r>
      <w:r w:rsidRPr="00AE7C58">
        <w:t>State and territory governments also provide substantial budgetary assistance to industry. The 2009</w:t>
      </w:r>
      <w:r>
        <w:noBreakHyphen/>
      </w:r>
      <w:r w:rsidRPr="00AE7C58">
        <w:t xml:space="preserve">10 </w:t>
      </w:r>
      <w:r w:rsidRPr="00254FDF">
        <w:rPr>
          <w:i/>
        </w:rPr>
        <w:t>Review</w:t>
      </w:r>
      <w:r w:rsidRPr="00AE7C58">
        <w:t xml:space="preserve"> found that in 2008</w:t>
      </w:r>
      <w:r>
        <w:noBreakHyphen/>
      </w:r>
      <w:r w:rsidRPr="00AE7C58">
        <w:t>09 subnational governments expended around $1.5 billion on programs that provided grants and services to the benefit of industry (and an additional $2.6 billion in administrative wages and expenses). This equated to around $184 per person. Programs relating to primary industries and resources accounted for around 60</w:t>
      </w:r>
      <w:r>
        <w:t> per cent</w:t>
      </w:r>
      <w:r w:rsidRPr="00AE7C58">
        <w:t xml:space="preserve"> of estimated industry assistance </w:t>
      </w:r>
      <w:r w:rsidRPr="003B712E">
        <w:rPr>
          <w:szCs w:val="24"/>
        </w:rPr>
        <w:t>(PC 2011)</w:t>
      </w:r>
      <w:r w:rsidRPr="00AE7C58">
        <w:t>.</w:t>
      </w:r>
      <w:r>
        <w:t xml:space="preserve"> </w:t>
      </w:r>
    </w:p>
  </w:footnote>
  <w:footnote w:id="7">
    <w:p w:rsidR="00530FCF" w:rsidRDefault="00530FCF" w:rsidP="00745FEA">
      <w:pPr>
        <w:pStyle w:val="FootnoteText"/>
      </w:pPr>
      <w:r w:rsidRPr="00B76C5B">
        <w:rPr>
          <w:rStyle w:val="FootnoteReference"/>
        </w:rPr>
        <w:footnoteRef/>
      </w:r>
      <w:r>
        <w:tab/>
      </w:r>
      <w:r w:rsidRPr="009454EA">
        <w:t>Up to 2009</w:t>
      </w:r>
      <w:r>
        <w:noBreakHyphen/>
      </w:r>
      <w:r w:rsidRPr="009454EA">
        <w:t>10, Austrade provided the Commission with information on the industry incidence of Austrade appropriation funding. This information indicated that around two thirds of Austrade funding was directed towards the services sector, 20</w:t>
      </w:r>
      <w:r>
        <w:t> per cent</w:t>
      </w:r>
      <w:r w:rsidRPr="009454EA">
        <w:t xml:space="preserve"> to manufacturing and the remainder split equally between primary production and mining. From 2010</w:t>
      </w:r>
      <w:r>
        <w:noBreakHyphen/>
      </w:r>
      <w:r w:rsidRPr="009454EA">
        <w:t>11 Austrade allocated its resources on a market or geography basis which did not support the provision of information according to the Commission’s industry classifications.</w:t>
      </w:r>
    </w:p>
  </w:footnote>
  <w:footnote w:id="8">
    <w:p w:rsidR="00530FCF" w:rsidRDefault="00530FCF" w:rsidP="00745FEA">
      <w:pPr>
        <w:pStyle w:val="FootnoteText"/>
      </w:pPr>
      <w:r w:rsidRPr="00B76C5B">
        <w:rPr>
          <w:rStyle w:val="FootnoteReference"/>
        </w:rPr>
        <w:footnoteRef/>
      </w:r>
      <w:r>
        <w:tab/>
      </w:r>
      <w:r w:rsidRPr="00AB4D28">
        <w:t>The TCF Corporate Wear program allows businesses that employ staff who wear non-compulsory uniforms to avoid paying Fringe Benefits Tax on any subsides they make towards the uniform. Eligible uniforms are not confined to Australian production and therefore</w:t>
      </w:r>
      <w:r>
        <w:t xml:space="preserve"> the program </w:t>
      </w:r>
      <w:r w:rsidRPr="00AB4D28">
        <w:t>is not treated as assistance to the domestic TCF industry.</w:t>
      </w:r>
    </w:p>
  </w:footnote>
  <w:footnote w:id="9">
    <w:p w:rsidR="00530FCF" w:rsidRDefault="00530FCF">
      <w:pPr>
        <w:pStyle w:val="FootnoteText"/>
      </w:pPr>
      <w:r w:rsidRPr="00B76C5B">
        <w:rPr>
          <w:rStyle w:val="FootnoteReference"/>
        </w:rPr>
        <w:footnoteRef/>
      </w:r>
      <w:r>
        <w:tab/>
      </w:r>
      <w:r w:rsidRPr="00AB4D28">
        <w:t>Australian Government funding under the Exceptional Circumstances program (both relief payments and interest rate subsidies) fell from a peak of $779 million in 2008</w:t>
      </w:r>
      <w:r>
        <w:noBreakHyphen/>
      </w:r>
      <w:r w:rsidRPr="00AB4D28">
        <w:t>09 to around $1.6 million in 2012</w:t>
      </w:r>
      <w:r>
        <w:noBreakHyphen/>
      </w:r>
      <w:r w:rsidRPr="00AB4D28">
        <w:t xml:space="preserve">13. In February 2014, the Australian Government announced a $320 million drought assistance package including, among other things, $280 million towards drought concessional loans and ‘more generous’ criteria for accessing income support through the Farm Household Allowance </w:t>
      </w:r>
      <w:r w:rsidRPr="003B712E">
        <w:rPr>
          <w:szCs w:val="24"/>
        </w:rPr>
        <w:t>(PC 2015)</w:t>
      </w:r>
      <w:r w:rsidRPr="00AB4D28" w:rsidDel="004F3D64">
        <w:t xml:space="preserve"> </w:t>
      </w:r>
      <w:r w:rsidRPr="00AB4D28">
        <w:t>.</w:t>
      </w:r>
      <w:r>
        <w:t xml:space="preserve"> </w:t>
      </w:r>
    </w:p>
  </w:footnote>
  <w:footnote w:id="10">
    <w:p w:rsidR="00530FCF" w:rsidRDefault="00530FCF">
      <w:pPr>
        <w:pStyle w:val="FootnoteText"/>
      </w:pPr>
      <w:r w:rsidRPr="00B76C5B">
        <w:rPr>
          <w:rStyle w:val="FootnoteReference"/>
        </w:rPr>
        <w:footnoteRef/>
      </w:r>
      <w:r>
        <w:tab/>
      </w:r>
      <w:r w:rsidRPr="00962A45">
        <w:t>In the 1980s, tariffs on motor vehicles were 45</w:t>
      </w:r>
      <w:r>
        <w:t> per cent</w:t>
      </w:r>
      <w:r w:rsidRPr="00962A45">
        <w:t xml:space="preserve"> and the highest estimated tariff rate for any one textiles, leather, clothing and footwear line item (inclusive of the effect of tariff quotas) was 125</w:t>
      </w:r>
      <w:r>
        <w:t> per cent</w:t>
      </w:r>
      <w:r w:rsidRPr="00962A45">
        <w:t>. In 1984</w:t>
      </w:r>
      <w:r>
        <w:noBreakHyphen/>
      </w:r>
      <w:r w:rsidRPr="00962A45">
        <w:t xml:space="preserve">85 the effective rates of assistance for the </w:t>
      </w:r>
      <w:r w:rsidRPr="007233E8">
        <w:rPr>
          <w:i/>
        </w:rPr>
        <w:t>Motor vehicles and parts</w:t>
      </w:r>
      <w:r w:rsidRPr="00962A45">
        <w:t xml:space="preserve"> industry and </w:t>
      </w:r>
      <w:r w:rsidRPr="007233E8">
        <w:rPr>
          <w:i/>
        </w:rPr>
        <w:t>Textiles, leather, clothing and footwear</w:t>
      </w:r>
      <w:r w:rsidRPr="00962A45">
        <w:t xml:space="preserve"> industry was 140</w:t>
      </w:r>
      <w:r>
        <w:t> per cent</w:t>
      </w:r>
      <w:r w:rsidRPr="00962A45">
        <w:t xml:space="preserve"> and 157</w:t>
      </w:r>
      <w:r>
        <w:t> per cent</w:t>
      </w:r>
      <w:r w:rsidRPr="00962A45">
        <w:t xml:space="preserve"> respectively</w:t>
      </w:r>
      <w:r>
        <w:t xml:space="preserve"> </w:t>
      </w:r>
      <w:r w:rsidRPr="003B712E">
        <w:rPr>
          <w:szCs w:val="24"/>
        </w:rPr>
        <w:t>(PC 2000)</w:t>
      </w:r>
      <w:r>
        <w:t>.</w:t>
      </w:r>
    </w:p>
  </w:footnote>
  <w:footnote w:id="11">
    <w:p w:rsidR="00530FCF" w:rsidRDefault="00530FCF" w:rsidP="00745FEA">
      <w:pPr>
        <w:pStyle w:val="FootnoteText"/>
      </w:pPr>
      <w:r w:rsidRPr="008C5BEE">
        <w:rPr>
          <w:rStyle w:val="FootnoteReference"/>
        </w:rPr>
        <w:footnoteRef/>
      </w:r>
      <w:r>
        <w:tab/>
        <w:t xml:space="preserve">Such assessment was the focus of the inquiry by the </w:t>
      </w:r>
      <w:r w:rsidRPr="001A08D1">
        <w:t>Parliamentary Joint Committee on Intelligence and Security</w:t>
      </w:r>
      <w:r>
        <w:t xml:space="preserve"> (PJCIS), </w:t>
      </w:r>
      <w:r w:rsidRPr="005F2A18">
        <w:rPr>
          <w:i/>
        </w:rPr>
        <w:t>Advisory Report on the Telecommunications (Interception and Access) Amendment (Data Retention) Bill 2014</w:t>
      </w:r>
      <w:r>
        <w:t xml:space="preserve"> (the ‘Data Retention Inquiry’), released February 2015.</w:t>
      </w:r>
    </w:p>
  </w:footnote>
  <w:footnote w:id="12">
    <w:p w:rsidR="00530FCF" w:rsidRPr="00D642A1" w:rsidRDefault="00530FCF">
      <w:pPr>
        <w:pStyle w:val="FootnoteText"/>
      </w:pPr>
      <w:r w:rsidRPr="008C5BEE">
        <w:rPr>
          <w:rStyle w:val="FootnoteReference"/>
        </w:rPr>
        <w:footnoteRef/>
      </w:r>
      <w:r>
        <w:tab/>
      </w:r>
      <w:r w:rsidRPr="00C6603C">
        <w:t>Telecommunications service providers that use infrastructure in Australia to operate any of their services may be subject to data retention obligations. Service providers include</w:t>
      </w:r>
      <w:r>
        <w:t>:</w:t>
      </w:r>
      <w:r w:rsidRPr="00C6603C">
        <w:t xml:space="preserve"> licenced carriers, carriage service providers and internet service providers. </w:t>
      </w:r>
      <w:r>
        <w:t xml:space="preserve">During the 18-month implementation period that ended on 13 April 2017, 310 providers submitted 402 Data Retention Implementation Plans for approval by AGD </w:t>
      </w:r>
      <w:r w:rsidRPr="00BE236D">
        <w:rPr>
          <w:szCs w:val="24"/>
        </w:rPr>
        <w:t>(AGD 2016, p. 58)</w:t>
      </w:r>
      <w:r>
        <w:t>. S</w:t>
      </w:r>
      <w:r w:rsidRPr="00C6603C">
        <w:t>ervices excluded from the data retention obligations</w:t>
      </w:r>
      <w:r>
        <w:t xml:space="preserve"> include broadcast services and internal networks of universities and corporations (p. 19). </w:t>
      </w:r>
    </w:p>
  </w:footnote>
  <w:footnote w:id="13">
    <w:p w:rsidR="00530FCF" w:rsidRDefault="00530FCF">
      <w:pPr>
        <w:pStyle w:val="FootnoteText"/>
      </w:pPr>
      <w:r>
        <w:rPr>
          <w:rStyle w:val="FootnoteReference"/>
        </w:rPr>
        <w:footnoteRef/>
      </w:r>
      <w:r>
        <w:tab/>
      </w:r>
      <w:r w:rsidRPr="00625A34">
        <w:rPr>
          <w:rStyle w:val="FootnoteTextChar"/>
        </w:rPr>
        <w:t>The figures were estimated by PricewaterhouseCoopers (PwC), though the basis for estimates is not publicly available due to cabinet confidentiality (PJCIS 2015), para. 5.103). The magnitude of compliance costs for industry and consumers was a controversial topic, and estimates changed and were subject to contest as the policy unfolded over the years from 2012 to 2016. The industry initially pointed to very large costs between $</w:t>
      </w:r>
      <w:r>
        <w:rPr>
          <w:rStyle w:val="FootnoteTextChar"/>
        </w:rPr>
        <w:t>5</w:t>
      </w:r>
      <w:r w:rsidRPr="00625A34">
        <w:rPr>
          <w:rStyle w:val="FootnoteTextChar"/>
        </w:rPr>
        <w:t xml:space="preserve">00 million and $700 million (PJCIS 2013), but this related to a policy that had yet to be clearly defined. There was, for example, uncertainty about whether retention of internet browsing data and URLs would be required (and indeed ultimately, the scope of the law was much narrower). The industry subsequently lowered its estimated impacts. </w:t>
      </w:r>
    </w:p>
  </w:footnote>
  <w:footnote w:id="14">
    <w:p w:rsidR="00530FCF" w:rsidRDefault="00530FCF" w:rsidP="00745FEA">
      <w:pPr>
        <w:pStyle w:val="FootnoteText"/>
      </w:pPr>
      <w:r w:rsidRPr="008C5BEE">
        <w:rPr>
          <w:rStyle w:val="FootnoteReference"/>
        </w:rPr>
        <w:footnoteRef/>
      </w:r>
      <w:r>
        <w:tab/>
        <w:t>Of course</w:t>
      </w:r>
      <w:r w:rsidRPr="00064912">
        <w:t xml:space="preserve">, passing regulatory costs through to consumers also reduces economic output by discouraging legitimate users of telecommunications services, which is an offsetting factor. </w:t>
      </w:r>
      <w:r>
        <w:t>In this case, t</w:t>
      </w:r>
      <w:r w:rsidRPr="00064912">
        <w:t xml:space="preserve">he price elasticity of demand </w:t>
      </w:r>
      <w:r>
        <w:t xml:space="preserve">for telecommunications </w:t>
      </w:r>
      <w:r w:rsidRPr="00064912">
        <w:t>is low</w:t>
      </w:r>
      <w:r>
        <w:t xml:space="preserve"> </w:t>
      </w:r>
      <w:r w:rsidRPr="00BE236D">
        <w:rPr>
          <w:szCs w:val="24"/>
        </w:rPr>
        <w:t>(Goel et al. 2006)</w:t>
      </w:r>
      <w:r w:rsidRPr="00064912">
        <w:t xml:space="preserve"> </w:t>
      </w:r>
      <w:r>
        <w:t>and so the effect would be similarly very small</w:t>
      </w:r>
      <w:r w:rsidRPr="00064912">
        <w:t xml:space="preserve">. </w:t>
      </w:r>
    </w:p>
  </w:footnote>
  <w:footnote w:id="15">
    <w:p w:rsidR="00530FCF" w:rsidRDefault="00530FCF" w:rsidP="00745FEA">
      <w:pPr>
        <w:pStyle w:val="FootnoteText"/>
      </w:pPr>
      <w:r w:rsidRPr="008C5BEE">
        <w:rPr>
          <w:rStyle w:val="FootnoteReference"/>
        </w:rPr>
        <w:footnoteRef/>
      </w:r>
      <w:r>
        <w:tab/>
        <w:t xml:space="preserve">The focus in this section is much more concentrated than regulations affecting international e-commerce and information flows. It does not cover regulation of ‘data’ in the form of an ‘electronic product’, such as geo-blocking a streamed movie. The chapter is also not concerned with control or censorship of the internet for political and social reasons, though this can be a motivation for data localisation. </w:t>
      </w:r>
    </w:p>
  </w:footnote>
  <w:footnote w:id="16">
    <w:p w:rsidR="00530FCF" w:rsidRDefault="00530FCF" w:rsidP="00745FEA">
      <w:pPr>
        <w:pStyle w:val="FootnoteText"/>
      </w:pPr>
      <w:r w:rsidRPr="008C5BEE">
        <w:rPr>
          <w:rStyle w:val="FootnoteReference"/>
        </w:rPr>
        <w:footnoteRef/>
      </w:r>
      <w:r>
        <w:tab/>
        <w:t xml:space="preserve">An overview of reports and reforms is provided in SRRATRC </w:t>
      </w:r>
      <w:r w:rsidRPr="00BE236D">
        <w:t>(2017)</w:t>
      </w:r>
      <w:r>
        <w:t>.</w:t>
      </w:r>
    </w:p>
  </w:footnote>
  <w:footnote w:id="17">
    <w:p w:rsidR="00530FCF" w:rsidRDefault="00530FCF" w:rsidP="00745FEA">
      <w:pPr>
        <w:pStyle w:val="FootnoteText"/>
      </w:pPr>
      <w:r w:rsidRPr="008C5BEE">
        <w:rPr>
          <w:rStyle w:val="FootnoteReference"/>
        </w:rPr>
        <w:footnoteRef/>
      </w:r>
      <w:r>
        <w:tab/>
        <w:t>S</w:t>
      </w:r>
      <w:r w:rsidRPr="00CC1D01">
        <w:t>ome airline carry-on baggage restrictions imposed since 9/11 have been relaxed (such as allowance for blunt small scissors and knitting needles)</w:t>
      </w:r>
      <w:r>
        <w:t xml:space="preserve">. However, other debatable baggage restrictions remain. </w:t>
      </w:r>
      <w:r w:rsidRPr="00CC1D01">
        <w:t xml:space="preserve">Badminton racquets are not permitted given the potential to strike someone. Cable ties are prohibited because they could be used to restrain someone, and while matches, cigarette lighters and lighter fuel are permitted, toy caps are not. A duty free glass bottle of alcoholic beverage is permitted — despite the risks of ‘bottling’ — while other </w:t>
      </w:r>
      <w:r>
        <w:t xml:space="preserve">less </w:t>
      </w:r>
      <w:r w:rsidRPr="00CC1D01">
        <w:t>sharp objects are not.</w:t>
      </w:r>
    </w:p>
  </w:footnote>
  <w:footnote w:id="18">
    <w:p w:rsidR="00530FCF" w:rsidRDefault="00530FCF" w:rsidP="00745FEA">
      <w:pPr>
        <w:pStyle w:val="FootnoteText"/>
      </w:pPr>
      <w:r w:rsidRPr="008C5BEE">
        <w:rPr>
          <w:rStyle w:val="FootnoteReference"/>
        </w:rPr>
        <w:footnoteRef/>
      </w:r>
      <w:r>
        <w:tab/>
        <w:t>This calculation assumes clearing security causes people to arrive at the airport 10 minutes earlier than they otherwise would. Given the uncertainty around how long it will take, some people would plan more conservatively.</w:t>
      </w:r>
    </w:p>
  </w:footnote>
  <w:footnote w:id="19">
    <w:p w:rsidR="00530FCF" w:rsidRDefault="00530FCF" w:rsidP="00745FEA">
      <w:pPr>
        <w:pStyle w:val="FootnoteText"/>
      </w:pPr>
      <w:r w:rsidRPr="008C5BEE">
        <w:rPr>
          <w:rStyle w:val="FootnoteReference"/>
        </w:rPr>
        <w:footnoteRef/>
      </w:r>
      <w:r>
        <w:tab/>
        <w:t>There have also been examples of security reactions to incidents that have then been quickly wound back. For instance, the fence constructed around the Melbourne Cricket Ground for cricket events in 2015 was removed for the subsequent 2016 Australian Football League season following several ‘logistical challenges, and concerns with the robustness of the fencing solution’</w:t>
      </w:r>
      <w:r w:rsidRPr="00BE236D">
        <w:rPr>
          <w:szCs w:val="24"/>
        </w:rPr>
        <w:t>(Cherny 2016)</w:t>
      </w:r>
      <w:r>
        <w:t>.</w:t>
      </w:r>
    </w:p>
  </w:footnote>
  <w:footnote w:id="20">
    <w:p w:rsidR="00530FCF" w:rsidRDefault="00530FCF" w:rsidP="00745FEA">
      <w:pPr>
        <w:pStyle w:val="FootnoteText"/>
      </w:pPr>
      <w:r w:rsidRPr="008C5BEE">
        <w:rPr>
          <w:rStyle w:val="FootnoteReference"/>
        </w:rPr>
        <w:footnoteRef/>
      </w:r>
      <w:r>
        <w:tab/>
        <w:t xml:space="preserve">The United States Government Accounting Office </w:t>
      </w:r>
      <w:r w:rsidRPr="00BE236D">
        <w:t>(2017)</w:t>
      </w:r>
      <w:r>
        <w:t xml:space="preserve"> recommended that the US Transportation Security Administration systematically evaluate the potential cost and effectiveness tradeoffs across aviation security countermeasures.</w:t>
      </w:r>
    </w:p>
  </w:footnote>
  <w:footnote w:id="21">
    <w:p w:rsidR="00530FCF" w:rsidRDefault="00530FCF" w:rsidP="00745FEA">
      <w:pPr>
        <w:pStyle w:val="FootnoteText"/>
      </w:pPr>
      <w:r w:rsidRPr="008C5BEE">
        <w:rPr>
          <w:rStyle w:val="FootnoteReference"/>
        </w:rPr>
        <w:footnoteRef/>
      </w:r>
      <w:r>
        <w:t xml:space="preserve"> </w:t>
      </w:r>
      <w:r>
        <w:tab/>
      </w:r>
      <w:r w:rsidRPr="00A431B5">
        <w:t>In respect of transport, DIRD indicates that the Australian Government targets security measures at the areas of highest risks, and decision</w:t>
      </w:r>
      <w:r>
        <w:t>s</w:t>
      </w:r>
      <w:r w:rsidRPr="00A431B5">
        <w:t xml:space="preserve"> reflect ‘informed policy advice and design’ and ‘domestic and international partnerships’ </w:t>
      </w:r>
      <w:r w:rsidRPr="00D10F45">
        <w:rPr>
          <w:szCs w:val="24"/>
        </w:rPr>
        <w:t>(DIRD 2017a)</w:t>
      </w:r>
      <w:r>
        <w:t> p. 1)</w:t>
      </w:r>
      <w:r w:rsidRPr="00A431B5">
        <w:t>.</w:t>
      </w:r>
    </w:p>
  </w:footnote>
  <w:footnote w:id="22">
    <w:p w:rsidR="00530FCF" w:rsidRDefault="00530FCF">
      <w:pPr>
        <w:pStyle w:val="FootnoteText"/>
      </w:pPr>
      <w:r w:rsidRPr="0030190E">
        <w:rPr>
          <w:rStyle w:val="FootnoteReference"/>
        </w:rPr>
        <w:footnoteRef/>
      </w:r>
      <w:r>
        <w:tab/>
        <w:t>Unlike the NAIF, which can also lend to water infrastructure, project decisions made under the NWILF and NWIDF include National Water Initiative compliance within their eligibility criteria.</w:t>
      </w:r>
    </w:p>
  </w:footnote>
  <w:footnote w:id="23">
    <w:p w:rsidR="00530FCF" w:rsidRDefault="00530FCF" w:rsidP="00745FEA">
      <w:pPr>
        <w:pStyle w:val="FootnoteText"/>
      </w:pPr>
      <w:r w:rsidRPr="006B6C74">
        <w:rPr>
          <w:rStyle w:val="FootnoteReference"/>
        </w:rPr>
        <w:footnoteRef/>
      </w:r>
      <w:r>
        <w:tab/>
        <w:t xml:space="preserve">The Government Procurement Agreement currently has 19 parties comprising 47 WTO members. Another 31 WTO members participate in the GPA Committee as observers, of which 10 are currently seeking accession to the GPA </w:t>
      </w:r>
      <w:r w:rsidRPr="00744492">
        <w:rPr>
          <w:szCs w:val="24"/>
        </w:rPr>
        <w:t>(WTO 2018b)</w:t>
      </w:r>
      <w:r>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30FCF">
      <w:tc>
        <w:tcPr>
          <w:tcW w:w="2155" w:type="dxa"/>
          <w:tcBorders>
            <w:top w:val="single" w:sz="24" w:space="0" w:color="auto"/>
          </w:tcBorders>
        </w:tcPr>
        <w:p w:rsidR="00530FCF" w:rsidRDefault="00530FCF">
          <w:pPr>
            <w:pStyle w:val="HeaderEven"/>
          </w:pPr>
        </w:p>
      </w:tc>
      <w:tc>
        <w:tcPr>
          <w:tcW w:w="6634" w:type="dxa"/>
          <w:tcBorders>
            <w:top w:val="single" w:sz="6" w:space="0" w:color="auto"/>
          </w:tcBorders>
        </w:tcPr>
        <w:p w:rsidR="00530FCF" w:rsidRDefault="00530FCF">
          <w:pPr>
            <w:pStyle w:val="HeaderEven"/>
          </w:pPr>
        </w:p>
      </w:tc>
    </w:tr>
  </w:tbl>
  <w:p w:rsidR="00530FCF" w:rsidRDefault="00530FCF">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30FCF">
      <w:tc>
        <w:tcPr>
          <w:tcW w:w="6634" w:type="dxa"/>
          <w:tcBorders>
            <w:top w:val="single" w:sz="6" w:space="0" w:color="auto"/>
          </w:tcBorders>
        </w:tcPr>
        <w:p w:rsidR="00530FCF" w:rsidRDefault="00530FCF">
          <w:pPr>
            <w:pStyle w:val="HeaderOdd"/>
          </w:pPr>
        </w:p>
      </w:tc>
      <w:tc>
        <w:tcPr>
          <w:tcW w:w="2155" w:type="dxa"/>
          <w:tcBorders>
            <w:top w:val="single" w:sz="24" w:space="0" w:color="auto"/>
          </w:tcBorders>
        </w:tcPr>
        <w:p w:rsidR="00530FCF" w:rsidRDefault="00530FCF">
          <w:pPr>
            <w:pStyle w:val="HeaderOdd"/>
          </w:pPr>
        </w:p>
      </w:tc>
    </w:tr>
  </w:tbl>
  <w:p w:rsidR="00530FCF" w:rsidRDefault="00530FCF">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530FCF">
      <w:tc>
        <w:tcPr>
          <w:tcW w:w="2155" w:type="dxa"/>
          <w:tcBorders>
            <w:top w:val="single" w:sz="24" w:space="0" w:color="auto"/>
          </w:tcBorders>
        </w:tcPr>
        <w:p w:rsidR="00530FCF" w:rsidRDefault="00530FCF">
          <w:pPr>
            <w:pStyle w:val="Header"/>
          </w:pPr>
        </w:p>
      </w:tc>
      <w:tc>
        <w:tcPr>
          <w:tcW w:w="6634" w:type="dxa"/>
          <w:tcBorders>
            <w:top w:val="single" w:sz="6" w:space="0" w:color="auto"/>
          </w:tcBorders>
        </w:tcPr>
        <w:p w:rsidR="00530FCF" w:rsidRDefault="00530FCF">
          <w:pPr>
            <w:pStyle w:val="Header"/>
          </w:pPr>
        </w:p>
      </w:tc>
    </w:tr>
  </w:tbl>
  <w:p w:rsidR="00530FCF" w:rsidRDefault="00530FCF">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30FCF" w:rsidTr="009D1112">
      <w:tc>
        <w:tcPr>
          <w:tcW w:w="6634" w:type="dxa"/>
          <w:tcBorders>
            <w:top w:val="single" w:sz="6" w:space="0" w:color="auto"/>
          </w:tcBorders>
        </w:tcPr>
        <w:p w:rsidR="00530FCF" w:rsidRDefault="00530FCF" w:rsidP="009D1112">
          <w:pPr>
            <w:pStyle w:val="HeaderOdd"/>
          </w:pPr>
        </w:p>
      </w:tc>
      <w:tc>
        <w:tcPr>
          <w:tcW w:w="2155" w:type="dxa"/>
          <w:tcBorders>
            <w:top w:val="single" w:sz="24" w:space="0" w:color="auto"/>
          </w:tcBorders>
        </w:tcPr>
        <w:p w:rsidR="00530FCF" w:rsidRDefault="00530FCF" w:rsidP="009D1112">
          <w:pPr>
            <w:pStyle w:val="HeaderOdd"/>
          </w:pPr>
        </w:p>
      </w:tc>
    </w:tr>
  </w:tbl>
  <w:p w:rsidR="00530FCF" w:rsidRPr="005C68FE" w:rsidRDefault="00530FCF" w:rsidP="009D111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30FCF" w:rsidTr="009D1112">
      <w:tc>
        <w:tcPr>
          <w:tcW w:w="2155" w:type="dxa"/>
          <w:tcBorders>
            <w:top w:val="single" w:sz="24" w:space="0" w:color="auto"/>
          </w:tcBorders>
        </w:tcPr>
        <w:p w:rsidR="00530FCF" w:rsidRDefault="00530FCF" w:rsidP="009D1112">
          <w:pPr>
            <w:pStyle w:val="HeaderEven"/>
          </w:pPr>
        </w:p>
      </w:tc>
      <w:tc>
        <w:tcPr>
          <w:tcW w:w="6634" w:type="dxa"/>
          <w:tcBorders>
            <w:top w:val="single" w:sz="6" w:space="0" w:color="auto"/>
          </w:tcBorders>
        </w:tcPr>
        <w:p w:rsidR="00530FCF" w:rsidRDefault="00530FCF" w:rsidP="009D1112">
          <w:pPr>
            <w:pStyle w:val="HeaderEven"/>
          </w:pPr>
        </w:p>
      </w:tc>
    </w:tr>
  </w:tbl>
  <w:p w:rsidR="00530FCF" w:rsidRDefault="00530FCF" w:rsidP="009D111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30FCF">
      <w:tc>
        <w:tcPr>
          <w:tcW w:w="6634" w:type="dxa"/>
          <w:tcBorders>
            <w:top w:val="single" w:sz="6" w:space="0" w:color="auto"/>
          </w:tcBorders>
        </w:tcPr>
        <w:p w:rsidR="00530FCF" w:rsidRDefault="00530FCF">
          <w:pPr>
            <w:pStyle w:val="HeaderOdd"/>
          </w:pPr>
        </w:p>
      </w:tc>
      <w:tc>
        <w:tcPr>
          <w:tcW w:w="2155" w:type="dxa"/>
          <w:tcBorders>
            <w:top w:val="single" w:sz="24" w:space="0" w:color="auto"/>
          </w:tcBorders>
        </w:tcPr>
        <w:p w:rsidR="00530FCF" w:rsidRDefault="00530FCF">
          <w:pPr>
            <w:pStyle w:val="HeaderOdd"/>
          </w:pPr>
        </w:p>
      </w:tc>
    </w:tr>
  </w:tbl>
  <w:p w:rsidR="00530FCF" w:rsidRDefault="00530FCF" w:rsidP="009D111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30FCF" w:rsidTr="00745FEA">
      <w:trPr>
        <w:trHeight w:val="300"/>
      </w:trPr>
      <w:tc>
        <w:tcPr>
          <w:tcW w:w="6633" w:type="dxa"/>
          <w:tcBorders>
            <w:top w:val="single" w:sz="6" w:space="0" w:color="auto"/>
          </w:tcBorders>
          <w:shd w:val="clear" w:color="auto" w:fill="auto"/>
        </w:tcPr>
        <w:p w:rsidR="00530FCF" w:rsidRDefault="00530FCF" w:rsidP="00745FEA">
          <w:pPr>
            <w:pStyle w:val="HeaderOdd"/>
          </w:pPr>
        </w:p>
      </w:tc>
      <w:tc>
        <w:tcPr>
          <w:tcW w:w="2154" w:type="dxa"/>
          <w:tcBorders>
            <w:top w:val="single" w:sz="24" w:space="0" w:color="auto"/>
          </w:tcBorders>
          <w:shd w:val="clear" w:color="auto" w:fill="auto"/>
        </w:tcPr>
        <w:p w:rsidR="00530FCF" w:rsidRDefault="00530FCF" w:rsidP="00745FEA">
          <w:pPr>
            <w:pStyle w:val="HeaderOdd"/>
          </w:pPr>
        </w:p>
      </w:tc>
    </w:tr>
  </w:tbl>
  <w:p w:rsidR="00530FCF" w:rsidRPr="00745FEA" w:rsidRDefault="00530FCF" w:rsidP="00745FEA">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30FCF" w:rsidTr="00745FEA">
      <w:trPr>
        <w:trHeight w:val="300"/>
      </w:trPr>
      <w:tc>
        <w:tcPr>
          <w:tcW w:w="2154" w:type="dxa"/>
          <w:tcBorders>
            <w:top w:val="single" w:sz="24" w:space="0" w:color="auto"/>
          </w:tcBorders>
          <w:shd w:val="clear" w:color="auto" w:fill="auto"/>
        </w:tcPr>
        <w:p w:rsidR="00530FCF" w:rsidRDefault="00530FCF" w:rsidP="00745FEA">
          <w:pPr>
            <w:pStyle w:val="HeaderEven"/>
          </w:pPr>
        </w:p>
      </w:tc>
      <w:tc>
        <w:tcPr>
          <w:tcW w:w="6633" w:type="dxa"/>
          <w:tcBorders>
            <w:top w:val="single" w:sz="6" w:space="0" w:color="auto"/>
          </w:tcBorders>
          <w:shd w:val="clear" w:color="auto" w:fill="auto"/>
        </w:tcPr>
        <w:p w:rsidR="00530FCF" w:rsidRDefault="00530FCF" w:rsidP="00745FEA">
          <w:pPr>
            <w:pStyle w:val="HeaderEven"/>
          </w:pPr>
        </w:p>
      </w:tc>
    </w:tr>
  </w:tbl>
  <w:p w:rsidR="00530FCF" w:rsidRPr="00745FEA" w:rsidRDefault="00530FCF" w:rsidP="00745FEA">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B9A420"/>
    <w:multiLevelType w:val="hybridMultilevel"/>
    <w:tmpl w:val="64CC1BB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9AF31B9"/>
    <w:multiLevelType w:val="multilevel"/>
    <w:tmpl w:val="A95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738C8"/>
    <w:multiLevelType w:val="hybridMultilevel"/>
    <w:tmpl w:val="69CC4678"/>
    <w:lvl w:ilvl="0" w:tplc="452632D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6160BA"/>
    <w:multiLevelType w:val="hybridMultilevel"/>
    <w:tmpl w:val="8B6E8CA6"/>
    <w:lvl w:ilvl="0" w:tplc="9BA822BA">
      <w:start w:val="945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1F34442"/>
    <w:multiLevelType w:val="hybridMultilevel"/>
    <w:tmpl w:val="15C4644C"/>
    <w:lvl w:ilvl="0" w:tplc="6E22ABC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2B0F01"/>
    <w:multiLevelType w:val="multilevel"/>
    <w:tmpl w:val="A1F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2281300"/>
    <w:multiLevelType w:val="hybridMultilevel"/>
    <w:tmpl w:val="E6C00816"/>
    <w:lvl w:ilvl="0" w:tplc="B09838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AC68B3"/>
    <w:multiLevelType w:val="hybridMultilevel"/>
    <w:tmpl w:val="558664DA"/>
    <w:lvl w:ilvl="0" w:tplc="B6EC1B30">
      <w:start w:val="20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2693180D"/>
    <w:multiLevelType w:val="hybridMultilevel"/>
    <w:tmpl w:val="D658AF3E"/>
    <w:lvl w:ilvl="0" w:tplc="D3CCE71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E673D1"/>
    <w:multiLevelType w:val="hybridMultilevel"/>
    <w:tmpl w:val="E43452EA"/>
    <w:lvl w:ilvl="0" w:tplc="0B0876D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EF82322"/>
    <w:multiLevelType w:val="hybridMultilevel"/>
    <w:tmpl w:val="5F7C7FB2"/>
    <w:lvl w:ilvl="0" w:tplc="8688B2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5" w15:restartNumberingAfterBreak="0">
    <w:nsid w:val="330039F7"/>
    <w:multiLevelType w:val="hybridMultilevel"/>
    <w:tmpl w:val="832CAF8E"/>
    <w:lvl w:ilvl="0" w:tplc="871E067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82395"/>
    <w:multiLevelType w:val="hybridMultilevel"/>
    <w:tmpl w:val="9F483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B70ABB"/>
    <w:multiLevelType w:val="hybridMultilevel"/>
    <w:tmpl w:val="7766DE46"/>
    <w:lvl w:ilvl="0" w:tplc="2EB6611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02F4192"/>
    <w:multiLevelType w:val="hybridMultilevel"/>
    <w:tmpl w:val="85B4DA10"/>
    <w:lvl w:ilvl="0" w:tplc="83B42B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6" w15:restartNumberingAfterBreak="0">
    <w:nsid w:val="65BDA64E"/>
    <w:multiLevelType w:val="hybridMultilevel"/>
    <w:tmpl w:val="2A9C4B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15:restartNumberingAfterBreak="0">
    <w:nsid w:val="678D63B1"/>
    <w:multiLevelType w:val="hybridMultilevel"/>
    <w:tmpl w:val="2FE4B77E"/>
    <w:lvl w:ilvl="0" w:tplc="9B64C730">
      <w:start w:val="20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39" w15:restartNumberingAfterBreak="0">
    <w:nsid w:val="6ED355FF"/>
    <w:multiLevelType w:val="hybridMultilevel"/>
    <w:tmpl w:val="99D6548E"/>
    <w:lvl w:ilvl="0" w:tplc="9CA27A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13334"/>
    <w:multiLevelType w:val="hybridMultilevel"/>
    <w:tmpl w:val="6A0A6456"/>
    <w:lvl w:ilvl="0" w:tplc="F67EF5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BA3C23"/>
    <w:multiLevelType w:val="hybridMultilevel"/>
    <w:tmpl w:val="7C621CEE"/>
    <w:lvl w:ilvl="0" w:tplc="D918FCE4">
      <w:start w:val="20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2B79CC"/>
    <w:multiLevelType w:val="hybridMultilevel"/>
    <w:tmpl w:val="61126B1A"/>
    <w:lvl w:ilvl="0" w:tplc="A322DB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413F76"/>
    <w:multiLevelType w:val="hybridMultilevel"/>
    <w:tmpl w:val="479A6F24"/>
    <w:lvl w:ilvl="0" w:tplc="02DAE08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76245E"/>
    <w:multiLevelType w:val="hybridMultilevel"/>
    <w:tmpl w:val="D7B85C04"/>
    <w:lvl w:ilvl="0" w:tplc="73088A30">
      <w:start w:val="198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4"/>
  </w:num>
  <w:num w:numId="2">
    <w:abstractNumId w:val="5"/>
  </w:num>
  <w:num w:numId="3">
    <w:abstractNumId w:val="29"/>
  </w:num>
  <w:num w:numId="4">
    <w:abstractNumId w:val="6"/>
  </w:num>
  <w:num w:numId="5">
    <w:abstractNumId w:val="35"/>
  </w:num>
  <w:num w:numId="6">
    <w:abstractNumId w:val="31"/>
  </w:num>
  <w:num w:numId="7">
    <w:abstractNumId w:val="13"/>
  </w:num>
  <w:num w:numId="8">
    <w:abstractNumId w:val="30"/>
  </w:num>
  <w:num w:numId="9">
    <w:abstractNumId w:val="12"/>
  </w:num>
  <w:num w:numId="10">
    <w:abstractNumId w:val="10"/>
  </w:num>
  <w:num w:numId="11">
    <w:abstractNumId w:val="19"/>
  </w:num>
  <w:num w:numId="12">
    <w:abstractNumId w:val="22"/>
  </w:num>
  <w:num w:numId="13">
    <w:abstractNumId w:val="7"/>
  </w:num>
  <w:num w:numId="14">
    <w:abstractNumId w:val="32"/>
  </w:num>
  <w:num w:numId="15">
    <w:abstractNumId w:val="45"/>
  </w:num>
  <w:num w:numId="16">
    <w:abstractNumId w:val="27"/>
  </w:num>
  <w:num w:numId="17">
    <w:abstractNumId w:val="46"/>
  </w:num>
  <w:num w:numId="18">
    <w:abstractNumId w:val="1"/>
  </w:num>
  <w:num w:numId="19">
    <w:abstractNumId w:val="4"/>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4"/>
  </w:num>
  <w:num w:numId="21">
    <w:abstractNumId w:val="16"/>
  </w:num>
  <w:num w:numId="22">
    <w:abstractNumId w:val="36"/>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28"/>
  </w:num>
  <w:num w:numId="26">
    <w:abstractNumId w:val="39"/>
  </w:num>
  <w:num w:numId="27">
    <w:abstractNumId w:val="18"/>
  </w:num>
  <w:num w:numId="28">
    <w:abstractNumId w:val="41"/>
  </w:num>
  <w:num w:numId="29">
    <w:abstractNumId w:val="37"/>
  </w:num>
  <w:num w:numId="30">
    <w:abstractNumId w:val="23"/>
  </w:num>
  <w:num w:numId="3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7"/>
  </w:num>
  <w:num w:numId="33">
    <w:abstractNumId w:val="11"/>
  </w:num>
  <w:num w:numId="34">
    <w:abstractNumId w:val="4"/>
    <w:lvlOverride w:ilvl="0">
      <w:lvl w:ilvl="0">
        <w:numFmt w:val="bullet"/>
        <w:lvlText w:val="•"/>
        <w:legacy w:legacy="1" w:legacySpace="0" w:legacyIndent="0"/>
        <w:lvlJc w:val="left"/>
        <w:rPr>
          <w:rFonts w:ascii="Arial" w:hAnsi="Arial" w:cs="Arial" w:hint="default"/>
          <w:sz w:val="16"/>
        </w:rPr>
      </w:lvl>
    </w:lvlOverride>
  </w:num>
  <w:num w:numId="35">
    <w:abstractNumId w:val="4"/>
    <w:lvlOverride w:ilvl="0">
      <w:lvl w:ilvl="0">
        <w:numFmt w:val="bullet"/>
        <w:lvlText w:val="•"/>
        <w:legacy w:legacy="1" w:legacySpace="0" w:legacyIndent="0"/>
        <w:lvlJc w:val="left"/>
        <w:rPr>
          <w:rFonts w:ascii="Arial" w:hAnsi="Arial" w:cs="Arial" w:hint="default"/>
          <w:sz w:val="20"/>
        </w:rPr>
      </w:lvl>
    </w:lvlOverride>
  </w:num>
  <w:num w:numId="36">
    <w:abstractNumId w:val="3"/>
  </w:num>
  <w:num w:numId="37">
    <w:abstractNumId w:val="2"/>
  </w:num>
  <w:num w:numId="38">
    <w:abstractNumId w:val="38"/>
  </w:num>
  <w:num w:numId="39">
    <w:abstractNumId w:val="40"/>
  </w:num>
  <w:num w:numId="40">
    <w:abstractNumId w:val="33"/>
  </w:num>
  <w:num w:numId="41">
    <w:abstractNumId w:val="42"/>
  </w:num>
  <w:num w:numId="42">
    <w:abstractNumId w:val="44"/>
  </w:num>
  <w:num w:numId="43">
    <w:abstractNumId w:val="21"/>
  </w:num>
  <w:num w:numId="44">
    <w:abstractNumId w:val="25"/>
  </w:num>
  <w:num w:numId="45">
    <w:abstractNumId w:val="9"/>
  </w:num>
  <w:num w:numId="46">
    <w:abstractNumId w:val="43"/>
  </w:num>
  <w:num w:numId="47">
    <w:abstractNumId w:val="20"/>
  </w:num>
  <w:num w:numId="48">
    <w:abstractNumId w:val="14"/>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ReportTitle" w:val="Trade and Assistance Review 2016-17"/>
  </w:docVars>
  <w:rsids>
    <w:rsidRoot w:val="00745FEA"/>
    <w:rsid w:val="00002A0F"/>
    <w:rsid w:val="000227D5"/>
    <w:rsid w:val="000245AA"/>
    <w:rsid w:val="0003664B"/>
    <w:rsid w:val="0004111F"/>
    <w:rsid w:val="00055077"/>
    <w:rsid w:val="000565B3"/>
    <w:rsid w:val="00065995"/>
    <w:rsid w:val="00066ADE"/>
    <w:rsid w:val="0007150B"/>
    <w:rsid w:val="000938F5"/>
    <w:rsid w:val="00095663"/>
    <w:rsid w:val="00096E55"/>
    <w:rsid w:val="0009783E"/>
    <w:rsid w:val="000B1022"/>
    <w:rsid w:val="000B601B"/>
    <w:rsid w:val="000C207E"/>
    <w:rsid w:val="000D41E9"/>
    <w:rsid w:val="000E21D5"/>
    <w:rsid w:val="000F0035"/>
    <w:rsid w:val="000F04E7"/>
    <w:rsid w:val="000F060A"/>
    <w:rsid w:val="000F420B"/>
    <w:rsid w:val="00110116"/>
    <w:rsid w:val="00116EA6"/>
    <w:rsid w:val="00120072"/>
    <w:rsid w:val="00126EB8"/>
    <w:rsid w:val="001274D4"/>
    <w:rsid w:val="001363AA"/>
    <w:rsid w:val="0013739A"/>
    <w:rsid w:val="00142165"/>
    <w:rsid w:val="00162434"/>
    <w:rsid w:val="00183E82"/>
    <w:rsid w:val="001878BB"/>
    <w:rsid w:val="00191AE0"/>
    <w:rsid w:val="0019293B"/>
    <w:rsid w:val="0019426B"/>
    <w:rsid w:val="001A6A4B"/>
    <w:rsid w:val="001B355D"/>
    <w:rsid w:val="001B5C8B"/>
    <w:rsid w:val="001C0865"/>
    <w:rsid w:val="001C0AED"/>
    <w:rsid w:val="001C3ABA"/>
    <w:rsid w:val="001C5111"/>
    <w:rsid w:val="001E4012"/>
    <w:rsid w:val="001E7BE8"/>
    <w:rsid w:val="001F0248"/>
    <w:rsid w:val="001F3EB3"/>
    <w:rsid w:val="001F4F86"/>
    <w:rsid w:val="00202C2C"/>
    <w:rsid w:val="00203050"/>
    <w:rsid w:val="002135AB"/>
    <w:rsid w:val="002144BE"/>
    <w:rsid w:val="00242279"/>
    <w:rsid w:val="00243997"/>
    <w:rsid w:val="0024516C"/>
    <w:rsid w:val="00245C82"/>
    <w:rsid w:val="00247A44"/>
    <w:rsid w:val="002724BA"/>
    <w:rsid w:val="00291B40"/>
    <w:rsid w:val="002B4008"/>
    <w:rsid w:val="002C439F"/>
    <w:rsid w:val="002D0C42"/>
    <w:rsid w:val="002D0E8E"/>
    <w:rsid w:val="002D62C5"/>
    <w:rsid w:val="002F6F8F"/>
    <w:rsid w:val="00301189"/>
    <w:rsid w:val="00301E4A"/>
    <w:rsid w:val="003168B8"/>
    <w:rsid w:val="00322D64"/>
    <w:rsid w:val="00323E09"/>
    <w:rsid w:val="00333932"/>
    <w:rsid w:val="0034129D"/>
    <w:rsid w:val="003518AA"/>
    <w:rsid w:val="00352165"/>
    <w:rsid w:val="00353182"/>
    <w:rsid w:val="003565D9"/>
    <w:rsid w:val="003602E1"/>
    <w:rsid w:val="00361C12"/>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03E22"/>
    <w:rsid w:val="004100C8"/>
    <w:rsid w:val="00411DBD"/>
    <w:rsid w:val="00412ACE"/>
    <w:rsid w:val="004139DD"/>
    <w:rsid w:val="004145D2"/>
    <w:rsid w:val="00426CB4"/>
    <w:rsid w:val="004270F2"/>
    <w:rsid w:val="00431249"/>
    <w:rsid w:val="00434C19"/>
    <w:rsid w:val="00440BF6"/>
    <w:rsid w:val="00450810"/>
    <w:rsid w:val="00462C59"/>
    <w:rsid w:val="00470737"/>
    <w:rsid w:val="00477144"/>
    <w:rsid w:val="00491380"/>
    <w:rsid w:val="0049459F"/>
    <w:rsid w:val="004A38DD"/>
    <w:rsid w:val="004B43AE"/>
    <w:rsid w:val="004C15F1"/>
    <w:rsid w:val="004C30ED"/>
    <w:rsid w:val="004D5675"/>
    <w:rsid w:val="00515C52"/>
    <w:rsid w:val="00517795"/>
    <w:rsid w:val="00523639"/>
    <w:rsid w:val="00530FCF"/>
    <w:rsid w:val="00531FE5"/>
    <w:rsid w:val="005402FA"/>
    <w:rsid w:val="0055201A"/>
    <w:rsid w:val="005667F7"/>
    <w:rsid w:val="005729BD"/>
    <w:rsid w:val="00580154"/>
    <w:rsid w:val="00583C39"/>
    <w:rsid w:val="00586A90"/>
    <w:rsid w:val="00587F28"/>
    <w:rsid w:val="005909CF"/>
    <w:rsid w:val="00591E71"/>
    <w:rsid w:val="005A0D41"/>
    <w:rsid w:val="005D329F"/>
    <w:rsid w:val="005F48ED"/>
    <w:rsid w:val="006064A8"/>
    <w:rsid w:val="00606E78"/>
    <w:rsid w:val="00607BF1"/>
    <w:rsid w:val="0062370A"/>
    <w:rsid w:val="00630D4D"/>
    <w:rsid w:val="00632A74"/>
    <w:rsid w:val="00646DCE"/>
    <w:rsid w:val="00654D42"/>
    <w:rsid w:val="006577F4"/>
    <w:rsid w:val="0066331F"/>
    <w:rsid w:val="00666E02"/>
    <w:rsid w:val="00682E3A"/>
    <w:rsid w:val="006A4655"/>
    <w:rsid w:val="006B2B3C"/>
    <w:rsid w:val="006C1D81"/>
    <w:rsid w:val="006C7038"/>
    <w:rsid w:val="006E001F"/>
    <w:rsid w:val="006E73EF"/>
    <w:rsid w:val="006F04C9"/>
    <w:rsid w:val="007079C9"/>
    <w:rsid w:val="00714D4D"/>
    <w:rsid w:val="0072160F"/>
    <w:rsid w:val="007266D3"/>
    <w:rsid w:val="00732029"/>
    <w:rsid w:val="00745FEA"/>
    <w:rsid w:val="007604BB"/>
    <w:rsid w:val="00764097"/>
    <w:rsid w:val="00772909"/>
    <w:rsid w:val="00785232"/>
    <w:rsid w:val="00787FAB"/>
    <w:rsid w:val="0079701E"/>
    <w:rsid w:val="007974DE"/>
    <w:rsid w:val="007A21EB"/>
    <w:rsid w:val="007B1A93"/>
    <w:rsid w:val="007B69E1"/>
    <w:rsid w:val="007C36C9"/>
    <w:rsid w:val="007D6401"/>
    <w:rsid w:val="007E01E4"/>
    <w:rsid w:val="007E7A12"/>
    <w:rsid w:val="007F7107"/>
    <w:rsid w:val="00800D4C"/>
    <w:rsid w:val="0081030F"/>
    <w:rsid w:val="00812F4A"/>
    <w:rsid w:val="0082087D"/>
    <w:rsid w:val="00822F3A"/>
    <w:rsid w:val="00835771"/>
    <w:rsid w:val="00842933"/>
    <w:rsid w:val="00846DCE"/>
    <w:rsid w:val="0086082C"/>
    <w:rsid w:val="00864ADC"/>
    <w:rsid w:val="00880153"/>
    <w:rsid w:val="00880F97"/>
    <w:rsid w:val="0088133A"/>
    <w:rsid w:val="00891DB9"/>
    <w:rsid w:val="0089285E"/>
    <w:rsid w:val="0089436C"/>
    <w:rsid w:val="008D365C"/>
    <w:rsid w:val="008D7622"/>
    <w:rsid w:val="009021A6"/>
    <w:rsid w:val="009030BF"/>
    <w:rsid w:val="00903B52"/>
    <w:rsid w:val="00904A51"/>
    <w:rsid w:val="0091032F"/>
    <w:rsid w:val="00914368"/>
    <w:rsid w:val="00931076"/>
    <w:rsid w:val="009345D9"/>
    <w:rsid w:val="00934B15"/>
    <w:rsid w:val="00940C87"/>
    <w:rsid w:val="00942B62"/>
    <w:rsid w:val="009504ED"/>
    <w:rsid w:val="00952B05"/>
    <w:rsid w:val="0095323B"/>
    <w:rsid w:val="00956A0C"/>
    <w:rsid w:val="00956BD9"/>
    <w:rsid w:val="00962489"/>
    <w:rsid w:val="0096336A"/>
    <w:rsid w:val="00967CD3"/>
    <w:rsid w:val="00981528"/>
    <w:rsid w:val="00990C2C"/>
    <w:rsid w:val="0099232A"/>
    <w:rsid w:val="009A5171"/>
    <w:rsid w:val="009C28CC"/>
    <w:rsid w:val="009D1112"/>
    <w:rsid w:val="009E1844"/>
    <w:rsid w:val="009F0D1B"/>
    <w:rsid w:val="009F5BBD"/>
    <w:rsid w:val="009F696D"/>
    <w:rsid w:val="009F6BC6"/>
    <w:rsid w:val="009F74EF"/>
    <w:rsid w:val="00A02826"/>
    <w:rsid w:val="00A14321"/>
    <w:rsid w:val="00A15D5A"/>
    <w:rsid w:val="00A17328"/>
    <w:rsid w:val="00A20F2C"/>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B67A3"/>
    <w:rsid w:val="00AC3A15"/>
    <w:rsid w:val="00AD520B"/>
    <w:rsid w:val="00AE3BCC"/>
    <w:rsid w:val="00B425C3"/>
    <w:rsid w:val="00B440AD"/>
    <w:rsid w:val="00B479BB"/>
    <w:rsid w:val="00B53E7E"/>
    <w:rsid w:val="00B6342E"/>
    <w:rsid w:val="00B7113F"/>
    <w:rsid w:val="00BA2BCF"/>
    <w:rsid w:val="00BA33CF"/>
    <w:rsid w:val="00BA5B14"/>
    <w:rsid w:val="00BA73B6"/>
    <w:rsid w:val="00BA7E27"/>
    <w:rsid w:val="00BB2603"/>
    <w:rsid w:val="00BB4FCD"/>
    <w:rsid w:val="00BC04E9"/>
    <w:rsid w:val="00BD13EA"/>
    <w:rsid w:val="00BD4915"/>
    <w:rsid w:val="00BE3808"/>
    <w:rsid w:val="00C03B88"/>
    <w:rsid w:val="00C062E9"/>
    <w:rsid w:val="00C07B64"/>
    <w:rsid w:val="00C13721"/>
    <w:rsid w:val="00C1466B"/>
    <w:rsid w:val="00C14FE4"/>
    <w:rsid w:val="00C2311B"/>
    <w:rsid w:val="00C3066D"/>
    <w:rsid w:val="00C345D7"/>
    <w:rsid w:val="00C52416"/>
    <w:rsid w:val="00C543F4"/>
    <w:rsid w:val="00C6291C"/>
    <w:rsid w:val="00C633CB"/>
    <w:rsid w:val="00C664CD"/>
    <w:rsid w:val="00C719FB"/>
    <w:rsid w:val="00C736B7"/>
    <w:rsid w:val="00C81D4A"/>
    <w:rsid w:val="00C8762C"/>
    <w:rsid w:val="00C9386D"/>
    <w:rsid w:val="00CA00F9"/>
    <w:rsid w:val="00CA2961"/>
    <w:rsid w:val="00CB2E6B"/>
    <w:rsid w:val="00CB50D7"/>
    <w:rsid w:val="00CB7177"/>
    <w:rsid w:val="00CB7CED"/>
    <w:rsid w:val="00CC070F"/>
    <w:rsid w:val="00CC1998"/>
    <w:rsid w:val="00CC4431"/>
    <w:rsid w:val="00CC4946"/>
    <w:rsid w:val="00CC64A1"/>
    <w:rsid w:val="00CF3B11"/>
    <w:rsid w:val="00D147CA"/>
    <w:rsid w:val="00D270A4"/>
    <w:rsid w:val="00D31FE9"/>
    <w:rsid w:val="00D34E1B"/>
    <w:rsid w:val="00D376BA"/>
    <w:rsid w:val="00D434A0"/>
    <w:rsid w:val="00D45634"/>
    <w:rsid w:val="00D5568A"/>
    <w:rsid w:val="00D63D73"/>
    <w:rsid w:val="00D64452"/>
    <w:rsid w:val="00D66E1E"/>
    <w:rsid w:val="00D70696"/>
    <w:rsid w:val="00D75722"/>
    <w:rsid w:val="00D80CF5"/>
    <w:rsid w:val="00D87546"/>
    <w:rsid w:val="00DA5BBA"/>
    <w:rsid w:val="00DB26D2"/>
    <w:rsid w:val="00DB67C9"/>
    <w:rsid w:val="00DC0C95"/>
    <w:rsid w:val="00DC4EAB"/>
    <w:rsid w:val="00DC4F0B"/>
    <w:rsid w:val="00DD6580"/>
    <w:rsid w:val="00E01D7F"/>
    <w:rsid w:val="00E05C03"/>
    <w:rsid w:val="00E17C72"/>
    <w:rsid w:val="00E21FC6"/>
    <w:rsid w:val="00E42614"/>
    <w:rsid w:val="00E431A9"/>
    <w:rsid w:val="00E50478"/>
    <w:rsid w:val="00E66709"/>
    <w:rsid w:val="00E669E2"/>
    <w:rsid w:val="00E76135"/>
    <w:rsid w:val="00E82F4F"/>
    <w:rsid w:val="00E864DF"/>
    <w:rsid w:val="00EA06A3"/>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A3878"/>
    <w:rsid w:val="00FA3B09"/>
    <w:rsid w:val="00FB1638"/>
    <w:rsid w:val="00FC1CDB"/>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7A492B5C-DEA8-4C44-88E5-4EAFCE59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head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head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FigureChar">
    <w:name w:val="Figure Char"/>
    <w:basedOn w:val="DefaultParagraphFont"/>
    <w:link w:val="Figure"/>
    <w:rsid w:val="00745FEA"/>
    <w:rPr>
      <w:sz w:val="24"/>
    </w:rPr>
  </w:style>
  <w:style w:type="character" w:customStyle="1" w:styleId="BoxChar">
    <w:name w:val="Box Char"/>
    <w:link w:val="Box"/>
    <w:locked/>
    <w:rsid w:val="00745FEA"/>
    <w:rPr>
      <w:rFonts w:ascii="Arial" w:hAnsi="Arial"/>
    </w:rPr>
  </w:style>
  <w:style w:type="character" w:customStyle="1" w:styleId="NoteChar">
    <w:name w:val="Note Char"/>
    <w:basedOn w:val="BodyTextChar"/>
    <w:link w:val="Note"/>
    <w:rsid w:val="00745FEA"/>
    <w:rPr>
      <w:rFonts w:ascii="Arial" w:hAnsi="Arial"/>
      <w:sz w:val="18"/>
    </w:rPr>
  </w:style>
  <w:style w:type="character" w:customStyle="1" w:styleId="Heading3Char">
    <w:name w:val="Heading 3 Char"/>
    <w:basedOn w:val="DefaultParagraphFont"/>
    <w:link w:val="Heading3"/>
    <w:rsid w:val="00745FEA"/>
    <w:rPr>
      <w:rFonts w:ascii="Arial" w:hAnsi="Arial"/>
      <w:b/>
      <w:sz w:val="26"/>
    </w:rPr>
  </w:style>
  <w:style w:type="character" w:customStyle="1" w:styleId="BoxListBulletChar">
    <w:name w:val="Box List Bullet Char"/>
    <w:link w:val="BoxListBullet"/>
    <w:locked/>
    <w:rsid w:val="00745FEA"/>
    <w:rPr>
      <w:rFonts w:ascii="Arial" w:hAnsi="Arial"/>
    </w:rPr>
  </w:style>
  <w:style w:type="character" w:customStyle="1" w:styleId="QuoteChar">
    <w:name w:val="Quote Char"/>
    <w:basedOn w:val="DefaultParagraphFont"/>
    <w:link w:val="Quote"/>
    <w:rsid w:val="00745FEA"/>
    <w:rPr>
      <w:sz w:val="22"/>
    </w:rPr>
  </w:style>
  <w:style w:type="character" w:customStyle="1" w:styleId="ListBulletChar">
    <w:name w:val="List Bullet Char"/>
    <w:basedOn w:val="DefaultParagraphFont"/>
    <w:link w:val="ListBullet"/>
    <w:rsid w:val="00745FEA"/>
    <w:rPr>
      <w:sz w:val="24"/>
    </w:rPr>
  </w:style>
  <w:style w:type="character" w:customStyle="1" w:styleId="FootnoteTextChar">
    <w:name w:val="Footnote Text Char"/>
    <w:basedOn w:val="DefaultParagraphFont"/>
    <w:link w:val="FootnoteText"/>
    <w:rsid w:val="00745FEA"/>
  </w:style>
  <w:style w:type="character" w:customStyle="1" w:styleId="Continuedintitle">
    <w:name w:val="Continued (in title)"/>
    <w:basedOn w:val="DefaultParagraphFont"/>
    <w:rsid w:val="00745FEA"/>
    <w:rPr>
      <w:rFonts w:ascii="Arial" w:hAnsi="Arial"/>
      <w:b/>
      <w:sz w:val="18"/>
    </w:rPr>
  </w:style>
  <w:style w:type="paragraph" w:styleId="CommentSubject">
    <w:name w:val="annotation subject"/>
    <w:basedOn w:val="CommentText"/>
    <w:next w:val="CommentText"/>
    <w:link w:val="CommentSubjectChar"/>
    <w:unhideWhenUsed/>
    <w:rsid w:val="00745FE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45FEA"/>
    <w:rPr>
      <w:szCs w:val="24"/>
    </w:rPr>
  </w:style>
  <w:style w:type="character" w:customStyle="1" w:styleId="CommentSubjectChar">
    <w:name w:val="Comment Subject Char"/>
    <w:basedOn w:val="CommentTextChar"/>
    <w:link w:val="CommentSubject"/>
    <w:rsid w:val="00745FEA"/>
    <w:rPr>
      <w:b/>
      <w:bCs/>
      <w:szCs w:val="24"/>
    </w:rPr>
  </w:style>
  <w:style w:type="character" w:styleId="EndnoteReference">
    <w:name w:val="endnote reference"/>
    <w:basedOn w:val="DefaultParagraphFont"/>
    <w:semiHidden/>
    <w:unhideWhenUsed/>
    <w:rsid w:val="00745FEA"/>
    <w:rPr>
      <w:vertAlign w:val="superscript"/>
    </w:rPr>
  </w:style>
  <w:style w:type="paragraph" w:styleId="NormalWeb">
    <w:name w:val="Normal (Web)"/>
    <w:basedOn w:val="Normal"/>
    <w:uiPriority w:val="99"/>
    <w:unhideWhenUsed/>
    <w:rsid w:val="00745FEA"/>
    <w:pPr>
      <w:spacing w:before="100" w:beforeAutospacing="1" w:after="100" w:afterAutospacing="1"/>
    </w:pPr>
    <w:rPr>
      <w:rFonts w:eastAsiaTheme="minorEastAsia"/>
    </w:rPr>
  </w:style>
  <w:style w:type="paragraph" w:styleId="Bibliography">
    <w:name w:val="Bibliography"/>
    <w:basedOn w:val="Normal"/>
    <w:next w:val="Normal"/>
    <w:uiPriority w:val="37"/>
    <w:unhideWhenUsed/>
    <w:rsid w:val="00745FEA"/>
    <w:pPr>
      <w:spacing w:after="240"/>
      <w:ind w:left="720" w:hanging="720"/>
    </w:pPr>
  </w:style>
  <w:style w:type="paragraph" w:customStyle="1" w:styleId="Default">
    <w:name w:val="Default"/>
    <w:basedOn w:val="Normal"/>
    <w:rsid w:val="00745FEA"/>
    <w:pPr>
      <w:autoSpaceDE w:val="0"/>
      <w:autoSpaceDN w:val="0"/>
    </w:pPr>
    <w:rPr>
      <w:rFonts w:eastAsiaTheme="minorHAnsi"/>
      <w:color w:val="000000"/>
      <w:lang w:eastAsia="en-US"/>
    </w:rPr>
  </w:style>
  <w:style w:type="paragraph" w:customStyle="1" w:styleId="Pa13">
    <w:name w:val="Pa13"/>
    <w:basedOn w:val="Normal"/>
    <w:uiPriority w:val="99"/>
    <w:rsid w:val="00745FEA"/>
    <w:pPr>
      <w:autoSpaceDE w:val="0"/>
      <w:autoSpaceDN w:val="0"/>
      <w:spacing w:line="281" w:lineRule="atLeast"/>
    </w:pPr>
    <w:rPr>
      <w:rFonts w:ascii="DINOT-Bold" w:eastAsiaTheme="minorHAnsi" w:hAnsi="DINOT-Bold"/>
      <w:lang w:eastAsia="en-US"/>
    </w:rPr>
  </w:style>
  <w:style w:type="paragraph" w:customStyle="1" w:styleId="Pa12">
    <w:name w:val="Pa12"/>
    <w:basedOn w:val="Normal"/>
    <w:uiPriority w:val="99"/>
    <w:rsid w:val="00745FEA"/>
    <w:pPr>
      <w:autoSpaceDE w:val="0"/>
      <w:autoSpaceDN w:val="0"/>
      <w:spacing w:line="201" w:lineRule="atLeast"/>
    </w:pPr>
    <w:rPr>
      <w:rFonts w:ascii="DINOT-Bold" w:eastAsiaTheme="minorHAnsi" w:hAnsi="DINOT-Bold"/>
      <w:lang w:eastAsia="en-US"/>
    </w:rPr>
  </w:style>
  <w:style w:type="paragraph" w:customStyle="1" w:styleId="Pa20">
    <w:name w:val="Pa20"/>
    <w:basedOn w:val="Normal"/>
    <w:uiPriority w:val="99"/>
    <w:rsid w:val="00745FEA"/>
    <w:pPr>
      <w:autoSpaceDE w:val="0"/>
      <w:autoSpaceDN w:val="0"/>
      <w:spacing w:line="181" w:lineRule="atLeast"/>
    </w:pPr>
    <w:rPr>
      <w:rFonts w:ascii="DINOT-Bold" w:eastAsiaTheme="minorHAnsi" w:hAnsi="DINOT-Bold"/>
      <w:lang w:eastAsia="en-US"/>
    </w:rPr>
  </w:style>
  <w:style w:type="paragraph" w:customStyle="1" w:styleId="Pa25">
    <w:name w:val="Pa25"/>
    <w:basedOn w:val="Normal"/>
    <w:uiPriority w:val="99"/>
    <w:rsid w:val="00745FEA"/>
    <w:pPr>
      <w:autoSpaceDE w:val="0"/>
      <w:autoSpaceDN w:val="0"/>
      <w:spacing w:line="161" w:lineRule="atLeast"/>
    </w:pPr>
    <w:rPr>
      <w:rFonts w:ascii="DINOT-Bold" w:eastAsiaTheme="minorHAnsi" w:hAnsi="DINOT-Bold"/>
      <w:lang w:eastAsia="en-US"/>
    </w:rPr>
  </w:style>
  <w:style w:type="paragraph" w:customStyle="1" w:styleId="Pa23">
    <w:name w:val="Pa23"/>
    <w:basedOn w:val="Normal"/>
    <w:uiPriority w:val="99"/>
    <w:rsid w:val="00745FEA"/>
    <w:pPr>
      <w:autoSpaceDE w:val="0"/>
      <w:autoSpaceDN w:val="0"/>
      <w:spacing w:line="161" w:lineRule="atLeast"/>
    </w:pPr>
    <w:rPr>
      <w:rFonts w:ascii="DINOT-Bold" w:eastAsiaTheme="minorHAnsi" w:hAnsi="DINOT-Bold"/>
      <w:lang w:eastAsia="en-US"/>
    </w:rPr>
  </w:style>
  <w:style w:type="paragraph" w:customStyle="1" w:styleId="Pa24">
    <w:name w:val="Pa24"/>
    <w:basedOn w:val="Normal"/>
    <w:uiPriority w:val="99"/>
    <w:rsid w:val="00745FEA"/>
    <w:pPr>
      <w:autoSpaceDE w:val="0"/>
      <w:autoSpaceDN w:val="0"/>
      <w:spacing w:line="161" w:lineRule="atLeast"/>
    </w:pPr>
    <w:rPr>
      <w:rFonts w:ascii="DINOT-Bold" w:eastAsiaTheme="minorHAnsi" w:hAnsi="DINOT-Bold"/>
      <w:lang w:eastAsia="en-US"/>
    </w:rPr>
  </w:style>
  <w:style w:type="character" w:customStyle="1" w:styleId="A10">
    <w:name w:val="A10"/>
    <w:basedOn w:val="DefaultParagraphFont"/>
    <w:uiPriority w:val="99"/>
    <w:rsid w:val="00745FEA"/>
    <w:rPr>
      <w:rFonts w:ascii="DINOT-Light" w:hAnsi="DINOT-Light" w:hint="default"/>
      <w:color w:val="000000"/>
    </w:rPr>
  </w:style>
  <w:style w:type="character" w:styleId="Strong">
    <w:name w:val="Strong"/>
    <w:basedOn w:val="DefaultParagraphFont"/>
    <w:uiPriority w:val="22"/>
    <w:qFormat/>
    <w:rsid w:val="00745FEA"/>
    <w:rPr>
      <w:rFonts w:ascii="HelveticaNeueW01-75Bold" w:hAnsi="HelveticaNeueW01-75Bold" w:hint="default"/>
      <w:b w:val="0"/>
      <w:bCs w:val="0"/>
    </w:rPr>
  </w:style>
  <w:style w:type="paragraph" w:styleId="Revision">
    <w:name w:val="Revision"/>
    <w:hidden/>
    <w:uiPriority w:val="99"/>
    <w:semiHidden/>
    <w:rsid w:val="00745FEA"/>
    <w:rPr>
      <w:sz w:val="24"/>
      <w:szCs w:val="24"/>
    </w:rPr>
  </w:style>
  <w:style w:type="paragraph" w:styleId="EndnoteText">
    <w:name w:val="endnote text"/>
    <w:basedOn w:val="Normal"/>
    <w:link w:val="EndnoteTextChar"/>
    <w:semiHidden/>
    <w:unhideWhenUsed/>
    <w:rsid w:val="00745FEA"/>
    <w:rPr>
      <w:sz w:val="20"/>
      <w:szCs w:val="20"/>
    </w:rPr>
  </w:style>
  <w:style w:type="character" w:customStyle="1" w:styleId="EndnoteTextChar">
    <w:name w:val="Endnote Text Char"/>
    <w:basedOn w:val="DefaultParagraphFont"/>
    <w:link w:val="EndnoteText"/>
    <w:semiHidden/>
    <w:rsid w:val="00745FEA"/>
  </w:style>
  <w:style w:type="paragraph" w:styleId="ListParagraph">
    <w:name w:val="List Paragraph"/>
    <w:basedOn w:val="Normal"/>
    <w:uiPriority w:val="34"/>
    <w:rsid w:val="00745FEA"/>
    <w:pPr>
      <w:ind w:left="720"/>
      <w:contextualSpacing/>
    </w:pPr>
  </w:style>
  <w:style w:type="character" w:styleId="Hyperlink">
    <w:name w:val="Hyperlink"/>
    <w:basedOn w:val="DefaultParagraphFont"/>
    <w:rsid w:val="00745FEA"/>
    <w:rPr>
      <w:color w:val="000000" w:themeColor="hyperlink"/>
      <w:u w:val="single"/>
    </w:rPr>
  </w:style>
  <w:style w:type="character" w:customStyle="1" w:styleId="ReferenceChar">
    <w:name w:val="Reference Char"/>
    <w:basedOn w:val="DefaultParagraphFont"/>
    <w:link w:val="Reference"/>
    <w:locked/>
    <w:rsid w:val="00745FEA"/>
    <w:rPr>
      <w:sz w:val="24"/>
    </w:rPr>
  </w:style>
  <w:style w:type="character" w:styleId="FollowedHyperlink">
    <w:name w:val="FollowedHyperlink"/>
    <w:basedOn w:val="DefaultParagraphFont"/>
    <w:rsid w:val="00745FEA"/>
    <w:rPr>
      <w:color w:val="BFBFBF" w:themeColor="followedHyperlink"/>
      <w:u w:val="single"/>
    </w:rPr>
  </w:style>
  <w:style w:type="character" w:customStyle="1" w:styleId="Heading4Char">
    <w:name w:val="Heading 4 Char"/>
    <w:basedOn w:val="DefaultParagraphFont"/>
    <w:link w:val="Heading4"/>
    <w:rsid w:val="00745FEA"/>
    <w:rPr>
      <w:rFonts w:ascii="Arial" w:hAnsi="Arial"/>
      <w:sz w:val="24"/>
    </w:rPr>
  </w:style>
  <w:style w:type="character" w:customStyle="1" w:styleId="apple-converted-space">
    <w:name w:val="apple-converted-space"/>
    <w:basedOn w:val="DefaultParagraphFont"/>
    <w:rsid w:val="00745FEA"/>
  </w:style>
  <w:style w:type="character" w:customStyle="1" w:styleId="CopyrightbodytextChar">
    <w:name w:val="Copyright bodytext Char"/>
    <w:basedOn w:val="DefaultParagraphFont"/>
    <w:link w:val="Copyrightbodytext"/>
    <w:locked/>
    <w:rsid w:val="00745FEA"/>
    <w:rPr>
      <w:sz w:val="26"/>
      <w:lang w:eastAsia="en-US"/>
    </w:rPr>
  </w:style>
  <w:style w:type="paragraph" w:customStyle="1" w:styleId="Copyrightbodytext">
    <w:name w:val="Copyright bodytext"/>
    <w:basedOn w:val="BodyText"/>
    <w:link w:val="CopyrightbodytextChar"/>
    <w:qFormat/>
    <w:rsid w:val="00745FEA"/>
    <w:pPr>
      <w:spacing w:before="60"/>
    </w:pPr>
    <w:rPr>
      <w:sz w:val="26"/>
      <w:lang w:eastAsia="en-US"/>
    </w:rPr>
  </w:style>
  <w:style w:type="paragraph" w:customStyle="1" w:styleId="Spacebe">
    <w:name w:val="Space be"/>
    <w:basedOn w:val="Source"/>
    <w:rsid w:val="00745FEA"/>
    <w:rPr>
      <w:i/>
    </w:rPr>
  </w:style>
  <w:style w:type="paragraph" w:customStyle="1" w:styleId="Heading2NotTOC">
    <w:name w:val="Heading 2 Not TOC"/>
    <w:basedOn w:val="Heading2"/>
    <w:next w:val="BodyText"/>
    <w:rsid w:val="00745FEA"/>
    <w:rPr>
      <w:szCs w:val="24"/>
    </w:rPr>
  </w:style>
  <w:style w:type="paragraph" w:customStyle="1" w:styleId="Heading1NotTOC">
    <w:name w:val="Heading 1 Not TOC"/>
    <w:basedOn w:val="Heading1"/>
    <w:next w:val="BodyText"/>
    <w:rsid w:val="00745FEA"/>
    <w:rPr>
      <w:kern w:val="28"/>
      <w:szCs w:val="26"/>
      <w:lang w:eastAsia="en-US"/>
    </w:rPr>
  </w:style>
  <w:style w:type="paragraph" w:customStyle="1" w:styleId="Copyrightheading">
    <w:name w:val="Copyright heading"/>
    <w:basedOn w:val="TOC1"/>
    <w:link w:val="CopyrightheadingChar"/>
    <w:qFormat/>
    <w:rsid w:val="00745FEA"/>
    <w:pPr>
      <w:spacing w:line="300" w:lineRule="exact"/>
    </w:pPr>
    <w:rPr>
      <w:sz w:val="22"/>
    </w:rPr>
  </w:style>
  <w:style w:type="character" w:customStyle="1" w:styleId="CopyrightheadingChar">
    <w:name w:val="Copyright heading Char"/>
    <w:basedOn w:val="TOC1Char"/>
    <w:link w:val="Copyrightheading"/>
    <w:rsid w:val="00745FEA"/>
    <w:rPr>
      <w:rFonts w:ascii="Arial" w:hAnsi="Arial"/>
      <w:b/>
      <w:sz w:val="22"/>
      <w:szCs w:val="26"/>
      <w:lang w:eastAsia="en-US"/>
    </w:rPr>
  </w:style>
  <w:style w:type="paragraph" w:customStyle="1" w:styleId="Copyrightsubtitle">
    <w:name w:val="Copyright subtitle"/>
    <w:basedOn w:val="BodyText"/>
    <w:rsid w:val="00745FEA"/>
    <w:rPr>
      <w:rFonts w:ascii="Arial" w:hAnsi="Arial"/>
      <w:b/>
      <w:sz w:val="22"/>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6932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image" Target="media/image3.emf"/><Relationship Id="rId39" Type="http://schemas.openxmlformats.org/officeDocument/2006/relationships/image" Target="media/image12.emf"/><Relationship Id="rId21" Type="http://schemas.openxmlformats.org/officeDocument/2006/relationships/footer" Target="footer4.xml"/><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header" Target="header9.xml"/><Relationship Id="rId50" Type="http://schemas.openxmlformats.org/officeDocument/2006/relationships/footer" Target="footer10.xml"/><Relationship Id="rId55" Type="http://schemas.openxmlformats.org/officeDocument/2006/relationships/header" Target="header13.xml"/><Relationship Id="rId63" Type="http://schemas.openxmlformats.org/officeDocument/2006/relationships/footer" Target="footer15.xml"/><Relationship Id="rId68"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6.emf"/><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32" Type="http://schemas.openxmlformats.org/officeDocument/2006/relationships/image" Target="media/image9.emf"/><Relationship Id="rId37" Type="http://schemas.openxmlformats.org/officeDocument/2006/relationships/footer" Target="footer7.xml"/><Relationship Id="rId40" Type="http://schemas.openxmlformats.org/officeDocument/2006/relationships/image" Target="media/image13.emf"/><Relationship Id="rId45" Type="http://schemas.openxmlformats.org/officeDocument/2006/relationships/image" Target="media/image18.emf"/><Relationship Id="rId53" Type="http://schemas.openxmlformats.org/officeDocument/2006/relationships/footer" Target="footer11.xml"/><Relationship Id="rId58" Type="http://schemas.openxmlformats.org/officeDocument/2006/relationships/footer" Target="footer14.xml"/><Relationship Id="rId66" Type="http://schemas.openxmlformats.org/officeDocument/2006/relationships/header" Target="header18.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header" Target="header8.xml"/><Relationship Id="rId49" Type="http://schemas.openxmlformats.org/officeDocument/2006/relationships/footer" Target="footer9.xml"/><Relationship Id="rId57" Type="http://schemas.openxmlformats.org/officeDocument/2006/relationships/footer" Target="footer13.xml"/><Relationship Id="rId61" Type="http://schemas.openxmlformats.org/officeDocument/2006/relationships/header" Target="header15.xml"/><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image" Target="media/image8.emf"/><Relationship Id="rId44" Type="http://schemas.openxmlformats.org/officeDocument/2006/relationships/image" Target="media/image17.emf"/><Relationship Id="rId52" Type="http://schemas.openxmlformats.org/officeDocument/2006/relationships/header" Target="header12.xml"/><Relationship Id="rId60" Type="http://schemas.openxmlformats.org/officeDocument/2006/relationships/image" Target="media/image21.png"/><Relationship Id="rId65" Type="http://schemas.openxmlformats.org/officeDocument/2006/relationships/header" Target="header17.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image" Target="media/image7.emf"/><Relationship Id="rId35" Type="http://schemas.openxmlformats.org/officeDocument/2006/relationships/header" Target="header7.xml"/><Relationship Id="rId43" Type="http://schemas.openxmlformats.org/officeDocument/2006/relationships/image" Target="media/image16.emf"/><Relationship Id="rId48" Type="http://schemas.openxmlformats.org/officeDocument/2006/relationships/header" Target="header10.xml"/><Relationship Id="rId56" Type="http://schemas.openxmlformats.org/officeDocument/2006/relationships/header" Target="header14.xml"/><Relationship Id="rId64" Type="http://schemas.openxmlformats.org/officeDocument/2006/relationships/footer" Target="footer16.xml"/><Relationship Id="rId69"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header" Target="header11.xml"/><Relationship Id="rId72" Type="http://schemas.openxmlformats.org/officeDocument/2006/relationships/footer" Target="footer20.xml"/><Relationship Id="rId3" Type="http://schemas.openxmlformats.org/officeDocument/2006/relationships/styles" Target="styl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10.emf"/><Relationship Id="rId38" Type="http://schemas.openxmlformats.org/officeDocument/2006/relationships/footer" Target="footer8.xml"/><Relationship Id="rId46" Type="http://schemas.openxmlformats.org/officeDocument/2006/relationships/image" Target="media/image19.emf"/><Relationship Id="rId59" Type="http://schemas.openxmlformats.org/officeDocument/2006/relationships/image" Target="media/image20.png"/><Relationship Id="rId67" Type="http://schemas.openxmlformats.org/officeDocument/2006/relationships/footer" Target="footer17.xml"/><Relationship Id="rId20" Type="http://schemas.openxmlformats.org/officeDocument/2006/relationships/footer" Target="footer3.xml"/><Relationship Id="rId41" Type="http://schemas.openxmlformats.org/officeDocument/2006/relationships/image" Target="media/image14.emf"/><Relationship Id="rId54" Type="http://schemas.openxmlformats.org/officeDocument/2006/relationships/footer" Target="footer12.xml"/><Relationship Id="rId62" Type="http://schemas.openxmlformats.org/officeDocument/2006/relationships/header" Target="header16.xml"/><Relationship Id="rId70"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0DFB-31C6-422B-AE34-0E51B091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149</Pages>
  <Words>47644</Words>
  <Characters>271574</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Trade and Assistance Review 2016-17</vt:lpstr>
    </vt:vector>
  </TitlesOfParts>
  <Company>Productivity Commission</Company>
  <LinksUpToDate>false</LinksUpToDate>
  <CharactersWithSpaces>318581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Assistance Review 2016-17</dc:title>
  <dc:creator>Productivity Commission</dc:creator>
  <cp:lastModifiedBy>Productivity Commission</cp:lastModifiedBy>
  <cp:revision>11</cp:revision>
  <dcterms:created xsi:type="dcterms:W3CDTF">2018-04-20T07:05:00Z</dcterms:created>
  <dcterms:modified xsi:type="dcterms:W3CDTF">2018-05-15T06:04:00Z</dcterms:modified>
</cp:coreProperties>
</file>