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45A00" w14:textId="77777777" w:rsidR="007964F3" w:rsidRPr="007964F3" w:rsidRDefault="007964F3" w:rsidP="007964F3">
      <w:pPr>
        <w:pStyle w:val="Heading1"/>
        <w:rPr>
          <w:color w:val="FFFFFF" w:themeColor="background1"/>
          <w:sz w:val="16"/>
          <w:szCs w:val="16"/>
        </w:rPr>
      </w:pPr>
      <w:bookmarkStart w:id="0" w:name="ChapterNumber"/>
      <w:r w:rsidRPr="007964F3">
        <w:rPr>
          <w:color w:val="FFFFFF" w:themeColor="background1"/>
          <w:sz w:val="16"/>
          <w:szCs w:val="16"/>
        </w:rPr>
        <w:t>Trade and Assistance Review 2018-19</w:t>
      </w:r>
    </w:p>
    <w:p w14:paraId="12EFD921" w14:textId="2271DD04" w:rsidR="008A0451" w:rsidRPr="007964F3" w:rsidRDefault="007964F3">
      <w:r w:rsidRPr="007964F3">
        <w:rPr>
          <w:color w:val="FFFFFF" w:themeColor="background1"/>
          <w:sz w:val="16"/>
          <w:szCs w:val="16"/>
        </w:rPr>
        <w:t>Productivity Commission Annual Report Series April 2020</w:t>
      </w:r>
      <w:r w:rsidRPr="007964F3">
        <w:rPr>
          <w:noProof/>
          <w:color w:val="FFFFFF" w:themeColor="background1"/>
        </w:rPr>
        <w:t xml:space="preserve"> </w:t>
      </w:r>
      <w:r w:rsidR="008A0451" w:rsidRPr="007964F3">
        <w:rPr>
          <w:noProof/>
        </w:rPr>
        <w:drawing>
          <wp:anchor distT="0" distB="0" distL="114300" distR="114300" simplePos="0" relativeHeight="251658240" behindDoc="0" locked="0" layoutInCell="1" allowOverlap="1" wp14:anchorId="0C8B864F" wp14:editId="76F01509">
            <wp:simplePos x="0" y="0"/>
            <wp:positionH relativeFrom="page">
              <wp:align>center</wp:align>
            </wp:positionH>
            <wp:positionV relativeFrom="page">
              <wp:align>center</wp:align>
            </wp:positionV>
            <wp:extent cx="7560000" cy="10742400"/>
            <wp:effectExtent l="0" t="0" r="3175" b="1905"/>
            <wp:wrapNone/>
            <wp:docPr id="7" name="Picture 7" descr="Cover for Trade and Assistance Review 2018-19, Productivity Comission Annual Report Series, April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R-2018-19-title-page.png"/>
                    <pic:cNvPicPr/>
                  </pic:nvPicPr>
                  <pic:blipFill>
                    <a:blip r:embed="rId14">
                      <a:extLst>
                        <a:ext uri="{28A0092B-C50C-407E-A947-70E740481C1C}">
                          <a14:useLocalDpi xmlns:a14="http://schemas.microsoft.com/office/drawing/2010/main" val="0"/>
                        </a:ext>
                      </a:extLst>
                    </a:blip>
                    <a:stretch>
                      <a:fillRect/>
                    </a:stretch>
                  </pic:blipFill>
                  <pic:spPr>
                    <a:xfrm>
                      <a:off x="0" y="0"/>
                      <a:ext cx="7560000" cy="10742400"/>
                    </a:xfrm>
                    <a:prstGeom prst="rect">
                      <a:avLst/>
                    </a:prstGeom>
                  </pic:spPr>
                </pic:pic>
              </a:graphicData>
            </a:graphic>
            <wp14:sizeRelH relativeFrom="margin">
              <wp14:pctWidth>0</wp14:pctWidth>
            </wp14:sizeRelH>
            <wp14:sizeRelV relativeFrom="margin">
              <wp14:pctHeight>0</wp14:pctHeight>
            </wp14:sizeRelV>
          </wp:anchor>
        </w:drawing>
      </w:r>
      <w:r w:rsidR="008A0451" w:rsidRPr="007964F3">
        <w:br w:type="page"/>
      </w:r>
    </w:p>
    <w:p w14:paraId="66CE56C0" w14:textId="34FF09D1" w:rsidR="00A85B2E" w:rsidRDefault="00A85B2E" w:rsidP="008A0451">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2020</w:t>
      </w:r>
    </w:p>
    <w:p w14:paraId="3C61C2F0" w14:textId="28F095F1" w:rsidR="00C418AC" w:rsidRDefault="00C418AC" w:rsidP="00C418AC">
      <w:pPr>
        <w:pStyle w:val="Copyrightheading"/>
        <w:tabs>
          <w:tab w:val="clear" w:pos="8789"/>
        </w:tabs>
        <w:jc w:val="both"/>
      </w:pPr>
      <w:r>
        <w:t>ISBN</w:t>
      </w:r>
      <w:r>
        <w:tab/>
      </w:r>
      <w:r w:rsidRPr="00C418AC">
        <w:t>978-1-74037-696-9</w:t>
      </w:r>
    </w:p>
    <w:p w14:paraId="14E2EB3B" w14:textId="77777777" w:rsidR="00A85B2E" w:rsidRDefault="00A85B2E" w:rsidP="00A85B2E">
      <w:pPr>
        <w:pStyle w:val="BodyText"/>
        <w:spacing w:after="120"/>
      </w:pPr>
      <w:bookmarkStart w:id="1" w:name="ISSN"/>
      <w:bookmarkEnd w:id="1"/>
      <w:r w:rsidRPr="00862D8F">
        <w:rPr>
          <w:noProof/>
          <w:sz w:val="22"/>
          <w:szCs w:val="22"/>
        </w:rPr>
        <w:drawing>
          <wp:inline distT="0" distB="0" distL="0" distR="0" wp14:anchorId="3E4C4FCE" wp14:editId="109E78A4">
            <wp:extent cx="843280" cy="295043"/>
            <wp:effectExtent l="0" t="0" r="0" b="0"/>
            <wp:docPr id="5" name="Picture 5"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6066E3FD" w14:textId="77777777" w:rsidR="00A85B2E" w:rsidRPr="006B499B" w:rsidRDefault="00A85B2E" w:rsidP="00A85B2E">
      <w:pPr>
        <w:pStyle w:val="Copyrightbodytext"/>
        <w:rPr>
          <w:sz w:val="20"/>
        </w:rPr>
      </w:pPr>
      <w:r w:rsidRPr="006B499B">
        <w:rPr>
          <w:sz w:val="20"/>
        </w:rPr>
        <w:t xml:space="preserve">Except for the Commonwealth Coat of Arms and content supplied by third parties, this copyright work is licensed under a Creative Commons Attribution 3.0 Australia licence. To view a copy of this licence, visit </w:t>
      </w:r>
      <w:hyperlink r:id="rId16" w:history="1">
        <w:hyperlink r:id="rId17" w:history="1">
          <w:r w:rsidRPr="006B499B">
            <w:rPr>
              <w:sz w:val="20"/>
            </w:rPr>
            <w:t>http://creativecommons.org/licenses/by/3.0/au</w:t>
          </w:r>
        </w:hyperlink>
      </w:hyperlink>
      <w:r w:rsidRPr="006B499B">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66454B88" w14:textId="77777777" w:rsidR="00A85B2E" w:rsidRPr="008A3857" w:rsidRDefault="00A85B2E" w:rsidP="00A85B2E">
      <w:pPr>
        <w:pStyle w:val="Copyrightsubtitle"/>
      </w:pPr>
      <w:r w:rsidRPr="008A3857">
        <w:t>Use of the Commonwealth Coat of Arms</w:t>
      </w:r>
    </w:p>
    <w:p w14:paraId="0B6F8C75" w14:textId="77777777" w:rsidR="00A85B2E" w:rsidRPr="009630E6" w:rsidRDefault="00A85B2E" w:rsidP="00A85B2E">
      <w:pPr>
        <w:pStyle w:val="Copyrightbodytext"/>
        <w:rPr>
          <w:spacing w:val="-2"/>
          <w:sz w:val="20"/>
        </w:rPr>
      </w:pPr>
      <w:r w:rsidRPr="009630E6">
        <w:rPr>
          <w:spacing w:val="-2"/>
          <w:sz w:val="20"/>
        </w:rPr>
        <w:t xml:space="preserve">Terms of use for the Coat of Arms are available from the Department of the Prime Minister and Cabinet’s website: </w:t>
      </w:r>
      <w:hyperlink r:id="rId18" w:history="1">
        <w:r w:rsidRPr="009630E6">
          <w:rPr>
            <w:rStyle w:val="Hyperlink"/>
            <w:spacing w:val="-2"/>
            <w:sz w:val="20"/>
          </w:rPr>
          <w:t>https://www.pmc.gov.au/government/commonwealth-coat-arms</w:t>
        </w:r>
      </w:hyperlink>
    </w:p>
    <w:p w14:paraId="516C1522" w14:textId="77777777" w:rsidR="00A85B2E" w:rsidRPr="008A3857" w:rsidRDefault="00A85B2E" w:rsidP="00A85B2E">
      <w:pPr>
        <w:pStyle w:val="Copyrightsubtitle"/>
      </w:pPr>
      <w:r w:rsidRPr="008A3857">
        <w:t>Third party copyright</w:t>
      </w:r>
    </w:p>
    <w:p w14:paraId="3A738EC5" w14:textId="77777777" w:rsidR="00A85B2E" w:rsidRPr="006B499B" w:rsidRDefault="00A85B2E" w:rsidP="00A85B2E">
      <w:pPr>
        <w:pStyle w:val="Copyrightbodytext"/>
        <w:rPr>
          <w:sz w:val="20"/>
        </w:rPr>
      </w:pPr>
      <w:r w:rsidRPr="006B499B">
        <w:rPr>
          <w:sz w:val="20"/>
        </w:rPr>
        <w:t>Wherever a third party holds copyright in this material, the copyright remains with that party. Their permission may be required to use the material, please contact them directly.</w:t>
      </w:r>
    </w:p>
    <w:p w14:paraId="7E38F819" w14:textId="77777777" w:rsidR="00A85B2E" w:rsidRPr="008A3857" w:rsidRDefault="00A85B2E" w:rsidP="00A85B2E">
      <w:pPr>
        <w:pStyle w:val="Copyrightsubtitle"/>
      </w:pPr>
      <w:r w:rsidRPr="008A3857">
        <w:t>Attribution</w:t>
      </w:r>
    </w:p>
    <w:p w14:paraId="6A92E3CC" w14:textId="306DC8E5" w:rsidR="00A85B2E" w:rsidRPr="006B499B" w:rsidRDefault="00A85B2E" w:rsidP="00A85B2E">
      <w:pPr>
        <w:pStyle w:val="Copyrightbodytext"/>
        <w:rPr>
          <w:sz w:val="20"/>
        </w:rPr>
      </w:pPr>
      <w:r w:rsidRPr="006B499B">
        <w:rPr>
          <w:sz w:val="20"/>
        </w:rPr>
        <w:t xml:space="preserve">This work should be attributed as follows, </w:t>
      </w:r>
      <w:r w:rsidRPr="006B499B">
        <w:rPr>
          <w:i/>
          <w:sz w:val="20"/>
        </w:rPr>
        <w:t>Source: Productivity Commission, Trade and Assistance Review</w:t>
      </w:r>
      <w:r w:rsidR="00C418AC">
        <w:rPr>
          <w:i/>
          <w:sz w:val="20"/>
        </w:rPr>
        <w:t xml:space="preserve"> 2018-19</w:t>
      </w:r>
      <w:r w:rsidRPr="006B499B">
        <w:rPr>
          <w:sz w:val="20"/>
        </w:rPr>
        <w:t>.</w:t>
      </w:r>
    </w:p>
    <w:p w14:paraId="2039E7BF" w14:textId="7DC95925" w:rsidR="00A85B2E" w:rsidRPr="006B499B" w:rsidRDefault="00A85B2E" w:rsidP="00A85B2E">
      <w:pPr>
        <w:pStyle w:val="Copyrightbodytext"/>
        <w:spacing w:before="120"/>
        <w:rPr>
          <w:sz w:val="20"/>
        </w:rPr>
      </w:pPr>
      <w:r w:rsidRPr="006B499B">
        <w:rPr>
          <w:sz w:val="20"/>
        </w:rPr>
        <w:t xml:space="preserve">If you have adapted, modified or transformed this work in anyway, please use the following, </w:t>
      </w:r>
      <w:r w:rsidRPr="006B499B">
        <w:rPr>
          <w:i/>
          <w:sz w:val="20"/>
        </w:rPr>
        <w:t>Source: based on Productivity Commission data, Trade and Assistance Review</w:t>
      </w:r>
      <w:r w:rsidR="00C418AC">
        <w:rPr>
          <w:i/>
          <w:sz w:val="20"/>
        </w:rPr>
        <w:t xml:space="preserve"> 2018-19</w:t>
      </w:r>
      <w:r w:rsidRPr="006B499B">
        <w:rPr>
          <w:i/>
          <w:sz w:val="20"/>
        </w:rPr>
        <w:t>.</w:t>
      </w:r>
    </w:p>
    <w:p w14:paraId="687C4DAC" w14:textId="77777777" w:rsidR="00A85B2E" w:rsidRPr="008A3857" w:rsidRDefault="00A85B2E" w:rsidP="00A85B2E">
      <w:pPr>
        <w:pStyle w:val="Copyrightsubtitle"/>
      </w:pPr>
      <w:r w:rsidRPr="008A3857">
        <w:t xml:space="preserve">An appropriate </w:t>
      </w:r>
      <w:r>
        <w:t>reference</w:t>
      </w:r>
      <w:r w:rsidRPr="008A3857">
        <w:t xml:space="preserve"> for this publication is:</w:t>
      </w:r>
    </w:p>
    <w:p w14:paraId="03BC9DAC" w14:textId="0C07DAD7" w:rsidR="00A85B2E" w:rsidRPr="00D57F00" w:rsidRDefault="00A85B2E" w:rsidP="00A85B2E">
      <w:pPr>
        <w:pStyle w:val="Copyrightbodytext"/>
      </w:pPr>
      <w:r w:rsidRPr="006B499B">
        <w:rPr>
          <w:sz w:val="20"/>
        </w:rPr>
        <w:t xml:space="preserve">Productivity Commission 2020, </w:t>
      </w:r>
      <w:r w:rsidRPr="006B499B">
        <w:rPr>
          <w:i/>
          <w:sz w:val="20"/>
        </w:rPr>
        <w:t>Trade and Assistance Review</w:t>
      </w:r>
      <w:r w:rsidR="00C418AC">
        <w:rPr>
          <w:i/>
          <w:sz w:val="20"/>
        </w:rPr>
        <w:t xml:space="preserve"> 2018-19</w:t>
      </w:r>
      <w:r w:rsidRPr="006B499B">
        <w:rPr>
          <w:i/>
          <w:sz w:val="20"/>
        </w:rPr>
        <w:t xml:space="preserve">, </w:t>
      </w:r>
      <w:r w:rsidR="007964F3" w:rsidRPr="006259AF">
        <w:rPr>
          <w:sz w:val="20"/>
        </w:rPr>
        <w:t>Annual Report Series,</w:t>
      </w:r>
      <w:r w:rsidR="007964F3" w:rsidRPr="006B499B">
        <w:rPr>
          <w:sz w:val="20"/>
        </w:rPr>
        <w:t xml:space="preserve"> </w:t>
      </w:r>
      <w:r w:rsidRPr="006B499B">
        <w:rPr>
          <w:sz w:val="20"/>
        </w:rPr>
        <w:t>Canberra</w:t>
      </w:r>
      <w:r w:rsidR="007964F3">
        <w:t>.</w:t>
      </w:r>
    </w:p>
    <w:p w14:paraId="75F98F52" w14:textId="77777777" w:rsidR="00A85B2E" w:rsidRPr="008A3857" w:rsidRDefault="00A85B2E" w:rsidP="00A85B2E">
      <w:pPr>
        <w:pStyle w:val="Copyrightsubtitle"/>
      </w:pPr>
      <w:bookmarkStart w:id="2" w:name="JEL"/>
      <w:bookmarkEnd w:id="2"/>
      <w:r w:rsidRPr="008A3857">
        <w:t>Publications enquiries</w:t>
      </w:r>
    </w:p>
    <w:p w14:paraId="01FC33B4" w14:textId="77777777" w:rsidR="00A85B2E" w:rsidRPr="006B499B" w:rsidRDefault="00A85B2E" w:rsidP="00A85B2E">
      <w:pPr>
        <w:pStyle w:val="Copyrightbodytext"/>
        <w:rPr>
          <w:sz w:val="20"/>
        </w:rPr>
      </w:pPr>
      <w:r w:rsidRPr="006B499B">
        <w:rPr>
          <w:sz w:val="20"/>
        </w:rPr>
        <w:t>Media, Publications and Web, phone: (03) 9653 2244 or email: mpw@pc.gov.au</w:t>
      </w:r>
    </w:p>
    <w:p w14:paraId="43583E0F" w14:textId="77777777" w:rsidR="00A85B2E" w:rsidRDefault="00A85B2E" w:rsidP="00A85B2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85B2E" w14:paraId="726A844F" w14:textId="77777777" w:rsidTr="00BE51AE">
        <w:trPr>
          <w:tblHeader/>
        </w:trPr>
        <w:tc>
          <w:tcPr>
            <w:tcW w:w="5000" w:type="pct"/>
            <w:tcBorders>
              <w:top w:val="single" w:sz="6" w:space="0" w:color="78A22F"/>
              <w:left w:val="nil"/>
              <w:bottom w:val="nil"/>
              <w:right w:val="nil"/>
            </w:tcBorders>
            <w:shd w:val="clear" w:color="auto" w:fill="F2F2F2" w:themeFill="background1" w:themeFillShade="F2"/>
          </w:tcPr>
          <w:p w14:paraId="2B518BBC" w14:textId="77777777" w:rsidR="00A85B2E" w:rsidRPr="008A3857" w:rsidRDefault="00A85B2E" w:rsidP="00BE51AE">
            <w:pPr>
              <w:pStyle w:val="BoxTitle"/>
              <w:rPr>
                <w:sz w:val="22"/>
                <w:szCs w:val="22"/>
              </w:rPr>
            </w:pPr>
            <w:r w:rsidRPr="008A3857">
              <w:rPr>
                <w:sz w:val="22"/>
                <w:szCs w:val="22"/>
              </w:rPr>
              <w:t>The Productivity Commission</w:t>
            </w:r>
          </w:p>
        </w:tc>
      </w:tr>
      <w:tr w:rsidR="00A85B2E" w14:paraId="081C1DFA" w14:textId="77777777" w:rsidTr="00BE51AE">
        <w:tc>
          <w:tcPr>
            <w:tcW w:w="5000" w:type="pct"/>
            <w:tcBorders>
              <w:top w:val="nil"/>
              <w:left w:val="nil"/>
              <w:bottom w:val="nil"/>
              <w:right w:val="nil"/>
            </w:tcBorders>
            <w:shd w:val="clear" w:color="auto" w:fill="F2F2F2" w:themeFill="background1" w:themeFillShade="F2"/>
          </w:tcPr>
          <w:p w14:paraId="7B62C2CE" w14:textId="77777777" w:rsidR="00A85B2E" w:rsidRDefault="00A85B2E" w:rsidP="00BE51AE">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16D85FA3" w14:textId="77777777" w:rsidR="00A85B2E" w:rsidRDefault="00A85B2E" w:rsidP="00BE51AE">
            <w:pPr>
              <w:pStyle w:val="Box"/>
            </w:pPr>
            <w:r w:rsidRPr="00BB5DCF">
              <w:t>The Commission’s independence is underpinned by an Act of Parliament. Its processes and outputs are open to public scrutiny and are driven by concern for the wellbeing of the community as a whole.</w:t>
            </w:r>
          </w:p>
          <w:p w14:paraId="05D99B01" w14:textId="77777777" w:rsidR="00A85B2E" w:rsidRDefault="00A85B2E" w:rsidP="00BE51AE">
            <w:pPr>
              <w:pStyle w:val="Box"/>
            </w:pPr>
            <w:r w:rsidRPr="00BB5DCF">
              <w:rPr>
                <w:szCs w:val="24"/>
              </w:rPr>
              <w:t>Further information on the Productivity Commission can be obtained from the Commission’s website (</w:t>
            </w:r>
            <w:hyperlink r:id="rId19" w:history="1">
              <w:r w:rsidRPr="00805FD7">
                <w:t>www.pc.gov.au</w:t>
              </w:r>
            </w:hyperlink>
            <w:r w:rsidRPr="00BB5DCF">
              <w:rPr>
                <w:szCs w:val="24"/>
              </w:rPr>
              <w:t>)</w:t>
            </w:r>
            <w:r>
              <w:rPr>
                <w:szCs w:val="24"/>
              </w:rPr>
              <w:t>.</w:t>
            </w:r>
          </w:p>
        </w:tc>
      </w:tr>
      <w:tr w:rsidR="00A85B2E" w14:paraId="339E5E8A" w14:textId="77777777" w:rsidTr="00BE51AE">
        <w:tc>
          <w:tcPr>
            <w:tcW w:w="5000" w:type="pct"/>
            <w:tcBorders>
              <w:top w:val="nil"/>
              <w:left w:val="nil"/>
              <w:bottom w:val="single" w:sz="6" w:space="0" w:color="78A22F"/>
              <w:right w:val="nil"/>
            </w:tcBorders>
            <w:shd w:val="clear" w:color="auto" w:fill="F2F2F2" w:themeFill="background1" w:themeFillShade="F2"/>
          </w:tcPr>
          <w:p w14:paraId="39B6C488" w14:textId="77777777" w:rsidR="00A85B2E" w:rsidRDefault="00A85B2E" w:rsidP="00BE51AE">
            <w:pPr>
              <w:pStyle w:val="Box"/>
              <w:spacing w:before="0" w:line="120" w:lineRule="exact"/>
            </w:pPr>
          </w:p>
        </w:tc>
      </w:tr>
    </w:tbl>
    <w:p w14:paraId="5D9D9266" w14:textId="77777777" w:rsidR="00A85B2E" w:rsidRDefault="00A85B2E" w:rsidP="00A85B2E">
      <w:pPr>
        <w:pStyle w:val="BodyText"/>
        <w:sectPr w:rsidR="00A85B2E" w:rsidSect="00A85B2E">
          <w:headerReference w:type="first" r:id="rId20"/>
          <w:footerReference w:type="first" r:id="rId21"/>
          <w:pgSz w:w="11907" w:h="16840" w:code="9"/>
          <w:pgMar w:top="1304" w:right="1304" w:bottom="567" w:left="1814" w:header="1701" w:footer="397" w:gutter="0"/>
          <w:pgNumType w:fmt="lowerRoman" w:start="1"/>
          <w:cols w:space="720"/>
          <w:titlePg/>
        </w:sectPr>
      </w:pPr>
      <w:bookmarkStart w:id="3" w:name="cov"/>
      <w:bookmarkEnd w:id="3"/>
    </w:p>
    <w:p w14:paraId="01062ABA" w14:textId="77777777" w:rsidR="00A85B2E" w:rsidRDefault="00A85B2E" w:rsidP="00A85B2E">
      <w:pPr>
        <w:pStyle w:val="Heading1"/>
      </w:pPr>
      <w:bookmarkStart w:id="4" w:name="Contents"/>
      <w:bookmarkStart w:id="5" w:name="_Toc36546285"/>
      <w:bookmarkStart w:id="6" w:name="_Toc38382133"/>
      <w:bookmarkEnd w:id="4"/>
      <w:r w:rsidRPr="001855B4">
        <w:lastRenderedPageBreak/>
        <w:t>Foreword</w:t>
      </w:r>
      <w:bookmarkEnd w:id="5"/>
      <w:bookmarkEnd w:id="6"/>
    </w:p>
    <w:p w14:paraId="64A1C29D" w14:textId="0C763D48" w:rsidR="00A85B2E" w:rsidRDefault="00A85B2E" w:rsidP="00A85B2E">
      <w:pPr>
        <w:pStyle w:val="BodyText"/>
      </w:pPr>
      <w:r>
        <w:t xml:space="preserve">The Commission has a statutory obligation to release annual measures of government assistance to industry. As in past </w:t>
      </w:r>
      <w:r w:rsidRPr="0041433E">
        <w:rPr>
          <w:i/>
        </w:rPr>
        <w:t>Reviews</w:t>
      </w:r>
      <w:r>
        <w:t xml:space="preserve">, the assistance estimates in this </w:t>
      </w:r>
      <w:r w:rsidRPr="0041433E">
        <w:rPr>
          <w:i/>
        </w:rPr>
        <w:t>Review</w:t>
      </w:r>
      <w:r>
        <w:t xml:space="preserve"> relate to the previous</w:t>
      </w:r>
      <w:r w:rsidR="00BE51AE">
        <w:t xml:space="preserve"> fiscal year (in this case 2018</w:t>
      </w:r>
      <w:r>
        <w:t xml:space="preserve">-19), while the recent developments in industry assistance and trade policy relate to the period since the publication of the previous </w:t>
      </w:r>
      <w:r w:rsidRPr="0041433E">
        <w:rPr>
          <w:i/>
        </w:rPr>
        <w:t>Review</w:t>
      </w:r>
      <w:r>
        <w:t xml:space="preserve"> (broadly, the calendar year of 2019). </w:t>
      </w:r>
    </w:p>
    <w:p w14:paraId="2CB3DED9" w14:textId="77777777" w:rsidR="00A85B2E" w:rsidRDefault="00A85B2E" w:rsidP="00A85B2E">
      <w:pPr>
        <w:pStyle w:val="BodyText"/>
      </w:pPr>
      <w:r>
        <w:t xml:space="preserve">This report is being released against the background of unprecedented Australian Government measures to support industry associated with the coronavirus (COVID-19) pandemic, none of which are reported in this </w:t>
      </w:r>
      <w:r w:rsidRPr="0041433E">
        <w:rPr>
          <w:i/>
        </w:rPr>
        <w:t>Review</w:t>
      </w:r>
      <w:r>
        <w:t xml:space="preserve">. Those measures should not be seen in the same light as many of the assistance measures reported in this and past </w:t>
      </w:r>
      <w:r w:rsidRPr="0041433E">
        <w:rPr>
          <w:i/>
        </w:rPr>
        <w:t>Reviews</w:t>
      </w:r>
      <w:r>
        <w:rPr>
          <w:iCs/>
        </w:rPr>
        <w:t>,</w:t>
      </w:r>
      <w:r>
        <w:t xml:space="preserve"> as they form part of an economic stimulus to mitigate the supply and demand shocks posed by the pandemic. In any case — as the Commission has emphasised in past </w:t>
      </w:r>
      <w:r w:rsidRPr="0041433E">
        <w:rPr>
          <w:i/>
        </w:rPr>
        <w:t>Reviews</w:t>
      </w:r>
      <w:r>
        <w:t xml:space="preserve"> — assistance measures should not always be seen as adverse. The Commission will consider the pandemic measures, where relevant, in the next </w:t>
      </w:r>
      <w:r w:rsidRPr="0041433E">
        <w:rPr>
          <w:i/>
        </w:rPr>
        <w:t>Review</w:t>
      </w:r>
      <w:r>
        <w:t>.</w:t>
      </w:r>
    </w:p>
    <w:p w14:paraId="3B0E7F2B" w14:textId="77777777" w:rsidR="00A85B2E" w:rsidRDefault="00A85B2E" w:rsidP="00BE51AE">
      <w:pPr>
        <w:pStyle w:val="BodyText"/>
        <w:spacing w:before="480"/>
      </w:pPr>
      <w:r>
        <w:t>Michael Brennan</w:t>
      </w:r>
    </w:p>
    <w:p w14:paraId="363165FF" w14:textId="77777777" w:rsidR="00A85B2E" w:rsidRDefault="00A85B2E" w:rsidP="00BE51AE">
      <w:pPr>
        <w:pStyle w:val="BodyText"/>
        <w:spacing w:before="0" w:after="240"/>
      </w:pPr>
      <w:r>
        <w:t>Chair</w:t>
      </w:r>
    </w:p>
    <w:p w14:paraId="2022A528" w14:textId="77777777" w:rsidR="00A85B2E" w:rsidRDefault="00A85B2E" w:rsidP="00A85B2E">
      <w:pPr>
        <w:pStyle w:val="BodyText"/>
        <w:spacing w:before="0"/>
      </w:pPr>
      <w:r>
        <w:t>April 2020</w:t>
      </w:r>
    </w:p>
    <w:p w14:paraId="6C26A7E0" w14:textId="77777777" w:rsidR="00A85B2E" w:rsidRPr="00C418AC" w:rsidRDefault="00A85B2E" w:rsidP="00C418AC">
      <w:pPr>
        <w:pStyle w:val="BodyText"/>
      </w:pPr>
      <w:r w:rsidRPr="00C418AC">
        <w:br w:type="page"/>
      </w:r>
    </w:p>
    <w:p w14:paraId="71CE4626" w14:textId="0C16AA05" w:rsidR="00C418AC" w:rsidRDefault="00A85B2E" w:rsidP="00A85B2E">
      <w:pPr>
        <w:pStyle w:val="Heading1NotTOC"/>
        <w:rPr>
          <w:noProof/>
        </w:rPr>
      </w:pPr>
      <w:r w:rsidRPr="00B153C3">
        <w:lastRenderedPageBreak/>
        <w:t>Contents</w:t>
      </w:r>
      <w:bookmarkStart w:id="7" w:name="InsertContents"/>
      <w:bookmarkEnd w:id="7"/>
    </w:p>
    <w:p w14:paraId="11661392" w14:textId="4752F51E" w:rsidR="00C418AC" w:rsidRPr="00C418AC" w:rsidRDefault="00C418AC">
      <w:pPr>
        <w:pStyle w:val="TOC1"/>
        <w:rPr>
          <w:rFonts w:asciiTheme="minorHAnsi" w:eastAsiaTheme="minorEastAsia" w:hAnsiTheme="minorHAnsi" w:cstheme="minorBidi"/>
          <w:b w:val="0"/>
          <w:noProof/>
          <w:sz w:val="22"/>
          <w:szCs w:val="22"/>
          <w:lang w:eastAsia="en-AU"/>
        </w:rPr>
      </w:pPr>
      <w:r w:rsidRPr="00C418AC">
        <w:rPr>
          <w:b w:val="0"/>
          <w:noProof/>
        </w:rPr>
        <w:t>Foreword</w:t>
      </w:r>
      <w:r w:rsidRPr="00C418AC">
        <w:rPr>
          <w:b w:val="0"/>
          <w:noProof/>
        </w:rPr>
        <w:tab/>
      </w:r>
      <w:r w:rsidR="00B93326">
        <w:rPr>
          <w:b w:val="0"/>
          <w:noProof/>
        </w:rPr>
        <w:t>iii</w:t>
      </w:r>
    </w:p>
    <w:p w14:paraId="140993F2" w14:textId="6F40CB4F" w:rsidR="00C418AC" w:rsidRPr="00C418AC" w:rsidRDefault="00C418AC">
      <w:pPr>
        <w:pStyle w:val="TOC1"/>
        <w:rPr>
          <w:b w:val="0"/>
          <w:noProof/>
        </w:rPr>
      </w:pPr>
      <w:r w:rsidRPr="00C418AC">
        <w:rPr>
          <w:b w:val="0"/>
          <w:noProof/>
        </w:rPr>
        <w:t>Abbreviations</w:t>
      </w:r>
      <w:r w:rsidRPr="00C418AC">
        <w:rPr>
          <w:b w:val="0"/>
          <w:noProof/>
        </w:rPr>
        <w:tab/>
      </w:r>
      <w:r w:rsidR="00B93326">
        <w:rPr>
          <w:b w:val="0"/>
          <w:noProof/>
        </w:rPr>
        <w:t>v</w:t>
      </w:r>
    </w:p>
    <w:p w14:paraId="3515AD00" w14:textId="1B9A9E89" w:rsidR="00C418AC" w:rsidRPr="00C418AC" w:rsidRDefault="00C418AC" w:rsidP="00C418AC">
      <w:pPr>
        <w:pStyle w:val="TOC1"/>
        <w:rPr>
          <w:rFonts w:eastAsiaTheme="minorEastAsia"/>
          <w:b w:val="0"/>
        </w:rPr>
      </w:pPr>
      <w:r w:rsidRPr="00C418AC">
        <w:rPr>
          <w:rFonts w:eastAsiaTheme="minorEastAsia"/>
          <w:b w:val="0"/>
        </w:rPr>
        <w:t>Key points</w:t>
      </w:r>
      <w:r w:rsidRPr="00C418AC">
        <w:rPr>
          <w:rFonts w:eastAsiaTheme="minorEastAsia"/>
          <w:b w:val="0"/>
        </w:rPr>
        <w:tab/>
        <w:t>vi</w:t>
      </w:r>
    </w:p>
    <w:p w14:paraId="4E7D5E77" w14:textId="23C3125D" w:rsidR="00C418AC" w:rsidRDefault="00C418AC" w:rsidP="00C418AC">
      <w:pPr>
        <w:pStyle w:val="TOC1"/>
        <w:spacing w:before="360"/>
        <w:rPr>
          <w:rFonts w:asciiTheme="minorHAnsi" w:eastAsiaTheme="minorEastAsia" w:hAnsiTheme="minorHAnsi" w:cstheme="minorBidi"/>
          <w:b w:val="0"/>
          <w:noProof/>
          <w:sz w:val="22"/>
          <w:szCs w:val="22"/>
          <w:lang w:eastAsia="en-AU"/>
        </w:rPr>
      </w:pPr>
      <w:r>
        <w:rPr>
          <w:noProof/>
        </w:rPr>
        <w:t>1</w:t>
      </w:r>
      <w:r>
        <w:rPr>
          <w:rFonts w:asciiTheme="minorHAnsi" w:eastAsiaTheme="minorEastAsia" w:hAnsiTheme="minorHAnsi" w:cstheme="minorBidi"/>
          <w:b w:val="0"/>
          <w:noProof/>
          <w:sz w:val="22"/>
          <w:szCs w:val="22"/>
          <w:lang w:eastAsia="en-AU"/>
        </w:rPr>
        <w:tab/>
      </w:r>
      <w:r>
        <w:rPr>
          <w:noProof/>
        </w:rPr>
        <w:t>Assistance estimates</w:t>
      </w:r>
      <w:r>
        <w:rPr>
          <w:noProof/>
        </w:rPr>
        <w:tab/>
      </w:r>
      <w:r w:rsidR="00B93326">
        <w:rPr>
          <w:noProof/>
        </w:rPr>
        <w:t>1</w:t>
      </w:r>
    </w:p>
    <w:p w14:paraId="3A9DD3DF" w14:textId="71AA8EE6" w:rsidR="00C418AC" w:rsidRDefault="00C418AC">
      <w:pPr>
        <w:pStyle w:val="TOC2"/>
        <w:tabs>
          <w:tab w:val="left" w:pos="1134"/>
        </w:tabs>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Aggregate assistance level and assistance rates</w:t>
      </w:r>
      <w:r>
        <w:rPr>
          <w:noProof/>
        </w:rPr>
        <w:tab/>
      </w:r>
      <w:r w:rsidR="00B93326">
        <w:rPr>
          <w:noProof/>
        </w:rPr>
        <w:t>1</w:t>
      </w:r>
    </w:p>
    <w:p w14:paraId="53D5E747" w14:textId="5CAC7AB1" w:rsidR="00C418AC" w:rsidRDefault="00C418AC">
      <w:pPr>
        <w:pStyle w:val="TOC2"/>
        <w:tabs>
          <w:tab w:val="left" w:pos="1134"/>
        </w:tabs>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Tariff assistance and penalty estimates</w:t>
      </w:r>
      <w:r>
        <w:rPr>
          <w:noProof/>
        </w:rPr>
        <w:tab/>
      </w:r>
      <w:r w:rsidR="00B93326">
        <w:rPr>
          <w:noProof/>
        </w:rPr>
        <w:t>9</w:t>
      </w:r>
    </w:p>
    <w:p w14:paraId="501683C1" w14:textId="5376FC1C" w:rsidR="00C418AC" w:rsidRDefault="00C418AC">
      <w:pPr>
        <w:pStyle w:val="TOC2"/>
        <w:tabs>
          <w:tab w:val="left" w:pos="1134"/>
        </w:tabs>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Budgetary assistance estimates</w:t>
      </w:r>
      <w:r>
        <w:rPr>
          <w:noProof/>
        </w:rPr>
        <w:tab/>
      </w:r>
      <w:r w:rsidR="00B93326">
        <w:rPr>
          <w:noProof/>
        </w:rPr>
        <w:t>12</w:t>
      </w:r>
    </w:p>
    <w:p w14:paraId="0AC971B6" w14:textId="03232F16" w:rsidR="00C418AC" w:rsidRDefault="00C418AC">
      <w:pPr>
        <w:pStyle w:val="TOC1"/>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Pr>
          <w:noProof/>
        </w:rPr>
        <w:t>Recent developments in industry assistance</w:t>
      </w:r>
      <w:r>
        <w:rPr>
          <w:noProof/>
        </w:rPr>
        <w:tab/>
      </w:r>
      <w:r w:rsidR="00B93326">
        <w:rPr>
          <w:noProof/>
        </w:rPr>
        <w:t>15</w:t>
      </w:r>
    </w:p>
    <w:p w14:paraId="6D1C0A7D" w14:textId="5A0638A1" w:rsidR="00C418AC" w:rsidRDefault="00C418AC">
      <w:pPr>
        <w:pStyle w:val="TOC2"/>
        <w:tabs>
          <w:tab w:val="left" w:pos="1134"/>
        </w:tabs>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Defence procurement</w:t>
      </w:r>
      <w:r>
        <w:rPr>
          <w:noProof/>
        </w:rPr>
        <w:tab/>
      </w:r>
      <w:r w:rsidR="00B93326">
        <w:rPr>
          <w:noProof/>
        </w:rPr>
        <w:t>15</w:t>
      </w:r>
    </w:p>
    <w:p w14:paraId="67CB402A" w14:textId="20BA154F" w:rsidR="00C418AC" w:rsidRDefault="00C418AC">
      <w:pPr>
        <w:pStyle w:val="TOC2"/>
        <w:tabs>
          <w:tab w:val="left" w:pos="1134"/>
        </w:tabs>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Drought, flood and bushfire assistance for farmers</w:t>
      </w:r>
      <w:r>
        <w:rPr>
          <w:noProof/>
        </w:rPr>
        <w:tab/>
      </w:r>
      <w:r w:rsidR="00B93326">
        <w:rPr>
          <w:noProof/>
        </w:rPr>
        <w:t>17</w:t>
      </w:r>
    </w:p>
    <w:p w14:paraId="7B6974AE" w14:textId="12347FB2" w:rsidR="00C418AC" w:rsidRDefault="00C418AC">
      <w:pPr>
        <w:pStyle w:val="TOC2"/>
        <w:tabs>
          <w:tab w:val="left" w:pos="1134"/>
        </w:tabs>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Government project financing</w:t>
      </w:r>
      <w:r>
        <w:rPr>
          <w:noProof/>
        </w:rPr>
        <w:tab/>
      </w:r>
      <w:r w:rsidR="00B93326">
        <w:rPr>
          <w:noProof/>
        </w:rPr>
        <w:t>20</w:t>
      </w:r>
    </w:p>
    <w:p w14:paraId="17AE26DB" w14:textId="633287AA" w:rsidR="00C418AC" w:rsidRDefault="00C418AC">
      <w:pPr>
        <w:pStyle w:val="TOC2"/>
        <w:tabs>
          <w:tab w:val="left" w:pos="1134"/>
        </w:tabs>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Alcohol tax concessions and rebates</w:t>
      </w:r>
      <w:r>
        <w:rPr>
          <w:noProof/>
        </w:rPr>
        <w:tab/>
      </w:r>
      <w:r w:rsidR="00B93326">
        <w:rPr>
          <w:noProof/>
        </w:rPr>
        <w:t>21</w:t>
      </w:r>
    </w:p>
    <w:p w14:paraId="0F156BEA" w14:textId="50212AEC" w:rsidR="00C418AC" w:rsidRDefault="00C418AC">
      <w:pPr>
        <w:pStyle w:val="TOC1"/>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Pr>
          <w:noProof/>
        </w:rPr>
        <w:t>Trade policy developments</w:t>
      </w:r>
      <w:r>
        <w:rPr>
          <w:noProof/>
        </w:rPr>
        <w:tab/>
      </w:r>
      <w:r w:rsidR="00B93326">
        <w:rPr>
          <w:noProof/>
        </w:rPr>
        <w:t>25</w:t>
      </w:r>
    </w:p>
    <w:p w14:paraId="43D9A701" w14:textId="60E7886E" w:rsidR="00C418AC" w:rsidRDefault="00C418AC">
      <w:pPr>
        <w:pStyle w:val="TOC2"/>
        <w:tabs>
          <w:tab w:val="left" w:pos="1134"/>
        </w:tabs>
        <w:rPr>
          <w:rFonts w:asciiTheme="minorHAnsi" w:eastAsiaTheme="minorEastAsia" w:hAnsiTheme="minorHAnsi" w:cstheme="minorBidi"/>
          <w:noProof/>
          <w:sz w:val="22"/>
          <w:szCs w:val="22"/>
          <w:lang w:eastAsia="en-AU"/>
        </w:rPr>
      </w:pPr>
      <w:bookmarkStart w:id="8" w:name="_GoBack"/>
      <w:r>
        <w:rPr>
          <w:noProof/>
        </w:rPr>
        <w:t>3.1</w:t>
      </w:r>
      <w:r>
        <w:rPr>
          <w:rFonts w:asciiTheme="minorHAnsi" w:eastAsiaTheme="minorEastAsia" w:hAnsiTheme="minorHAnsi" w:cstheme="minorBidi"/>
          <w:noProof/>
          <w:sz w:val="22"/>
          <w:szCs w:val="22"/>
          <w:lang w:eastAsia="en-AU"/>
        </w:rPr>
        <w:tab/>
      </w:r>
      <w:r>
        <w:rPr>
          <w:noProof/>
        </w:rPr>
        <w:t>Multilateral and plurilateral agreements</w:t>
      </w:r>
      <w:r>
        <w:rPr>
          <w:noProof/>
        </w:rPr>
        <w:tab/>
      </w:r>
      <w:r w:rsidR="00B93326">
        <w:rPr>
          <w:noProof/>
        </w:rPr>
        <w:t>26</w:t>
      </w:r>
    </w:p>
    <w:p w14:paraId="0FE8B7A5" w14:textId="6C595E68" w:rsidR="00C418AC" w:rsidRDefault="00C418AC">
      <w:pPr>
        <w:pStyle w:val="TOC2"/>
        <w:tabs>
          <w:tab w:val="left" w:pos="1134"/>
        </w:tabs>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Bilateral and regional agreements</w:t>
      </w:r>
      <w:r>
        <w:rPr>
          <w:noProof/>
        </w:rPr>
        <w:tab/>
      </w:r>
      <w:r w:rsidR="00B93326">
        <w:rPr>
          <w:noProof/>
        </w:rPr>
        <w:t>27</w:t>
      </w:r>
    </w:p>
    <w:p w14:paraId="6DD9E618" w14:textId="0130C1E7" w:rsidR="00C418AC" w:rsidRDefault="00C418AC">
      <w:pPr>
        <w:pStyle w:val="TOC2"/>
        <w:tabs>
          <w:tab w:val="left" w:pos="1134"/>
        </w:tabs>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Australia’s WTO disputes</w:t>
      </w:r>
      <w:r>
        <w:rPr>
          <w:noProof/>
        </w:rPr>
        <w:tab/>
      </w:r>
      <w:r w:rsidR="00B93326">
        <w:rPr>
          <w:noProof/>
        </w:rPr>
        <w:t>29</w:t>
      </w:r>
    </w:p>
    <w:p w14:paraId="5B5D068D" w14:textId="0C1297D7" w:rsidR="00C418AC" w:rsidRDefault="00C418AC">
      <w:pPr>
        <w:pStyle w:val="TOC2"/>
        <w:tabs>
          <w:tab w:val="left" w:pos="1134"/>
        </w:tabs>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Australia’s anti</w:t>
      </w:r>
      <w:r>
        <w:rPr>
          <w:noProof/>
        </w:rPr>
        <w:noBreakHyphen/>
        <w:t>dumping and countervailing activity</w:t>
      </w:r>
      <w:bookmarkEnd w:id="8"/>
      <w:r>
        <w:rPr>
          <w:noProof/>
        </w:rPr>
        <w:tab/>
      </w:r>
      <w:r w:rsidR="00B93326">
        <w:rPr>
          <w:noProof/>
        </w:rPr>
        <w:t>31</w:t>
      </w:r>
    </w:p>
    <w:p w14:paraId="15C0B6D4" w14:textId="1D329A51" w:rsidR="00C418AC" w:rsidRDefault="00C418AC" w:rsidP="00C418AC">
      <w:pPr>
        <w:pStyle w:val="TOC1"/>
        <w:spacing w:before="360"/>
        <w:rPr>
          <w:noProof/>
        </w:rPr>
      </w:pPr>
      <w:r>
        <w:rPr>
          <w:noProof/>
        </w:rPr>
        <w:t>Appendixes</w:t>
      </w:r>
    </w:p>
    <w:p w14:paraId="1AD1355A" w14:textId="0E4D6186" w:rsidR="00C418AC" w:rsidRDefault="00C418AC">
      <w:pPr>
        <w:pStyle w:val="TOC1"/>
        <w:rPr>
          <w:rFonts w:asciiTheme="minorHAnsi" w:eastAsiaTheme="minorEastAsia" w:hAnsiTheme="minorHAnsi" w:cstheme="minorBidi"/>
          <w:b w:val="0"/>
          <w:noProof/>
          <w:sz w:val="22"/>
          <w:szCs w:val="22"/>
          <w:lang w:eastAsia="en-AU"/>
        </w:rPr>
      </w:pPr>
      <w:r>
        <w:rPr>
          <w:noProof/>
        </w:rPr>
        <w:t>A</w:t>
      </w:r>
      <w:r>
        <w:rPr>
          <w:rFonts w:asciiTheme="minorHAnsi" w:eastAsiaTheme="minorEastAsia" w:hAnsiTheme="minorHAnsi" w:cstheme="minorBidi"/>
          <w:b w:val="0"/>
          <w:noProof/>
          <w:sz w:val="22"/>
          <w:szCs w:val="22"/>
          <w:lang w:eastAsia="en-AU"/>
        </w:rPr>
        <w:tab/>
      </w:r>
      <w:r>
        <w:rPr>
          <w:noProof/>
        </w:rPr>
        <w:t>How the assistance estimates are calculated</w:t>
      </w:r>
      <w:r>
        <w:rPr>
          <w:noProof/>
        </w:rPr>
        <w:tab/>
      </w:r>
      <w:r w:rsidR="00B93326">
        <w:rPr>
          <w:noProof/>
        </w:rPr>
        <w:t>33</w:t>
      </w:r>
    </w:p>
    <w:p w14:paraId="1A304707" w14:textId="77777777" w:rsidR="00C418AC" w:rsidRPr="00C418AC" w:rsidRDefault="00C418AC" w:rsidP="00C418AC">
      <w:pPr>
        <w:pStyle w:val="TOC1"/>
        <w:rPr>
          <w:noProof/>
        </w:rPr>
      </w:pPr>
      <w:r>
        <w:rPr>
          <w:noProof/>
        </w:rPr>
        <w:t>B</w:t>
      </w:r>
      <w:r>
        <w:rPr>
          <w:noProof/>
        </w:rPr>
        <w:tab/>
      </w:r>
      <w:r w:rsidRPr="00C418AC">
        <w:rPr>
          <w:noProof/>
        </w:rPr>
        <w:t>Assistance estimates tables</w:t>
      </w:r>
      <w:r w:rsidRPr="00C418AC">
        <w:rPr>
          <w:noProof/>
        </w:rPr>
        <w:tab/>
      </w:r>
      <w:r w:rsidRPr="00C418AC">
        <w:rPr>
          <w:b w:val="0"/>
          <w:noProof/>
        </w:rPr>
        <w:t>(online only)</w:t>
      </w:r>
    </w:p>
    <w:p w14:paraId="796AEA2A" w14:textId="091F90C1" w:rsidR="00C418AC" w:rsidRDefault="00C418AC" w:rsidP="00C418AC">
      <w:pPr>
        <w:pStyle w:val="TOC1"/>
        <w:spacing w:before="360"/>
        <w:rPr>
          <w:rFonts w:asciiTheme="minorHAnsi" w:eastAsiaTheme="minorEastAsia" w:hAnsiTheme="minorHAnsi" w:cstheme="minorBidi"/>
          <w:b w:val="0"/>
          <w:noProof/>
          <w:sz w:val="22"/>
          <w:szCs w:val="22"/>
          <w:lang w:eastAsia="en-AU"/>
        </w:rPr>
      </w:pPr>
      <w:r>
        <w:rPr>
          <w:noProof/>
        </w:rPr>
        <w:t>References</w:t>
      </w:r>
      <w:r>
        <w:rPr>
          <w:noProof/>
        </w:rPr>
        <w:tab/>
      </w:r>
      <w:r w:rsidR="00B93326">
        <w:rPr>
          <w:noProof/>
        </w:rPr>
        <w:t>39</w:t>
      </w:r>
    </w:p>
    <w:p w14:paraId="5B47FBE6" w14:textId="54925012" w:rsidR="00A85B2E" w:rsidRPr="008D2A44" w:rsidRDefault="00A85B2E" w:rsidP="00BE51AE">
      <w:pPr>
        <w:pStyle w:val="BodyText"/>
        <w:sectPr w:rsidR="00A85B2E" w:rsidRPr="008D2A44" w:rsidSect="00BE51AE">
          <w:headerReference w:type="even" r:id="rId22"/>
          <w:headerReference w:type="default" r:id="rId23"/>
          <w:footerReference w:type="even" r:id="rId24"/>
          <w:footerReference w:type="default" r:id="rId25"/>
          <w:type w:val="oddPage"/>
          <w:pgSz w:w="11907" w:h="16840" w:code="9"/>
          <w:pgMar w:top="1985" w:right="1304" w:bottom="1247" w:left="1814" w:header="1701" w:footer="397" w:gutter="0"/>
          <w:pgNumType w:fmt="lowerRoman"/>
          <w:cols w:space="720"/>
        </w:sectPr>
      </w:pPr>
    </w:p>
    <w:p w14:paraId="73979752" w14:textId="77777777" w:rsidR="00A85B2E" w:rsidRDefault="00A85B2E" w:rsidP="00A85B2E">
      <w:pPr>
        <w:pStyle w:val="Heading1"/>
      </w:pPr>
      <w:bookmarkStart w:id="9" w:name="Abbreviations"/>
      <w:bookmarkStart w:id="10" w:name="EndContents"/>
      <w:bookmarkStart w:id="11" w:name="RDnote"/>
      <w:bookmarkStart w:id="12" w:name="_Toc38382134"/>
      <w:bookmarkStart w:id="13" w:name="_Toc36546286"/>
      <w:bookmarkEnd w:id="9"/>
      <w:bookmarkEnd w:id="10"/>
      <w:bookmarkEnd w:id="11"/>
      <w:r>
        <w:lastRenderedPageBreak/>
        <w:t>Abbreviations</w:t>
      </w:r>
      <w:bookmarkEnd w:id="12"/>
      <w:r>
        <w:t xml:space="preserve"> </w:t>
      </w:r>
      <w:bookmarkEnd w:id="13"/>
    </w:p>
    <w:tbl>
      <w:tblPr>
        <w:tblW w:w="0" w:type="auto"/>
        <w:tblLook w:val="04A0" w:firstRow="1" w:lastRow="0" w:firstColumn="1" w:lastColumn="0" w:noHBand="0" w:noVBand="1"/>
        <w:tblDescription w:val="Table used for design layout."/>
      </w:tblPr>
      <w:tblGrid>
        <w:gridCol w:w="1418"/>
        <w:gridCol w:w="7371"/>
      </w:tblGrid>
      <w:tr w:rsidR="00A85B2E" w:rsidRPr="001963B9" w14:paraId="74E8839E" w14:textId="77777777" w:rsidTr="00BE51AE">
        <w:trPr>
          <w:trHeight w:val="300"/>
        </w:trPr>
        <w:tc>
          <w:tcPr>
            <w:tcW w:w="1418" w:type="dxa"/>
            <w:tcBorders>
              <w:top w:val="nil"/>
              <w:left w:val="nil"/>
              <w:bottom w:val="nil"/>
              <w:right w:val="nil"/>
            </w:tcBorders>
            <w:shd w:val="clear" w:color="auto" w:fill="auto"/>
            <w:noWrap/>
            <w:hideMark/>
          </w:tcPr>
          <w:p w14:paraId="19950CCB" w14:textId="77777777" w:rsidR="00A85B2E" w:rsidRPr="001963B9" w:rsidRDefault="00A85B2E" w:rsidP="00BE51AE">
            <w:pPr>
              <w:pStyle w:val="BodyText"/>
              <w:spacing w:before="120"/>
              <w:ind w:right="6"/>
              <w:jc w:val="left"/>
            </w:pPr>
            <w:r w:rsidRPr="001963B9">
              <w:t>ABS</w:t>
            </w:r>
          </w:p>
        </w:tc>
        <w:tc>
          <w:tcPr>
            <w:tcW w:w="7371" w:type="dxa"/>
            <w:tcBorders>
              <w:top w:val="nil"/>
              <w:left w:val="nil"/>
              <w:bottom w:val="nil"/>
              <w:right w:val="nil"/>
            </w:tcBorders>
            <w:shd w:val="clear" w:color="auto" w:fill="auto"/>
            <w:noWrap/>
            <w:hideMark/>
          </w:tcPr>
          <w:p w14:paraId="06187FB9" w14:textId="77777777" w:rsidR="00A85B2E" w:rsidRPr="001963B9" w:rsidRDefault="00A85B2E" w:rsidP="00BE51AE">
            <w:pPr>
              <w:pStyle w:val="BodyText"/>
              <w:spacing w:before="120"/>
              <w:ind w:right="6"/>
              <w:jc w:val="left"/>
            </w:pPr>
            <w:r w:rsidRPr="001963B9">
              <w:t>Australian</w:t>
            </w:r>
            <w:r>
              <w:t xml:space="preserve"> </w:t>
            </w:r>
            <w:r w:rsidRPr="001963B9">
              <w:t>Bureau</w:t>
            </w:r>
            <w:r>
              <w:t xml:space="preserve"> </w:t>
            </w:r>
            <w:r w:rsidRPr="001963B9">
              <w:t>of</w:t>
            </w:r>
            <w:r>
              <w:t xml:space="preserve"> </w:t>
            </w:r>
            <w:r w:rsidRPr="001963B9">
              <w:t>Statistics</w:t>
            </w:r>
          </w:p>
        </w:tc>
      </w:tr>
      <w:tr w:rsidR="00A85B2E" w:rsidRPr="001963B9" w14:paraId="5D3A313E" w14:textId="77777777" w:rsidTr="00BE51AE">
        <w:trPr>
          <w:trHeight w:val="300"/>
        </w:trPr>
        <w:tc>
          <w:tcPr>
            <w:tcW w:w="1418" w:type="dxa"/>
            <w:tcBorders>
              <w:top w:val="nil"/>
              <w:left w:val="nil"/>
              <w:bottom w:val="nil"/>
              <w:right w:val="nil"/>
            </w:tcBorders>
            <w:shd w:val="clear" w:color="auto" w:fill="auto"/>
            <w:noWrap/>
          </w:tcPr>
          <w:p w14:paraId="170E3312" w14:textId="77777777" w:rsidR="00A85B2E" w:rsidRDefault="00A85B2E" w:rsidP="00BE51AE">
            <w:pPr>
              <w:pStyle w:val="BodyText"/>
              <w:spacing w:before="120"/>
              <w:ind w:right="6"/>
              <w:jc w:val="left"/>
            </w:pPr>
            <w:r>
              <w:t>ANAO</w:t>
            </w:r>
          </w:p>
        </w:tc>
        <w:tc>
          <w:tcPr>
            <w:tcW w:w="7371" w:type="dxa"/>
            <w:tcBorders>
              <w:top w:val="nil"/>
              <w:left w:val="nil"/>
              <w:bottom w:val="nil"/>
              <w:right w:val="nil"/>
            </w:tcBorders>
            <w:shd w:val="clear" w:color="auto" w:fill="auto"/>
            <w:noWrap/>
          </w:tcPr>
          <w:p w14:paraId="16C9F7F5" w14:textId="77777777" w:rsidR="00A85B2E" w:rsidRPr="00CA1720" w:rsidRDefault="00A85B2E" w:rsidP="00BE51AE">
            <w:pPr>
              <w:pStyle w:val="BodyText"/>
              <w:spacing w:before="120"/>
              <w:ind w:right="6"/>
              <w:jc w:val="left"/>
              <w:rPr>
                <w:spacing w:val="-2"/>
              </w:rPr>
            </w:pPr>
            <w:r>
              <w:t>Australian National Audit Office</w:t>
            </w:r>
          </w:p>
        </w:tc>
      </w:tr>
      <w:tr w:rsidR="00A85B2E" w:rsidRPr="001963B9" w14:paraId="43C63ED6" w14:textId="77777777" w:rsidTr="00BE51AE">
        <w:trPr>
          <w:trHeight w:val="300"/>
        </w:trPr>
        <w:tc>
          <w:tcPr>
            <w:tcW w:w="1418" w:type="dxa"/>
            <w:tcBorders>
              <w:top w:val="nil"/>
              <w:left w:val="nil"/>
              <w:bottom w:val="nil"/>
              <w:right w:val="nil"/>
            </w:tcBorders>
            <w:shd w:val="clear" w:color="auto" w:fill="auto"/>
            <w:noWrap/>
          </w:tcPr>
          <w:p w14:paraId="1C7FFD0E" w14:textId="77777777" w:rsidR="00A85B2E" w:rsidRDefault="00A85B2E" w:rsidP="00BE51AE">
            <w:pPr>
              <w:pStyle w:val="BodyText"/>
              <w:spacing w:before="120"/>
              <w:ind w:right="6"/>
              <w:jc w:val="left"/>
            </w:pPr>
            <w:r>
              <w:t>CPTPP</w:t>
            </w:r>
          </w:p>
        </w:tc>
        <w:tc>
          <w:tcPr>
            <w:tcW w:w="7371" w:type="dxa"/>
            <w:tcBorders>
              <w:top w:val="nil"/>
              <w:left w:val="nil"/>
              <w:bottom w:val="nil"/>
              <w:right w:val="nil"/>
            </w:tcBorders>
            <w:shd w:val="clear" w:color="auto" w:fill="auto"/>
            <w:noWrap/>
          </w:tcPr>
          <w:p w14:paraId="751BBA47" w14:textId="77777777" w:rsidR="00A85B2E" w:rsidRPr="006E0FD6" w:rsidRDefault="00A85B2E" w:rsidP="00BE51AE">
            <w:pPr>
              <w:pStyle w:val="BodyText"/>
              <w:spacing w:before="120"/>
              <w:ind w:right="6"/>
              <w:jc w:val="left"/>
              <w:rPr>
                <w:spacing w:val="-2"/>
              </w:rPr>
            </w:pPr>
            <w:r w:rsidRPr="00CA1720">
              <w:rPr>
                <w:spacing w:val="-2"/>
              </w:rPr>
              <w:t>Comprehensive and Progressive Agreement for Trans-Pacific Partnership</w:t>
            </w:r>
          </w:p>
        </w:tc>
      </w:tr>
      <w:tr w:rsidR="00A85B2E" w:rsidRPr="001963B9" w14:paraId="6BDBE365" w14:textId="77777777" w:rsidTr="00BE51AE">
        <w:trPr>
          <w:trHeight w:val="300"/>
        </w:trPr>
        <w:tc>
          <w:tcPr>
            <w:tcW w:w="1418" w:type="dxa"/>
            <w:tcBorders>
              <w:top w:val="nil"/>
              <w:left w:val="nil"/>
              <w:bottom w:val="nil"/>
              <w:right w:val="nil"/>
            </w:tcBorders>
            <w:shd w:val="clear" w:color="auto" w:fill="auto"/>
            <w:noWrap/>
          </w:tcPr>
          <w:p w14:paraId="27657A20" w14:textId="77777777" w:rsidR="00A85B2E" w:rsidRDefault="00A85B2E" w:rsidP="00BE51AE">
            <w:pPr>
              <w:pStyle w:val="BodyText"/>
              <w:spacing w:before="120"/>
              <w:ind w:right="6"/>
              <w:jc w:val="left"/>
            </w:pPr>
            <w:r>
              <w:t>DSB</w:t>
            </w:r>
          </w:p>
        </w:tc>
        <w:tc>
          <w:tcPr>
            <w:tcW w:w="7371" w:type="dxa"/>
            <w:tcBorders>
              <w:top w:val="nil"/>
              <w:left w:val="nil"/>
              <w:bottom w:val="nil"/>
              <w:right w:val="nil"/>
            </w:tcBorders>
            <w:shd w:val="clear" w:color="auto" w:fill="auto"/>
            <w:noWrap/>
          </w:tcPr>
          <w:p w14:paraId="7B0AE40E" w14:textId="77777777" w:rsidR="00A85B2E" w:rsidRDefault="00A85B2E" w:rsidP="00BE51AE">
            <w:pPr>
              <w:pStyle w:val="BodyText"/>
              <w:spacing w:before="120"/>
              <w:ind w:right="6"/>
              <w:jc w:val="left"/>
            </w:pPr>
            <w:r w:rsidRPr="006E0FD6">
              <w:rPr>
                <w:spacing w:val="-2"/>
              </w:rPr>
              <w:t>Dispute Settlement Body</w:t>
            </w:r>
          </w:p>
        </w:tc>
      </w:tr>
      <w:tr w:rsidR="00A85B2E" w:rsidRPr="001963B9" w14:paraId="09C89D1F" w14:textId="77777777" w:rsidTr="00BE51AE">
        <w:trPr>
          <w:trHeight w:val="300"/>
        </w:trPr>
        <w:tc>
          <w:tcPr>
            <w:tcW w:w="1418" w:type="dxa"/>
            <w:tcBorders>
              <w:top w:val="nil"/>
              <w:left w:val="nil"/>
              <w:bottom w:val="nil"/>
              <w:right w:val="nil"/>
            </w:tcBorders>
            <w:shd w:val="clear" w:color="auto" w:fill="auto"/>
            <w:noWrap/>
          </w:tcPr>
          <w:p w14:paraId="6DAF92B3" w14:textId="77777777" w:rsidR="00A85B2E" w:rsidRPr="001963B9" w:rsidRDefault="00A85B2E" w:rsidP="00BE51AE">
            <w:pPr>
              <w:pStyle w:val="BodyText"/>
              <w:spacing w:before="120"/>
              <w:ind w:right="6"/>
              <w:jc w:val="left"/>
            </w:pPr>
            <w:r>
              <w:t>EGA</w:t>
            </w:r>
          </w:p>
        </w:tc>
        <w:tc>
          <w:tcPr>
            <w:tcW w:w="7371" w:type="dxa"/>
            <w:tcBorders>
              <w:top w:val="nil"/>
              <w:left w:val="nil"/>
              <w:bottom w:val="nil"/>
              <w:right w:val="nil"/>
            </w:tcBorders>
            <w:shd w:val="clear" w:color="auto" w:fill="auto"/>
            <w:noWrap/>
          </w:tcPr>
          <w:p w14:paraId="039BC45C" w14:textId="77777777" w:rsidR="00A85B2E" w:rsidRPr="001963B9" w:rsidRDefault="00A85B2E" w:rsidP="00BE51AE">
            <w:pPr>
              <w:pStyle w:val="BodyText"/>
              <w:spacing w:before="120"/>
              <w:ind w:right="6"/>
              <w:jc w:val="left"/>
            </w:pPr>
            <w:r>
              <w:t>Environmental Goods Agreement</w:t>
            </w:r>
          </w:p>
        </w:tc>
      </w:tr>
      <w:tr w:rsidR="00A85B2E" w:rsidRPr="001963B9" w14:paraId="002BAAA4" w14:textId="77777777" w:rsidTr="00BE51AE">
        <w:trPr>
          <w:trHeight w:val="300"/>
        </w:trPr>
        <w:tc>
          <w:tcPr>
            <w:tcW w:w="1418" w:type="dxa"/>
            <w:tcBorders>
              <w:top w:val="nil"/>
              <w:left w:val="nil"/>
              <w:bottom w:val="nil"/>
              <w:right w:val="nil"/>
            </w:tcBorders>
            <w:shd w:val="clear" w:color="auto" w:fill="auto"/>
            <w:noWrap/>
            <w:hideMark/>
          </w:tcPr>
          <w:p w14:paraId="70405B5E" w14:textId="77777777" w:rsidR="00A85B2E" w:rsidRPr="001963B9" w:rsidRDefault="00A85B2E" w:rsidP="00BE51AE">
            <w:pPr>
              <w:pStyle w:val="BodyText"/>
              <w:spacing w:before="120"/>
              <w:ind w:right="6"/>
              <w:jc w:val="left"/>
            </w:pPr>
            <w:r w:rsidRPr="001963B9">
              <w:t>ERA</w:t>
            </w:r>
          </w:p>
        </w:tc>
        <w:tc>
          <w:tcPr>
            <w:tcW w:w="7371" w:type="dxa"/>
            <w:tcBorders>
              <w:top w:val="nil"/>
              <w:left w:val="nil"/>
              <w:bottom w:val="nil"/>
              <w:right w:val="nil"/>
            </w:tcBorders>
            <w:shd w:val="clear" w:color="auto" w:fill="auto"/>
            <w:noWrap/>
            <w:hideMark/>
          </w:tcPr>
          <w:p w14:paraId="6FFE0C52" w14:textId="77777777" w:rsidR="00A85B2E" w:rsidRPr="001963B9" w:rsidRDefault="00A85B2E" w:rsidP="00BE51AE">
            <w:pPr>
              <w:pStyle w:val="BodyText"/>
              <w:spacing w:before="120"/>
              <w:ind w:right="6"/>
              <w:jc w:val="left"/>
            </w:pPr>
            <w:r w:rsidRPr="001963B9">
              <w:t>Effective</w:t>
            </w:r>
            <w:r>
              <w:t xml:space="preserve"> </w:t>
            </w:r>
            <w:r w:rsidRPr="001963B9">
              <w:t>rate</w:t>
            </w:r>
            <w:r>
              <w:t xml:space="preserve"> </w:t>
            </w:r>
            <w:r w:rsidRPr="001963B9">
              <w:t>of</w:t>
            </w:r>
            <w:r>
              <w:t xml:space="preserve"> </w:t>
            </w:r>
            <w:r w:rsidRPr="001963B9">
              <w:t>assistance</w:t>
            </w:r>
          </w:p>
        </w:tc>
      </w:tr>
      <w:tr w:rsidR="00A85B2E" w:rsidRPr="001963B9" w14:paraId="63D1CE68" w14:textId="77777777" w:rsidTr="00BE51AE">
        <w:trPr>
          <w:trHeight w:val="300"/>
        </w:trPr>
        <w:tc>
          <w:tcPr>
            <w:tcW w:w="1418" w:type="dxa"/>
            <w:tcBorders>
              <w:top w:val="nil"/>
              <w:left w:val="nil"/>
              <w:bottom w:val="nil"/>
              <w:right w:val="nil"/>
            </w:tcBorders>
            <w:shd w:val="clear" w:color="auto" w:fill="auto"/>
            <w:noWrap/>
            <w:hideMark/>
          </w:tcPr>
          <w:p w14:paraId="263E0B01" w14:textId="77777777" w:rsidR="00A85B2E" w:rsidRPr="001963B9" w:rsidRDefault="00A85B2E" w:rsidP="00BE51AE">
            <w:pPr>
              <w:pStyle w:val="BodyText"/>
              <w:spacing w:before="120"/>
              <w:ind w:right="6"/>
              <w:jc w:val="left"/>
            </w:pPr>
            <w:r w:rsidRPr="001963B9">
              <w:t>EU</w:t>
            </w:r>
          </w:p>
        </w:tc>
        <w:tc>
          <w:tcPr>
            <w:tcW w:w="7371" w:type="dxa"/>
            <w:tcBorders>
              <w:top w:val="nil"/>
              <w:left w:val="nil"/>
              <w:bottom w:val="nil"/>
              <w:right w:val="nil"/>
            </w:tcBorders>
            <w:shd w:val="clear" w:color="auto" w:fill="auto"/>
            <w:noWrap/>
            <w:hideMark/>
          </w:tcPr>
          <w:p w14:paraId="3538EC66" w14:textId="77777777" w:rsidR="00A85B2E" w:rsidRPr="001963B9" w:rsidRDefault="00A85B2E" w:rsidP="00BE51AE">
            <w:pPr>
              <w:pStyle w:val="BodyText"/>
              <w:spacing w:before="120"/>
              <w:ind w:right="6"/>
              <w:jc w:val="left"/>
            </w:pPr>
            <w:r w:rsidRPr="001963B9">
              <w:t>European</w:t>
            </w:r>
            <w:r>
              <w:t xml:space="preserve"> </w:t>
            </w:r>
            <w:r w:rsidRPr="001963B9">
              <w:t>Union</w:t>
            </w:r>
          </w:p>
        </w:tc>
      </w:tr>
      <w:tr w:rsidR="00A85B2E" w:rsidRPr="001963B9" w14:paraId="5C939177" w14:textId="77777777" w:rsidTr="00BE51AE">
        <w:trPr>
          <w:trHeight w:val="300"/>
        </w:trPr>
        <w:tc>
          <w:tcPr>
            <w:tcW w:w="1418" w:type="dxa"/>
            <w:tcBorders>
              <w:top w:val="nil"/>
              <w:left w:val="nil"/>
              <w:bottom w:val="nil"/>
              <w:right w:val="nil"/>
            </w:tcBorders>
            <w:shd w:val="clear" w:color="auto" w:fill="auto"/>
            <w:noWrap/>
            <w:hideMark/>
          </w:tcPr>
          <w:p w14:paraId="02E86552" w14:textId="77777777" w:rsidR="00A85B2E" w:rsidRPr="001963B9" w:rsidRDefault="00A85B2E" w:rsidP="00BE51AE">
            <w:pPr>
              <w:pStyle w:val="BodyText"/>
              <w:spacing w:before="120"/>
              <w:ind w:right="6"/>
              <w:jc w:val="left"/>
            </w:pPr>
            <w:r w:rsidRPr="001963B9">
              <w:t>FDI</w:t>
            </w:r>
          </w:p>
        </w:tc>
        <w:tc>
          <w:tcPr>
            <w:tcW w:w="7371" w:type="dxa"/>
            <w:tcBorders>
              <w:top w:val="nil"/>
              <w:left w:val="nil"/>
              <w:bottom w:val="nil"/>
              <w:right w:val="nil"/>
            </w:tcBorders>
            <w:shd w:val="clear" w:color="auto" w:fill="auto"/>
            <w:noWrap/>
            <w:hideMark/>
          </w:tcPr>
          <w:p w14:paraId="28839FBB" w14:textId="77777777" w:rsidR="00A85B2E" w:rsidRPr="001963B9" w:rsidRDefault="00A85B2E" w:rsidP="00BE51AE">
            <w:pPr>
              <w:pStyle w:val="BodyText"/>
              <w:spacing w:before="120"/>
              <w:ind w:right="6"/>
              <w:jc w:val="left"/>
            </w:pPr>
            <w:r w:rsidRPr="001963B9">
              <w:t>Foreign</w:t>
            </w:r>
            <w:r>
              <w:t xml:space="preserve"> </w:t>
            </w:r>
            <w:r w:rsidRPr="001963B9">
              <w:t>Direct</w:t>
            </w:r>
            <w:r>
              <w:t xml:space="preserve"> Investment</w:t>
            </w:r>
          </w:p>
        </w:tc>
      </w:tr>
      <w:tr w:rsidR="00A85B2E" w:rsidRPr="001963B9" w14:paraId="3200B710" w14:textId="77777777" w:rsidTr="00BE51AE">
        <w:trPr>
          <w:trHeight w:val="300"/>
        </w:trPr>
        <w:tc>
          <w:tcPr>
            <w:tcW w:w="1418" w:type="dxa"/>
            <w:tcBorders>
              <w:top w:val="nil"/>
              <w:left w:val="nil"/>
              <w:bottom w:val="nil"/>
              <w:right w:val="nil"/>
            </w:tcBorders>
            <w:shd w:val="clear" w:color="auto" w:fill="auto"/>
            <w:noWrap/>
            <w:hideMark/>
          </w:tcPr>
          <w:p w14:paraId="24406C7B" w14:textId="77777777" w:rsidR="00A85B2E" w:rsidRPr="001963B9" w:rsidRDefault="00A85B2E" w:rsidP="00BE51AE">
            <w:pPr>
              <w:pStyle w:val="BodyText"/>
              <w:spacing w:before="120"/>
              <w:ind w:right="6"/>
              <w:jc w:val="left"/>
            </w:pPr>
            <w:r w:rsidRPr="001963B9">
              <w:t>GATT</w:t>
            </w:r>
          </w:p>
        </w:tc>
        <w:tc>
          <w:tcPr>
            <w:tcW w:w="7371" w:type="dxa"/>
            <w:tcBorders>
              <w:top w:val="nil"/>
              <w:left w:val="nil"/>
              <w:bottom w:val="nil"/>
              <w:right w:val="nil"/>
            </w:tcBorders>
            <w:shd w:val="clear" w:color="auto" w:fill="auto"/>
            <w:noWrap/>
            <w:hideMark/>
          </w:tcPr>
          <w:p w14:paraId="568E73E3" w14:textId="77777777" w:rsidR="00A85B2E" w:rsidRPr="001963B9" w:rsidRDefault="00A85B2E" w:rsidP="00BE51AE">
            <w:pPr>
              <w:pStyle w:val="BodyText"/>
              <w:spacing w:before="120"/>
              <w:ind w:right="6"/>
              <w:jc w:val="left"/>
            </w:pPr>
            <w:r w:rsidRPr="001963B9">
              <w:t>General</w:t>
            </w:r>
            <w:r>
              <w:t xml:space="preserve"> </w:t>
            </w:r>
            <w:r w:rsidRPr="001963B9">
              <w:t>Agreement</w:t>
            </w:r>
            <w:r>
              <w:t xml:space="preserve"> </w:t>
            </w:r>
            <w:r w:rsidRPr="001963B9">
              <w:t>on</w:t>
            </w:r>
            <w:r>
              <w:t xml:space="preserve"> </w:t>
            </w:r>
            <w:r w:rsidRPr="001963B9">
              <w:t>Tariffs</w:t>
            </w:r>
            <w:r>
              <w:t xml:space="preserve"> </w:t>
            </w:r>
            <w:r w:rsidRPr="001963B9">
              <w:t>and</w:t>
            </w:r>
            <w:r>
              <w:t xml:space="preserve"> </w:t>
            </w:r>
            <w:r w:rsidRPr="001963B9">
              <w:t>Trade</w:t>
            </w:r>
          </w:p>
        </w:tc>
      </w:tr>
      <w:tr w:rsidR="00A85B2E" w:rsidRPr="001963B9" w14:paraId="4645A62E" w14:textId="77777777" w:rsidTr="00BE51AE">
        <w:trPr>
          <w:trHeight w:val="300"/>
        </w:trPr>
        <w:tc>
          <w:tcPr>
            <w:tcW w:w="1418" w:type="dxa"/>
            <w:tcBorders>
              <w:top w:val="nil"/>
              <w:left w:val="nil"/>
              <w:bottom w:val="nil"/>
              <w:right w:val="nil"/>
            </w:tcBorders>
            <w:shd w:val="clear" w:color="auto" w:fill="auto"/>
            <w:noWrap/>
          </w:tcPr>
          <w:p w14:paraId="607BB45B" w14:textId="77777777" w:rsidR="00A85B2E" w:rsidRPr="001963B9" w:rsidRDefault="00A85B2E" w:rsidP="00BE51AE">
            <w:pPr>
              <w:pStyle w:val="BodyText"/>
              <w:spacing w:before="120"/>
              <w:ind w:right="6"/>
              <w:jc w:val="left"/>
            </w:pPr>
            <w:r>
              <w:t>GCC</w:t>
            </w:r>
          </w:p>
        </w:tc>
        <w:tc>
          <w:tcPr>
            <w:tcW w:w="7371" w:type="dxa"/>
            <w:tcBorders>
              <w:top w:val="nil"/>
              <w:left w:val="nil"/>
              <w:bottom w:val="nil"/>
              <w:right w:val="nil"/>
            </w:tcBorders>
            <w:shd w:val="clear" w:color="auto" w:fill="auto"/>
            <w:noWrap/>
          </w:tcPr>
          <w:p w14:paraId="04C2F535" w14:textId="77777777" w:rsidR="00A85B2E" w:rsidRPr="001963B9" w:rsidRDefault="00A85B2E" w:rsidP="00BE51AE">
            <w:pPr>
              <w:pStyle w:val="BodyText"/>
              <w:spacing w:before="120"/>
              <w:ind w:right="6"/>
              <w:jc w:val="left"/>
            </w:pPr>
            <w:r>
              <w:t>Gulf Cooperation Council</w:t>
            </w:r>
          </w:p>
        </w:tc>
      </w:tr>
      <w:tr w:rsidR="00A85B2E" w:rsidRPr="001963B9" w14:paraId="0FEE718C" w14:textId="77777777" w:rsidTr="00BE51AE">
        <w:trPr>
          <w:trHeight w:val="300"/>
        </w:trPr>
        <w:tc>
          <w:tcPr>
            <w:tcW w:w="1418" w:type="dxa"/>
            <w:tcBorders>
              <w:top w:val="nil"/>
              <w:left w:val="nil"/>
              <w:bottom w:val="nil"/>
              <w:right w:val="nil"/>
            </w:tcBorders>
            <w:shd w:val="clear" w:color="auto" w:fill="auto"/>
            <w:noWrap/>
            <w:hideMark/>
          </w:tcPr>
          <w:p w14:paraId="790507D4" w14:textId="77777777" w:rsidR="00A85B2E" w:rsidRPr="001963B9" w:rsidRDefault="00A85B2E" w:rsidP="00BE51AE">
            <w:pPr>
              <w:pStyle w:val="BodyText"/>
              <w:spacing w:before="120"/>
              <w:ind w:right="6"/>
              <w:jc w:val="left"/>
            </w:pPr>
            <w:r w:rsidRPr="001963B9">
              <w:t>GDP</w:t>
            </w:r>
          </w:p>
        </w:tc>
        <w:tc>
          <w:tcPr>
            <w:tcW w:w="7371" w:type="dxa"/>
            <w:tcBorders>
              <w:top w:val="nil"/>
              <w:left w:val="nil"/>
              <w:bottom w:val="nil"/>
              <w:right w:val="nil"/>
            </w:tcBorders>
            <w:shd w:val="clear" w:color="auto" w:fill="auto"/>
            <w:noWrap/>
            <w:hideMark/>
          </w:tcPr>
          <w:p w14:paraId="510A370B" w14:textId="77777777" w:rsidR="00A85B2E" w:rsidRPr="001963B9" w:rsidRDefault="00A85B2E" w:rsidP="00BE51AE">
            <w:pPr>
              <w:pStyle w:val="BodyText"/>
              <w:spacing w:before="120"/>
              <w:ind w:right="6"/>
              <w:jc w:val="left"/>
            </w:pPr>
            <w:r w:rsidRPr="001963B9">
              <w:t>Gross</w:t>
            </w:r>
            <w:r>
              <w:t xml:space="preserve"> </w:t>
            </w:r>
            <w:r w:rsidRPr="001963B9">
              <w:t>Domestic</w:t>
            </w:r>
            <w:r>
              <w:t xml:space="preserve"> </w:t>
            </w:r>
            <w:r w:rsidRPr="001963B9">
              <w:t>Product</w:t>
            </w:r>
          </w:p>
        </w:tc>
      </w:tr>
      <w:tr w:rsidR="00A85B2E" w:rsidRPr="001963B9" w14:paraId="2337F8A4" w14:textId="77777777" w:rsidTr="00BE51AE">
        <w:trPr>
          <w:trHeight w:val="300"/>
        </w:trPr>
        <w:tc>
          <w:tcPr>
            <w:tcW w:w="1418" w:type="dxa"/>
            <w:tcBorders>
              <w:top w:val="nil"/>
              <w:left w:val="nil"/>
              <w:bottom w:val="nil"/>
              <w:right w:val="nil"/>
            </w:tcBorders>
            <w:shd w:val="clear" w:color="auto" w:fill="auto"/>
            <w:noWrap/>
          </w:tcPr>
          <w:p w14:paraId="4986C573" w14:textId="77777777" w:rsidR="00A85B2E" w:rsidRPr="001963B9" w:rsidRDefault="00A85B2E" w:rsidP="00BE51AE">
            <w:pPr>
              <w:pStyle w:val="BodyText"/>
              <w:spacing w:before="120"/>
              <w:ind w:right="6"/>
              <w:jc w:val="left"/>
            </w:pPr>
            <w:r>
              <w:t>GNI</w:t>
            </w:r>
          </w:p>
        </w:tc>
        <w:tc>
          <w:tcPr>
            <w:tcW w:w="7371" w:type="dxa"/>
            <w:tcBorders>
              <w:top w:val="nil"/>
              <w:left w:val="nil"/>
              <w:bottom w:val="nil"/>
              <w:right w:val="nil"/>
            </w:tcBorders>
            <w:shd w:val="clear" w:color="auto" w:fill="auto"/>
            <w:noWrap/>
          </w:tcPr>
          <w:p w14:paraId="5251B274" w14:textId="77777777" w:rsidR="00A85B2E" w:rsidRPr="001963B9" w:rsidRDefault="00A85B2E" w:rsidP="00BE51AE">
            <w:pPr>
              <w:pStyle w:val="BodyText"/>
              <w:spacing w:before="120"/>
              <w:ind w:right="6"/>
              <w:jc w:val="left"/>
            </w:pPr>
            <w:r>
              <w:t>Gross National Income</w:t>
            </w:r>
          </w:p>
        </w:tc>
      </w:tr>
      <w:tr w:rsidR="00A85B2E" w:rsidRPr="001963B9" w14:paraId="390BD3FE" w14:textId="77777777" w:rsidTr="00BE51AE">
        <w:trPr>
          <w:trHeight w:val="300"/>
        </w:trPr>
        <w:tc>
          <w:tcPr>
            <w:tcW w:w="1418" w:type="dxa"/>
            <w:tcBorders>
              <w:top w:val="nil"/>
              <w:left w:val="nil"/>
              <w:bottom w:val="nil"/>
              <w:right w:val="nil"/>
            </w:tcBorders>
            <w:shd w:val="clear" w:color="auto" w:fill="auto"/>
            <w:noWrap/>
            <w:hideMark/>
          </w:tcPr>
          <w:p w14:paraId="354A5FA7" w14:textId="77777777" w:rsidR="00A85B2E" w:rsidRPr="001963B9" w:rsidRDefault="00A85B2E" w:rsidP="00BE51AE">
            <w:pPr>
              <w:pStyle w:val="BodyText"/>
              <w:spacing w:before="120"/>
              <w:ind w:right="6"/>
              <w:jc w:val="left"/>
            </w:pPr>
            <w:r w:rsidRPr="001963B9">
              <w:t>GST</w:t>
            </w:r>
          </w:p>
        </w:tc>
        <w:tc>
          <w:tcPr>
            <w:tcW w:w="7371" w:type="dxa"/>
            <w:tcBorders>
              <w:top w:val="nil"/>
              <w:left w:val="nil"/>
              <w:bottom w:val="nil"/>
              <w:right w:val="nil"/>
            </w:tcBorders>
            <w:shd w:val="clear" w:color="auto" w:fill="auto"/>
            <w:noWrap/>
            <w:hideMark/>
          </w:tcPr>
          <w:p w14:paraId="01446CBA" w14:textId="77777777" w:rsidR="00A85B2E" w:rsidRPr="001963B9" w:rsidRDefault="00A85B2E" w:rsidP="00BE51AE">
            <w:pPr>
              <w:pStyle w:val="BodyText"/>
              <w:spacing w:before="120"/>
              <w:ind w:right="6"/>
              <w:jc w:val="left"/>
            </w:pPr>
            <w:r w:rsidRPr="001963B9">
              <w:t>Goods</w:t>
            </w:r>
            <w:r>
              <w:t xml:space="preserve"> </w:t>
            </w:r>
            <w:r w:rsidRPr="001963B9">
              <w:t>and</w:t>
            </w:r>
            <w:r>
              <w:t xml:space="preserve"> </w:t>
            </w:r>
            <w:r w:rsidRPr="001963B9">
              <w:t>Services</w:t>
            </w:r>
            <w:r>
              <w:t xml:space="preserve"> </w:t>
            </w:r>
            <w:r w:rsidRPr="001963B9">
              <w:t>Tax</w:t>
            </w:r>
          </w:p>
        </w:tc>
      </w:tr>
      <w:tr w:rsidR="00A85B2E" w:rsidRPr="001963B9" w14:paraId="3F72206E" w14:textId="77777777" w:rsidTr="00BE51AE">
        <w:trPr>
          <w:trHeight w:val="300"/>
        </w:trPr>
        <w:tc>
          <w:tcPr>
            <w:tcW w:w="1418" w:type="dxa"/>
            <w:tcBorders>
              <w:top w:val="nil"/>
              <w:left w:val="nil"/>
              <w:bottom w:val="nil"/>
              <w:right w:val="nil"/>
            </w:tcBorders>
            <w:shd w:val="clear" w:color="auto" w:fill="auto"/>
            <w:noWrap/>
            <w:hideMark/>
          </w:tcPr>
          <w:p w14:paraId="15D08880" w14:textId="77777777" w:rsidR="00A85B2E" w:rsidRPr="001963B9" w:rsidRDefault="00A85B2E" w:rsidP="00BE51AE">
            <w:pPr>
              <w:pStyle w:val="BodyText"/>
              <w:spacing w:before="120"/>
              <w:ind w:right="6"/>
              <w:jc w:val="left"/>
            </w:pPr>
            <w:r w:rsidRPr="001963B9">
              <w:t>PC</w:t>
            </w:r>
          </w:p>
        </w:tc>
        <w:tc>
          <w:tcPr>
            <w:tcW w:w="7371" w:type="dxa"/>
            <w:tcBorders>
              <w:top w:val="nil"/>
              <w:left w:val="nil"/>
              <w:bottom w:val="nil"/>
              <w:right w:val="nil"/>
            </w:tcBorders>
            <w:shd w:val="clear" w:color="auto" w:fill="auto"/>
            <w:noWrap/>
            <w:hideMark/>
          </w:tcPr>
          <w:p w14:paraId="7C11518A" w14:textId="77777777" w:rsidR="00A85B2E" w:rsidRPr="001963B9" w:rsidRDefault="00A85B2E" w:rsidP="00BE51AE">
            <w:pPr>
              <w:pStyle w:val="BodyText"/>
              <w:spacing w:before="120"/>
              <w:ind w:right="6"/>
              <w:jc w:val="left"/>
            </w:pPr>
            <w:r w:rsidRPr="001963B9">
              <w:t>Productivity</w:t>
            </w:r>
            <w:r>
              <w:t xml:space="preserve"> </w:t>
            </w:r>
            <w:r w:rsidRPr="001963B9">
              <w:t>Commission</w:t>
            </w:r>
          </w:p>
        </w:tc>
      </w:tr>
      <w:tr w:rsidR="00A85B2E" w:rsidRPr="001963B9" w14:paraId="1730ABF6" w14:textId="77777777" w:rsidTr="00BE51AE">
        <w:trPr>
          <w:trHeight w:val="300"/>
        </w:trPr>
        <w:tc>
          <w:tcPr>
            <w:tcW w:w="1418" w:type="dxa"/>
            <w:tcBorders>
              <w:top w:val="nil"/>
              <w:left w:val="nil"/>
              <w:bottom w:val="nil"/>
              <w:right w:val="nil"/>
            </w:tcBorders>
            <w:shd w:val="clear" w:color="auto" w:fill="auto"/>
            <w:noWrap/>
            <w:hideMark/>
          </w:tcPr>
          <w:p w14:paraId="1852FB33" w14:textId="77777777" w:rsidR="00A85B2E" w:rsidRPr="001963B9" w:rsidRDefault="00A85B2E" w:rsidP="00BE51AE">
            <w:pPr>
              <w:pStyle w:val="BodyText"/>
              <w:spacing w:before="120"/>
              <w:ind w:right="6"/>
              <w:jc w:val="left"/>
            </w:pPr>
            <w:r w:rsidRPr="001963B9">
              <w:t>R&amp;D</w:t>
            </w:r>
          </w:p>
        </w:tc>
        <w:tc>
          <w:tcPr>
            <w:tcW w:w="7371" w:type="dxa"/>
            <w:tcBorders>
              <w:top w:val="nil"/>
              <w:left w:val="nil"/>
              <w:bottom w:val="nil"/>
              <w:right w:val="nil"/>
            </w:tcBorders>
            <w:shd w:val="clear" w:color="auto" w:fill="auto"/>
            <w:noWrap/>
            <w:hideMark/>
          </w:tcPr>
          <w:p w14:paraId="427B81D5" w14:textId="77777777" w:rsidR="00A85B2E" w:rsidRPr="001963B9" w:rsidRDefault="00A85B2E" w:rsidP="00BE51AE">
            <w:pPr>
              <w:pStyle w:val="BodyText"/>
              <w:spacing w:before="120"/>
              <w:ind w:right="6"/>
              <w:jc w:val="left"/>
            </w:pPr>
            <w:r w:rsidRPr="001963B9">
              <w:t>Research</w:t>
            </w:r>
            <w:r>
              <w:t xml:space="preserve"> </w:t>
            </w:r>
            <w:r w:rsidRPr="001963B9">
              <w:t>and</w:t>
            </w:r>
            <w:r>
              <w:t xml:space="preserve"> </w:t>
            </w:r>
            <w:r w:rsidRPr="001963B9">
              <w:t>Development</w:t>
            </w:r>
          </w:p>
        </w:tc>
      </w:tr>
      <w:tr w:rsidR="00A85B2E" w:rsidRPr="001963B9" w14:paraId="49C4E10E" w14:textId="77777777" w:rsidTr="00BE51AE">
        <w:trPr>
          <w:trHeight w:val="300"/>
        </w:trPr>
        <w:tc>
          <w:tcPr>
            <w:tcW w:w="1418" w:type="dxa"/>
            <w:tcBorders>
              <w:top w:val="nil"/>
              <w:left w:val="nil"/>
              <w:bottom w:val="nil"/>
              <w:right w:val="nil"/>
            </w:tcBorders>
            <w:shd w:val="clear" w:color="auto" w:fill="auto"/>
            <w:noWrap/>
          </w:tcPr>
          <w:p w14:paraId="4141BF34" w14:textId="77777777" w:rsidR="00A85B2E" w:rsidRPr="001963B9" w:rsidRDefault="00A85B2E" w:rsidP="00BE51AE">
            <w:pPr>
              <w:pStyle w:val="BodyText"/>
              <w:spacing w:before="120"/>
              <w:ind w:right="6"/>
              <w:jc w:val="left"/>
            </w:pPr>
            <w:r>
              <w:t>RCEP</w:t>
            </w:r>
          </w:p>
        </w:tc>
        <w:tc>
          <w:tcPr>
            <w:tcW w:w="7371" w:type="dxa"/>
            <w:tcBorders>
              <w:top w:val="nil"/>
              <w:left w:val="nil"/>
              <w:bottom w:val="nil"/>
              <w:right w:val="nil"/>
            </w:tcBorders>
            <w:shd w:val="clear" w:color="auto" w:fill="auto"/>
            <w:noWrap/>
          </w:tcPr>
          <w:p w14:paraId="125108A2" w14:textId="77777777" w:rsidR="00A85B2E" w:rsidRPr="001963B9" w:rsidRDefault="00A85B2E" w:rsidP="00BE51AE">
            <w:pPr>
              <w:pStyle w:val="BodyText"/>
              <w:spacing w:before="120"/>
              <w:ind w:right="6"/>
              <w:jc w:val="left"/>
            </w:pPr>
            <w:r>
              <w:t>Regional Comprehensive Economic Partnership</w:t>
            </w:r>
          </w:p>
        </w:tc>
      </w:tr>
      <w:tr w:rsidR="00A85B2E" w:rsidRPr="001963B9" w14:paraId="5B01F3CB" w14:textId="77777777" w:rsidTr="00BE51AE">
        <w:trPr>
          <w:trHeight w:val="300"/>
        </w:trPr>
        <w:tc>
          <w:tcPr>
            <w:tcW w:w="1418" w:type="dxa"/>
            <w:tcBorders>
              <w:top w:val="nil"/>
              <w:left w:val="nil"/>
              <w:bottom w:val="nil"/>
              <w:right w:val="nil"/>
            </w:tcBorders>
            <w:shd w:val="clear" w:color="auto" w:fill="auto"/>
            <w:noWrap/>
          </w:tcPr>
          <w:p w14:paraId="20FAA463" w14:textId="77777777" w:rsidR="00A85B2E" w:rsidRPr="001963B9" w:rsidRDefault="00A85B2E" w:rsidP="00BE51AE">
            <w:pPr>
              <w:pStyle w:val="BodyText"/>
              <w:spacing w:before="120"/>
              <w:ind w:right="6"/>
              <w:jc w:val="left"/>
            </w:pPr>
            <w:proofErr w:type="spellStart"/>
            <w:r>
              <w:t>TiSA</w:t>
            </w:r>
            <w:proofErr w:type="spellEnd"/>
          </w:p>
        </w:tc>
        <w:tc>
          <w:tcPr>
            <w:tcW w:w="7371" w:type="dxa"/>
            <w:tcBorders>
              <w:top w:val="nil"/>
              <w:left w:val="nil"/>
              <w:bottom w:val="nil"/>
              <w:right w:val="nil"/>
            </w:tcBorders>
            <w:shd w:val="clear" w:color="auto" w:fill="auto"/>
            <w:noWrap/>
          </w:tcPr>
          <w:p w14:paraId="4A813CAF" w14:textId="77777777" w:rsidR="00A85B2E" w:rsidRPr="001963B9" w:rsidRDefault="00A85B2E" w:rsidP="00BE51AE">
            <w:pPr>
              <w:pStyle w:val="BodyText"/>
              <w:spacing w:before="120"/>
              <w:ind w:right="6"/>
              <w:jc w:val="left"/>
            </w:pPr>
            <w:r>
              <w:t>Trade in Services Agreement</w:t>
            </w:r>
          </w:p>
        </w:tc>
      </w:tr>
      <w:tr w:rsidR="00A85B2E" w:rsidRPr="001963B9" w14:paraId="31349FE6" w14:textId="77777777" w:rsidTr="00BE51AE">
        <w:trPr>
          <w:trHeight w:val="300"/>
        </w:trPr>
        <w:tc>
          <w:tcPr>
            <w:tcW w:w="1418" w:type="dxa"/>
            <w:tcBorders>
              <w:top w:val="nil"/>
              <w:left w:val="nil"/>
              <w:bottom w:val="nil"/>
              <w:right w:val="nil"/>
            </w:tcBorders>
            <w:shd w:val="clear" w:color="auto" w:fill="auto"/>
            <w:noWrap/>
          </w:tcPr>
          <w:p w14:paraId="74F29400" w14:textId="77777777" w:rsidR="00A85B2E" w:rsidRDefault="00A85B2E" w:rsidP="00BE51AE">
            <w:pPr>
              <w:pStyle w:val="BodyText"/>
              <w:spacing w:before="120"/>
              <w:ind w:right="6"/>
              <w:jc w:val="left"/>
            </w:pPr>
            <w:r>
              <w:t>US</w:t>
            </w:r>
          </w:p>
        </w:tc>
        <w:tc>
          <w:tcPr>
            <w:tcW w:w="7371" w:type="dxa"/>
            <w:tcBorders>
              <w:top w:val="nil"/>
              <w:left w:val="nil"/>
              <w:bottom w:val="nil"/>
              <w:right w:val="nil"/>
            </w:tcBorders>
            <w:shd w:val="clear" w:color="auto" w:fill="auto"/>
            <w:noWrap/>
          </w:tcPr>
          <w:p w14:paraId="1924BB5D" w14:textId="77777777" w:rsidR="00A85B2E" w:rsidRDefault="00A85B2E" w:rsidP="00BE51AE">
            <w:pPr>
              <w:pStyle w:val="BodyText"/>
              <w:spacing w:before="120"/>
              <w:ind w:right="6"/>
              <w:jc w:val="left"/>
            </w:pPr>
            <w:r>
              <w:t xml:space="preserve">United States </w:t>
            </w:r>
          </w:p>
        </w:tc>
      </w:tr>
      <w:tr w:rsidR="00A85B2E" w:rsidRPr="001963B9" w14:paraId="67F273CF" w14:textId="77777777" w:rsidTr="00BE51AE">
        <w:trPr>
          <w:trHeight w:val="300"/>
        </w:trPr>
        <w:tc>
          <w:tcPr>
            <w:tcW w:w="1418" w:type="dxa"/>
            <w:tcBorders>
              <w:top w:val="nil"/>
              <w:left w:val="nil"/>
              <w:bottom w:val="nil"/>
              <w:right w:val="nil"/>
            </w:tcBorders>
            <w:shd w:val="clear" w:color="auto" w:fill="auto"/>
            <w:noWrap/>
          </w:tcPr>
          <w:p w14:paraId="4AE70E79" w14:textId="77777777" w:rsidR="00A85B2E" w:rsidRPr="001963B9" w:rsidRDefault="00A85B2E" w:rsidP="00BE51AE">
            <w:pPr>
              <w:pStyle w:val="BodyText"/>
              <w:spacing w:before="120"/>
              <w:ind w:right="6"/>
              <w:jc w:val="left"/>
            </w:pPr>
            <w:r>
              <w:t>WET</w:t>
            </w:r>
          </w:p>
        </w:tc>
        <w:tc>
          <w:tcPr>
            <w:tcW w:w="7371" w:type="dxa"/>
            <w:tcBorders>
              <w:top w:val="nil"/>
              <w:left w:val="nil"/>
              <w:bottom w:val="nil"/>
              <w:right w:val="nil"/>
            </w:tcBorders>
            <w:shd w:val="clear" w:color="auto" w:fill="auto"/>
            <w:noWrap/>
          </w:tcPr>
          <w:p w14:paraId="1D232295" w14:textId="77777777" w:rsidR="00A85B2E" w:rsidRPr="001963B9" w:rsidRDefault="00A85B2E" w:rsidP="00BE51AE">
            <w:pPr>
              <w:pStyle w:val="BodyText"/>
              <w:spacing w:before="120"/>
              <w:ind w:right="6"/>
              <w:jc w:val="left"/>
            </w:pPr>
            <w:r>
              <w:t>Wine Equalisation Tax</w:t>
            </w:r>
          </w:p>
        </w:tc>
      </w:tr>
      <w:tr w:rsidR="00A85B2E" w:rsidRPr="001963B9" w14:paraId="125B5CE7" w14:textId="77777777" w:rsidTr="00BE51AE">
        <w:trPr>
          <w:trHeight w:val="300"/>
        </w:trPr>
        <w:tc>
          <w:tcPr>
            <w:tcW w:w="1418" w:type="dxa"/>
            <w:tcBorders>
              <w:top w:val="nil"/>
              <w:left w:val="nil"/>
              <w:bottom w:val="nil"/>
              <w:right w:val="nil"/>
            </w:tcBorders>
            <w:shd w:val="clear" w:color="auto" w:fill="auto"/>
            <w:noWrap/>
            <w:hideMark/>
          </w:tcPr>
          <w:p w14:paraId="5B51C98E" w14:textId="77777777" w:rsidR="00A85B2E" w:rsidRPr="001963B9" w:rsidRDefault="00A85B2E" w:rsidP="00BE51AE">
            <w:pPr>
              <w:pStyle w:val="BodyText"/>
              <w:spacing w:before="120"/>
              <w:ind w:right="6"/>
              <w:jc w:val="left"/>
            </w:pPr>
            <w:r w:rsidRPr="001963B9">
              <w:t>WTO</w:t>
            </w:r>
          </w:p>
        </w:tc>
        <w:tc>
          <w:tcPr>
            <w:tcW w:w="7371" w:type="dxa"/>
            <w:tcBorders>
              <w:top w:val="nil"/>
              <w:left w:val="nil"/>
              <w:bottom w:val="nil"/>
              <w:right w:val="nil"/>
            </w:tcBorders>
            <w:shd w:val="clear" w:color="auto" w:fill="auto"/>
            <w:noWrap/>
            <w:hideMark/>
          </w:tcPr>
          <w:p w14:paraId="6BAE2200" w14:textId="77777777" w:rsidR="00A85B2E" w:rsidRPr="001963B9" w:rsidRDefault="00A85B2E" w:rsidP="00BE51AE">
            <w:pPr>
              <w:pStyle w:val="BodyText"/>
              <w:spacing w:before="120"/>
              <w:ind w:right="6"/>
              <w:jc w:val="left"/>
            </w:pPr>
            <w:r w:rsidRPr="001963B9">
              <w:t>World</w:t>
            </w:r>
            <w:r>
              <w:t xml:space="preserve"> </w:t>
            </w:r>
            <w:r w:rsidRPr="001963B9">
              <w:t>Trade</w:t>
            </w:r>
            <w:r>
              <w:t xml:space="preserve"> </w:t>
            </w:r>
            <w:r w:rsidRPr="001963B9">
              <w:t>Organization</w:t>
            </w:r>
          </w:p>
        </w:tc>
      </w:tr>
    </w:tbl>
    <w:p w14:paraId="5607C9FB" w14:textId="77777777" w:rsidR="00A85B2E" w:rsidRDefault="00A85B2E" w:rsidP="00A85B2E">
      <w:pPr>
        <w:pStyle w:val="BodyText"/>
        <w:rPr>
          <w:rStyle w:val="CommentReference"/>
          <w:b w:val="0"/>
          <w:vanish w:val="0"/>
        </w:rPr>
        <w:sectPr w:rsidR="00A85B2E" w:rsidSect="00BE51AE">
          <w:headerReference w:type="even" r:id="rId26"/>
          <w:headerReference w:type="default" r:id="rId27"/>
          <w:footerReference w:type="even" r:id="rId28"/>
          <w:footerReference w:type="default" r:id="rId29"/>
          <w:pgSz w:w="11907" w:h="16840" w:code="9"/>
          <w:pgMar w:top="1332" w:right="1304" w:bottom="1247" w:left="1814" w:header="1701" w:footer="397" w:gutter="0"/>
          <w:pgNumType w:fmt="lowerRoman"/>
          <w:cols w:space="720"/>
        </w:sectPr>
      </w:pPr>
      <w:bookmarkStart w:id="14" w:name="Glossary"/>
      <w:bookmarkEnd w:id="14"/>
    </w:p>
    <w:p w14:paraId="4F3C79C3" w14:textId="77777777" w:rsidR="007D417F" w:rsidRPr="00407D4F" w:rsidRDefault="007D417F" w:rsidP="00C418AC">
      <w:pPr>
        <w:pStyle w:val="BoxSpaceAbov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7D417F" w14:paraId="5E6F2767" w14:textId="77777777" w:rsidTr="00E44AEF">
        <w:tc>
          <w:tcPr>
            <w:tcW w:w="5000" w:type="pct"/>
            <w:tcBorders>
              <w:top w:val="single" w:sz="4" w:space="0" w:color="78A22F" w:themeColor="accent1"/>
              <w:left w:val="nil"/>
              <w:bottom w:val="nil"/>
              <w:right w:val="nil"/>
            </w:tcBorders>
            <w:shd w:val="clear" w:color="auto" w:fill="E5F1D0"/>
          </w:tcPr>
          <w:p w14:paraId="5E181F21" w14:textId="77777777" w:rsidR="007D417F" w:rsidRDefault="007D417F">
            <w:pPr>
              <w:pStyle w:val="BoxTitle"/>
            </w:pPr>
            <w:r>
              <w:t>Key points</w:t>
            </w:r>
          </w:p>
        </w:tc>
      </w:tr>
      <w:tr w:rsidR="007D417F" w14:paraId="687E78E7" w14:textId="77777777" w:rsidTr="00E44AEF">
        <w:tc>
          <w:tcPr>
            <w:tcW w:w="5000" w:type="pct"/>
            <w:tcBorders>
              <w:top w:val="nil"/>
              <w:left w:val="nil"/>
              <w:bottom w:val="nil"/>
              <w:right w:val="nil"/>
            </w:tcBorders>
            <w:shd w:val="clear" w:color="auto" w:fill="E5F1D0"/>
          </w:tcPr>
          <w:p w14:paraId="69478244" w14:textId="77777777" w:rsidR="007D417F" w:rsidRDefault="007D417F" w:rsidP="00E44AEF">
            <w:pPr>
              <w:pStyle w:val="KeyPointsListBullet"/>
            </w:pPr>
            <w:r>
              <w:t>Australian Government net assistance to industry fell for most sectors of the economy from 2017</w:t>
            </w:r>
            <w:r>
              <w:noBreakHyphen/>
              <w:t>18 to 2018</w:t>
            </w:r>
            <w:r>
              <w:noBreakHyphen/>
              <w:t>19.</w:t>
            </w:r>
          </w:p>
          <w:p w14:paraId="775D6176" w14:textId="77777777" w:rsidR="007D417F" w:rsidRDefault="007D417F" w:rsidP="00BE51AE">
            <w:pPr>
              <w:pStyle w:val="KeyPointsListBullet2"/>
              <w:ind w:left="680" w:hanging="340"/>
            </w:pPr>
            <w:r>
              <w:rPr>
                <w:lang w:eastAsia="en-US"/>
              </w:rPr>
              <w:t>Net</w:t>
            </w:r>
            <w:r w:rsidRPr="00182741">
              <w:rPr>
                <w:lang w:eastAsia="en-US"/>
              </w:rPr>
              <w:t xml:space="preserve"> industry assistance </w:t>
            </w:r>
            <w:r>
              <w:rPr>
                <w:lang w:eastAsia="en-US"/>
              </w:rPr>
              <w:t>was</w:t>
            </w:r>
            <w:r w:rsidRPr="00182741">
              <w:rPr>
                <w:lang w:eastAsia="en-US"/>
              </w:rPr>
              <w:t xml:space="preserve"> $1</w:t>
            </w:r>
            <w:r>
              <w:rPr>
                <w:lang w:eastAsia="en-US"/>
              </w:rPr>
              <w:t>2</w:t>
            </w:r>
            <w:r w:rsidRPr="00182741">
              <w:rPr>
                <w:lang w:eastAsia="en-US"/>
              </w:rPr>
              <w:t>.</w:t>
            </w:r>
            <w:r>
              <w:rPr>
                <w:lang w:eastAsia="en-US"/>
              </w:rPr>
              <w:t>1</w:t>
            </w:r>
            <w:r w:rsidRPr="00182741">
              <w:rPr>
                <w:lang w:eastAsia="en-US"/>
              </w:rPr>
              <w:t xml:space="preserve"> billion</w:t>
            </w:r>
            <w:r>
              <w:rPr>
                <w:lang w:eastAsia="en-US"/>
              </w:rPr>
              <w:t xml:space="preserve"> (consisting of </w:t>
            </w:r>
            <w:r>
              <w:t>about</w:t>
            </w:r>
            <w:r>
              <w:rPr>
                <w:lang w:eastAsia="en-US"/>
              </w:rPr>
              <w:t xml:space="preserve"> $2</w:t>
            </w:r>
            <w:r w:rsidRPr="00182741">
              <w:rPr>
                <w:lang w:eastAsia="en-US"/>
              </w:rPr>
              <w:t xml:space="preserve"> billion tariff </w:t>
            </w:r>
            <w:r>
              <w:rPr>
                <w:lang w:eastAsia="en-US"/>
              </w:rPr>
              <w:t xml:space="preserve">output </w:t>
            </w:r>
            <w:r w:rsidRPr="00182741">
              <w:rPr>
                <w:lang w:eastAsia="en-US"/>
              </w:rPr>
              <w:t xml:space="preserve">assistance, </w:t>
            </w:r>
            <w:r>
              <w:rPr>
                <w:lang w:eastAsia="en-US"/>
              </w:rPr>
              <w:t>$4.5 </w:t>
            </w:r>
            <w:r w:rsidRPr="00182741">
              <w:rPr>
                <w:lang w:eastAsia="en-US"/>
              </w:rPr>
              <w:t>bi</w:t>
            </w:r>
            <w:r>
              <w:rPr>
                <w:lang w:eastAsia="en-US"/>
              </w:rPr>
              <w:t>llion in budgetary outlays and $7.4</w:t>
            </w:r>
            <w:r w:rsidRPr="00182741">
              <w:rPr>
                <w:lang w:eastAsia="en-US"/>
              </w:rPr>
              <w:t xml:space="preserve"> billion in tax concession</w:t>
            </w:r>
            <w:r>
              <w:rPr>
                <w:lang w:eastAsia="en-US"/>
              </w:rPr>
              <w:t>s, less $1.7 billion in tariff input penalties</w:t>
            </w:r>
            <w:r w:rsidRPr="00182741">
              <w:rPr>
                <w:lang w:eastAsia="en-US"/>
              </w:rPr>
              <w:t>)</w:t>
            </w:r>
            <w:r>
              <w:rPr>
                <w:lang w:eastAsia="en-US"/>
              </w:rPr>
              <w:t>, down from $12.6 billion in the previous year</w:t>
            </w:r>
            <w:r w:rsidRPr="00182741">
              <w:rPr>
                <w:lang w:eastAsia="en-US"/>
              </w:rPr>
              <w:t>.</w:t>
            </w:r>
          </w:p>
          <w:p w14:paraId="5470E83F" w14:textId="77777777" w:rsidR="007D417F" w:rsidRPr="001D3282" w:rsidRDefault="007D417F" w:rsidP="00E44AEF">
            <w:pPr>
              <w:pStyle w:val="KeyPointsListBullet"/>
            </w:pPr>
            <w:r>
              <w:t>The decline is the continuation of a long</w:t>
            </w:r>
            <w:r>
              <w:noBreakHyphen/>
              <w:t xml:space="preserve">term reduction in assistance for the manufacturing and agriculture industries, which commenced in the 1970s and mostly stems from lower import tariffs. As a result, Australia has become a </w:t>
            </w:r>
            <w:r w:rsidRPr="00BE6E90">
              <w:t>more</w:t>
            </w:r>
            <w:r w:rsidRPr="00A755ED">
              <w:t xml:space="preserve"> globalised </w:t>
            </w:r>
            <w:r>
              <w:t xml:space="preserve">and competitive </w:t>
            </w:r>
            <w:r w:rsidRPr="00A755ED">
              <w:t>economy</w:t>
            </w:r>
            <w:r>
              <w:t>, generating</w:t>
            </w:r>
            <w:r w:rsidRPr="00A755ED">
              <w:t xml:space="preserve"> vast benefits</w:t>
            </w:r>
            <w:r>
              <w:t xml:space="preserve"> </w:t>
            </w:r>
            <w:r w:rsidRPr="00A755ED">
              <w:t>for consumers.</w:t>
            </w:r>
            <w:r>
              <w:t xml:space="preserve"> </w:t>
            </w:r>
          </w:p>
          <w:p w14:paraId="0A8AA6CF" w14:textId="73C3D5FD" w:rsidR="007D417F" w:rsidRPr="00BE51AE" w:rsidRDefault="007D417F" w:rsidP="00E44AEF">
            <w:pPr>
              <w:pStyle w:val="KeyPointsListBullet"/>
              <w:rPr>
                <w:spacing w:val="2"/>
              </w:rPr>
            </w:pPr>
            <w:r w:rsidRPr="00BE51AE">
              <w:rPr>
                <w:spacing w:val="2"/>
              </w:rPr>
              <w:t>Budgetary assistance (through direct outlays or tax concessions) has grown in recent years, from $9.1 billion in 2013</w:t>
            </w:r>
            <w:r w:rsidRPr="00BE51AE">
              <w:rPr>
                <w:spacing w:val="2"/>
              </w:rPr>
              <w:noBreakHyphen/>
              <w:t>14 to $11.8 billion in 2018</w:t>
            </w:r>
            <w:r w:rsidRPr="00BE51AE">
              <w:rPr>
                <w:spacing w:val="2"/>
              </w:rPr>
              <w:noBreakHyphen/>
              <w:t>19, driven mostly by new tax concessions for small businesses. Overall, most budgetary assistance is provided to the services sector (which makes up over 80 per cent of the economy) or is unable to be allocated to any particular sector.</w:t>
            </w:r>
          </w:p>
          <w:p w14:paraId="042E1896" w14:textId="77777777" w:rsidR="007D417F" w:rsidRDefault="007D417F" w:rsidP="00E44AEF">
            <w:pPr>
              <w:pStyle w:val="KeyPointsListBullet"/>
            </w:pPr>
            <w:r>
              <w:t xml:space="preserve">The Commission has highlighted </w:t>
            </w:r>
            <w:r w:rsidRPr="001D3282">
              <w:t xml:space="preserve">four areas </w:t>
            </w:r>
            <w:r>
              <w:t>where d</w:t>
            </w:r>
            <w:r w:rsidRPr="001D3282">
              <w:t xml:space="preserve">omestic industry assistance has increased </w:t>
            </w:r>
            <w:r>
              <w:t>over the past</w:t>
            </w:r>
            <w:r w:rsidRPr="001D3282">
              <w:t xml:space="preserve"> year</w:t>
            </w:r>
            <w:r>
              <w:t>.</w:t>
            </w:r>
          </w:p>
          <w:p w14:paraId="7771ED9C" w14:textId="77777777" w:rsidR="007D417F" w:rsidRPr="001D3282" w:rsidRDefault="007D417F" w:rsidP="00BE51AE">
            <w:pPr>
              <w:pStyle w:val="KeyPointsListBullet2"/>
              <w:ind w:left="680" w:hanging="340"/>
            </w:pPr>
            <w:r>
              <w:t>D</w:t>
            </w:r>
            <w:r w:rsidRPr="001D3282">
              <w:t xml:space="preserve">efence procurement </w:t>
            </w:r>
            <w:r>
              <w:t xml:space="preserve">from domestic industry has risen, but lacks transparency about costs and a clear policy framework explaining its benefits. </w:t>
            </w:r>
          </w:p>
          <w:p w14:paraId="68B55F92" w14:textId="77777777" w:rsidR="007D417F" w:rsidRPr="001D3282" w:rsidRDefault="007D417F" w:rsidP="00BE51AE">
            <w:pPr>
              <w:pStyle w:val="KeyPointsListBullet2"/>
              <w:ind w:left="680" w:hanging="340"/>
            </w:pPr>
            <w:r w:rsidRPr="001D3282">
              <w:t>Assistance to farmers and farm businesses expanded further with the continued drought and stresses of severe flooding in North Queensland.</w:t>
            </w:r>
          </w:p>
          <w:p w14:paraId="11206572" w14:textId="77777777" w:rsidR="007D417F" w:rsidRPr="001D3282" w:rsidRDefault="007D417F" w:rsidP="00BE51AE">
            <w:pPr>
              <w:pStyle w:val="KeyPointsListBullet2"/>
              <w:ind w:left="680" w:hanging="340"/>
            </w:pPr>
            <w:r>
              <w:t>Government investment in private projects continues to proliferate, carrying with it risks to the Australian taxpayer</w:t>
            </w:r>
            <w:r w:rsidRPr="001D3282">
              <w:t>.</w:t>
            </w:r>
          </w:p>
          <w:p w14:paraId="22E06E21" w14:textId="77777777" w:rsidR="007D417F" w:rsidRDefault="007D417F" w:rsidP="00BE51AE">
            <w:pPr>
              <w:pStyle w:val="KeyPointsListBullet2"/>
              <w:ind w:left="680" w:hanging="340"/>
            </w:pPr>
            <w:r w:rsidRPr="001D3282">
              <w:t>Concessions in Australia’s</w:t>
            </w:r>
            <w:r>
              <w:t xml:space="preserve"> alcohol tax system widened further after the introduction of new supports for craft brewers, adding to an already complicated system.</w:t>
            </w:r>
          </w:p>
          <w:p w14:paraId="16EDA5CF" w14:textId="77777777" w:rsidR="007D417F" w:rsidRDefault="007D417F" w:rsidP="00E44AEF">
            <w:pPr>
              <w:pStyle w:val="KeyPointsListBullet"/>
            </w:pPr>
            <w:r>
              <w:t xml:space="preserve">Progress on international trade policy has faltered. </w:t>
            </w:r>
          </w:p>
          <w:p w14:paraId="35FEA40E" w14:textId="77777777" w:rsidR="007D417F" w:rsidRDefault="007D417F" w:rsidP="00BE51AE">
            <w:pPr>
              <w:pStyle w:val="KeyPointsListBullet2"/>
              <w:ind w:left="680" w:hanging="340"/>
            </w:pPr>
            <w:r>
              <w:t xml:space="preserve">Multilateral and </w:t>
            </w:r>
            <w:proofErr w:type="spellStart"/>
            <w:r>
              <w:t>plurilateral</w:t>
            </w:r>
            <w:proofErr w:type="spellEnd"/>
            <w:r>
              <w:t xml:space="preserve"> agreement negotiations continue, but are slow, with few prospects for their timely finalisation.</w:t>
            </w:r>
          </w:p>
          <w:p w14:paraId="04E88D39" w14:textId="77777777" w:rsidR="007D417F" w:rsidRDefault="007D417F" w:rsidP="00E44AEF">
            <w:pPr>
              <w:pStyle w:val="KeyPointsListBullet"/>
              <w:numPr>
                <w:ilvl w:val="0"/>
                <w:numId w:val="1"/>
              </w:numPr>
              <w:spacing w:line="270" w:lineRule="atLeast"/>
            </w:pPr>
            <w:r>
              <w:t>One of the World Trade Organisation’s (WTO) key functions, dispute resolution, has ceased because judges have not been appointed to the Appellate body, severely compromising the WTO’s role. A temporary dispute body has been set up by 17 members (including Australia).</w:t>
            </w:r>
          </w:p>
        </w:tc>
      </w:tr>
      <w:tr w:rsidR="007D417F" w14:paraId="7E825742" w14:textId="77777777" w:rsidTr="00E44AEF">
        <w:tc>
          <w:tcPr>
            <w:tcW w:w="5000" w:type="pct"/>
            <w:tcBorders>
              <w:top w:val="nil"/>
              <w:left w:val="nil"/>
              <w:bottom w:val="single" w:sz="4" w:space="0" w:color="78A22F" w:themeColor="accent1"/>
              <w:right w:val="nil"/>
            </w:tcBorders>
            <w:shd w:val="clear" w:color="auto" w:fill="E5F1D0"/>
          </w:tcPr>
          <w:p w14:paraId="56F134C5" w14:textId="77777777" w:rsidR="007D417F" w:rsidRDefault="007D417F">
            <w:pPr>
              <w:pStyle w:val="Box"/>
              <w:spacing w:before="0" w:line="120" w:lineRule="exact"/>
            </w:pPr>
          </w:p>
        </w:tc>
      </w:tr>
      <w:tr w:rsidR="007D417F" w14:paraId="4F5ADEA1" w14:textId="77777777" w:rsidTr="00E44AEF">
        <w:tc>
          <w:tcPr>
            <w:tcW w:w="5000" w:type="pct"/>
            <w:tcBorders>
              <w:top w:val="single" w:sz="4" w:space="0" w:color="78A22F" w:themeColor="accent1"/>
              <w:left w:val="nil"/>
              <w:bottom w:val="nil"/>
              <w:right w:val="nil"/>
            </w:tcBorders>
          </w:tcPr>
          <w:p w14:paraId="695A7C2E" w14:textId="77777777" w:rsidR="007D417F" w:rsidRDefault="007D417F">
            <w:pPr>
              <w:pStyle w:val="Box"/>
              <w:keepNext w:val="0"/>
              <w:spacing w:before="60" w:after="60" w:line="80" w:lineRule="exact"/>
            </w:pPr>
          </w:p>
        </w:tc>
      </w:tr>
    </w:tbl>
    <w:p w14:paraId="6C1BB23C" w14:textId="77777777" w:rsidR="007D417F" w:rsidRDefault="007D417F" w:rsidP="00BE51AE">
      <w:pPr>
        <w:pStyle w:val="BodyText"/>
      </w:pPr>
    </w:p>
    <w:bookmarkEnd w:id="0"/>
    <w:p w14:paraId="7D918946" w14:textId="77777777" w:rsidR="007D417F" w:rsidRDefault="007D417F" w:rsidP="00BE51AE">
      <w:pPr>
        <w:pStyle w:val="BodyText"/>
        <w:sectPr w:rsidR="007D417F" w:rsidSect="00C418AC">
          <w:headerReference w:type="default" r:id="rId30"/>
          <w:headerReference w:type="first" r:id="rId31"/>
          <w:footerReference w:type="first" r:id="rId32"/>
          <w:pgSz w:w="11907" w:h="16840" w:code="9"/>
          <w:pgMar w:top="1985" w:right="1304" w:bottom="1247" w:left="1814" w:header="1701" w:footer="397" w:gutter="0"/>
          <w:pgNumType w:fmt="lowerRoman" w:chapSep="period"/>
          <w:cols w:space="720"/>
          <w:titlePg/>
          <w:docGrid w:linePitch="326"/>
        </w:sectPr>
      </w:pPr>
    </w:p>
    <w:p w14:paraId="534C4EC5" w14:textId="77777777" w:rsidR="007D417F" w:rsidRDefault="007D417F" w:rsidP="00E44AEF">
      <w:pPr>
        <w:pStyle w:val="Heading1"/>
        <w:spacing w:before="0"/>
      </w:pPr>
      <w:bookmarkStart w:id="15" w:name="_Toc38382135"/>
      <w:r>
        <w:lastRenderedPageBreak/>
        <w:t>1</w:t>
      </w:r>
      <w:r>
        <w:tab/>
      </w:r>
      <w:bookmarkStart w:id="16" w:name="ChapterTitle"/>
      <w:r>
        <w:t>Assistance estimates</w:t>
      </w:r>
      <w:bookmarkEnd w:id="16"/>
      <w:bookmarkEnd w:id="15"/>
    </w:p>
    <w:p w14:paraId="3176BDA6" w14:textId="77777777" w:rsidR="007D417F" w:rsidRDefault="007D417F" w:rsidP="00E44AEF">
      <w:pPr>
        <w:pStyle w:val="BodyText"/>
        <w:keepNext/>
      </w:pPr>
      <w:bookmarkStart w:id="17" w:name="begin"/>
      <w:bookmarkEnd w:id="17"/>
      <w:r>
        <w:t xml:space="preserve">The Australian Government assists industries and businesses through a wide array of programs, regulatory instruments and policies. </w:t>
      </w:r>
      <w:r w:rsidRPr="00C84193">
        <w:t>Each year, the</w:t>
      </w:r>
      <w:r>
        <w:t xml:space="preserve"> Commission updates and publishes estimates of the assistance provided through:</w:t>
      </w:r>
    </w:p>
    <w:p w14:paraId="33565A3A" w14:textId="77777777" w:rsidR="007D417F" w:rsidRDefault="007D417F" w:rsidP="00E44AEF">
      <w:pPr>
        <w:pStyle w:val="ListBullet"/>
        <w:keepNext/>
      </w:pPr>
      <w:r>
        <w:t>import tariffs</w:t>
      </w:r>
    </w:p>
    <w:p w14:paraId="12D04382" w14:textId="77777777" w:rsidR="007D417F" w:rsidRDefault="007D417F" w:rsidP="00E44AEF">
      <w:pPr>
        <w:pStyle w:val="ListBullet"/>
        <w:keepNext/>
      </w:pPr>
      <w:r>
        <w:t>subsidies (predominantly grants and concessional loans)</w:t>
      </w:r>
    </w:p>
    <w:p w14:paraId="5ABA7CEF" w14:textId="77777777" w:rsidR="007D417F" w:rsidRDefault="007D417F" w:rsidP="00E44AEF">
      <w:pPr>
        <w:pStyle w:val="ListBullet"/>
        <w:keepNext/>
      </w:pPr>
      <w:r>
        <w:t>tax concessions.</w:t>
      </w:r>
      <w:r w:rsidRPr="0007522F">
        <w:rPr>
          <w:rStyle w:val="FootnoteReference"/>
        </w:rPr>
        <w:footnoteReference w:id="1"/>
      </w:r>
      <w:r>
        <w:t xml:space="preserve"> </w:t>
      </w:r>
    </w:p>
    <w:p w14:paraId="3F57CB32" w14:textId="77777777" w:rsidR="007D417F" w:rsidRDefault="007D417F" w:rsidP="00E44AEF">
      <w:pPr>
        <w:pStyle w:val="BodyText"/>
      </w:pPr>
      <w:r>
        <w:t>The following sections present an overview of the 2018</w:t>
      </w:r>
      <w:r>
        <w:noBreakHyphen/>
        <w:t xml:space="preserve">19 assistance estimates. </w:t>
      </w:r>
      <w:r w:rsidRPr="00EE11CE">
        <w:t xml:space="preserve">Detailed </w:t>
      </w:r>
      <w:r>
        <w:t xml:space="preserve">tables of </w:t>
      </w:r>
      <w:r w:rsidRPr="00EE11CE">
        <w:t xml:space="preserve">estimates </w:t>
      </w:r>
      <w:r>
        <w:t xml:space="preserve">covering 34 industry groupings and four sectors (primary production, mining, manufacturing and services) </w:t>
      </w:r>
      <w:r w:rsidRPr="00EE11CE">
        <w:t>are provided in appendix</w:t>
      </w:r>
      <w:r>
        <w:t> B (online only, available on the Commission’s website)</w:t>
      </w:r>
      <w:r w:rsidRPr="00EE11CE">
        <w:t>.</w:t>
      </w:r>
      <w:r>
        <w:t xml:space="preserve"> The estimates cover: </w:t>
      </w:r>
    </w:p>
    <w:p w14:paraId="261B05FF" w14:textId="77777777" w:rsidR="007D417F" w:rsidRDefault="007D417F" w:rsidP="00E44AEF">
      <w:pPr>
        <w:pStyle w:val="ListBullet"/>
      </w:pPr>
      <w:r>
        <w:t xml:space="preserve">aggregate assistance (referred to as net combined assistance), the effective rate of assistance (which indicates the amount of assistance compared to the size of an industry), and trends in these measures of assistance over the past four decades (section 1.1) </w:t>
      </w:r>
    </w:p>
    <w:p w14:paraId="75C1D064" w14:textId="77777777" w:rsidR="007D417F" w:rsidRDefault="007D417F" w:rsidP="00E44AEF">
      <w:pPr>
        <w:pStyle w:val="ListBullet"/>
      </w:pPr>
      <w:r>
        <w:t xml:space="preserve">gross and net assistance provided by import tariffs, which mainly assist the manufacturing sector by raising costs to consumers and to industries that use manufactured and other tariff assisted inputs (section 1.2) </w:t>
      </w:r>
    </w:p>
    <w:p w14:paraId="2764747B" w14:textId="77777777" w:rsidR="007D417F" w:rsidRDefault="007D417F" w:rsidP="00E44AEF">
      <w:pPr>
        <w:pStyle w:val="ListBullet"/>
      </w:pPr>
      <w:r>
        <w:t>Australian Government budgetary measures — divided into government outlays and tax concessions, and then into seven sub</w:t>
      </w:r>
      <w:r>
        <w:noBreakHyphen/>
        <w:t>categories, which confer financial support to the recipient businesses (section 1.3).</w:t>
      </w:r>
    </w:p>
    <w:p w14:paraId="53D558BE" w14:textId="77777777" w:rsidR="007D417F" w:rsidRPr="00656C2B" w:rsidRDefault="007D417F" w:rsidP="00E44AEF">
      <w:pPr>
        <w:pStyle w:val="Heading2"/>
      </w:pPr>
      <w:bookmarkStart w:id="18" w:name="_Toc38382136"/>
      <w:r>
        <w:t>1.</w:t>
      </w:r>
      <w:r>
        <w:rPr>
          <w:noProof/>
        </w:rPr>
        <w:t>1</w:t>
      </w:r>
      <w:r>
        <w:tab/>
        <w:t>Aggregate assistance level and assistance rates</w:t>
      </w:r>
      <w:bookmarkEnd w:id="18"/>
    </w:p>
    <w:p w14:paraId="3ABA447F" w14:textId="77777777" w:rsidR="007D417F" w:rsidRDefault="007D417F" w:rsidP="00E44AEF">
      <w:pPr>
        <w:pStyle w:val="Heading3"/>
        <w:spacing w:before="280"/>
      </w:pPr>
      <w:r>
        <w:t>Net combined assistance was $12.1 billion in 2018</w:t>
      </w:r>
      <w:r>
        <w:noBreakHyphen/>
        <w:t>19</w:t>
      </w:r>
    </w:p>
    <w:p w14:paraId="16E27CF4" w14:textId="77777777" w:rsidR="007D417F" w:rsidRDefault="007D417F" w:rsidP="00E44AEF">
      <w:pPr>
        <w:pStyle w:val="BodyText"/>
        <w:spacing w:before="200"/>
      </w:pPr>
      <w:r>
        <w:t>In gross terms, readily distinguishable and quantified tariff and budgetary assistance to industry was around $13.8 billion in 2018</w:t>
      </w:r>
      <w:r>
        <w:noBreakHyphen/>
        <w:t xml:space="preserve">19 — comprising $2.0 billion in output tariff assistance, $4.5 billion of budgetary outlays, and $7.4 billion in tax concessions (figure 1.1). After allowing for the negative effects of tariff assistance on the cost of inputs (the input tariff penalty) of $1.7 billion, estimated net combined assistance amounted to around </w:t>
      </w:r>
      <w:r>
        <w:lastRenderedPageBreak/>
        <w:t>$12.1 billion in 2018</w:t>
      </w:r>
      <w:r>
        <w:noBreakHyphen/>
        <w:t>19. This was a fall of $0.5 billion from 2017</w:t>
      </w:r>
      <w:r>
        <w:noBreakHyphen/>
        <w:t>18, driven mostly by a fall in tax concessions and budgetary outlays.</w:t>
      </w:r>
    </w:p>
    <w:p w14:paraId="09E054B1" w14:textId="77777777" w:rsidR="007D417F" w:rsidRDefault="007D417F" w:rsidP="00E44AE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417F" w14:paraId="000F58B5" w14:textId="77777777" w:rsidTr="00E44AEF">
        <w:trPr>
          <w:tblHeader/>
        </w:trPr>
        <w:tc>
          <w:tcPr>
            <w:tcW w:w="5000" w:type="pct"/>
            <w:tcBorders>
              <w:top w:val="single" w:sz="6" w:space="0" w:color="78A22F"/>
              <w:left w:val="nil"/>
              <w:bottom w:val="nil"/>
              <w:right w:val="nil"/>
            </w:tcBorders>
            <w:shd w:val="clear" w:color="auto" w:fill="auto"/>
          </w:tcPr>
          <w:p w14:paraId="7E1DB8AE" w14:textId="77777777" w:rsidR="007D417F" w:rsidRDefault="007D417F" w:rsidP="00E44AEF">
            <w:pPr>
              <w:pStyle w:val="FigureTitle"/>
            </w:pPr>
            <w:r w:rsidRPr="00784A05">
              <w:rPr>
                <w:b w:val="0"/>
              </w:rPr>
              <w:t xml:space="preserve">Figure </w:t>
            </w:r>
            <w:r>
              <w:rPr>
                <w:b w:val="0"/>
              </w:rPr>
              <w:t>1.</w:t>
            </w:r>
            <w:r>
              <w:rPr>
                <w:b w:val="0"/>
                <w:noProof/>
              </w:rPr>
              <w:t>1</w:t>
            </w:r>
            <w:r>
              <w:tab/>
              <w:t>Aggregate estimates of measurable assistance</w:t>
            </w:r>
          </w:p>
          <w:p w14:paraId="5542D5C2" w14:textId="77777777" w:rsidR="007D417F" w:rsidRPr="00176D3F" w:rsidRDefault="007D417F" w:rsidP="00E44AEF">
            <w:pPr>
              <w:pStyle w:val="Subtitle"/>
            </w:pPr>
            <w:r>
              <w:t>2013</w:t>
            </w:r>
            <w:r>
              <w:noBreakHyphen/>
              <w:t>14 to 2018</w:t>
            </w:r>
            <w:r>
              <w:noBreakHyphen/>
              <w:t>19</w:t>
            </w:r>
          </w:p>
        </w:tc>
      </w:tr>
      <w:tr w:rsidR="007D417F" w14:paraId="31190D87" w14:textId="77777777" w:rsidTr="00E44AE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7D417F" w:rsidRPr="00B1465D" w14:paraId="6C2AEDDA" w14:textId="77777777" w:rsidTr="00E44AEF">
              <w:trPr>
                <w:tblHeader/>
                <w:jc w:val="center"/>
              </w:trPr>
              <w:tc>
                <w:tcPr>
                  <w:tcW w:w="5000" w:type="pct"/>
                  <w:tcBorders>
                    <w:top w:val="nil"/>
                    <w:bottom w:val="nil"/>
                  </w:tcBorders>
                </w:tcPr>
                <w:p w14:paraId="67CADA70" w14:textId="7851B3E4" w:rsidR="007D417F" w:rsidRPr="00B1465D" w:rsidRDefault="001551EB" w:rsidP="00E44AEF">
                  <w:pPr>
                    <w:pStyle w:val="Figure"/>
                    <w:spacing w:before="60" w:after="60"/>
                    <w:rPr>
                      <w:rFonts w:ascii="Arial" w:hAnsi="Arial" w:cs="Arial"/>
                      <w:sz w:val="18"/>
                      <w:szCs w:val="18"/>
                    </w:rPr>
                  </w:pPr>
                  <w:r w:rsidRPr="001551EB">
                    <w:rPr>
                      <w:rFonts w:ascii="Arial" w:hAnsi="Arial" w:cs="Arial"/>
                      <w:noProof/>
                      <w:sz w:val="18"/>
                      <w:szCs w:val="18"/>
                    </w:rPr>
                    <w:drawing>
                      <wp:inline distT="0" distB="0" distL="0" distR="0" wp14:anchorId="7644AA05" wp14:editId="4BD05E62">
                        <wp:extent cx="5403215" cy="3455670"/>
                        <wp:effectExtent l="0" t="0" r="6985" b="0"/>
                        <wp:docPr id="24" name="Picture 24" descr="The chart shows the gross components of assistance over the period 2013-14 to 2018-19. They are: budgetary outlays, tax concessions, output tariff assistance and input tariff penalty. While budgetary outlays remained fairly stable with declining trends in assistance and penalties from tariffs, tax concessions grew strongly during this period." title="Aggregate estimates of measurable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03215" cy="3455670"/>
                                </a:xfrm>
                                <a:prstGeom prst="rect">
                                  <a:avLst/>
                                </a:prstGeom>
                                <a:noFill/>
                                <a:ln>
                                  <a:noFill/>
                                </a:ln>
                              </pic:spPr>
                            </pic:pic>
                          </a:graphicData>
                        </a:graphic>
                      </wp:inline>
                    </w:drawing>
                  </w:r>
                </w:p>
              </w:tc>
            </w:tr>
          </w:tbl>
          <w:p w14:paraId="45F3B2A4" w14:textId="77777777" w:rsidR="007D417F" w:rsidRDefault="007D417F" w:rsidP="00E44AEF">
            <w:pPr>
              <w:pStyle w:val="Figure"/>
            </w:pPr>
          </w:p>
        </w:tc>
      </w:tr>
      <w:tr w:rsidR="007D417F" w14:paraId="1C585552" w14:textId="77777777" w:rsidTr="00E44AEF">
        <w:tc>
          <w:tcPr>
            <w:tcW w:w="5000" w:type="pct"/>
            <w:tcBorders>
              <w:top w:val="nil"/>
              <w:left w:val="nil"/>
              <w:bottom w:val="nil"/>
              <w:right w:val="nil"/>
            </w:tcBorders>
            <w:shd w:val="clear" w:color="auto" w:fill="auto"/>
            <w:tcMar>
              <w:top w:w="28" w:type="dxa"/>
              <w:bottom w:w="28" w:type="dxa"/>
            </w:tcMar>
          </w:tcPr>
          <w:p w14:paraId="2928C69E" w14:textId="77777777" w:rsidR="007D417F" w:rsidRPr="00E016EE" w:rsidRDefault="007D417F" w:rsidP="00E44AEF">
            <w:pPr>
              <w:pStyle w:val="Source"/>
            </w:pPr>
            <w:r w:rsidRPr="00E016EE">
              <w:rPr>
                <w:i/>
              </w:rPr>
              <w:t>Source</w:t>
            </w:r>
            <w:r w:rsidRPr="00E016EE">
              <w:t>: Commission estimates.</w:t>
            </w:r>
          </w:p>
        </w:tc>
      </w:tr>
      <w:tr w:rsidR="007D417F" w14:paraId="0E2D6D59" w14:textId="77777777" w:rsidTr="00E44AEF">
        <w:tc>
          <w:tcPr>
            <w:tcW w:w="5000" w:type="pct"/>
            <w:tcBorders>
              <w:top w:val="nil"/>
              <w:left w:val="nil"/>
              <w:bottom w:val="single" w:sz="6" w:space="0" w:color="78A22F"/>
              <w:right w:val="nil"/>
            </w:tcBorders>
            <w:shd w:val="clear" w:color="auto" w:fill="auto"/>
          </w:tcPr>
          <w:p w14:paraId="03CDEDEE" w14:textId="77777777" w:rsidR="007D417F" w:rsidRDefault="007D417F" w:rsidP="00E44AEF">
            <w:pPr>
              <w:pStyle w:val="Figurespace"/>
            </w:pPr>
          </w:p>
        </w:tc>
      </w:tr>
      <w:tr w:rsidR="007D417F" w:rsidRPr="000863A5" w14:paraId="52312D4E" w14:textId="77777777" w:rsidTr="00E44AEF">
        <w:tc>
          <w:tcPr>
            <w:tcW w:w="5000" w:type="pct"/>
            <w:tcBorders>
              <w:top w:val="single" w:sz="6" w:space="0" w:color="78A22F"/>
              <w:left w:val="nil"/>
              <w:bottom w:val="nil"/>
              <w:right w:val="nil"/>
            </w:tcBorders>
          </w:tcPr>
          <w:p w14:paraId="7FC8B769" w14:textId="77777777" w:rsidR="007D417F" w:rsidRPr="00626D32" w:rsidRDefault="007D417F" w:rsidP="00E44AEF">
            <w:pPr>
              <w:pStyle w:val="BoxSpaceBelow"/>
            </w:pPr>
          </w:p>
        </w:tc>
      </w:tr>
    </w:tbl>
    <w:p w14:paraId="43A3F469" w14:textId="77777777" w:rsidR="007D417F" w:rsidRDefault="007D417F" w:rsidP="00E44AEF">
      <w:pPr>
        <w:pStyle w:val="Heading3"/>
      </w:pPr>
      <w:r>
        <w:t xml:space="preserve">The incidence of assistance varies across industries </w:t>
      </w:r>
    </w:p>
    <w:p w14:paraId="03E42947" w14:textId="77777777" w:rsidR="007D417F" w:rsidRDefault="007D417F" w:rsidP="00E44AEF">
      <w:pPr>
        <w:pStyle w:val="BodyText"/>
      </w:pPr>
      <w:r>
        <w:t xml:space="preserve">Of the assistance that can be allocated to specific sectors, the primary production and manufacturing sectors receive the largest amount of assistance relative to their size in the economy, while assistance to the services and mining sectors is disproportionately small (figure 1.2). </w:t>
      </w:r>
    </w:p>
    <w:p w14:paraId="6310470E" w14:textId="77777777" w:rsidR="007D417F" w:rsidRDefault="007D417F" w:rsidP="00E44AEF">
      <w:pPr>
        <w:pStyle w:val="ListBullet"/>
      </w:pPr>
      <w:r>
        <w:t>The primary production sector (mostly agriculture) received $1.7 billion in assistance (21 per cent of the total), despite having a value added share of only 2 per cent,</w:t>
      </w:r>
      <w:r w:rsidRPr="00D672BF">
        <w:t xml:space="preserve"> </w:t>
      </w:r>
      <w:r>
        <w:t xml:space="preserve">with the majority of its support coming from budgetary assistance. </w:t>
      </w:r>
    </w:p>
    <w:p w14:paraId="0282E21F" w14:textId="77777777" w:rsidR="007D417F" w:rsidRDefault="007D417F" w:rsidP="00E44AEF">
      <w:pPr>
        <w:pStyle w:val="ListBullet"/>
      </w:pPr>
      <w:r>
        <w:t>The manufacturing sector, contributing 6 per cent to the economy, received $2.5 billion in net combined assistance (30 per cent of the aggregate), of which 54 per cent came from tariff assistance.</w:t>
      </w:r>
    </w:p>
    <w:p w14:paraId="7229604D" w14:textId="77777777" w:rsidR="007D417F" w:rsidRDefault="007D417F" w:rsidP="00E44AEF">
      <w:pPr>
        <w:pStyle w:val="BodyText"/>
      </w:pPr>
      <w:r>
        <w:t>Within the component industries of each sector, the greatest level of combined assistance (by value) is provided to the p</w:t>
      </w:r>
      <w:r w:rsidRPr="00392000">
        <w:t>roperty, professional and administrative services</w:t>
      </w:r>
      <w:r w:rsidRPr="004A57FF">
        <w:t xml:space="preserve"> </w:t>
      </w:r>
      <w:r>
        <w:t xml:space="preserve">industry, </w:t>
      </w:r>
      <w:r>
        <w:lastRenderedPageBreak/>
        <w:t xml:space="preserve">mainly due to </w:t>
      </w:r>
      <w:r w:rsidRPr="004A57FF">
        <w:t>budgetary</w:t>
      </w:r>
      <w:r>
        <w:t xml:space="preserve"> assistance (table 1.1). S</w:t>
      </w:r>
      <w:r w:rsidRPr="00392000">
        <w:t>heep, beef cattle and grain farming</w:t>
      </w:r>
      <w:r>
        <w:t xml:space="preserve"> also receives a high level of combined assistance, mainly in the form of tax concessions. The highest tariff penalty on inputs is borne by the construction industry. </w:t>
      </w:r>
    </w:p>
    <w:p w14:paraId="38606E26" w14:textId="77777777" w:rsidR="007D417F" w:rsidRPr="00BE51AE" w:rsidRDefault="007D417F" w:rsidP="00BE51A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417F" w14:paraId="3D9D778D" w14:textId="77777777" w:rsidTr="00E44AEF">
        <w:trPr>
          <w:tblHeader/>
        </w:trPr>
        <w:tc>
          <w:tcPr>
            <w:tcW w:w="5000" w:type="pct"/>
            <w:tcBorders>
              <w:top w:val="single" w:sz="6" w:space="0" w:color="78A22F"/>
              <w:left w:val="nil"/>
              <w:bottom w:val="nil"/>
              <w:right w:val="nil"/>
            </w:tcBorders>
            <w:shd w:val="clear" w:color="auto" w:fill="auto"/>
          </w:tcPr>
          <w:p w14:paraId="666E823E" w14:textId="77777777" w:rsidR="007D417F" w:rsidRDefault="007D417F" w:rsidP="00E44AEF">
            <w:pPr>
              <w:pStyle w:val="FigureTitle"/>
            </w:pPr>
            <w:r w:rsidRPr="00784A05">
              <w:rPr>
                <w:b w:val="0"/>
              </w:rPr>
              <w:t xml:space="preserve">Figure </w:t>
            </w:r>
            <w:r>
              <w:rPr>
                <w:b w:val="0"/>
              </w:rPr>
              <w:t>1.</w:t>
            </w:r>
            <w:r>
              <w:rPr>
                <w:b w:val="0"/>
                <w:noProof/>
              </w:rPr>
              <w:t>2</w:t>
            </w:r>
            <w:r>
              <w:tab/>
              <w:t>Assistance provided across industries</w:t>
            </w:r>
          </w:p>
          <w:p w14:paraId="38876794" w14:textId="77777777" w:rsidR="007D417F" w:rsidRPr="00176D3F" w:rsidRDefault="007D417F">
            <w:pPr>
              <w:pStyle w:val="Subtitle"/>
            </w:pPr>
            <w:r>
              <w:t>2018</w:t>
            </w:r>
            <w:r>
              <w:noBreakHyphen/>
              <w:t>19</w:t>
            </w:r>
          </w:p>
        </w:tc>
      </w:tr>
      <w:tr w:rsidR="007D417F" w14:paraId="2552C2BF" w14:textId="77777777" w:rsidTr="00E44AE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D417F" w:rsidRPr="00B1465D" w14:paraId="6ADC445B" w14:textId="77777777" w:rsidTr="00E44AEF">
              <w:trPr>
                <w:tblHeader/>
                <w:jc w:val="center"/>
              </w:trPr>
              <w:tc>
                <w:tcPr>
                  <w:tcW w:w="5000" w:type="pct"/>
                  <w:tcBorders>
                    <w:top w:val="nil"/>
                    <w:bottom w:val="nil"/>
                  </w:tcBorders>
                </w:tcPr>
                <w:p w14:paraId="5D002D72" w14:textId="41E1D9A9" w:rsidR="007D417F" w:rsidRPr="00B1465D" w:rsidRDefault="00085E5E" w:rsidP="00E44AEF">
                  <w:pPr>
                    <w:pStyle w:val="Figure"/>
                    <w:spacing w:before="60" w:after="60"/>
                    <w:rPr>
                      <w:rFonts w:ascii="Arial" w:hAnsi="Arial" w:cs="Arial"/>
                      <w:sz w:val="18"/>
                      <w:szCs w:val="18"/>
                    </w:rPr>
                  </w:pPr>
                  <w:r w:rsidRPr="00085E5E">
                    <w:rPr>
                      <w:rFonts w:ascii="Arial" w:hAnsi="Arial" w:cs="Arial"/>
                      <w:noProof/>
                      <w:sz w:val="18"/>
                      <w:szCs w:val="18"/>
                    </w:rPr>
                    <w:drawing>
                      <wp:inline distT="0" distB="0" distL="0" distR="0" wp14:anchorId="734E74D8" wp14:editId="4868381F">
                        <wp:extent cx="5276664" cy="2671948"/>
                        <wp:effectExtent l="0" t="0" r="635" b="0"/>
                        <wp:docPr id="9" name="Picture 9" descr="The chart show that the incidence of assistance varied widely across sectors, and sectoral assistance shares did not align with their respective GDP shares. In 2018-19, the primary production sector received 21 per cent of assistance, despite having a value added share of only 2 per cent. The manufacturing sector received 30 per cent of assistance while contributing 6 per cent to the economy. The services sector, on the other hand, had a 45 per cent share in the budgetary assistance while making a contribution of 82 per cent to value added. " title="Assistance provided across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297254" cy="2682374"/>
                                </a:xfrm>
                                <a:prstGeom prst="rect">
                                  <a:avLst/>
                                </a:prstGeom>
                                <a:noFill/>
                                <a:ln>
                                  <a:noFill/>
                                </a:ln>
                              </pic:spPr>
                            </pic:pic>
                          </a:graphicData>
                        </a:graphic>
                      </wp:inline>
                    </w:drawing>
                  </w:r>
                </w:p>
              </w:tc>
            </w:tr>
          </w:tbl>
          <w:p w14:paraId="1F373E03" w14:textId="77777777" w:rsidR="007D417F" w:rsidRDefault="007D417F" w:rsidP="00E44AEF">
            <w:pPr>
              <w:pStyle w:val="Figure"/>
            </w:pPr>
          </w:p>
        </w:tc>
      </w:tr>
      <w:tr w:rsidR="007D417F" w:rsidRPr="00176D3F" w14:paraId="43BE875C" w14:textId="77777777" w:rsidTr="00E44AEF">
        <w:tc>
          <w:tcPr>
            <w:tcW w:w="5000" w:type="pct"/>
            <w:tcBorders>
              <w:top w:val="nil"/>
              <w:left w:val="nil"/>
              <w:bottom w:val="nil"/>
              <w:right w:val="nil"/>
            </w:tcBorders>
            <w:shd w:val="clear" w:color="auto" w:fill="auto"/>
          </w:tcPr>
          <w:p w14:paraId="7305E210" w14:textId="466547E8" w:rsidR="007D417F" w:rsidRPr="00176D3F" w:rsidRDefault="007D417F" w:rsidP="008C2904">
            <w:pPr>
              <w:pStyle w:val="Source"/>
            </w:pPr>
            <w:r>
              <w:rPr>
                <w:i/>
              </w:rPr>
              <w:t>S</w:t>
            </w:r>
            <w:r w:rsidRPr="00784A05">
              <w:rPr>
                <w:i/>
              </w:rPr>
              <w:t>ource</w:t>
            </w:r>
            <w:r>
              <w:rPr>
                <w:i/>
              </w:rPr>
              <w:t>s</w:t>
            </w:r>
            <w:r w:rsidRPr="00176D3F">
              <w:t xml:space="preserve">: </w:t>
            </w:r>
            <w:r w:rsidR="008C2904">
              <w:t>Commission estimates and ABS,</w:t>
            </w:r>
            <w:r>
              <w:t xml:space="preserve"> </w:t>
            </w:r>
            <w:r w:rsidRPr="005F6257">
              <w:rPr>
                <w:i/>
              </w:rPr>
              <w:t>Australian System of National Accounts</w:t>
            </w:r>
            <w:r w:rsidR="008C2904">
              <w:rPr>
                <w:i/>
              </w:rPr>
              <w:t>, 2018-19</w:t>
            </w:r>
            <w:r>
              <w:t>, cat. no. 5204.0 (table 5).</w:t>
            </w:r>
          </w:p>
        </w:tc>
      </w:tr>
      <w:tr w:rsidR="007D417F" w14:paraId="78DD6D2B" w14:textId="77777777" w:rsidTr="00E44AEF">
        <w:tc>
          <w:tcPr>
            <w:tcW w:w="5000" w:type="pct"/>
            <w:tcBorders>
              <w:top w:val="nil"/>
              <w:left w:val="nil"/>
              <w:bottom w:val="single" w:sz="6" w:space="0" w:color="78A22F"/>
              <w:right w:val="nil"/>
            </w:tcBorders>
            <w:shd w:val="clear" w:color="auto" w:fill="auto"/>
          </w:tcPr>
          <w:p w14:paraId="7F5B9E86" w14:textId="77777777" w:rsidR="007D417F" w:rsidRDefault="007D417F" w:rsidP="00E44AEF">
            <w:pPr>
              <w:pStyle w:val="Figurespace"/>
            </w:pPr>
          </w:p>
        </w:tc>
      </w:tr>
      <w:tr w:rsidR="007D417F" w:rsidRPr="000863A5" w14:paraId="03BB3068" w14:textId="77777777" w:rsidTr="00E44AEF">
        <w:tc>
          <w:tcPr>
            <w:tcW w:w="5000" w:type="pct"/>
            <w:tcBorders>
              <w:top w:val="single" w:sz="6" w:space="0" w:color="78A22F"/>
              <w:left w:val="nil"/>
              <w:bottom w:val="nil"/>
              <w:right w:val="nil"/>
            </w:tcBorders>
          </w:tcPr>
          <w:p w14:paraId="61B1F970" w14:textId="77777777" w:rsidR="007D417F" w:rsidRPr="00626D32" w:rsidRDefault="007D417F" w:rsidP="00E44AEF">
            <w:pPr>
              <w:pStyle w:val="BoxSpaceBelow"/>
            </w:pPr>
          </w:p>
        </w:tc>
      </w:tr>
    </w:tbl>
    <w:p w14:paraId="3F3CBCC7" w14:textId="77777777" w:rsidR="007D417F" w:rsidRDefault="007D417F" w:rsidP="00E44AEF">
      <w:pPr>
        <w:pStyle w:val="Heading3"/>
      </w:pPr>
      <w:r>
        <w:t>At the aggregate level, assistance for some sectors has fallen dramatically</w:t>
      </w:r>
    </w:p>
    <w:p w14:paraId="18230493" w14:textId="77777777" w:rsidR="007D417F" w:rsidRDefault="007D417F" w:rsidP="00E44AEF">
      <w:pPr>
        <w:pStyle w:val="BodyText"/>
        <w:spacing w:before="200"/>
      </w:pPr>
      <w:r>
        <w:t>Over the past fifty years, Australia’s economy has undergone profound changes. One of the biggest transformations has been the slow but inexorable reduction in government protection for some key parts of Australian industry. The best measure of this change is the ‘effective rate of assistance’ (ERA) which reflects the extent to which assistance to an industry enables it to attract economic resources, relative to other industries. It is measured as the value of combined assistance to a particular industry as a share of that industry’s unassisted net output (industry value added).</w:t>
      </w:r>
      <w:r w:rsidRPr="0007522F">
        <w:rPr>
          <w:rStyle w:val="FootnoteReference"/>
        </w:rPr>
        <w:footnoteReference w:id="2"/>
      </w:r>
      <w:r w:rsidDel="002D46F4">
        <w:t xml:space="preserve"> </w:t>
      </w:r>
    </w:p>
    <w:p w14:paraId="12732C8F" w14:textId="77777777" w:rsidR="007D417F" w:rsidRDefault="007D417F" w:rsidP="00E44AEF">
      <w:pPr>
        <w:pStyle w:val="BodyText"/>
        <w:spacing w:before="200"/>
      </w:pPr>
      <w:r>
        <w:t>Over the long run, ERAs for the manufacturing and agriculture sectors have been on a steady downward trend (figure 1.3), which have largely eliminated their reliance on government support for their viability. Instead, Australia has moved towards an outward focused, globalised economy, encouraging previously sheltered firms to expand into international markets and compete with rival imported products, while also generating vast benefits for Australian consumers.</w:t>
      </w:r>
    </w:p>
    <w:p w14:paraId="6781236B" w14:textId="77777777" w:rsidR="007D417F" w:rsidRDefault="007D417F" w:rsidP="00E44AE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Description w:val="Table used for design: contains a nested table with data/information."/>
      </w:tblPr>
      <w:tblGrid>
        <w:gridCol w:w="8789"/>
      </w:tblGrid>
      <w:tr w:rsidR="007D417F" w14:paraId="1F6006F4" w14:textId="77777777" w:rsidTr="00E44AEF">
        <w:trPr>
          <w:tblHeader/>
        </w:trPr>
        <w:tc>
          <w:tcPr>
            <w:tcW w:w="5000" w:type="pct"/>
            <w:tcBorders>
              <w:top w:val="single" w:sz="6" w:space="0" w:color="78A22F"/>
              <w:left w:val="nil"/>
              <w:bottom w:val="nil"/>
              <w:right w:val="nil"/>
            </w:tcBorders>
            <w:hideMark/>
          </w:tcPr>
          <w:p w14:paraId="6038A5EC" w14:textId="77777777" w:rsidR="007D417F" w:rsidRDefault="007D417F" w:rsidP="00E44AEF">
            <w:pPr>
              <w:pStyle w:val="TableTitle"/>
            </w:pPr>
            <w:r>
              <w:rPr>
                <w:b w:val="0"/>
              </w:rPr>
              <w:t>Table 1.1</w:t>
            </w:r>
            <w:r>
              <w:tab/>
              <w:t>Combined assistance by industry grouping, 2018</w:t>
            </w:r>
            <w:r>
              <w:noBreakHyphen/>
              <w:t>19</w:t>
            </w:r>
          </w:p>
          <w:p w14:paraId="784237B5" w14:textId="77777777" w:rsidR="007D417F" w:rsidRDefault="007D417F" w:rsidP="00E44AEF">
            <w:pPr>
              <w:pStyle w:val="Subtitle"/>
            </w:pPr>
            <w:r>
              <w:t>$ million (nominal)</w:t>
            </w:r>
            <w:r>
              <w:rPr>
                <w:rStyle w:val="NoteLabel"/>
              </w:rPr>
              <w:t>a</w:t>
            </w:r>
          </w:p>
        </w:tc>
      </w:tr>
      <w:tr w:rsidR="007D417F" w14:paraId="72F885A2" w14:textId="77777777" w:rsidTr="00E44AEF">
        <w:trPr>
          <w:trHeight w:val="11411"/>
        </w:trPr>
        <w:tc>
          <w:tcPr>
            <w:tcW w:w="5000" w:type="pct"/>
            <w:tcBorders>
              <w:top w:val="nil"/>
              <w:left w:val="nil"/>
              <w:bottom w:val="nil"/>
              <w:right w:val="nil"/>
            </w:tcBorders>
            <w:hideMark/>
          </w:tcPr>
          <w:tbl>
            <w:tblPr>
              <w:tblW w:w="8553" w:type="dxa"/>
              <w:tblCellMar>
                <w:top w:w="28" w:type="dxa"/>
                <w:left w:w="0" w:type="dxa"/>
                <w:right w:w="0" w:type="dxa"/>
              </w:tblCellMar>
              <w:tblLook w:val="04A0" w:firstRow="1" w:lastRow="0" w:firstColumn="1" w:lastColumn="0" w:noHBand="0" w:noVBand="1"/>
            </w:tblPr>
            <w:tblGrid>
              <w:gridCol w:w="2693"/>
              <w:gridCol w:w="1134"/>
              <w:gridCol w:w="992"/>
              <w:gridCol w:w="813"/>
              <w:gridCol w:w="941"/>
              <w:gridCol w:w="830"/>
              <w:gridCol w:w="1150"/>
            </w:tblGrid>
            <w:tr w:rsidR="007D417F" w14:paraId="6183DB7D" w14:textId="77777777" w:rsidTr="00E44AEF">
              <w:trPr>
                <w:tblHeader/>
              </w:trPr>
              <w:tc>
                <w:tcPr>
                  <w:tcW w:w="1574" w:type="pct"/>
                  <w:tcBorders>
                    <w:top w:val="single" w:sz="6" w:space="0" w:color="BFBFBF"/>
                    <w:left w:val="nil"/>
                    <w:bottom w:val="single" w:sz="6" w:space="0" w:color="BFBFBF"/>
                    <w:right w:val="nil"/>
                  </w:tcBorders>
                </w:tcPr>
                <w:p w14:paraId="41F77D35" w14:textId="77777777" w:rsidR="007D417F" w:rsidRDefault="007D417F" w:rsidP="00E44AEF">
                  <w:pPr>
                    <w:pStyle w:val="TableColumnHeading"/>
                    <w:jc w:val="left"/>
                  </w:pPr>
                </w:p>
              </w:tc>
              <w:tc>
                <w:tcPr>
                  <w:tcW w:w="663" w:type="pct"/>
                  <w:tcBorders>
                    <w:top w:val="single" w:sz="6" w:space="0" w:color="BFBFBF"/>
                    <w:left w:val="nil"/>
                    <w:bottom w:val="single" w:sz="6" w:space="0" w:color="BFBFBF"/>
                    <w:right w:val="nil"/>
                  </w:tcBorders>
                  <w:vAlign w:val="bottom"/>
                  <w:hideMark/>
                </w:tcPr>
                <w:p w14:paraId="4E8B276E" w14:textId="77777777" w:rsidR="007D417F" w:rsidRDefault="007D417F" w:rsidP="00E44AEF">
                  <w:pPr>
                    <w:pStyle w:val="TableColumnHeading"/>
                  </w:pPr>
                  <w:r>
                    <w:t>Tariff output assist.</w:t>
                  </w:r>
                </w:p>
              </w:tc>
              <w:tc>
                <w:tcPr>
                  <w:tcW w:w="580" w:type="pct"/>
                  <w:tcBorders>
                    <w:top w:val="single" w:sz="6" w:space="0" w:color="BFBFBF"/>
                    <w:left w:val="nil"/>
                    <w:bottom w:val="single" w:sz="6" w:space="0" w:color="BFBFBF"/>
                    <w:right w:val="nil"/>
                  </w:tcBorders>
                  <w:vAlign w:val="bottom"/>
                  <w:hideMark/>
                </w:tcPr>
                <w:p w14:paraId="4B74843F" w14:textId="77777777" w:rsidR="007D417F" w:rsidRDefault="007D417F" w:rsidP="00E44AEF">
                  <w:pPr>
                    <w:pStyle w:val="TableColumnHeading"/>
                  </w:pPr>
                  <w:r>
                    <w:t>Tariff input penalty</w:t>
                  </w:r>
                </w:p>
              </w:tc>
              <w:tc>
                <w:tcPr>
                  <w:tcW w:w="475" w:type="pct"/>
                  <w:tcBorders>
                    <w:top w:val="single" w:sz="6" w:space="0" w:color="BFBFBF"/>
                    <w:left w:val="nil"/>
                    <w:bottom w:val="single" w:sz="6" w:space="0" w:color="BFBFBF"/>
                    <w:right w:val="nil"/>
                  </w:tcBorders>
                  <w:shd w:val="clear" w:color="auto" w:fill="F2F2F2" w:themeFill="background1" w:themeFillShade="F2"/>
                  <w:vAlign w:val="bottom"/>
                  <w:hideMark/>
                </w:tcPr>
                <w:p w14:paraId="50024432" w14:textId="77777777" w:rsidR="007D417F" w:rsidRDefault="007D417F" w:rsidP="00E44AEF">
                  <w:pPr>
                    <w:pStyle w:val="TableColumnHeading"/>
                  </w:pPr>
                  <w:r>
                    <w:t>Net tariff assist.</w:t>
                  </w:r>
                </w:p>
              </w:tc>
              <w:tc>
                <w:tcPr>
                  <w:tcW w:w="550" w:type="pct"/>
                  <w:tcBorders>
                    <w:top w:val="single" w:sz="6" w:space="0" w:color="BFBFBF"/>
                    <w:left w:val="nil"/>
                    <w:bottom w:val="single" w:sz="6" w:space="0" w:color="BFBFBF"/>
                    <w:right w:val="nil"/>
                  </w:tcBorders>
                  <w:vAlign w:val="bottom"/>
                  <w:hideMark/>
                </w:tcPr>
                <w:p w14:paraId="01FF0DCE" w14:textId="77777777" w:rsidR="007D417F" w:rsidRDefault="007D417F" w:rsidP="00E44AEF">
                  <w:pPr>
                    <w:pStyle w:val="TableColumnHeading"/>
                  </w:pPr>
                  <w:r>
                    <w:t>Budgetary outlays</w:t>
                  </w:r>
                </w:p>
              </w:tc>
              <w:tc>
                <w:tcPr>
                  <w:tcW w:w="485" w:type="pct"/>
                  <w:tcBorders>
                    <w:top w:val="single" w:sz="6" w:space="0" w:color="BFBFBF"/>
                    <w:left w:val="nil"/>
                    <w:bottom w:val="single" w:sz="6" w:space="0" w:color="BFBFBF"/>
                    <w:right w:val="nil"/>
                  </w:tcBorders>
                  <w:vAlign w:val="bottom"/>
                  <w:hideMark/>
                </w:tcPr>
                <w:p w14:paraId="30C150EF" w14:textId="77777777" w:rsidR="007D417F" w:rsidRDefault="007D417F" w:rsidP="00E44AEF">
                  <w:pPr>
                    <w:pStyle w:val="TableColumnHeading"/>
                  </w:pPr>
                  <w:r>
                    <w:t xml:space="preserve">Tax </w:t>
                  </w:r>
                  <w:proofErr w:type="spellStart"/>
                  <w:r>
                    <w:t>concess</w:t>
                  </w:r>
                  <w:proofErr w:type="spellEnd"/>
                  <w:r>
                    <w:t>.</w:t>
                  </w:r>
                </w:p>
              </w:tc>
              <w:tc>
                <w:tcPr>
                  <w:tcW w:w="672" w:type="pct"/>
                  <w:tcBorders>
                    <w:top w:val="single" w:sz="6" w:space="0" w:color="BFBFBF"/>
                    <w:left w:val="nil"/>
                    <w:bottom w:val="single" w:sz="6" w:space="0" w:color="BFBFBF"/>
                    <w:right w:val="nil"/>
                  </w:tcBorders>
                  <w:shd w:val="clear" w:color="auto" w:fill="F2F2F2" w:themeFill="background1" w:themeFillShade="F2"/>
                  <w:vAlign w:val="bottom"/>
                  <w:hideMark/>
                </w:tcPr>
                <w:p w14:paraId="034AA40B" w14:textId="77777777" w:rsidR="007D417F" w:rsidRDefault="007D417F" w:rsidP="00E44AEF">
                  <w:pPr>
                    <w:pStyle w:val="TableColumnHeading"/>
                    <w:ind w:right="28"/>
                  </w:pPr>
                  <w:r>
                    <w:t>Net combined assist.</w:t>
                  </w:r>
                </w:p>
              </w:tc>
            </w:tr>
            <w:tr w:rsidR="007D417F" w:rsidRPr="000B758E" w14:paraId="11DE0CD5" w14:textId="77777777" w:rsidTr="00E44AEF">
              <w:tc>
                <w:tcPr>
                  <w:tcW w:w="1574" w:type="pct"/>
                  <w:tcBorders>
                    <w:top w:val="single" w:sz="6" w:space="0" w:color="BFBFBF"/>
                    <w:left w:val="nil"/>
                    <w:bottom w:val="nil"/>
                    <w:right w:val="nil"/>
                  </w:tcBorders>
                  <w:hideMark/>
                </w:tcPr>
                <w:p w14:paraId="1A882BAC" w14:textId="77777777" w:rsidR="007D417F" w:rsidRPr="000B758E" w:rsidRDefault="007D417F" w:rsidP="00E44AEF">
                  <w:pPr>
                    <w:pStyle w:val="TableBodyText"/>
                    <w:jc w:val="left"/>
                    <w:rPr>
                      <w:b/>
                    </w:rPr>
                  </w:pPr>
                  <w:r w:rsidRPr="000B758E">
                    <w:rPr>
                      <w:b/>
                    </w:rPr>
                    <w:t>Primary production</w:t>
                  </w:r>
                </w:p>
              </w:tc>
              <w:tc>
                <w:tcPr>
                  <w:tcW w:w="663" w:type="pct"/>
                  <w:tcBorders>
                    <w:top w:val="nil"/>
                    <w:left w:val="nil"/>
                    <w:bottom w:val="nil"/>
                    <w:right w:val="nil"/>
                  </w:tcBorders>
                  <w:shd w:val="clear" w:color="auto" w:fill="auto"/>
                  <w:vAlign w:val="center"/>
                  <w:hideMark/>
                </w:tcPr>
                <w:p w14:paraId="7500271E" w14:textId="77777777" w:rsidR="007D417F" w:rsidRPr="007472E6" w:rsidRDefault="007D417F" w:rsidP="00E44AEF">
                  <w:pPr>
                    <w:pStyle w:val="TableBodyText"/>
                    <w:rPr>
                      <w:b/>
                      <w:szCs w:val="18"/>
                    </w:rPr>
                  </w:pPr>
                  <w:r w:rsidRPr="0081515A">
                    <w:rPr>
                      <w:rFonts w:cs="Arial"/>
                      <w:b/>
                      <w:szCs w:val="18"/>
                    </w:rPr>
                    <w:t>235.0</w:t>
                  </w:r>
                </w:p>
              </w:tc>
              <w:tc>
                <w:tcPr>
                  <w:tcW w:w="580" w:type="pct"/>
                  <w:tcBorders>
                    <w:top w:val="nil"/>
                    <w:left w:val="nil"/>
                    <w:bottom w:val="nil"/>
                    <w:right w:val="nil"/>
                  </w:tcBorders>
                  <w:shd w:val="clear" w:color="auto" w:fill="auto"/>
                  <w:vAlign w:val="center"/>
                  <w:hideMark/>
                </w:tcPr>
                <w:p w14:paraId="21E9AE99" w14:textId="77777777" w:rsidR="007D417F" w:rsidRPr="007472E6" w:rsidRDefault="007D417F" w:rsidP="00E44AEF">
                  <w:pPr>
                    <w:pStyle w:val="TableBodyText"/>
                    <w:rPr>
                      <w:b/>
                      <w:szCs w:val="18"/>
                    </w:rPr>
                  </w:pPr>
                  <w:r w:rsidRPr="0081515A">
                    <w:rPr>
                      <w:rFonts w:cs="Arial"/>
                      <w:b/>
                      <w:szCs w:val="18"/>
                    </w:rPr>
                    <w:t>-48.5</w:t>
                  </w:r>
                </w:p>
              </w:tc>
              <w:tc>
                <w:tcPr>
                  <w:tcW w:w="475" w:type="pct"/>
                  <w:tcBorders>
                    <w:top w:val="nil"/>
                    <w:left w:val="nil"/>
                    <w:bottom w:val="nil"/>
                    <w:right w:val="nil"/>
                  </w:tcBorders>
                  <w:shd w:val="clear" w:color="000000" w:fill="F2F2F2"/>
                  <w:vAlign w:val="center"/>
                  <w:hideMark/>
                </w:tcPr>
                <w:p w14:paraId="1CDBF16F" w14:textId="77777777" w:rsidR="007D417F" w:rsidRPr="007472E6" w:rsidRDefault="007D417F" w:rsidP="00E44AEF">
                  <w:pPr>
                    <w:pStyle w:val="TableBodyText"/>
                    <w:rPr>
                      <w:b/>
                      <w:szCs w:val="18"/>
                    </w:rPr>
                  </w:pPr>
                  <w:r w:rsidRPr="0081515A">
                    <w:rPr>
                      <w:rFonts w:cs="Arial"/>
                      <w:b/>
                      <w:szCs w:val="18"/>
                    </w:rPr>
                    <w:t>186.5</w:t>
                  </w:r>
                </w:p>
              </w:tc>
              <w:tc>
                <w:tcPr>
                  <w:tcW w:w="550" w:type="pct"/>
                  <w:tcBorders>
                    <w:top w:val="nil"/>
                    <w:left w:val="nil"/>
                    <w:bottom w:val="nil"/>
                    <w:right w:val="nil"/>
                  </w:tcBorders>
                  <w:shd w:val="clear" w:color="auto" w:fill="auto"/>
                  <w:vAlign w:val="center"/>
                  <w:hideMark/>
                </w:tcPr>
                <w:p w14:paraId="3CC9FE99" w14:textId="77777777" w:rsidR="007D417F" w:rsidRPr="007472E6" w:rsidRDefault="007D417F" w:rsidP="00E44AEF">
                  <w:pPr>
                    <w:pStyle w:val="TableBodyText"/>
                    <w:rPr>
                      <w:b/>
                      <w:szCs w:val="18"/>
                    </w:rPr>
                  </w:pPr>
                  <w:r w:rsidRPr="0081515A">
                    <w:rPr>
                      <w:rFonts w:cs="Arial"/>
                      <w:b/>
                      <w:szCs w:val="18"/>
                    </w:rPr>
                    <w:t>828.7</w:t>
                  </w:r>
                </w:p>
              </w:tc>
              <w:tc>
                <w:tcPr>
                  <w:tcW w:w="485" w:type="pct"/>
                  <w:tcBorders>
                    <w:top w:val="nil"/>
                    <w:left w:val="nil"/>
                    <w:bottom w:val="nil"/>
                    <w:right w:val="nil"/>
                  </w:tcBorders>
                  <w:shd w:val="clear" w:color="auto" w:fill="auto"/>
                  <w:vAlign w:val="center"/>
                  <w:hideMark/>
                </w:tcPr>
                <w:p w14:paraId="2C39142B" w14:textId="77777777" w:rsidR="007D417F" w:rsidRPr="007472E6" w:rsidRDefault="007D417F" w:rsidP="00E44AEF">
                  <w:pPr>
                    <w:pStyle w:val="TableBodyText"/>
                    <w:rPr>
                      <w:b/>
                      <w:szCs w:val="18"/>
                    </w:rPr>
                  </w:pPr>
                  <w:r w:rsidRPr="0081515A">
                    <w:rPr>
                      <w:rFonts w:cs="Arial"/>
                      <w:b/>
                      <w:szCs w:val="18"/>
                    </w:rPr>
                    <w:t>716.5</w:t>
                  </w:r>
                </w:p>
              </w:tc>
              <w:tc>
                <w:tcPr>
                  <w:tcW w:w="672" w:type="pct"/>
                  <w:tcBorders>
                    <w:top w:val="nil"/>
                    <w:left w:val="nil"/>
                    <w:bottom w:val="nil"/>
                    <w:right w:val="nil"/>
                  </w:tcBorders>
                  <w:shd w:val="clear" w:color="000000" w:fill="F2F2F2"/>
                  <w:vAlign w:val="center"/>
                  <w:hideMark/>
                </w:tcPr>
                <w:p w14:paraId="24C76E45" w14:textId="77777777" w:rsidR="007D417F" w:rsidRPr="007472E6" w:rsidRDefault="007D417F" w:rsidP="00E44AEF">
                  <w:pPr>
                    <w:pStyle w:val="TableBodyText"/>
                    <w:rPr>
                      <w:b/>
                      <w:szCs w:val="18"/>
                    </w:rPr>
                  </w:pPr>
                  <w:r w:rsidRPr="0081515A">
                    <w:rPr>
                      <w:rFonts w:cs="Arial"/>
                      <w:b/>
                      <w:szCs w:val="18"/>
                    </w:rPr>
                    <w:t>1</w:t>
                  </w:r>
                  <w:r>
                    <w:rPr>
                      <w:rFonts w:cs="Arial"/>
                      <w:b/>
                      <w:szCs w:val="18"/>
                    </w:rPr>
                    <w:t> </w:t>
                  </w:r>
                  <w:r w:rsidRPr="0081515A">
                    <w:rPr>
                      <w:rFonts w:cs="Arial"/>
                      <w:b/>
                      <w:szCs w:val="18"/>
                    </w:rPr>
                    <w:t>731.7</w:t>
                  </w:r>
                </w:p>
              </w:tc>
            </w:tr>
            <w:tr w:rsidR="007D417F" w14:paraId="1BF77A8F" w14:textId="77777777" w:rsidTr="00E44AEF">
              <w:tc>
                <w:tcPr>
                  <w:tcW w:w="1574" w:type="pct"/>
                  <w:hideMark/>
                </w:tcPr>
                <w:p w14:paraId="0E9F10F6" w14:textId="77777777" w:rsidR="007D417F" w:rsidRDefault="007D417F" w:rsidP="00E44AEF">
                  <w:pPr>
                    <w:pStyle w:val="TableBodyText"/>
                    <w:spacing w:after="20"/>
                    <w:jc w:val="left"/>
                  </w:pPr>
                  <w:r>
                    <w:t>Horticulture and fruit growing</w:t>
                  </w:r>
                </w:p>
              </w:tc>
              <w:tc>
                <w:tcPr>
                  <w:tcW w:w="663" w:type="pct"/>
                  <w:tcBorders>
                    <w:top w:val="nil"/>
                    <w:left w:val="nil"/>
                    <w:bottom w:val="nil"/>
                    <w:right w:val="nil"/>
                  </w:tcBorders>
                  <w:shd w:val="clear" w:color="auto" w:fill="auto"/>
                  <w:vAlign w:val="center"/>
                  <w:hideMark/>
                </w:tcPr>
                <w:p w14:paraId="075A6F15" w14:textId="77777777" w:rsidR="007D417F" w:rsidRPr="007472E6" w:rsidRDefault="007D417F" w:rsidP="00E44AEF">
                  <w:pPr>
                    <w:pStyle w:val="TableBodyText"/>
                    <w:spacing w:after="20"/>
                    <w:rPr>
                      <w:szCs w:val="18"/>
                    </w:rPr>
                  </w:pPr>
                  <w:r w:rsidRPr="0081515A">
                    <w:rPr>
                      <w:rFonts w:cs="Arial"/>
                      <w:szCs w:val="18"/>
                    </w:rPr>
                    <w:t>48.7</w:t>
                  </w:r>
                </w:p>
              </w:tc>
              <w:tc>
                <w:tcPr>
                  <w:tcW w:w="580" w:type="pct"/>
                  <w:tcBorders>
                    <w:top w:val="nil"/>
                    <w:left w:val="nil"/>
                    <w:bottom w:val="nil"/>
                    <w:right w:val="nil"/>
                  </w:tcBorders>
                  <w:shd w:val="clear" w:color="auto" w:fill="auto"/>
                  <w:vAlign w:val="center"/>
                  <w:hideMark/>
                </w:tcPr>
                <w:p w14:paraId="33643792" w14:textId="77777777" w:rsidR="007D417F" w:rsidRPr="007472E6" w:rsidRDefault="007D417F" w:rsidP="00E44AEF">
                  <w:pPr>
                    <w:pStyle w:val="TableBodyText"/>
                    <w:spacing w:after="20"/>
                    <w:rPr>
                      <w:szCs w:val="18"/>
                    </w:rPr>
                  </w:pPr>
                  <w:r w:rsidRPr="0081515A">
                    <w:rPr>
                      <w:rFonts w:cs="Arial"/>
                      <w:szCs w:val="18"/>
                    </w:rPr>
                    <w:t>-4.6</w:t>
                  </w:r>
                </w:p>
              </w:tc>
              <w:tc>
                <w:tcPr>
                  <w:tcW w:w="475" w:type="pct"/>
                  <w:tcBorders>
                    <w:top w:val="nil"/>
                    <w:left w:val="nil"/>
                    <w:bottom w:val="nil"/>
                    <w:right w:val="nil"/>
                  </w:tcBorders>
                  <w:shd w:val="clear" w:color="000000" w:fill="F2F2F2"/>
                  <w:vAlign w:val="center"/>
                  <w:hideMark/>
                </w:tcPr>
                <w:p w14:paraId="26B4A5B2" w14:textId="77777777" w:rsidR="007D417F" w:rsidRPr="007472E6" w:rsidRDefault="007D417F" w:rsidP="00E44AEF">
                  <w:pPr>
                    <w:pStyle w:val="TableBodyText"/>
                    <w:spacing w:after="20"/>
                    <w:rPr>
                      <w:szCs w:val="18"/>
                    </w:rPr>
                  </w:pPr>
                  <w:r w:rsidRPr="0081515A">
                    <w:rPr>
                      <w:rFonts w:cs="Arial"/>
                      <w:szCs w:val="18"/>
                    </w:rPr>
                    <w:t>44.0</w:t>
                  </w:r>
                </w:p>
              </w:tc>
              <w:tc>
                <w:tcPr>
                  <w:tcW w:w="550" w:type="pct"/>
                  <w:tcBorders>
                    <w:top w:val="nil"/>
                    <w:left w:val="nil"/>
                    <w:bottom w:val="nil"/>
                    <w:right w:val="nil"/>
                  </w:tcBorders>
                  <w:shd w:val="clear" w:color="auto" w:fill="auto"/>
                  <w:vAlign w:val="center"/>
                  <w:hideMark/>
                </w:tcPr>
                <w:p w14:paraId="7B456657" w14:textId="77777777" w:rsidR="007D417F" w:rsidRPr="007472E6" w:rsidRDefault="007D417F" w:rsidP="00E44AEF">
                  <w:pPr>
                    <w:pStyle w:val="TableBodyText"/>
                    <w:spacing w:after="20"/>
                    <w:rPr>
                      <w:szCs w:val="18"/>
                    </w:rPr>
                  </w:pPr>
                  <w:r w:rsidRPr="0081515A">
                    <w:rPr>
                      <w:rFonts w:cs="Arial"/>
                      <w:szCs w:val="18"/>
                    </w:rPr>
                    <w:t>111.8</w:t>
                  </w:r>
                </w:p>
              </w:tc>
              <w:tc>
                <w:tcPr>
                  <w:tcW w:w="485" w:type="pct"/>
                  <w:tcBorders>
                    <w:top w:val="nil"/>
                    <w:left w:val="nil"/>
                    <w:bottom w:val="nil"/>
                    <w:right w:val="nil"/>
                  </w:tcBorders>
                  <w:shd w:val="clear" w:color="auto" w:fill="auto"/>
                  <w:vAlign w:val="center"/>
                  <w:hideMark/>
                </w:tcPr>
                <w:p w14:paraId="30741F27" w14:textId="77777777" w:rsidR="007D417F" w:rsidRPr="007472E6" w:rsidRDefault="007D417F" w:rsidP="00E44AEF">
                  <w:pPr>
                    <w:pStyle w:val="TableBodyText"/>
                    <w:spacing w:after="20"/>
                    <w:rPr>
                      <w:szCs w:val="18"/>
                    </w:rPr>
                  </w:pPr>
                  <w:r w:rsidRPr="0081515A">
                    <w:rPr>
                      <w:rFonts w:cs="Arial"/>
                      <w:szCs w:val="18"/>
                    </w:rPr>
                    <w:t>81.9</w:t>
                  </w:r>
                </w:p>
              </w:tc>
              <w:tc>
                <w:tcPr>
                  <w:tcW w:w="672" w:type="pct"/>
                  <w:tcBorders>
                    <w:top w:val="nil"/>
                    <w:left w:val="nil"/>
                    <w:bottom w:val="nil"/>
                    <w:right w:val="nil"/>
                  </w:tcBorders>
                  <w:shd w:val="clear" w:color="000000" w:fill="F2F2F2"/>
                  <w:vAlign w:val="center"/>
                  <w:hideMark/>
                </w:tcPr>
                <w:p w14:paraId="71DBE545" w14:textId="77777777" w:rsidR="007D417F" w:rsidRPr="007472E6" w:rsidRDefault="007D417F" w:rsidP="00E44AEF">
                  <w:pPr>
                    <w:pStyle w:val="TableBodyText"/>
                    <w:spacing w:after="20"/>
                    <w:rPr>
                      <w:szCs w:val="18"/>
                    </w:rPr>
                  </w:pPr>
                  <w:r w:rsidRPr="0081515A">
                    <w:rPr>
                      <w:rFonts w:cs="Arial"/>
                      <w:szCs w:val="18"/>
                    </w:rPr>
                    <w:t>237.8</w:t>
                  </w:r>
                </w:p>
              </w:tc>
            </w:tr>
            <w:tr w:rsidR="007D417F" w14:paraId="17313B6D" w14:textId="77777777" w:rsidTr="00E44AEF">
              <w:tc>
                <w:tcPr>
                  <w:tcW w:w="1574" w:type="pct"/>
                  <w:hideMark/>
                </w:tcPr>
                <w:p w14:paraId="00258869" w14:textId="77777777" w:rsidR="007D417F" w:rsidRDefault="007D417F" w:rsidP="00E44AEF">
                  <w:pPr>
                    <w:pStyle w:val="TableBodyText"/>
                    <w:spacing w:after="20"/>
                    <w:jc w:val="left"/>
                  </w:pPr>
                  <w:r>
                    <w:t>Sheep, cattle and grain farming</w:t>
                  </w:r>
                </w:p>
              </w:tc>
              <w:tc>
                <w:tcPr>
                  <w:tcW w:w="663" w:type="pct"/>
                  <w:tcBorders>
                    <w:top w:val="nil"/>
                    <w:left w:val="nil"/>
                    <w:bottom w:val="nil"/>
                    <w:right w:val="nil"/>
                  </w:tcBorders>
                  <w:shd w:val="clear" w:color="auto" w:fill="auto"/>
                  <w:vAlign w:val="center"/>
                  <w:hideMark/>
                </w:tcPr>
                <w:p w14:paraId="3AEECA0F" w14:textId="77777777" w:rsidR="007D417F" w:rsidRPr="007472E6" w:rsidRDefault="007D417F" w:rsidP="00E44AEF">
                  <w:pPr>
                    <w:pStyle w:val="TableBodyText"/>
                    <w:spacing w:after="20"/>
                    <w:rPr>
                      <w:szCs w:val="18"/>
                    </w:rPr>
                  </w:pPr>
                  <w:r w:rsidRPr="0081515A">
                    <w:rPr>
                      <w:rFonts w:cs="Arial"/>
                      <w:szCs w:val="18"/>
                    </w:rPr>
                    <w:t>181.2</w:t>
                  </w:r>
                </w:p>
              </w:tc>
              <w:tc>
                <w:tcPr>
                  <w:tcW w:w="580" w:type="pct"/>
                  <w:tcBorders>
                    <w:top w:val="nil"/>
                    <w:left w:val="nil"/>
                    <w:bottom w:val="nil"/>
                    <w:right w:val="nil"/>
                  </w:tcBorders>
                  <w:shd w:val="clear" w:color="auto" w:fill="auto"/>
                  <w:vAlign w:val="center"/>
                  <w:hideMark/>
                </w:tcPr>
                <w:p w14:paraId="75CA77D7" w14:textId="77777777" w:rsidR="007D417F" w:rsidRPr="007472E6" w:rsidRDefault="007D417F" w:rsidP="00E44AEF">
                  <w:pPr>
                    <w:pStyle w:val="TableBodyText"/>
                    <w:spacing w:after="20"/>
                    <w:rPr>
                      <w:szCs w:val="18"/>
                    </w:rPr>
                  </w:pPr>
                  <w:r w:rsidRPr="0081515A">
                    <w:rPr>
                      <w:rFonts w:cs="Arial"/>
                      <w:szCs w:val="18"/>
                    </w:rPr>
                    <w:t>-22.4</w:t>
                  </w:r>
                </w:p>
              </w:tc>
              <w:tc>
                <w:tcPr>
                  <w:tcW w:w="475" w:type="pct"/>
                  <w:tcBorders>
                    <w:top w:val="nil"/>
                    <w:left w:val="nil"/>
                    <w:bottom w:val="nil"/>
                    <w:right w:val="nil"/>
                  </w:tcBorders>
                  <w:shd w:val="clear" w:color="000000" w:fill="F2F2F2"/>
                  <w:vAlign w:val="center"/>
                  <w:hideMark/>
                </w:tcPr>
                <w:p w14:paraId="73646BE3" w14:textId="77777777" w:rsidR="007D417F" w:rsidRPr="007472E6" w:rsidRDefault="007D417F" w:rsidP="00E44AEF">
                  <w:pPr>
                    <w:pStyle w:val="TableBodyText"/>
                    <w:spacing w:after="20"/>
                    <w:rPr>
                      <w:szCs w:val="18"/>
                    </w:rPr>
                  </w:pPr>
                  <w:r w:rsidRPr="0081515A">
                    <w:rPr>
                      <w:rFonts w:cs="Arial"/>
                      <w:szCs w:val="18"/>
                    </w:rPr>
                    <w:t>158.7</w:t>
                  </w:r>
                </w:p>
              </w:tc>
              <w:tc>
                <w:tcPr>
                  <w:tcW w:w="550" w:type="pct"/>
                  <w:tcBorders>
                    <w:top w:val="nil"/>
                    <w:left w:val="nil"/>
                    <w:bottom w:val="nil"/>
                    <w:right w:val="nil"/>
                  </w:tcBorders>
                  <w:shd w:val="clear" w:color="auto" w:fill="auto"/>
                  <w:vAlign w:val="center"/>
                  <w:hideMark/>
                </w:tcPr>
                <w:p w14:paraId="6E8BDC2C" w14:textId="77777777" w:rsidR="007D417F" w:rsidRPr="007472E6" w:rsidRDefault="007D417F" w:rsidP="00E44AEF">
                  <w:pPr>
                    <w:pStyle w:val="TableBodyText"/>
                    <w:spacing w:after="20"/>
                    <w:rPr>
                      <w:szCs w:val="18"/>
                    </w:rPr>
                  </w:pPr>
                  <w:r w:rsidRPr="0081515A">
                    <w:rPr>
                      <w:rFonts w:cs="Arial"/>
                      <w:szCs w:val="18"/>
                    </w:rPr>
                    <w:t>281.5</w:t>
                  </w:r>
                </w:p>
              </w:tc>
              <w:tc>
                <w:tcPr>
                  <w:tcW w:w="485" w:type="pct"/>
                  <w:tcBorders>
                    <w:top w:val="nil"/>
                    <w:left w:val="nil"/>
                    <w:bottom w:val="nil"/>
                    <w:right w:val="nil"/>
                  </w:tcBorders>
                  <w:shd w:val="clear" w:color="auto" w:fill="auto"/>
                  <w:vAlign w:val="center"/>
                  <w:hideMark/>
                </w:tcPr>
                <w:p w14:paraId="068A75CE" w14:textId="77777777" w:rsidR="007D417F" w:rsidRPr="007472E6" w:rsidRDefault="007D417F" w:rsidP="00E44AEF">
                  <w:pPr>
                    <w:pStyle w:val="TableBodyText"/>
                    <w:spacing w:after="20"/>
                    <w:rPr>
                      <w:szCs w:val="18"/>
                    </w:rPr>
                  </w:pPr>
                  <w:r w:rsidRPr="0081515A">
                    <w:rPr>
                      <w:rFonts w:cs="Arial"/>
                      <w:szCs w:val="18"/>
                    </w:rPr>
                    <w:t>478.3</w:t>
                  </w:r>
                </w:p>
              </w:tc>
              <w:tc>
                <w:tcPr>
                  <w:tcW w:w="672" w:type="pct"/>
                  <w:tcBorders>
                    <w:top w:val="nil"/>
                    <w:left w:val="nil"/>
                    <w:bottom w:val="nil"/>
                    <w:right w:val="nil"/>
                  </w:tcBorders>
                  <w:shd w:val="clear" w:color="000000" w:fill="F2F2F2"/>
                  <w:vAlign w:val="center"/>
                  <w:hideMark/>
                </w:tcPr>
                <w:p w14:paraId="08D61005" w14:textId="77777777" w:rsidR="007D417F" w:rsidRPr="007472E6" w:rsidRDefault="007D417F" w:rsidP="00E44AEF">
                  <w:pPr>
                    <w:pStyle w:val="TableBodyText"/>
                    <w:spacing w:after="20"/>
                    <w:rPr>
                      <w:szCs w:val="18"/>
                    </w:rPr>
                  </w:pPr>
                  <w:r w:rsidRPr="0081515A">
                    <w:rPr>
                      <w:rFonts w:cs="Arial"/>
                      <w:szCs w:val="18"/>
                    </w:rPr>
                    <w:t>918.5</w:t>
                  </w:r>
                </w:p>
              </w:tc>
            </w:tr>
            <w:tr w:rsidR="007D417F" w14:paraId="10C61DD3" w14:textId="77777777" w:rsidTr="00E44AEF">
              <w:tc>
                <w:tcPr>
                  <w:tcW w:w="1574" w:type="pct"/>
                  <w:hideMark/>
                </w:tcPr>
                <w:p w14:paraId="56C1937F" w14:textId="77777777" w:rsidR="007D417F" w:rsidRDefault="007D417F" w:rsidP="00E44AEF">
                  <w:pPr>
                    <w:pStyle w:val="TableBodyText"/>
                    <w:spacing w:after="20"/>
                    <w:jc w:val="left"/>
                  </w:pPr>
                  <w:r>
                    <w:t>Other crop growing</w:t>
                  </w:r>
                </w:p>
              </w:tc>
              <w:tc>
                <w:tcPr>
                  <w:tcW w:w="663" w:type="pct"/>
                  <w:tcBorders>
                    <w:top w:val="nil"/>
                    <w:left w:val="nil"/>
                    <w:bottom w:val="nil"/>
                    <w:right w:val="nil"/>
                  </w:tcBorders>
                  <w:shd w:val="clear" w:color="auto" w:fill="auto"/>
                  <w:vAlign w:val="center"/>
                  <w:hideMark/>
                </w:tcPr>
                <w:p w14:paraId="5B44533D" w14:textId="77777777" w:rsidR="007D417F" w:rsidRPr="007472E6" w:rsidRDefault="007D417F" w:rsidP="00E44AEF">
                  <w:pPr>
                    <w:pStyle w:val="TableBodyText"/>
                    <w:spacing w:after="20"/>
                    <w:rPr>
                      <w:szCs w:val="18"/>
                    </w:rPr>
                  </w:pPr>
                  <w:r w:rsidRPr="0081515A">
                    <w:rPr>
                      <w:rFonts w:cs="Arial"/>
                      <w:szCs w:val="18"/>
                    </w:rPr>
                    <w:t>0.4</w:t>
                  </w:r>
                </w:p>
              </w:tc>
              <w:tc>
                <w:tcPr>
                  <w:tcW w:w="580" w:type="pct"/>
                  <w:tcBorders>
                    <w:top w:val="nil"/>
                    <w:left w:val="nil"/>
                    <w:bottom w:val="nil"/>
                    <w:right w:val="nil"/>
                  </w:tcBorders>
                  <w:shd w:val="clear" w:color="auto" w:fill="auto"/>
                  <w:vAlign w:val="center"/>
                  <w:hideMark/>
                </w:tcPr>
                <w:p w14:paraId="673A3EC6" w14:textId="77777777" w:rsidR="007D417F" w:rsidRPr="007472E6" w:rsidRDefault="007D417F" w:rsidP="00E44AEF">
                  <w:pPr>
                    <w:pStyle w:val="TableBodyText"/>
                    <w:spacing w:after="20"/>
                    <w:rPr>
                      <w:szCs w:val="18"/>
                    </w:rPr>
                  </w:pPr>
                  <w:r w:rsidRPr="0081515A">
                    <w:rPr>
                      <w:rFonts w:cs="Arial"/>
                      <w:szCs w:val="18"/>
                    </w:rPr>
                    <w:t>-1.4</w:t>
                  </w:r>
                </w:p>
              </w:tc>
              <w:tc>
                <w:tcPr>
                  <w:tcW w:w="475" w:type="pct"/>
                  <w:tcBorders>
                    <w:top w:val="nil"/>
                    <w:left w:val="nil"/>
                    <w:bottom w:val="nil"/>
                    <w:right w:val="nil"/>
                  </w:tcBorders>
                  <w:shd w:val="clear" w:color="000000" w:fill="F2F2F2"/>
                  <w:vAlign w:val="center"/>
                  <w:hideMark/>
                </w:tcPr>
                <w:p w14:paraId="4087162F" w14:textId="77777777" w:rsidR="007D417F" w:rsidRPr="007472E6" w:rsidRDefault="007D417F" w:rsidP="00E44AEF">
                  <w:pPr>
                    <w:pStyle w:val="TableBodyText"/>
                    <w:spacing w:after="20"/>
                    <w:rPr>
                      <w:szCs w:val="18"/>
                    </w:rPr>
                  </w:pPr>
                  <w:r w:rsidRPr="0081515A">
                    <w:rPr>
                      <w:rFonts w:cs="Arial"/>
                      <w:szCs w:val="18"/>
                    </w:rPr>
                    <w:t>-1.0</w:t>
                  </w:r>
                </w:p>
              </w:tc>
              <w:tc>
                <w:tcPr>
                  <w:tcW w:w="550" w:type="pct"/>
                  <w:tcBorders>
                    <w:top w:val="nil"/>
                    <w:left w:val="nil"/>
                    <w:bottom w:val="nil"/>
                    <w:right w:val="nil"/>
                  </w:tcBorders>
                  <w:shd w:val="clear" w:color="auto" w:fill="auto"/>
                  <w:vAlign w:val="center"/>
                  <w:hideMark/>
                </w:tcPr>
                <w:p w14:paraId="196AE444" w14:textId="77777777" w:rsidR="007D417F" w:rsidRPr="007472E6" w:rsidRDefault="007D417F" w:rsidP="00E44AEF">
                  <w:pPr>
                    <w:pStyle w:val="TableBodyText"/>
                    <w:spacing w:after="20"/>
                    <w:rPr>
                      <w:szCs w:val="18"/>
                    </w:rPr>
                  </w:pPr>
                  <w:r w:rsidRPr="0081515A">
                    <w:rPr>
                      <w:rFonts w:cs="Arial"/>
                      <w:szCs w:val="18"/>
                    </w:rPr>
                    <w:t>52.1</w:t>
                  </w:r>
                </w:p>
              </w:tc>
              <w:tc>
                <w:tcPr>
                  <w:tcW w:w="485" w:type="pct"/>
                  <w:tcBorders>
                    <w:top w:val="nil"/>
                    <w:left w:val="nil"/>
                    <w:bottom w:val="nil"/>
                    <w:right w:val="nil"/>
                  </w:tcBorders>
                  <w:shd w:val="clear" w:color="auto" w:fill="auto"/>
                  <w:vAlign w:val="center"/>
                  <w:hideMark/>
                </w:tcPr>
                <w:p w14:paraId="34C3BA5A" w14:textId="77777777" w:rsidR="007D417F" w:rsidRPr="007472E6" w:rsidRDefault="007D417F" w:rsidP="00E44AEF">
                  <w:pPr>
                    <w:pStyle w:val="TableBodyText"/>
                    <w:spacing w:after="20"/>
                    <w:rPr>
                      <w:szCs w:val="18"/>
                    </w:rPr>
                  </w:pPr>
                  <w:r w:rsidRPr="0081515A">
                    <w:rPr>
                      <w:rFonts w:cs="Arial"/>
                      <w:szCs w:val="18"/>
                    </w:rPr>
                    <w:t>49.9</w:t>
                  </w:r>
                </w:p>
              </w:tc>
              <w:tc>
                <w:tcPr>
                  <w:tcW w:w="672" w:type="pct"/>
                  <w:tcBorders>
                    <w:top w:val="nil"/>
                    <w:left w:val="nil"/>
                    <w:bottom w:val="nil"/>
                    <w:right w:val="nil"/>
                  </w:tcBorders>
                  <w:shd w:val="clear" w:color="000000" w:fill="F2F2F2"/>
                  <w:vAlign w:val="center"/>
                  <w:hideMark/>
                </w:tcPr>
                <w:p w14:paraId="53D0EAA2" w14:textId="77777777" w:rsidR="007D417F" w:rsidRPr="007472E6" w:rsidRDefault="007D417F" w:rsidP="00E44AEF">
                  <w:pPr>
                    <w:pStyle w:val="TableBodyText"/>
                    <w:spacing w:after="20"/>
                    <w:rPr>
                      <w:szCs w:val="18"/>
                    </w:rPr>
                  </w:pPr>
                  <w:r w:rsidRPr="0081515A">
                    <w:rPr>
                      <w:rFonts w:cs="Arial"/>
                      <w:szCs w:val="18"/>
                    </w:rPr>
                    <w:t>101.0</w:t>
                  </w:r>
                </w:p>
              </w:tc>
            </w:tr>
            <w:tr w:rsidR="007D417F" w14:paraId="354F9151" w14:textId="77777777" w:rsidTr="00E44AEF">
              <w:tc>
                <w:tcPr>
                  <w:tcW w:w="1574" w:type="pct"/>
                  <w:hideMark/>
                </w:tcPr>
                <w:p w14:paraId="1B72DA62" w14:textId="77777777" w:rsidR="007D417F" w:rsidRDefault="007D417F" w:rsidP="00E44AEF">
                  <w:pPr>
                    <w:pStyle w:val="TableBodyText"/>
                    <w:spacing w:after="20"/>
                    <w:jc w:val="left"/>
                  </w:pPr>
                  <w:r>
                    <w:t>Dairy cattle farming</w:t>
                  </w:r>
                </w:p>
              </w:tc>
              <w:tc>
                <w:tcPr>
                  <w:tcW w:w="663" w:type="pct"/>
                  <w:tcBorders>
                    <w:top w:val="nil"/>
                    <w:left w:val="nil"/>
                    <w:bottom w:val="nil"/>
                    <w:right w:val="nil"/>
                  </w:tcBorders>
                  <w:shd w:val="clear" w:color="auto" w:fill="auto"/>
                  <w:vAlign w:val="center"/>
                  <w:hideMark/>
                </w:tcPr>
                <w:p w14:paraId="203093F5" w14:textId="77777777" w:rsidR="007D417F" w:rsidRPr="007472E6" w:rsidRDefault="007D417F" w:rsidP="00E44AEF">
                  <w:pPr>
                    <w:pStyle w:val="TableBodyText"/>
                    <w:spacing w:after="20"/>
                    <w:rPr>
                      <w:szCs w:val="18"/>
                    </w:rPr>
                  </w:pPr>
                  <w:r w:rsidRPr="0081515A">
                    <w:rPr>
                      <w:rFonts w:cs="Arial"/>
                      <w:szCs w:val="18"/>
                    </w:rPr>
                    <w:t>–</w:t>
                  </w:r>
                </w:p>
              </w:tc>
              <w:tc>
                <w:tcPr>
                  <w:tcW w:w="580" w:type="pct"/>
                  <w:tcBorders>
                    <w:top w:val="nil"/>
                    <w:left w:val="nil"/>
                    <w:bottom w:val="nil"/>
                    <w:right w:val="nil"/>
                  </w:tcBorders>
                  <w:shd w:val="clear" w:color="auto" w:fill="auto"/>
                  <w:vAlign w:val="center"/>
                  <w:hideMark/>
                </w:tcPr>
                <w:p w14:paraId="02A8D3E2" w14:textId="77777777" w:rsidR="007D417F" w:rsidRPr="007472E6" w:rsidRDefault="007D417F" w:rsidP="00E44AEF">
                  <w:pPr>
                    <w:pStyle w:val="TableBodyText"/>
                    <w:spacing w:after="20"/>
                    <w:rPr>
                      <w:szCs w:val="18"/>
                    </w:rPr>
                  </w:pPr>
                  <w:r w:rsidRPr="0081515A">
                    <w:rPr>
                      <w:rFonts w:cs="Arial"/>
                      <w:szCs w:val="18"/>
                    </w:rPr>
                    <w:t>-5.6</w:t>
                  </w:r>
                </w:p>
              </w:tc>
              <w:tc>
                <w:tcPr>
                  <w:tcW w:w="475" w:type="pct"/>
                  <w:tcBorders>
                    <w:top w:val="nil"/>
                    <w:left w:val="nil"/>
                    <w:bottom w:val="nil"/>
                    <w:right w:val="nil"/>
                  </w:tcBorders>
                  <w:shd w:val="clear" w:color="000000" w:fill="F2F2F2"/>
                  <w:vAlign w:val="center"/>
                  <w:hideMark/>
                </w:tcPr>
                <w:p w14:paraId="21D52938" w14:textId="77777777" w:rsidR="007D417F" w:rsidRPr="007472E6" w:rsidRDefault="007D417F" w:rsidP="00E44AEF">
                  <w:pPr>
                    <w:pStyle w:val="TableBodyText"/>
                    <w:spacing w:after="20"/>
                    <w:rPr>
                      <w:szCs w:val="18"/>
                    </w:rPr>
                  </w:pPr>
                  <w:r w:rsidRPr="0081515A">
                    <w:rPr>
                      <w:rFonts w:cs="Arial"/>
                      <w:szCs w:val="18"/>
                    </w:rPr>
                    <w:t>-5.6</w:t>
                  </w:r>
                </w:p>
              </w:tc>
              <w:tc>
                <w:tcPr>
                  <w:tcW w:w="550" w:type="pct"/>
                  <w:tcBorders>
                    <w:top w:val="nil"/>
                    <w:left w:val="nil"/>
                    <w:bottom w:val="nil"/>
                    <w:right w:val="nil"/>
                  </w:tcBorders>
                  <w:shd w:val="clear" w:color="auto" w:fill="auto"/>
                  <w:vAlign w:val="center"/>
                  <w:hideMark/>
                </w:tcPr>
                <w:p w14:paraId="099B11F5" w14:textId="77777777" w:rsidR="007D417F" w:rsidRPr="007472E6" w:rsidRDefault="007D417F" w:rsidP="00E44AEF">
                  <w:pPr>
                    <w:pStyle w:val="TableBodyText"/>
                    <w:spacing w:after="20"/>
                    <w:rPr>
                      <w:szCs w:val="18"/>
                    </w:rPr>
                  </w:pPr>
                  <w:r w:rsidRPr="0081515A">
                    <w:rPr>
                      <w:rFonts w:cs="Arial"/>
                      <w:szCs w:val="18"/>
                    </w:rPr>
                    <w:t>27.6</w:t>
                  </w:r>
                </w:p>
              </w:tc>
              <w:tc>
                <w:tcPr>
                  <w:tcW w:w="485" w:type="pct"/>
                  <w:tcBorders>
                    <w:top w:val="nil"/>
                    <w:left w:val="nil"/>
                    <w:bottom w:val="nil"/>
                    <w:right w:val="nil"/>
                  </w:tcBorders>
                  <w:shd w:val="clear" w:color="auto" w:fill="auto"/>
                  <w:vAlign w:val="center"/>
                  <w:hideMark/>
                </w:tcPr>
                <w:p w14:paraId="1D0C887F" w14:textId="77777777" w:rsidR="007D417F" w:rsidRPr="007472E6" w:rsidRDefault="007D417F" w:rsidP="00E44AEF">
                  <w:pPr>
                    <w:pStyle w:val="TableBodyText"/>
                    <w:spacing w:after="20"/>
                    <w:rPr>
                      <w:szCs w:val="18"/>
                    </w:rPr>
                  </w:pPr>
                  <w:r w:rsidRPr="0081515A">
                    <w:rPr>
                      <w:rFonts w:cs="Arial"/>
                      <w:szCs w:val="18"/>
                    </w:rPr>
                    <w:t>27.7</w:t>
                  </w:r>
                </w:p>
              </w:tc>
              <w:tc>
                <w:tcPr>
                  <w:tcW w:w="672" w:type="pct"/>
                  <w:tcBorders>
                    <w:top w:val="nil"/>
                    <w:left w:val="nil"/>
                    <w:bottom w:val="nil"/>
                    <w:right w:val="nil"/>
                  </w:tcBorders>
                  <w:shd w:val="clear" w:color="000000" w:fill="F2F2F2"/>
                  <w:vAlign w:val="center"/>
                  <w:hideMark/>
                </w:tcPr>
                <w:p w14:paraId="04DD3539" w14:textId="77777777" w:rsidR="007D417F" w:rsidRPr="007472E6" w:rsidRDefault="007D417F" w:rsidP="00E44AEF">
                  <w:pPr>
                    <w:pStyle w:val="TableBodyText"/>
                    <w:spacing w:after="20"/>
                    <w:rPr>
                      <w:szCs w:val="18"/>
                    </w:rPr>
                  </w:pPr>
                  <w:r w:rsidRPr="0081515A">
                    <w:rPr>
                      <w:rFonts w:cs="Arial"/>
                      <w:szCs w:val="18"/>
                    </w:rPr>
                    <w:t>49.7</w:t>
                  </w:r>
                </w:p>
              </w:tc>
            </w:tr>
            <w:tr w:rsidR="007D417F" w14:paraId="05C632AC" w14:textId="77777777" w:rsidTr="00E44AEF">
              <w:tc>
                <w:tcPr>
                  <w:tcW w:w="1574" w:type="pct"/>
                  <w:hideMark/>
                </w:tcPr>
                <w:p w14:paraId="4886A073" w14:textId="77777777" w:rsidR="007D417F" w:rsidRDefault="007D417F" w:rsidP="00E44AEF">
                  <w:pPr>
                    <w:pStyle w:val="TableBodyText"/>
                    <w:spacing w:after="20"/>
                    <w:jc w:val="left"/>
                  </w:pPr>
                  <w:r>
                    <w:t>Other livestock farming</w:t>
                  </w:r>
                </w:p>
              </w:tc>
              <w:tc>
                <w:tcPr>
                  <w:tcW w:w="663" w:type="pct"/>
                  <w:tcBorders>
                    <w:top w:val="nil"/>
                    <w:left w:val="nil"/>
                    <w:bottom w:val="nil"/>
                    <w:right w:val="nil"/>
                  </w:tcBorders>
                  <w:shd w:val="clear" w:color="auto" w:fill="auto"/>
                  <w:vAlign w:val="center"/>
                  <w:hideMark/>
                </w:tcPr>
                <w:p w14:paraId="6FC63550" w14:textId="77777777" w:rsidR="007D417F" w:rsidRPr="007472E6" w:rsidRDefault="007D417F" w:rsidP="00E44AEF">
                  <w:pPr>
                    <w:pStyle w:val="TableBodyText"/>
                    <w:spacing w:after="20"/>
                    <w:rPr>
                      <w:szCs w:val="18"/>
                    </w:rPr>
                  </w:pPr>
                  <w:r w:rsidRPr="0081515A">
                    <w:rPr>
                      <w:rFonts w:cs="Arial"/>
                      <w:szCs w:val="18"/>
                    </w:rPr>
                    <w:t>–</w:t>
                  </w:r>
                </w:p>
              </w:tc>
              <w:tc>
                <w:tcPr>
                  <w:tcW w:w="580" w:type="pct"/>
                  <w:tcBorders>
                    <w:top w:val="nil"/>
                    <w:left w:val="nil"/>
                    <w:bottom w:val="nil"/>
                    <w:right w:val="nil"/>
                  </w:tcBorders>
                  <w:shd w:val="clear" w:color="auto" w:fill="auto"/>
                  <w:vAlign w:val="center"/>
                  <w:hideMark/>
                </w:tcPr>
                <w:p w14:paraId="21F84097" w14:textId="77777777" w:rsidR="007D417F" w:rsidRPr="007472E6" w:rsidRDefault="007D417F" w:rsidP="00E44AEF">
                  <w:pPr>
                    <w:pStyle w:val="TableBodyText"/>
                    <w:spacing w:after="20"/>
                    <w:rPr>
                      <w:szCs w:val="18"/>
                    </w:rPr>
                  </w:pPr>
                  <w:r w:rsidRPr="0081515A">
                    <w:rPr>
                      <w:rFonts w:cs="Arial"/>
                      <w:szCs w:val="18"/>
                    </w:rPr>
                    <w:t>-3.0</w:t>
                  </w:r>
                </w:p>
              </w:tc>
              <w:tc>
                <w:tcPr>
                  <w:tcW w:w="475" w:type="pct"/>
                  <w:tcBorders>
                    <w:top w:val="nil"/>
                    <w:left w:val="nil"/>
                    <w:bottom w:val="nil"/>
                    <w:right w:val="nil"/>
                  </w:tcBorders>
                  <w:shd w:val="clear" w:color="000000" w:fill="F2F2F2"/>
                  <w:vAlign w:val="center"/>
                  <w:hideMark/>
                </w:tcPr>
                <w:p w14:paraId="4BD2A484" w14:textId="77777777" w:rsidR="007D417F" w:rsidRPr="007472E6" w:rsidRDefault="007D417F" w:rsidP="00E44AEF">
                  <w:pPr>
                    <w:pStyle w:val="TableBodyText"/>
                    <w:spacing w:after="20"/>
                    <w:rPr>
                      <w:szCs w:val="18"/>
                    </w:rPr>
                  </w:pPr>
                  <w:r w:rsidRPr="0081515A">
                    <w:rPr>
                      <w:rFonts w:cs="Arial"/>
                      <w:szCs w:val="18"/>
                    </w:rPr>
                    <w:t>-3.0</w:t>
                  </w:r>
                </w:p>
              </w:tc>
              <w:tc>
                <w:tcPr>
                  <w:tcW w:w="550" w:type="pct"/>
                  <w:tcBorders>
                    <w:top w:val="nil"/>
                    <w:left w:val="nil"/>
                    <w:bottom w:val="nil"/>
                    <w:right w:val="nil"/>
                  </w:tcBorders>
                  <w:shd w:val="clear" w:color="auto" w:fill="auto"/>
                  <w:vAlign w:val="center"/>
                  <w:hideMark/>
                </w:tcPr>
                <w:p w14:paraId="6AFE369D" w14:textId="77777777" w:rsidR="007D417F" w:rsidRPr="007472E6" w:rsidRDefault="007D417F" w:rsidP="00E44AEF">
                  <w:pPr>
                    <w:pStyle w:val="TableBodyText"/>
                    <w:spacing w:after="20"/>
                    <w:rPr>
                      <w:szCs w:val="18"/>
                    </w:rPr>
                  </w:pPr>
                  <w:r w:rsidRPr="0081515A">
                    <w:rPr>
                      <w:rFonts w:cs="Arial"/>
                      <w:szCs w:val="18"/>
                    </w:rPr>
                    <w:t>39.6</w:t>
                  </w:r>
                </w:p>
              </w:tc>
              <w:tc>
                <w:tcPr>
                  <w:tcW w:w="485" w:type="pct"/>
                  <w:tcBorders>
                    <w:top w:val="nil"/>
                    <w:left w:val="nil"/>
                    <w:bottom w:val="nil"/>
                    <w:right w:val="nil"/>
                  </w:tcBorders>
                  <w:shd w:val="clear" w:color="auto" w:fill="auto"/>
                  <w:vAlign w:val="center"/>
                  <w:hideMark/>
                </w:tcPr>
                <w:p w14:paraId="35821CFF" w14:textId="77777777" w:rsidR="007D417F" w:rsidRPr="007472E6" w:rsidRDefault="007D417F" w:rsidP="00E44AEF">
                  <w:pPr>
                    <w:pStyle w:val="TableBodyText"/>
                    <w:spacing w:after="20"/>
                    <w:rPr>
                      <w:szCs w:val="18"/>
                    </w:rPr>
                  </w:pPr>
                  <w:r w:rsidRPr="0081515A">
                    <w:rPr>
                      <w:rFonts w:cs="Arial"/>
                      <w:szCs w:val="18"/>
                    </w:rPr>
                    <w:t>22.6</w:t>
                  </w:r>
                </w:p>
              </w:tc>
              <w:tc>
                <w:tcPr>
                  <w:tcW w:w="672" w:type="pct"/>
                  <w:tcBorders>
                    <w:top w:val="nil"/>
                    <w:left w:val="nil"/>
                    <w:bottom w:val="nil"/>
                    <w:right w:val="nil"/>
                  </w:tcBorders>
                  <w:shd w:val="clear" w:color="000000" w:fill="F2F2F2"/>
                  <w:vAlign w:val="center"/>
                  <w:hideMark/>
                </w:tcPr>
                <w:p w14:paraId="5B9F3522" w14:textId="77777777" w:rsidR="007D417F" w:rsidRPr="007472E6" w:rsidRDefault="007D417F" w:rsidP="00E44AEF">
                  <w:pPr>
                    <w:pStyle w:val="TableBodyText"/>
                    <w:spacing w:after="20"/>
                    <w:rPr>
                      <w:szCs w:val="18"/>
                    </w:rPr>
                  </w:pPr>
                  <w:r w:rsidRPr="0081515A">
                    <w:rPr>
                      <w:rFonts w:cs="Arial"/>
                      <w:szCs w:val="18"/>
                    </w:rPr>
                    <w:t>59.1</w:t>
                  </w:r>
                </w:p>
              </w:tc>
            </w:tr>
            <w:tr w:rsidR="007D417F" w14:paraId="49A76F8C" w14:textId="77777777" w:rsidTr="00E44AEF">
              <w:tc>
                <w:tcPr>
                  <w:tcW w:w="1574" w:type="pct"/>
                  <w:hideMark/>
                </w:tcPr>
                <w:p w14:paraId="1F929161" w14:textId="77777777" w:rsidR="007D417F" w:rsidRDefault="007D417F" w:rsidP="00E44AEF">
                  <w:pPr>
                    <w:pStyle w:val="TableBodyText"/>
                    <w:spacing w:after="20"/>
                    <w:jc w:val="left"/>
                  </w:pPr>
                  <w:r>
                    <w:t>Aquaculture and fishing</w:t>
                  </w:r>
                </w:p>
              </w:tc>
              <w:tc>
                <w:tcPr>
                  <w:tcW w:w="663" w:type="pct"/>
                  <w:tcBorders>
                    <w:top w:val="nil"/>
                    <w:left w:val="nil"/>
                    <w:bottom w:val="nil"/>
                    <w:right w:val="nil"/>
                  </w:tcBorders>
                  <w:shd w:val="clear" w:color="auto" w:fill="auto"/>
                  <w:vAlign w:val="center"/>
                  <w:hideMark/>
                </w:tcPr>
                <w:p w14:paraId="54E0061C" w14:textId="77777777" w:rsidR="007D417F" w:rsidRPr="007472E6" w:rsidRDefault="007D417F" w:rsidP="00E44AEF">
                  <w:pPr>
                    <w:pStyle w:val="TableBodyText"/>
                    <w:spacing w:after="20"/>
                    <w:rPr>
                      <w:szCs w:val="18"/>
                    </w:rPr>
                  </w:pPr>
                  <w:r w:rsidRPr="0081515A">
                    <w:rPr>
                      <w:rFonts w:cs="Arial"/>
                      <w:szCs w:val="18"/>
                    </w:rPr>
                    <w:t>0.2</w:t>
                  </w:r>
                </w:p>
              </w:tc>
              <w:tc>
                <w:tcPr>
                  <w:tcW w:w="580" w:type="pct"/>
                  <w:tcBorders>
                    <w:top w:val="nil"/>
                    <w:left w:val="nil"/>
                    <w:bottom w:val="nil"/>
                    <w:right w:val="nil"/>
                  </w:tcBorders>
                  <w:shd w:val="clear" w:color="auto" w:fill="auto"/>
                  <w:vAlign w:val="center"/>
                  <w:hideMark/>
                </w:tcPr>
                <w:p w14:paraId="31575224" w14:textId="77777777" w:rsidR="007D417F" w:rsidRPr="007472E6" w:rsidRDefault="007D417F" w:rsidP="00E44AEF">
                  <w:pPr>
                    <w:pStyle w:val="TableBodyText"/>
                    <w:spacing w:after="20"/>
                    <w:rPr>
                      <w:szCs w:val="18"/>
                    </w:rPr>
                  </w:pPr>
                  <w:r w:rsidRPr="0081515A">
                    <w:rPr>
                      <w:rFonts w:cs="Arial"/>
                      <w:szCs w:val="18"/>
                    </w:rPr>
                    <w:t>-3.9</w:t>
                  </w:r>
                </w:p>
              </w:tc>
              <w:tc>
                <w:tcPr>
                  <w:tcW w:w="475" w:type="pct"/>
                  <w:tcBorders>
                    <w:top w:val="nil"/>
                    <w:left w:val="nil"/>
                    <w:bottom w:val="nil"/>
                    <w:right w:val="nil"/>
                  </w:tcBorders>
                  <w:shd w:val="clear" w:color="000000" w:fill="F2F2F2"/>
                  <w:vAlign w:val="center"/>
                  <w:hideMark/>
                </w:tcPr>
                <w:p w14:paraId="7DF6ED1E" w14:textId="77777777" w:rsidR="007D417F" w:rsidRPr="007472E6" w:rsidRDefault="007D417F" w:rsidP="00E44AEF">
                  <w:pPr>
                    <w:pStyle w:val="TableBodyText"/>
                    <w:spacing w:after="20"/>
                    <w:rPr>
                      <w:szCs w:val="18"/>
                    </w:rPr>
                  </w:pPr>
                  <w:r w:rsidRPr="0081515A">
                    <w:rPr>
                      <w:rFonts w:cs="Arial"/>
                      <w:szCs w:val="18"/>
                    </w:rPr>
                    <w:t>-3.7</w:t>
                  </w:r>
                </w:p>
              </w:tc>
              <w:tc>
                <w:tcPr>
                  <w:tcW w:w="550" w:type="pct"/>
                  <w:tcBorders>
                    <w:top w:val="nil"/>
                    <w:left w:val="nil"/>
                    <w:bottom w:val="nil"/>
                    <w:right w:val="nil"/>
                  </w:tcBorders>
                  <w:shd w:val="clear" w:color="auto" w:fill="auto"/>
                  <w:vAlign w:val="center"/>
                  <w:hideMark/>
                </w:tcPr>
                <w:p w14:paraId="04F38107" w14:textId="77777777" w:rsidR="007D417F" w:rsidRPr="007472E6" w:rsidRDefault="007D417F" w:rsidP="00E44AEF">
                  <w:pPr>
                    <w:pStyle w:val="TableBodyText"/>
                    <w:spacing w:after="20"/>
                    <w:rPr>
                      <w:szCs w:val="18"/>
                    </w:rPr>
                  </w:pPr>
                  <w:r w:rsidRPr="0081515A">
                    <w:rPr>
                      <w:rFonts w:cs="Arial"/>
                      <w:szCs w:val="18"/>
                    </w:rPr>
                    <w:t>87.4</w:t>
                  </w:r>
                </w:p>
              </w:tc>
              <w:tc>
                <w:tcPr>
                  <w:tcW w:w="485" w:type="pct"/>
                  <w:tcBorders>
                    <w:top w:val="nil"/>
                    <w:left w:val="nil"/>
                    <w:bottom w:val="nil"/>
                    <w:right w:val="nil"/>
                  </w:tcBorders>
                  <w:shd w:val="clear" w:color="auto" w:fill="auto"/>
                  <w:vAlign w:val="center"/>
                  <w:hideMark/>
                </w:tcPr>
                <w:p w14:paraId="0CA99707" w14:textId="77777777" w:rsidR="007D417F" w:rsidRPr="007472E6" w:rsidRDefault="007D417F" w:rsidP="00E44AEF">
                  <w:pPr>
                    <w:pStyle w:val="TableBodyText"/>
                    <w:spacing w:after="20"/>
                    <w:rPr>
                      <w:szCs w:val="18"/>
                    </w:rPr>
                  </w:pPr>
                  <w:r w:rsidRPr="0081515A">
                    <w:rPr>
                      <w:rFonts w:cs="Arial"/>
                      <w:szCs w:val="18"/>
                    </w:rPr>
                    <w:t>21.7</w:t>
                  </w:r>
                </w:p>
              </w:tc>
              <w:tc>
                <w:tcPr>
                  <w:tcW w:w="672" w:type="pct"/>
                  <w:tcBorders>
                    <w:top w:val="nil"/>
                    <w:left w:val="nil"/>
                    <w:bottom w:val="nil"/>
                    <w:right w:val="nil"/>
                  </w:tcBorders>
                  <w:shd w:val="clear" w:color="000000" w:fill="F2F2F2"/>
                  <w:vAlign w:val="center"/>
                  <w:hideMark/>
                </w:tcPr>
                <w:p w14:paraId="6113A4D5" w14:textId="77777777" w:rsidR="007D417F" w:rsidRPr="007472E6" w:rsidRDefault="007D417F" w:rsidP="00E44AEF">
                  <w:pPr>
                    <w:pStyle w:val="TableBodyText"/>
                    <w:spacing w:after="20"/>
                    <w:rPr>
                      <w:szCs w:val="18"/>
                    </w:rPr>
                  </w:pPr>
                  <w:r w:rsidRPr="0081515A">
                    <w:rPr>
                      <w:rFonts w:cs="Arial"/>
                      <w:szCs w:val="18"/>
                    </w:rPr>
                    <w:t>105.4</w:t>
                  </w:r>
                </w:p>
              </w:tc>
            </w:tr>
            <w:tr w:rsidR="007D417F" w14:paraId="1C2CA066" w14:textId="77777777" w:rsidTr="00E44AEF">
              <w:tc>
                <w:tcPr>
                  <w:tcW w:w="1574" w:type="pct"/>
                  <w:hideMark/>
                </w:tcPr>
                <w:p w14:paraId="376F247A" w14:textId="77777777" w:rsidR="007D417F" w:rsidRDefault="007D417F" w:rsidP="00E44AEF">
                  <w:pPr>
                    <w:pStyle w:val="TableBodyText"/>
                    <w:spacing w:after="20"/>
                    <w:jc w:val="left"/>
                  </w:pPr>
                  <w:r>
                    <w:t>Forestry and logging</w:t>
                  </w:r>
                </w:p>
              </w:tc>
              <w:tc>
                <w:tcPr>
                  <w:tcW w:w="663" w:type="pct"/>
                  <w:tcBorders>
                    <w:top w:val="nil"/>
                    <w:left w:val="nil"/>
                    <w:bottom w:val="nil"/>
                    <w:right w:val="nil"/>
                  </w:tcBorders>
                  <w:shd w:val="clear" w:color="auto" w:fill="auto"/>
                  <w:vAlign w:val="center"/>
                  <w:hideMark/>
                </w:tcPr>
                <w:p w14:paraId="3DD73543" w14:textId="77777777" w:rsidR="007D417F" w:rsidRPr="007472E6" w:rsidRDefault="007D417F" w:rsidP="00E44AEF">
                  <w:pPr>
                    <w:pStyle w:val="TableBodyText"/>
                    <w:spacing w:after="20"/>
                    <w:rPr>
                      <w:szCs w:val="18"/>
                    </w:rPr>
                  </w:pPr>
                  <w:r w:rsidRPr="0081515A">
                    <w:rPr>
                      <w:rFonts w:cs="Arial"/>
                      <w:szCs w:val="18"/>
                    </w:rPr>
                    <w:t>0.4</w:t>
                  </w:r>
                </w:p>
              </w:tc>
              <w:tc>
                <w:tcPr>
                  <w:tcW w:w="580" w:type="pct"/>
                  <w:tcBorders>
                    <w:top w:val="nil"/>
                    <w:left w:val="nil"/>
                    <w:bottom w:val="nil"/>
                    <w:right w:val="nil"/>
                  </w:tcBorders>
                  <w:shd w:val="clear" w:color="auto" w:fill="auto"/>
                  <w:vAlign w:val="center"/>
                  <w:hideMark/>
                </w:tcPr>
                <w:p w14:paraId="0423161F" w14:textId="77777777" w:rsidR="007D417F" w:rsidRPr="007472E6" w:rsidRDefault="007D417F" w:rsidP="00E44AEF">
                  <w:pPr>
                    <w:pStyle w:val="TableBodyText"/>
                    <w:spacing w:after="20"/>
                    <w:rPr>
                      <w:szCs w:val="18"/>
                    </w:rPr>
                  </w:pPr>
                  <w:r w:rsidRPr="0081515A">
                    <w:rPr>
                      <w:rFonts w:cs="Arial"/>
                      <w:szCs w:val="18"/>
                    </w:rPr>
                    <w:t>-0.5</w:t>
                  </w:r>
                </w:p>
              </w:tc>
              <w:tc>
                <w:tcPr>
                  <w:tcW w:w="475" w:type="pct"/>
                  <w:tcBorders>
                    <w:top w:val="nil"/>
                    <w:left w:val="nil"/>
                    <w:bottom w:val="nil"/>
                    <w:right w:val="nil"/>
                  </w:tcBorders>
                  <w:shd w:val="clear" w:color="000000" w:fill="F2F2F2"/>
                  <w:vAlign w:val="center"/>
                  <w:hideMark/>
                </w:tcPr>
                <w:p w14:paraId="51146160" w14:textId="77777777" w:rsidR="007D417F" w:rsidRPr="007472E6" w:rsidRDefault="007D417F" w:rsidP="00E44AEF">
                  <w:pPr>
                    <w:pStyle w:val="TableBodyText"/>
                    <w:spacing w:after="20"/>
                    <w:rPr>
                      <w:szCs w:val="18"/>
                    </w:rPr>
                  </w:pPr>
                  <w:r w:rsidRPr="0081515A">
                    <w:rPr>
                      <w:rFonts w:cs="Arial"/>
                      <w:szCs w:val="18"/>
                    </w:rPr>
                    <w:t>-0.1</w:t>
                  </w:r>
                </w:p>
              </w:tc>
              <w:tc>
                <w:tcPr>
                  <w:tcW w:w="550" w:type="pct"/>
                  <w:tcBorders>
                    <w:top w:val="nil"/>
                    <w:left w:val="nil"/>
                    <w:bottom w:val="nil"/>
                    <w:right w:val="nil"/>
                  </w:tcBorders>
                  <w:shd w:val="clear" w:color="auto" w:fill="auto"/>
                  <w:vAlign w:val="center"/>
                  <w:hideMark/>
                </w:tcPr>
                <w:p w14:paraId="15E88FF8" w14:textId="77777777" w:rsidR="007D417F" w:rsidRPr="007472E6" w:rsidRDefault="007D417F" w:rsidP="00E44AEF">
                  <w:pPr>
                    <w:pStyle w:val="TableBodyText"/>
                    <w:spacing w:after="20"/>
                    <w:rPr>
                      <w:szCs w:val="18"/>
                    </w:rPr>
                  </w:pPr>
                  <w:r w:rsidRPr="0081515A">
                    <w:rPr>
                      <w:rFonts w:cs="Arial"/>
                      <w:szCs w:val="18"/>
                    </w:rPr>
                    <w:t>17.7</w:t>
                  </w:r>
                </w:p>
              </w:tc>
              <w:tc>
                <w:tcPr>
                  <w:tcW w:w="485" w:type="pct"/>
                  <w:tcBorders>
                    <w:top w:val="nil"/>
                    <w:left w:val="nil"/>
                    <w:bottom w:val="nil"/>
                    <w:right w:val="nil"/>
                  </w:tcBorders>
                  <w:shd w:val="clear" w:color="auto" w:fill="auto"/>
                  <w:vAlign w:val="center"/>
                  <w:hideMark/>
                </w:tcPr>
                <w:p w14:paraId="15E7ECBF" w14:textId="77777777" w:rsidR="007D417F" w:rsidRPr="007472E6" w:rsidRDefault="007D417F" w:rsidP="00E44AEF">
                  <w:pPr>
                    <w:pStyle w:val="TableBodyText"/>
                    <w:spacing w:after="20"/>
                    <w:rPr>
                      <w:szCs w:val="18"/>
                    </w:rPr>
                  </w:pPr>
                  <w:r w:rsidRPr="0081515A">
                    <w:rPr>
                      <w:rFonts w:cs="Arial"/>
                      <w:szCs w:val="18"/>
                    </w:rPr>
                    <w:t>14.2</w:t>
                  </w:r>
                </w:p>
              </w:tc>
              <w:tc>
                <w:tcPr>
                  <w:tcW w:w="672" w:type="pct"/>
                  <w:tcBorders>
                    <w:top w:val="nil"/>
                    <w:left w:val="nil"/>
                    <w:bottom w:val="nil"/>
                    <w:right w:val="nil"/>
                  </w:tcBorders>
                  <w:shd w:val="clear" w:color="000000" w:fill="F2F2F2"/>
                  <w:vAlign w:val="center"/>
                  <w:hideMark/>
                </w:tcPr>
                <w:p w14:paraId="7D721215" w14:textId="77777777" w:rsidR="007D417F" w:rsidRPr="007472E6" w:rsidRDefault="007D417F" w:rsidP="00E44AEF">
                  <w:pPr>
                    <w:pStyle w:val="TableBodyText"/>
                    <w:spacing w:after="20"/>
                    <w:rPr>
                      <w:szCs w:val="18"/>
                    </w:rPr>
                  </w:pPr>
                  <w:r w:rsidRPr="0081515A">
                    <w:rPr>
                      <w:rFonts w:cs="Arial"/>
                      <w:szCs w:val="18"/>
                    </w:rPr>
                    <w:t>31.8</w:t>
                  </w:r>
                </w:p>
              </w:tc>
            </w:tr>
            <w:tr w:rsidR="007D417F" w14:paraId="7D75745B" w14:textId="77777777" w:rsidTr="00E44AEF">
              <w:tc>
                <w:tcPr>
                  <w:tcW w:w="1574" w:type="pct"/>
                  <w:hideMark/>
                </w:tcPr>
                <w:p w14:paraId="77122AC4" w14:textId="77777777" w:rsidR="007D417F" w:rsidRDefault="007D417F" w:rsidP="00E44AEF">
                  <w:pPr>
                    <w:pStyle w:val="TableBodyText"/>
                    <w:spacing w:after="20"/>
                    <w:jc w:val="left"/>
                  </w:pPr>
                  <w:r>
                    <w:t>Primary production services</w:t>
                  </w:r>
                </w:p>
              </w:tc>
              <w:tc>
                <w:tcPr>
                  <w:tcW w:w="663" w:type="pct"/>
                  <w:tcBorders>
                    <w:top w:val="nil"/>
                    <w:left w:val="nil"/>
                    <w:bottom w:val="nil"/>
                    <w:right w:val="nil"/>
                  </w:tcBorders>
                  <w:shd w:val="clear" w:color="auto" w:fill="auto"/>
                  <w:vAlign w:val="center"/>
                  <w:hideMark/>
                </w:tcPr>
                <w:p w14:paraId="0EFF8682" w14:textId="77777777" w:rsidR="007D417F" w:rsidRPr="007472E6" w:rsidRDefault="007D417F" w:rsidP="00E44AEF">
                  <w:pPr>
                    <w:pStyle w:val="TableBodyText"/>
                    <w:spacing w:after="20"/>
                    <w:rPr>
                      <w:szCs w:val="18"/>
                    </w:rPr>
                  </w:pPr>
                  <w:r w:rsidRPr="0081515A">
                    <w:rPr>
                      <w:rFonts w:cs="Arial"/>
                      <w:color w:val="000000"/>
                      <w:szCs w:val="18"/>
                    </w:rPr>
                    <w:t>4.2</w:t>
                  </w:r>
                </w:p>
              </w:tc>
              <w:tc>
                <w:tcPr>
                  <w:tcW w:w="580" w:type="pct"/>
                  <w:tcBorders>
                    <w:top w:val="nil"/>
                    <w:left w:val="nil"/>
                    <w:bottom w:val="nil"/>
                    <w:right w:val="nil"/>
                  </w:tcBorders>
                  <w:shd w:val="clear" w:color="auto" w:fill="auto"/>
                  <w:vAlign w:val="center"/>
                  <w:hideMark/>
                </w:tcPr>
                <w:p w14:paraId="7BD7F2E1" w14:textId="77777777" w:rsidR="007D417F" w:rsidRPr="007472E6" w:rsidRDefault="007D417F" w:rsidP="00E44AEF">
                  <w:pPr>
                    <w:pStyle w:val="TableBodyText"/>
                    <w:spacing w:after="20"/>
                    <w:rPr>
                      <w:szCs w:val="18"/>
                    </w:rPr>
                  </w:pPr>
                  <w:r w:rsidRPr="0081515A">
                    <w:rPr>
                      <w:rFonts w:cs="Arial"/>
                      <w:szCs w:val="18"/>
                    </w:rPr>
                    <w:t>-7.0</w:t>
                  </w:r>
                </w:p>
              </w:tc>
              <w:tc>
                <w:tcPr>
                  <w:tcW w:w="475" w:type="pct"/>
                  <w:tcBorders>
                    <w:top w:val="nil"/>
                    <w:left w:val="nil"/>
                    <w:bottom w:val="nil"/>
                    <w:right w:val="nil"/>
                  </w:tcBorders>
                  <w:shd w:val="clear" w:color="000000" w:fill="F2F2F2"/>
                  <w:vAlign w:val="center"/>
                  <w:hideMark/>
                </w:tcPr>
                <w:p w14:paraId="268D90C9" w14:textId="77777777" w:rsidR="007D417F" w:rsidRPr="007472E6" w:rsidRDefault="007D417F" w:rsidP="00E44AEF">
                  <w:pPr>
                    <w:pStyle w:val="TableBodyText"/>
                    <w:spacing w:after="20"/>
                    <w:rPr>
                      <w:szCs w:val="18"/>
                    </w:rPr>
                  </w:pPr>
                  <w:r w:rsidRPr="0081515A">
                    <w:rPr>
                      <w:rFonts w:cs="Arial"/>
                      <w:szCs w:val="18"/>
                    </w:rPr>
                    <w:t>-2.9</w:t>
                  </w:r>
                </w:p>
              </w:tc>
              <w:tc>
                <w:tcPr>
                  <w:tcW w:w="550" w:type="pct"/>
                  <w:tcBorders>
                    <w:top w:val="nil"/>
                    <w:left w:val="nil"/>
                    <w:bottom w:val="nil"/>
                    <w:right w:val="nil"/>
                  </w:tcBorders>
                  <w:shd w:val="clear" w:color="auto" w:fill="auto"/>
                  <w:vAlign w:val="center"/>
                  <w:hideMark/>
                </w:tcPr>
                <w:p w14:paraId="1FF829FE" w14:textId="77777777" w:rsidR="007D417F" w:rsidRPr="007472E6" w:rsidRDefault="007D417F" w:rsidP="00E44AEF">
                  <w:pPr>
                    <w:pStyle w:val="TableBodyText"/>
                    <w:spacing w:after="20"/>
                    <w:rPr>
                      <w:szCs w:val="18"/>
                    </w:rPr>
                  </w:pPr>
                  <w:r w:rsidRPr="0081515A">
                    <w:rPr>
                      <w:rFonts w:cs="Arial"/>
                      <w:szCs w:val="18"/>
                    </w:rPr>
                    <w:t>9.5</w:t>
                  </w:r>
                </w:p>
              </w:tc>
              <w:tc>
                <w:tcPr>
                  <w:tcW w:w="485" w:type="pct"/>
                  <w:tcBorders>
                    <w:top w:val="nil"/>
                    <w:left w:val="nil"/>
                    <w:bottom w:val="nil"/>
                    <w:right w:val="nil"/>
                  </w:tcBorders>
                  <w:shd w:val="clear" w:color="auto" w:fill="auto"/>
                  <w:vAlign w:val="center"/>
                  <w:hideMark/>
                </w:tcPr>
                <w:p w14:paraId="0E6FA6E1" w14:textId="77777777" w:rsidR="007D417F" w:rsidRPr="007472E6" w:rsidRDefault="007D417F" w:rsidP="00E44AEF">
                  <w:pPr>
                    <w:pStyle w:val="TableBodyText"/>
                    <w:spacing w:after="20"/>
                    <w:rPr>
                      <w:szCs w:val="18"/>
                    </w:rPr>
                  </w:pPr>
                  <w:r w:rsidRPr="0081515A">
                    <w:rPr>
                      <w:rFonts w:cs="Arial"/>
                      <w:szCs w:val="18"/>
                    </w:rPr>
                    <w:t>15.6</w:t>
                  </w:r>
                </w:p>
              </w:tc>
              <w:tc>
                <w:tcPr>
                  <w:tcW w:w="672" w:type="pct"/>
                  <w:tcBorders>
                    <w:top w:val="nil"/>
                    <w:left w:val="nil"/>
                    <w:bottom w:val="nil"/>
                    <w:right w:val="nil"/>
                  </w:tcBorders>
                  <w:shd w:val="clear" w:color="000000" w:fill="F2F2F2"/>
                  <w:vAlign w:val="center"/>
                  <w:hideMark/>
                </w:tcPr>
                <w:p w14:paraId="6C61C2A7" w14:textId="77777777" w:rsidR="007D417F" w:rsidRPr="007472E6" w:rsidRDefault="007D417F" w:rsidP="00E44AEF">
                  <w:pPr>
                    <w:pStyle w:val="TableBodyText"/>
                    <w:spacing w:after="20"/>
                    <w:rPr>
                      <w:szCs w:val="18"/>
                    </w:rPr>
                  </w:pPr>
                  <w:r w:rsidRPr="0081515A">
                    <w:rPr>
                      <w:rFonts w:cs="Arial"/>
                      <w:szCs w:val="18"/>
                    </w:rPr>
                    <w:t>22.2</w:t>
                  </w:r>
                </w:p>
              </w:tc>
            </w:tr>
            <w:tr w:rsidR="007D417F" w14:paraId="5EAED096" w14:textId="77777777" w:rsidTr="00E44AEF">
              <w:tc>
                <w:tcPr>
                  <w:tcW w:w="1574" w:type="pct"/>
                  <w:hideMark/>
                </w:tcPr>
                <w:p w14:paraId="1DFDB249" w14:textId="77777777" w:rsidR="007D417F" w:rsidRDefault="007D417F" w:rsidP="00E44AEF">
                  <w:pPr>
                    <w:pStyle w:val="TableBodyText"/>
                    <w:spacing w:after="20"/>
                    <w:jc w:val="left"/>
                  </w:pPr>
                  <w:r>
                    <w:t xml:space="preserve">Unallocated primary </w:t>
                  </w:r>
                  <w:proofErr w:type="spellStart"/>
                  <w:r>
                    <w:t>production</w:t>
                  </w:r>
                  <w:r w:rsidRPr="009B68C8">
                    <w:rPr>
                      <w:b/>
                      <w:bCs/>
                      <w:vertAlign w:val="superscript"/>
                    </w:rPr>
                    <w:t>b</w:t>
                  </w:r>
                  <w:proofErr w:type="spellEnd"/>
                </w:p>
              </w:tc>
              <w:tc>
                <w:tcPr>
                  <w:tcW w:w="663" w:type="pct"/>
                  <w:tcBorders>
                    <w:top w:val="nil"/>
                    <w:left w:val="nil"/>
                    <w:bottom w:val="nil"/>
                    <w:right w:val="nil"/>
                  </w:tcBorders>
                  <w:shd w:val="clear" w:color="auto" w:fill="auto"/>
                  <w:vAlign w:val="center"/>
                  <w:hideMark/>
                </w:tcPr>
                <w:p w14:paraId="28AD4B4D" w14:textId="77777777" w:rsidR="007D417F" w:rsidRPr="007472E6" w:rsidRDefault="007D417F" w:rsidP="00E44AEF">
                  <w:pPr>
                    <w:pStyle w:val="TableBodyText"/>
                    <w:spacing w:after="20"/>
                    <w:rPr>
                      <w:szCs w:val="18"/>
                    </w:rPr>
                  </w:pPr>
                  <w:r w:rsidRPr="0081515A">
                    <w:rPr>
                      <w:rFonts w:cs="Arial"/>
                      <w:szCs w:val="18"/>
                    </w:rPr>
                    <w:t>–</w:t>
                  </w:r>
                </w:p>
              </w:tc>
              <w:tc>
                <w:tcPr>
                  <w:tcW w:w="580" w:type="pct"/>
                  <w:tcBorders>
                    <w:top w:val="nil"/>
                    <w:left w:val="nil"/>
                    <w:bottom w:val="nil"/>
                    <w:right w:val="nil"/>
                  </w:tcBorders>
                  <w:shd w:val="clear" w:color="auto" w:fill="auto"/>
                  <w:vAlign w:val="center"/>
                  <w:hideMark/>
                </w:tcPr>
                <w:p w14:paraId="1B2E85F8" w14:textId="77777777" w:rsidR="007D417F" w:rsidRPr="007472E6" w:rsidRDefault="007D417F" w:rsidP="00E44AEF">
                  <w:pPr>
                    <w:pStyle w:val="TableBodyText"/>
                    <w:spacing w:after="20"/>
                    <w:rPr>
                      <w:szCs w:val="18"/>
                    </w:rPr>
                  </w:pPr>
                  <w:r w:rsidRPr="0081515A">
                    <w:rPr>
                      <w:rFonts w:cs="Arial"/>
                      <w:szCs w:val="18"/>
                    </w:rPr>
                    <w:t>–</w:t>
                  </w:r>
                </w:p>
              </w:tc>
              <w:tc>
                <w:tcPr>
                  <w:tcW w:w="475" w:type="pct"/>
                  <w:tcBorders>
                    <w:top w:val="nil"/>
                    <w:left w:val="nil"/>
                    <w:bottom w:val="nil"/>
                    <w:right w:val="nil"/>
                  </w:tcBorders>
                  <w:shd w:val="clear" w:color="000000" w:fill="F2F2F2"/>
                  <w:vAlign w:val="center"/>
                  <w:hideMark/>
                </w:tcPr>
                <w:p w14:paraId="62D62906" w14:textId="77777777" w:rsidR="007D417F" w:rsidRPr="007472E6" w:rsidRDefault="007D417F" w:rsidP="00E44AEF">
                  <w:pPr>
                    <w:pStyle w:val="TableBodyText"/>
                    <w:spacing w:after="20"/>
                    <w:rPr>
                      <w:szCs w:val="18"/>
                    </w:rPr>
                  </w:pPr>
                  <w:r w:rsidRPr="0081515A">
                    <w:rPr>
                      <w:rFonts w:cs="Arial"/>
                      <w:szCs w:val="18"/>
                    </w:rPr>
                    <w:t>–</w:t>
                  </w:r>
                </w:p>
              </w:tc>
              <w:tc>
                <w:tcPr>
                  <w:tcW w:w="550" w:type="pct"/>
                  <w:tcBorders>
                    <w:top w:val="nil"/>
                    <w:left w:val="nil"/>
                    <w:bottom w:val="nil"/>
                    <w:right w:val="nil"/>
                  </w:tcBorders>
                  <w:shd w:val="clear" w:color="auto" w:fill="auto"/>
                  <w:vAlign w:val="center"/>
                  <w:hideMark/>
                </w:tcPr>
                <w:p w14:paraId="4CF0B248" w14:textId="77777777" w:rsidR="007D417F" w:rsidRPr="007472E6" w:rsidRDefault="007D417F" w:rsidP="00E44AEF">
                  <w:pPr>
                    <w:pStyle w:val="TableBodyText"/>
                    <w:spacing w:after="20"/>
                    <w:rPr>
                      <w:szCs w:val="18"/>
                    </w:rPr>
                  </w:pPr>
                  <w:r w:rsidRPr="0081515A">
                    <w:rPr>
                      <w:rFonts w:cs="Arial"/>
                      <w:szCs w:val="18"/>
                    </w:rPr>
                    <w:t>201.5</w:t>
                  </w:r>
                </w:p>
              </w:tc>
              <w:tc>
                <w:tcPr>
                  <w:tcW w:w="485" w:type="pct"/>
                  <w:tcBorders>
                    <w:top w:val="nil"/>
                    <w:left w:val="nil"/>
                    <w:bottom w:val="nil"/>
                    <w:right w:val="nil"/>
                  </w:tcBorders>
                  <w:shd w:val="clear" w:color="auto" w:fill="auto"/>
                  <w:vAlign w:val="center"/>
                  <w:hideMark/>
                </w:tcPr>
                <w:p w14:paraId="48F44B99" w14:textId="77777777" w:rsidR="007D417F" w:rsidRPr="007472E6" w:rsidRDefault="007D417F" w:rsidP="00E44AEF">
                  <w:pPr>
                    <w:pStyle w:val="TableBodyText"/>
                    <w:spacing w:after="20"/>
                    <w:rPr>
                      <w:szCs w:val="18"/>
                    </w:rPr>
                  </w:pPr>
                  <w:r w:rsidRPr="0081515A">
                    <w:rPr>
                      <w:rFonts w:cs="Arial"/>
                      <w:szCs w:val="18"/>
                    </w:rPr>
                    <w:t>4.6</w:t>
                  </w:r>
                </w:p>
              </w:tc>
              <w:tc>
                <w:tcPr>
                  <w:tcW w:w="672" w:type="pct"/>
                  <w:tcBorders>
                    <w:top w:val="nil"/>
                    <w:left w:val="nil"/>
                    <w:bottom w:val="nil"/>
                    <w:right w:val="nil"/>
                  </w:tcBorders>
                  <w:shd w:val="clear" w:color="000000" w:fill="F2F2F2"/>
                  <w:vAlign w:val="center"/>
                  <w:hideMark/>
                </w:tcPr>
                <w:p w14:paraId="5F050572" w14:textId="77777777" w:rsidR="007D417F" w:rsidRPr="007472E6" w:rsidRDefault="007D417F" w:rsidP="00E44AEF">
                  <w:pPr>
                    <w:pStyle w:val="TableBodyText"/>
                    <w:spacing w:after="20"/>
                    <w:rPr>
                      <w:szCs w:val="18"/>
                    </w:rPr>
                  </w:pPr>
                  <w:r w:rsidRPr="0081515A">
                    <w:rPr>
                      <w:rFonts w:cs="Arial"/>
                      <w:szCs w:val="18"/>
                    </w:rPr>
                    <w:t>206.1</w:t>
                  </w:r>
                </w:p>
              </w:tc>
            </w:tr>
            <w:tr w:rsidR="007D417F" w:rsidRPr="000B758E" w14:paraId="29437823" w14:textId="77777777" w:rsidTr="00E44AEF">
              <w:tc>
                <w:tcPr>
                  <w:tcW w:w="1574" w:type="pct"/>
                  <w:hideMark/>
                </w:tcPr>
                <w:p w14:paraId="7384F317" w14:textId="77777777" w:rsidR="007D417F" w:rsidRPr="000B758E" w:rsidRDefault="007D417F" w:rsidP="00E44AEF">
                  <w:pPr>
                    <w:pStyle w:val="TableBodyText"/>
                    <w:jc w:val="left"/>
                    <w:rPr>
                      <w:b/>
                    </w:rPr>
                  </w:pPr>
                  <w:r w:rsidRPr="000B758E">
                    <w:rPr>
                      <w:b/>
                    </w:rPr>
                    <w:t>Mining</w:t>
                  </w:r>
                </w:p>
              </w:tc>
              <w:tc>
                <w:tcPr>
                  <w:tcW w:w="663" w:type="pct"/>
                  <w:tcBorders>
                    <w:top w:val="nil"/>
                    <w:left w:val="nil"/>
                    <w:bottom w:val="nil"/>
                    <w:right w:val="nil"/>
                  </w:tcBorders>
                  <w:shd w:val="clear" w:color="auto" w:fill="auto"/>
                  <w:vAlign w:val="center"/>
                  <w:hideMark/>
                </w:tcPr>
                <w:p w14:paraId="4E6EA913" w14:textId="77777777" w:rsidR="007D417F" w:rsidRPr="007472E6" w:rsidRDefault="007D417F" w:rsidP="00E44AEF">
                  <w:pPr>
                    <w:pStyle w:val="TableBodyText"/>
                    <w:rPr>
                      <w:b/>
                      <w:szCs w:val="18"/>
                    </w:rPr>
                  </w:pPr>
                  <w:r w:rsidRPr="0081515A">
                    <w:rPr>
                      <w:rFonts w:cs="Arial"/>
                      <w:b/>
                      <w:szCs w:val="18"/>
                    </w:rPr>
                    <w:t>0.6</w:t>
                  </w:r>
                </w:p>
              </w:tc>
              <w:tc>
                <w:tcPr>
                  <w:tcW w:w="580" w:type="pct"/>
                  <w:tcBorders>
                    <w:top w:val="nil"/>
                    <w:left w:val="nil"/>
                    <w:bottom w:val="nil"/>
                    <w:right w:val="nil"/>
                  </w:tcBorders>
                  <w:shd w:val="clear" w:color="auto" w:fill="auto"/>
                  <w:vAlign w:val="center"/>
                  <w:hideMark/>
                </w:tcPr>
                <w:p w14:paraId="06591127" w14:textId="77777777" w:rsidR="007D417F" w:rsidRPr="007472E6" w:rsidRDefault="007D417F" w:rsidP="00E44AEF">
                  <w:pPr>
                    <w:pStyle w:val="TableBodyText"/>
                    <w:rPr>
                      <w:b/>
                      <w:szCs w:val="18"/>
                    </w:rPr>
                  </w:pPr>
                  <w:r w:rsidRPr="0081515A">
                    <w:rPr>
                      <w:rFonts w:cs="Arial"/>
                      <w:b/>
                      <w:szCs w:val="18"/>
                    </w:rPr>
                    <w:t>-56.0</w:t>
                  </w:r>
                </w:p>
              </w:tc>
              <w:tc>
                <w:tcPr>
                  <w:tcW w:w="475" w:type="pct"/>
                  <w:tcBorders>
                    <w:top w:val="nil"/>
                    <w:left w:val="nil"/>
                    <w:bottom w:val="nil"/>
                    <w:right w:val="nil"/>
                  </w:tcBorders>
                  <w:shd w:val="clear" w:color="000000" w:fill="F2F2F2"/>
                  <w:vAlign w:val="center"/>
                  <w:hideMark/>
                </w:tcPr>
                <w:p w14:paraId="21F3B114" w14:textId="77777777" w:rsidR="007D417F" w:rsidRPr="007472E6" w:rsidRDefault="007D417F" w:rsidP="00E44AEF">
                  <w:pPr>
                    <w:pStyle w:val="TableBodyText"/>
                    <w:rPr>
                      <w:b/>
                      <w:szCs w:val="18"/>
                    </w:rPr>
                  </w:pPr>
                  <w:r w:rsidRPr="0081515A">
                    <w:rPr>
                      <w:rFonts w:cs="Arial"/>
                      <w:b/>
                      <w:szCs w:val="18"/>
                    </w:rPr>
                    <w:t>-55.4</w:t>
                  </w:r>
                </w:p>
              </w:tc>
              <w:tc>
                <w:tcPr>
                  <w:tcW w:w="550" w:type="pct"/>
                  <w:tcBorders>
                    <w:top w:val="nil"/>
                    <w:left w:val="nil"/>
                    <w:bottom w:val="nil"/>
                    <w:right w:val="nil"/>
                  </w:tcBorders>
                  <w:shd w:val="clear" w:color="auto" w:fill="auto"/>
                  <w:vAlign w:val="center"/>
                  <w:hideMark/>
                </w:tcPr>
                <w:p w14:paraId="1CDD10AD" w14:textId="77777777" w:rsidR="007D417F" w:rsidRPr="007472E6" w:rsidRDefault="007D417F" w:rsidP="00E44AEF">
                  <w:pPr>
                    <w:pStyle w:val="TableBodyText"/>
                    <w:rPr>
                      <w:b/>
                      <w:szCs w:val="18"/>
                    </w:rPr>
                  </w:pPr>
                  <w:r w:rsidRPr="0081515A">
                    <w:rPr>
                      <w:rFonts w:cs="Arial"/>
                      <w:b/>
                      <w:szCs w:val="18"/>
                    </w:rPr>
                    <w:t>192.8</w:t>
                  </w:r>
                </w:p>
              </w:tc>
              <w:tc>
                <w:tcPr>
                  <w:tcW w:w="485" w:type="pct"/>
                  <w:tcBorders>
                    <w:top w:val="nil"/>
                    <w:left w:val="nil"/>
                    <w:bottom w:val="nil"/>
                    <w:right w:val="nil"/>
                  </w:tcBorders>
                  <w:shd w:val="clear" w:color="auto" w:fill="auto"/>
                  <w:vAlign w:val="center"/>
                  <w:hideMark/>
                </w:tcPr>
                <w:p w14:paraId="67D59077" w14:textId="77777777" w:rsidR="007D417F" w:rsidRPr="007472E6" w:rsidRDefault="007D417F" w:rsidP="00E44AEF">
                  <w:pPr>
                    <w:pStyle w:val="TableBodyText"/>
                    <w:rPr>
                      <w:b/>
                      <w:szCs w:val="18"/>
                    </w:rPr>
                  </w:pPr>
                  <w:r w:rsidRPr="0081515A">
                    <w:rPr>
                      <w:rFonts w:cs="Arial"/>
                      <w:b/>
                      <w:szCs w:val="18"/>
                    </w:rPr>
                    <w:t>198.1</w:t>
                  </w:r>
                </w:p>
              </w:tc>
              <w:tc>
                <w:tcPr>
                  <w:tcW w:w="672" w:type="pct"/>
                  <w:tcBorders>
                    <w:top w:val="nil"/>
                    <w:left w:val="nil"/>
                    <w:bottom w:val="nil"/>
                    <w:right w:val="nil"/>
                  </w:tcBorders>
                  <w:shd w:val="clear" w:color="000000" w:fill="F2F2F2"/>
                  <w:vAlign w:val="center"/>
                  <w:hideMark/>
                </w:tcPr>
                <w:p w14:paraId="07141A59" w14:textId="77777777" w:rsidR="007D417F" w:rsidRPr="007472E6" w:rsidRDefault="007D417F" w:rsidP="00E44AEF">
                  <w:pPr>
                    <w:pStyle w:val="TableBodyText"/>
                    <w:rPr>
                      <w:b/>
                      <w:szCs w:val="18"/>
                    </w:rPr>
                  </w:pPr>
                  <w:r w:rsidRPr="0081515A">
                    <w:rPr>
                      <w:rFonts w:cs="Arial"/>
                      <w:b/>
                      <w:szCs w:val="18"/>
                    </w:rPr>
                    <w:t>335.5</w:t>
                  </w:r>
                </w:p>
              </w:tc>
            </w:tr>
            <w:tr w:rsidR="007D417F" w:rsidRPr="000B758E" w14:paraId="390337AF" w14:textId="77777777" w:rsidTr="00E44AEF">
              <w:tc>
                <w:tcPr>
                  <w:tcW w:w="1574" w:type="pct"/>
                  <w:hideMark/>
                </w:tcPr>
                <w:p w14:paraId="1C64AC36" w14:textId="77777777" w:rsidR="007D417F" w:rsidRPr="000B758E" w:rsidRDefault="007D417F" w:rsidP="00E44AEF">
                  <w:pPr>
                    <w:pStyle w:val="TableBodyText"/>
                    <w:jc w:val="left"/>
                    <w:rPr>
                      <w:b/>
                    </w:rPr>
                  </w:pPr>
                  <w:r w:rsidRPr="000B758E">
                    <w:rPr>
                      <w:b/>
                    </w:rPr>
                    <w:t>Manufacturing</w:t>
                  </w:r>
                </w:p>
              </w:tc>
              <w:tc>
                <w:tcPr>
                  <w:tcW w:w="663" w:type="pct"/>
                  <w:tcBorders>
                    <w:top w:val="nil"/>
                    <w:left w:val="nil"/>
                    <w:bottom w:val="nil"/>
                    <w:right w:val="nil"/>
                  </w:tcBorders>
                  <w:shd w:val="clear" w:color="auto" w:fill="auto"/>
                  <w:vAlign w:val="center"/>
                  <w:hideMark/>
                </w:tcPr>
                <w:p w14:paraId="5D2F50C2" w14:textId="77777777" w:rsidR="007D417F" w:rsidRPr="007472E6" w:rsidRDefault="007D417F" w:rsidP="00E44AEF">
                  <w:pPr>
                    <w:pStyle w:val="TableBodyText"/>
                    <w:rPr>
                      <w:b/>
                      <w:szCs w:val="18"/>
                    </w:rPr>
                  </w:pPr>
                  <w:r w:rsidRPr="0081515A">
                    <w:rPr>
                      <w:rFonts w:cs="Arial"/>
                      <w:b/>
                      <w:szCs w:val="18"/>
                    </w:rPr>
                    <w:t>1</w:t>
                  </w:r>
                  <w:r>
                    <w:rPr>
                      <w:rFonts w:cs="Arial"/>
                      <w:b/>
                      <w:szCs w:val="18"/>
                    </w:rPr>
                    <w:t> </w:t>
                  </w:r>
                  <w:r w:rsidRPr="0081515A">
                    <w:rPr>
                      <w:rFonts w:cs="Arial"/>
                      <w:b/>
                      <w:szCs w:val="18"/>
                    </w:rPr>
                    <w:t>732.3</w:t>
                  </w:r>
                </w:p>
              </w:tc>
              <w:tc>
                <w:tcPr>
                  <w:tcW w:w="580" w:type="pct"/>
                  <w:tcBorders>
                    <w:top w:val="nil"/>
                    <w:left w:val="nil"/>
                    <w:bottom w:val="nil"/>
                    <w:right w:val="nil"/>
                  </w:tcBorders>
                  <w:shd w:val="clear" w:color="auto" w:fill="auto"/>
                  <w:vAlign w:val="center"/>
                  <w:hideMark/>
                </w:tcPr>
                <w:p w14:paraId="7B3A04B4" w14:textId="77777777" w:rsidR="007D417F" w:rsidRPr="007472E6" w:rsidRDefault="007D417F" w:rsidP="00E44AEF">
                  <w:pPr>
                    <w:pStyle w:val="TableBodyText"/>
                    <w:rPr>
                      <w:b/>
                      <w:szCs w:val="18"/>
                    </w:rPr>
                  </w:pPr>
                  <w:r w:rsidRPr="0081515A">
                    <w:rPr>
                      <w:rFonts w:cs="Arial"/>
                      <w:b/>
                      <w:szCs w:val="18"/>
                    </w:rPr>
                    <w:t>-570.1</w:t>
                  </w:r>
                </w:p>
              </w:tc>
              <w:tc>
                <w:tcPr>
                  <w:tcW w:w="475" w:type="pct"/>
                  <w:tcBorders>
                    <w:top w:val="nil"/>
                    <w:left w:val="nil"/>
                    <w:bottom w:val="nil"/>
                    <w:right w:val="nil"/>
                  </w:tcBorders>
                  <w:shd w:val="clear" w:color="000000" w:fill="F2F2F2"/>
                  <w:vAlign w:val="center"/>
                  <w:hideMark/>
                </w:tcPr>
                <w:p w14:paraId="7BD3729C" w14:textId="77777777" w:rsidR="007D417F" w:rsidRPr="007472E6" w:rsidRDefault="007D417F" w:rsidP="00E44AEF">
                  <w:pPr>
                    <w:pStyle w:val="TableBodyText"/>
                    <w:rPr>
                      <w:b/>
                      <w:szCs w:val="18"/>
                    </w:rPr>
                  </w:pPr>
                  <w:r w:rsidRPr="0081515A">
                    <w:rPr>
                      <w:rFonts w:cs="Arial"/>
                      <w:b/>
                      <w:szCs w:val="18"/>
                    </w:rPr>
                    <w:t>1</w:t>
                  </w:r>
                  <w:r>
                    <w:rPr>
                      <w:rFonts w:cs="Arial"/>
                      <w:b/>
                      <w:szCs w:val="18"/>
                    </w:rPr>
                    <w:t> </w:t>
                  </w:r>
                  <w:r w:rsidRPr="0081515A">
                    <w:rPr>
                      <w:rFonts w:cs="Arial"/>
                      <w:b/>
                      <w:szCs w:val="18"/>
                    </w:rPr>
                    <w:t>162.3</w:t>
                  </w:r>
                </w:p>
              </w:tc>
              <w:tc>
                <w:tcPr>
                  <w:tcW w:w="550" w:type="pct"/>
                  <w:tcBorders>
                    <w:top w:val="nil"/>
                    <w:left w:val="nil"/>
                    <w:bottom w:val="nil"/>
                    <w:right w:val="nil"/>
                  </w:tcBorders>
                  <w:shd w:val="clear" w:color="auto" w:fill="auto"/>
                  <w:vAlign w:val="center"/>
                  <w:hideMark/>
                </w:tcPr>
                <w:p w14:paraId="79E0C95F" w14:textId="77777777" w:rsidR="007D417F" w:rsidRPr="007472E6" w:rsidRDefault="007D417F" w:rsidP="00E44AEF">
                  <w:pPr>
                    <w:pStyle w:val="TableBodyText"/>
                    <w:rPr>
                      <w:b/>
                      <w:szCs w:val="18"/>
                    </w:rPr>
                  </w:pPr>
                  <w:r w:rsidRPr="0081515A">
                    <w:rPr>
                      <w:rFonts w:cs="Arial"/>
                      <w:b/>
                      <w:szCs w:val="18"/>
                    </w:rPr>
                    <w:t>876.5</w:t>
                  </w:r>
                </w:p>
              </w:tc>
              <w:tc>
                <w:tcPr>
                  <w:tcW w:w="485" w:type="pct"/>
                  <w:tcBorders>
                    <w:top w:val="nil"/>
                    <w:left w:val="nil"/>
                    <w:bottom w:val="nil"/>
                    <w:right w:val="nil"/>
                  </w:tcBorders>
                  <w:shd w:val="clear" w:color="auto" w:fill="auto"/>
                  <w:vAlign w:val="center"/>
                  <w:hideMark/>
                </w:tcPr>
                <w:p w14:paraId="3F9A47B5" w14:textId="77777777" w:rsidR="007D417F" w:rsidRPr="007472E6" w:rsidRDefault="007D417F" w:rsidP="00E44AEF">
                  <w:pPr>
                    <w:pStyle w:val="TableBodyText"/>
                    <w:rPr>
                      <w:b/>
                      <w:szCs w:val="18"/>
                    </w:rPr>
                  </w:pPr>
                  <w:r w:rsidRPr="0081515A">
                    <w:rPr>
                      <w:rFonts w:cs="Arial"/>
                      <w:b/>
                      <w:szCs w:val="18"/>
                    </w:rPr>
                    <w:t>499.4</w:t>
                  </w:r>
                </w:p>
              </w:tc>
              <w:tc>
                <w:tcPr>
                  <w:tcW w:w="672" w:type="pct"/>
                  <w:tcBorders>
                    <w:top w:val="nil"/>
                    <w:left w:val="nil"/>
                    <w:bottom w:val="nil"/>
                    <w:right w:val="nil"/>
                  </w:tcBorders>
                  <w:shd w:val="clear" w:color="000000" w:fill="F2F2F2"/>
                  <w:vAlign w:val="center"/>
                  <w:hideMark/>
                </w:tcPr>
                <w:p w14:paraId="1CBDD0E2" w14:textId="77777777" w:rsidR="007D417F" w:rsidRPr="007472E6" w:rsidRDefault="007D417F" w:rsidP="00E44AEF">
                  <w:pPr>
                    <w:pStyle w:val="TableBodyText"/>
                    <w:rPr>
                      <w:b/>
                      <w:szCs w:val="18"/>
                    </w:rPr>
                  </w:pPr>
                  <w:r w:rsidRPr="0081515A">
                    <w:rPr>
                      <w:rFonts w:cs="Arial"/>
                      <w:b/>
                      <w:szCs w:val="18"/>
                    </w:rPr>
                    <w:t>2</w:t>
                  </w:r>
                  <w:r>
                    <w:rPr>
                      <w:rFonts w:cs="Arial"/>
                      <w:b/>
                      <w:szCs w:val="18"/>
                    </w:rPr>
                    <w:t> </w:t>
                  </w:r>
                  <w:r w:rsidRPr="0081515A">
                    <w:rPr>
                      <w:rFonts w:cs="Arial"/>
                      <w:b/>
                      <w:szCs w:val="18"/>
                    </w:rPr>
                    <w:t>538.2</w:t>
                  </w:r>
                </w:p>
              </w:tc>
            </w:tr>
            <w:tr w:rsidR="007D417F" w14:paraId="7C063C29" w14:textId="77777777" w:rsidTr="00E44AEF">
              <w:tc>
                <w:tcPr>
                  <w:tcW w:w="1574" w:type="pct"/>
                  <w:hideMark/>
                </w:tcPr>
                <w:p w14:paraId="4B7BF649" w14:textId="77777777" w:rsidR="007D417F" w:rsidRDefault="007D417F" w:rsidP="00E44AEF">
                  <w:pPr>
                    <w:pStyle w:val="TableBodyText"/>
                    <w:spacing w:after="20"/>
                    <w:jc w:val="left"/>
                  </w:pPr>
                  <w:r>
                    <w:t>Food, beverages and tobacco</w:t>
                  </w:r>
                </w:p>
              </w:tc>
              <w:tc>
                <w:tcPr>
                  <w:tcW w:w="663" w:type="pct"/>
                  <w:tcBorders>
                    <w:top w:val="nil"/>
                    <w:left w:val="nil"/>
                    <w:bottom w:val="nil"/>
                    <w:right w:val="nil"/>
                  </w:tcBorders>
                  <w:shd w:val="clear" w:color="auto" w:fill="auto"/>
                  <w:vAlign w:val="center"/>
                  <w:hideMark/>
                </w:tcPr>
                <w:p w14:paraId="6DA433D2" w14:textId="77777777" w:rsidR="007D417F" w:rsidRPr="007472E6" w:rsidRDefault="007D417F" w:rsidP="00E44AEF">
                  <w:pPr>
                    <w:pStyle w:val="TableBodyText"/>
                    <w:spacing w:after="20"/>
                    <w:rPr>
                      <w:szCs w:val="18"/>
                    </w:rPr>
                  </w:pPr>
                  <w:r w:rsidRPr="0081515A">
                    <w:rPr>
                      <w:rFonts w:cs="Arial"/>
                      <w:szCs w:val="18"/>
                    </w:rPr>
                    <w:t>621.1</w:t>
                  </w:r>
                </w:p>
              </w:tc>
              <w:tc>
                <w:tcPr>
                  <w:tcW w:w="580" w:type="pct"/>
                  <w:tcBorders>
                    <w:top w:val="nil"/>
                    <w:left w:val="nil"/>
                    <w:bottom w:val="nil"/>
                    <w:right w:val="nil"/>
                  </w:tcBorders>
                  <w:shd w:val="clear" w:color="auto" w:fill="auto"/>
                  <w:vAlign w:val="center"/>
                  <w:hideMark/>
                </w:tcPr>
                <w:p w14:paraId="4F64EF4E" w14:textId="77777777" w:rsidR="007D417F" w:rsidRPr="007472E6" w:rsidRDefault="007D417F" w:rsidP="00E44AEF">
                  <w:pPr>
                    <w:pStyle w:val="TableBodyText"/>
                    <w:spacing w:after="20"/>
                    <w:rPr>
                      <w:szCs w:val="18"/>
                    </w:rPr>
                  </w:pPr>
                  <w:r w:rsidRPr="0081515A">
                    <w:rPr>
                      <w:rFonts w:cs="Arial"/>
                      <w:szCs w:val="18"/>
                    </w:rPr>
                    <w:t>-335.0</w:t>
                  </w:r>
                </w:p>
              </w:tc>
              <w:tc>
                <w:tcPr>
                  <w:tcW w:w="475" w:type="pct"/>
                  <w:tcBorders>
                    <w:top w:val="nil"/>
                    <w:left w:val="nil"/>
                    <w:bottom w:val="nil"/>
                    <w:right w:val="nil"/>
                  </w:tcBorders>
                  <w:shd w:val="clear" w:color="000000" w:fill="F2F2F2"/>
                  <w:vAlign w:val="center"/>
                  <w:hideMark/>
                </w:tcPr>
                <w:p w14:paraId="6E3D7274" w14:textId="77777777" w:rsidR="007D417F" w:rsidRPr="007472E6" w:rsidRDefault="007D417F" w:rsidP="00E44AEF">
                  <w:pPr>
                    <w:pStyle w:val="TableBodyText"/>
                    <w:spacing w:after="20"/>
                    <w:rPr>
                      <w:szCs w:val="18"/>
                    </w:rPr>
                  </w:pPr>
                  <w:r w:rsidRPr="0081515A">
                    <w:rPr>
                      <w:rFonts w:cs="Arial"/>
                      <w:szCs w:val="18"/>
                    </w:rPr>
                    <w:t>286.2</w:t>
                  </w:r>
                </w:p>
              </w:tc>
              <w:tc>
                <w:tcPr>
                  <w:tcW w:w="550" w:type="pct"/>
                  <w:tcBorders>
                    <w:top w:val="nil"/>
                    <w:left w:val="nil"/>
                    <w:bottom w:val="nil"/>
                    <w:right w:val="nil"/>
                  </w:tcBorders>
                  <w:shd w:val="clear" w:color="auto" w:fill="auto"/>
                  <w:vAlign w:val="center"/>
                  <w:hideMark/>
                </w:tcPr>
                <w:p w14:paraId="465CB44A" w14:textId="77777777" w:rsidR="007D417F" w:rsidRPr="007472E6" w:rsidRDefault="007D417F" w:rsidP="00E44AEF">
                  <w:pPr>
                    <w:pStyle w:val="TableBodyText"/>
                    <w:spacing w:after="20"/>
                    <w:rPr>
                      <w:szCs w:val="18"/>
                    </w:rPr>
                  </w:pPr>
                  <w:r w:rsidRPr="0081515A">
                    <w:rPr>
                      <w:rFonts w:cs="Arial"/>
                      <w:szCs w:val="18"/>
                    </w:rPr>
                    <w:t>49.5</w:t>
                  </w:r>
                </w:p>
              </w:tc>
              <w:tc>
                <w:tcPr>
                  <w:tcW w:w="485" w:type="pct"/>
                  <w:tcBorders>
                    <w:top w:val="nil"/>
                    <w:left w:val="nil"/>
                    <w:bottom w:val="nil"/>
                    <w:right w:val="nil"/>
                  </w:tcBorders>
                  <w:shd w:val="clear" w:color="auto" w:fill="auto"/>
                  <w:vAlign w:val="center"/>
                  <w:hideMark/>
                </w:tcPr>
                <w:p w14:paraId="6D7D674D" w14:textId="77777777" w:rsidR="007D417F" w:rsidRPr="007472E6" w:rsidRDefault="007D417F" w:rsidP="00E44AEF">
                  <w:pPr>
                    <w:pStyle w:val="TableBodyText"/>
                    <w:spacing w:after="20"/>
                    <w:rPr>
                      <w:szCs w:val="18"/>
                    </w:rPr>
                  </w:pPr>
                  <w:r w:rsidRPr="0081515A">
                    <w:rPr>
                      <w:rFonts w:cs="Arial"/>
                      <w:szCs w:val="18"/>
                    </w:rPr>
                    <w:t>40.6</w:t>
                  </w:r>
                </w:p>
              </w:tc>
              <w:tc>
                <w:tcPr>
                  <w:tcW w:w="672" w:type="pct"/>
                  <w:tcBorders>
                    <w:top w:val="nil"/>
                    <w:left w:val="nil"/>
                    <w:bottom w:val="nil"/>
                    <w:right w:val="nil"/>
                  </w:tcBorders>
                  <w:shd w:val="clear" w:color="000000" w:fill="F2F2F2"/>
                  <w:vAlign w:val="center"/>
                  <w:hideMark/>
                </w:tcPr>
                <w:p w14:paraId="7EF0EECD" w14:textId="77777777" w:rsidR="007D417F" w:rsidRPr="007472E6" w:rsidRDefault="007D417F" w:rsidP="00E44AEF">
                  <w:pPr>
                    <w:pStyle w:val="TableBodyText"/>
                    <w:spacing w:after="20"/>
                    <w:rPr>
                      <w:szCs w:val="18"/>
                    </w:rPr>
                  </w:pPr>
                  <w:r w:rsidRPr="0081515A">
                    <w:rPr>
                      <w:rFonts w:cs="Arial"/>
                      <w:szCs w:val="18"/>
                    </w:rPr>
                    <w:t>376.3</w:t>
                  </w:r>
                </w:p>
              </w:tc>
            </w:tr>
            <w:tr w:rsidR="007D417F" w14:paraId="3D37681D" w14:textId="77777777" w:rsidTr="00E44AEF">
              <w:tc>
                <w:tcPr>
                  <w:tcW w:w="1574" w:type="pct"/>
                  <w:hideMark/>
                </w:tcPr>
                <w:p w14:paraId="163EDD52" w14:textId="77777777" w:rsidR="007D417F" w:rsidRDefault="007D417F" w:rsidP="00E44AEF">
                  <w:pPr>
                    <w:pStyle w:val="TableBodyText"/>
                    <w:spacing w:after="20"/>
                    <w:jc w:val="left"/>
                  </w:pPr>
                  <w:r>
                    <w:t>Textiles, clothing and footwear</w:t>
                  </w:r>
                </w:p>
              </w:tc>
              <w:tc>
                <w:tcPr>
                  <w:tcW w:w="663" w:type="pct"/>
                  <w:tcBorders>
                    <w:top w:val="nil"/>
                    <w:left w:val="nil"/>
                    <w:bottom w:val="nil"/>
                    <w:right w:val="nil"/>
                  </w:tcBorders>
                  <w:shd w:val="clear" w:color="auto" w:fill="auto"/>
                  <w:vAlign w:val="center"/>
                  <w:hideMark/>
                </w:tcPr>
                <w:p w14:paraId="04BD3FFA" w14:textId="77777777" w:rsidR="007D417F" w:rsidRPr="007472E6" w:rsidRDefault="007D417F" w:rsidP="00E44AEF">
                  <w:pPr>
                    <w:pStyle w:val="TableBodyText"/>
                    <w:spacing w:after="20"/>
                    <w:rPr>
                      <w:szCs w:val="18"/>
                    </w:rPr>
                  </w:pPr>
                  <w:r w:rsidRPr="0081515A">
                    <w:rPr>
                      <w:rFonts w:cs="Arial"/>
                      <w:szCs w:val="18"/>
                    </w:rPr>
                    <w:t>43.2</w:t>
                  </w:r>
                </w:p>
              </w:tc>
              <w:tc>
                <w:tcPr>
                  <w:tcW w:w="580" w:type="pct"/>
                  <w:tcBorders>
                    <w:top w:val="nil"/>
                    <w:left w:val="nil"/>
                    <w:bottom w:val="nil"/>
                    <w:right w:val="nil"/>
                  </w:tcBorders>
                  <w:shd w:val="clear" w:color="auto" w:fill="auto"/>
                  <w:vAlign w:val="center"/>
                  <w:hideMark/>
                </w:tcPr>
                <w:p w14:paraId="6B4BFB3C" w14:textId="77777777" w:rsidR="007D417F" w:rsidRPr="007472E6" w:rsidRDefault="007D417F" w:rsidP="00E44AEF">
                  <w:pPr>
                    <w:pStyle w:val="TableBodyText"/>
                    <w:spacing w:after="20"/>
                    <w:rPr>
                      <w:szCs w:val="18"/>
                    </w:rPr>
                  </w:pPr>
                  <w:r w:rsidRPr="0081515A">
                    <w:rPr>
                      <w:rFonts w:cs="Arial"/>
                      <w:szCs w:val="18"/>
                    </w:rPr>
                    <w:t>-13.7</w:t>
                  </w:r>
                </w:p>
              </w:tc>
              <w:tc>
                <w:tcPr>
                  <w:tcW w:w="475" w:type="pct"/>
                  <w:tcBorders>
                    <w:top w:val="nil"/>
                    <w:left w:val="nil"/>
                    <w:bottom w:val="nil"/>
                    <w:right w:val="nil"/>
                  </w:tcBorders>
                  <w:shd w:val="clear" w:color="000000" w:fill="F2F2F2"/>
                  <w:vAlign w:val="center"/>
                  <w:hideMark/>
                </w:tcPr>
                <w:p w14:paraId="5CF22D73" w14:textId="77777777" w:rsidR="007D417F" w:rsidRPr="007472E6" w:rsidRDefault="007D417F" w:rsidP="00E44AEF">
                  <w:pPr>
                    <w:pStyle w:val="TableBodyText"/>
                    <w:spacing w:after="20"/>
                    <w:rPr>
                      <w:szCs w:val="18"/>
                    </w:rPr>
                  </w:pPr>
                  <w:r w:rsidRPr="0081515A">
                    <w:rPr>
                      <w:rFonts w:cs="Arial"/>
                      <w:szCs w:val="18"/>
                    </w:rPr>
                    <w:t>29.5</w:t>
                  </w:r>
                </w:p>
              </w:tc>
              <w:tc>
                <w:tcPr>
                  <w:tcW w:w="550" w:type="pct"/>
                  <w:tcBorders>
                    <w:top w:val="nil"/>
                    <w:left w:val="nil"/>
                    <w:bottom w:val="nil"/>
                    <w:right w:val="nil"/>
                  </w:tcBorders>
                  <w:shd w:val="clear" w:color="auto" w:fill="auto"/>
                  <w:vAlign w:val="center"/>
                  <w:hideMark/>
                </w:tcPr>
                <w:p w14:paraId="51C669F8" w14:textId="77777777" w:rsidR="007D417F" w:rsidRPr="007472E6" w:rsidRDefault="007D417F" w:rsidP="00E44AEF">
                  <w:pPr>
                    <w:pStyle w:val="TableBodyText"/>
                    <w:spacing w:after="20"/>
                    <w:rPr>
                      <w:szCs w:val="18"/>
                    </w:rPr>
                  </w:pPr>
                  <w:r w:rsidRPr="0081515A">
                    <w:rPr>
                      <w:rFonts w:cs="Arial"/>
                      <w:szCs w:val="18"/>
                    </w:rPr>
                    <w:t>22.0</w:t>
                  </w:r>
                </w:p>
              </w:tc>
              <w:tc>
                <w:tcPr>
                  <w:tcW w:w="485" w:type="pct"/>
                  <w:tcBorders>
                    <w:top w:val="nil"/>
                    <w:left w:val="nil"/>
                    <w:bottom w:val="nil"/>
                    <w:right w:val="nil"/>
                  </w:tcBorders>
                  <w:shd w:val="clear" w:color="auto" w:fill="auto"/>
                  <w:vAlign w:val="center"/>
                  <w:hideMark/>
                </w:tcPr>
                <w:p w14:paraId="43DC3D17" w14:textId="77777777" w:rsidR="007D417F" w:rsidRPr="007472E6" w:rsidRDefault="007D417F" w:rsidP="00E44AEF">
                  <w:pPr>
                    <w:pStyle w:val="TableBodyText"/>
                    <w:spacing w:after="20"/>
                    <w:rPr>
                      <w:szCs w:val="18"/>
                    </w:rPr>
                  </w:pPr>
                  <w:r w:rsidRPr="0081515A">
                    <w:rPr>
                      <w:rFonts w:cs="Arial"/>
                      <w:szCs w:val="18"/>
                    </w:rPr>
                    <w:t>6.7</w:t>
                  </w:r>
                </w:p>
              </w:tc>
              <w:tc>
                <w:tcPr>
                  <w:tcW w:w="672" w:type="pct"/>
                  <w:tcBorders>
                    <w:top w:val="nil"/>
                    <w:left w:val="nil"/>
                    <w:bottom w:val="nil"/>
                    <w:right w:val="nil"/>
                  </w:tcBorders>
                  <w:shd w:val="clear" w:color="000000" w:fill="F2F2F2"/>
                  <w:vAlign w:val="center"/>
                  <w:hideMark/>
                </w:tcPr>
                <w:p w14:paraId="732067B4" w14:textId="77777777" w:rsidR="007D417F" w:rsidRPr="007472E6" w:rsidRDefault="007D417F" w:rsidP="00E44AEF">
                  <w:pPr>
                    <w:pStyle w:val="TableBodyText"/>
                    <w:spacing w:after="20"/>
                    <w:rPr>
                      <w:szCs w:val="18"/>
                    </w:rPr>
                  </w:pPr>
                  <w:r w:rsidRPr="0081515A">
                    <w:rPr>
                      <w:rFonts w:cs="Arial"/>
                      <w:szCs w:val="18"/>
                    </w:rPr>
                    <w:t>58.2</w:t>
                  </w:r>
                </w:p>
              </w:tc>
            </w:tr>
            <w:tr w:rsidR="007D417F" w14:paraId="1AC6D25D" w14:textId="77777777" w:rsidTr="00E44AEF">
              <w:tc>
                <w:tcPr>
                  <w:tcW w:w="1574" w:type="pct"/>
                  <w:hideMark/>
                </w:tcPr>
                <w:p w14:paraId="11A206F7" w14:textId="77777777" w:rsidR="007D417F" w:rsidRDefault="007D417F" w:rsidP="00E44AEF">
                  <w:pPr>
                    <w:pStyle w:val="TableBodyText"/>
                    <w:spacing w:after="20"/>
                    <w:jc w:val="left"/>
                  </w:pPr>
                  <w:r>
                    <w:t>Wood and paper products</w:t>
                  </w:r>
                </w:p>
              </w:tc>
              <w:tc>
                <w:tcPr>
                  <w:tcW w:w="663" w:type="pct"/>
                  <w:tcBorders>
                    <w:top w:val="nil"/>
                    <w:left w:val="nil"/>
                    <w:bottom w:val="nil"/>
                    <w:right w:val="nil"/>
                  </w:tcBorders>
                  <w:shd w:val="clear" w:color="auto" w:fill="auto"/>
                  <w:vAlign w:val="center"/>
                  <w:hideMark/>
                </w:tcPr>
                <w:p w14:paraId="0FF1F0D3" w14:textId="77777777" w:rsidR="007D417F" w:rsidRPr="007472E6" w:rsidRDefault="007D417F" w:rsidP="00E44AEF">
                  <w:pPr>
                    <w:pStyle w:val="TableBodyText"/>
                    <w:spacing w:after="20"/>
                    <w:rPr>
                      <w:szCs w:val="18"/>
                    </w:rPr>
                  </w:pPr>
                  <w:r w:rsidRPr="0081515A">
                    <w:rPr>
                      <w:rFonts w:cs="Arial"/>
                      <w:szCs w:val="18"/>
                    </w:rPr>
                    <w:t>174.0</w:t>
                  </w:r>
                </w:p>
              </w:tc>
              <w:tc>
                <w:tcPr>
                  <w:tcW w:w="580" w:type="pct"/>
                  <w:tcBorders>
                    <w:top w:val="nil"/>
                    <w:left w:val="nil"/>
                    <w:bottom w:val="nil"/>
                    <w:right w:val="nil"/>
                  </w:tcBorders>
                  <w:shd w:val="clear" w:color="auto" w:fill="auto"/>
                  <w:vAlign w:val="center"/>
                  <w:hideMark/>
                </w:tcPr>
                <w:p w14:paraId="4FB07FE1" w14:textId="77777777" w:rsidR="007D417F" w:rsidRPr="007472E6" w:rsidRDefault="007D417F" w:rsidP="00E44AEF">
                  <w:pPr>
                    <w:pStyle w:val="TableBodyText"/>
                    <w:spacing w:after="20"/>
                    <w:rPr>
                      <w:szCs w:val="18"/>
                    </w:rPr>
                  </w:pPr>
                  <w:r w:rsidRPr="0081515A">
                    <w:rPr>
                      <w:rFonts w:cs="Arial"/>
                      <w:szCs w:val="18"/>
                    </w:rPr>
                    <w:t>-32.5</w:t>
                  </w:r>
                </w:p>
              </w:tc>
              <w:tc>
                <w:tcPr>
                  <w:tcW w:w="475" w:type="pct"/>
                  <w:tcBorders>
                    <w:top w:val="nil"/>
                    <w:left w:val="nil"/>
                    <w:bottom w:val="nil"/>
                    <w:right w:val="nil"/>
                  </w:tcBorders>
                  <w:shd w:val="clear" w:color="000000" w:fill="F2F2F2"/>
                  <w:vAlign w:val="center"/>
                  <w:hideMark/>
                </w:tcPr>
                <w:p w14:paraId="4126C18A" w14:textId="77777777" w:rsidR="007D417F" w:rsidRPr="007472E6" w:rsidRDefault="007D417F" w:rsidP="00E44AEF">
                  <w:pPr>
                    <w:pStyle w:val="TableBodyText"/>
                    <w:spacing w:after="20"/>
                    <w:rPr>
                      <w:szCs w:val="18"/>
                    </w:rPr>
                  </w:pPr>
                  <w:r w:rsidRPr="0081515A">
                    <w:rPr>
                      <w:rFonts w:cs="Arial"/>
                      <w:szCs w:val="18"/>
                    </w:rPr>
                    <w:t>141.5</w:t>
                  </w:r>
                </w:p>
              </w:tc>
              <w:tc>
                <w:tcPr>
                  <w:tcW w:w="550" w:type="pct"/>
                  <w:tcBorders>
                    <w:top w:val="nil"/>
                    <w:left w:val="nil"/>
                    <w:bottom w:val="nil"/>
                    <w:right w:val="nil"/>
                  </w:tcBorders>
                  <w:shd w:val="clear" w:color="auto" w:fill="auto"/>
                  <w:vAlign w:val="center"/>
                  <w:hideMark/>
                </w:tcPr>
                <w:p w14:paraId="06DBAD11" w14:textId="77777777" w:rsidR="007D417F" w:rsidRPr="007472E6" w:rsidRDefault="007D417F" w:rsidP="00E44AEF">
                  <w:pPr>
                    <w:pStyle w:val="TableBodyText"/>
                    <w:spacing w:after="20"/>
                    <w:rPr>
                      <w:szCs w:val="18"/>
                    </w:rPr>
                  </w:pPr>
                  <w:r w:rsidRPr="0081515A">
                    <w:rPr>
                      <w:rFonts w:cs="Arial"/>
                      <w:szCs w:val="18"/>
                    </w:rPr>
                    <w:t>10.5</w:t>
                  </w:r>
                </w:p>
              </w:tc>
              <w:tc>
                <w:tcPr>
                  <w:tcW w:w="485" w:type="pct"/>
                  <w:tcBorders>
                    <w:top w:val="nil"/>
                    <w:left w:val="nil"/>
                    <w:bottom w:val="nil"/>
                    <w:right w:val="nil"/>
                  </w:tcBorders>
                  <w:shd w:val="clear" w:color="auto" w:fill="auto"/>
                  <w:vAlign w:val="center"/>
                  <w:hideMark/>
                </w:tcPr>
                <w:p w14:paraId="348B282A" w14:textId="77777777" w:rsidR="007D417F" w:rsidRPr="007472E6" w:rsidRDefault="007D417F" w:rsidP="00E44AEF">
                  <w:pPr>
                    <w:pStyle w:val="TableBodyText"/>
                    <w:spacing w:after="20"/>
                    <w:rPr>
                      <w:szCs w:val="18"/>
                    </w:rPr>
                  </w:pPr>
                  <w:r w:rsidRPr="0081515A">
                    <w:rPr>
                      <w:rFonts w:cs="Arial"/>
                      <w:szCs w:val="18"/>
                    </w:rPr>
                    <w:t>9.3</w:t>
                  </w:r>
                </w:p>
              </w:tc>
              <w:tc>
                <w:tcPr>
                  <w:tcW w:w="672" w:type="pct"/>
                  <w:tcBorders>
                    <w:top w:val="nil"/>
                    <w:left w:val="nil"/>
                    <w:bottom w:val="nil"/>
                    <w:right w:val="nil"/>
                  </w:tcBorders>
                  <w:shd w:val="clear" w:color="000000" w:fill="F2F2F2"/>
                  <w:vAlign w:val="center"/>
                  <w:hideMark/>
                </w:tcPr>
                <w:p w14:paraId="59909591" w14:textId="77777777" w:rsidR="007D417F" w:rsidRPr="007472E6" w:rsidRDefault="007D417F" w:rsidP="00E44AEF">
                  <w:pPr>
                    <w:pStyle w:val="TableBodyText"/>
                    <w:spacing w:after="20"/>
                    <w:rPr>
                      <w:szCs w:val="18"/>
                    </w:rPr>
                  </w:pPr>
                  <w:r w:rsidRPr="0081515A">
                    <w:rPr>
                      <w:rFonts w:cs="Arial"/>
                      <w:szCs w:val="18"/>
                    </w:rPr>
                    <w:t>161.3</w:t>
                  </w:r>
                </w:p>
              </w:tc>
            </w:tr>
            <w:tr w:rsidR="007D417F" w14:paraId="28C3E49B" w14:textId="77777777" w:rsidTr="00E44AEF">
              <w:tc>
                <w:tcPr>
                  <w:tcW w:w="1574" w:type="pct"/>
                  <w:hideMark/>
                </w:tcPr>
                <w:p w14:paraId="588108D5" w14:textId="77777777" w:rsidR="007D417F" w:rsidRDefault="007D417F" w:rsidP="00E44AEF">
                  <w:pPr>
                    <w:pStyle w:val="TableBodyText"/>
                    <w:spacing w:after="20"/>
                    <w:jc w:val="left"/>
                  </w:pPr>
                  <w:r>
                    <w:t>Printing and recorded media</w:t>
                  </w:r>
                </w:p>
              </w:tc>
              <w:tc>
                <w:tcPr>
                  <w:tcW w:w="663" w:type="pct"/>
                  <w:tcBorders>
                    <w:top w:val="nil"/>
                    <w:left w:val="nil"/>
                    <w:bottom w:val="nil"/>
                    <w:right w:val="nil"/>
                  </w:tcBorders>
                  <w:shd w:val="clear" w:color="auto" w:fill="auto"/>
                  <w:vAlign w:val="center"/>
                  <w:hideMark/>
                </w:tcPr>
                <w:p w14:paraId="693CC56B" w14:textId="77777777" w:rsidR="007D417F" w:rsidRPr="007472E6" w:rsidRDefault="007D417F" w:rsidP="00E44AEF">
                  <w:pPr>
                    <w:pStyle w:val="TableBodyText"/>
                    <w:spacing w:after="20"/>
                    <w:rPr>
                      <w:szCs w:val="18"/>
                    </w:rPr>
                  </w:pPr>
                  <w:r w:rsidRPr="0081515A">
                    <w:rPr>
                      <w:rFonts w:cs="Arial"/>
                      <w:szCs w:val="18"/>
                    </w:rPr>
                    <w:t>18.1</w:t>
                  </w:r>
                </w:p>
              </w:tc>
              <w:tc>
                <w:tcPr>
                  <w:tcW w:w="580" w:type="pct"/>
                  <w:tcBorders>
                    <w:top w:val="nil"/>
                    <w:left w:val="nil"/>
                    <w:bottom w:val="nil"/>
                    <w:right w:val="nil"/>
                  </w:tcBorders>
                  <w:shd w:val="clear" w:color="auto" w:fill="auto"/>
                  <w:vAlign w:val="center"/>
                  <w:hideMark/>
                </w:tcPr>
                <w:p w14:paraId="5B6E853E" w14:textId="77777777" w:rsidR="007D417F" w:rsidRPr="007472E6" w:rsidRDefault="007D417F" w:rsidP="00E44AEF">
                  <w:pPr>
                    <w:pStyle w:val="TableBodyText"/>
                    <w:spacing w:after="20"/>
                    <w:rPr>
                      <w:szCs w:val="18"/>
                    </w:rPr>
                  </w:pPr>
                  <w:r w:rsidRPr="0081515A">
                    <w:rPr>
                      <w:rFonts w:cs="Arial"/>
                      <w:szCs w:val="18"/>
                    </w:rPr>
                    <w:t>-2.8</w:t>
                  </w:r>
                </w:p>
              </w:tc>
              <w:tc>
                <w:tcPr>
                  <w:tcW w:w="475" w:type="pct"/>
                  <w:tcBorders>
                    <w:top w:val="nil"/>
                    <w:left w:val="nil"/>
                    <w:bottom w:val="nil"/>
                    <w:right w:val="nil"/>
                  </w:tcBorders>
                  <w:shd w:val="clear" w:color="000000" w:fill="F2F2F2"/>
                  <w:vAlign w:val="center"/>
                  <w:hideMark/>
                </w:tcPr>
                <w:p w14:paraId="39FA8087" w14:textId="77777777" w:rsidR="007D417F" w:rsidRPr="007472E6" w:rsidRDefault="007D417F" w:rsidP="00E44AEF">
                  <w:pPr>
                    <w:pStyle w:val="TableBodyText"/>
                    <w:spacing w:after="20"/>
                    <w:rPr>
                      <w:szCs w:val="18"/>
                    </w:rPr>
                  </w:pPr>
                  <w:r w:rsidRPr="0081515A">
                    <w:rPr>
                      <w:rFonts w:cs="Arial"/>
                      <w:szCs w:val="18"/>
                    </w:rPr>
                    <w:t>15.3</w:t>
                  </w:r>
                </w:p>
              </w:tc>
              <w:tc>
                <w:tcPr>
                  <w:tcW w:w="550" w:type="pct"/>
                  <w:tcBorders>
                    <w:top w:val="nil"/>
                    <w:left w:val="nil"/>
                    <w:bottom w:val="nil"/>
                    <w:right w:val="nil"/>
                  </w:tcBorders>
                  <w:shd w:val="clear" w:color="auto" w:fill="auto"/>
                  <w:vAlign w:val="center"/>
                  <w:hideMark/>
                </w:tcPr>
                <w:p w14:paraId="5A218F30" w14:textId="77777777" w:rsidR="007D417F" w:rsidRPr="007472E6" w:rsidRDefault="007D417F" w:rsidP="00E44AEF">
                  <w:pPr>
                    <w:pStyle w:val="TableBodyText"/>
                    <w:spacing w:after="20"/>
                    <w:rPr>
                      <w:szCs w:val="18"/>
                    </w:rPr>
                  </w:pPr>
                  <w:r w:rsidRPr="0081515A">
                    <w:rPr>
                      <w:rFonts w:cs="Arial"/>
                      <w:szCs w:val="18"/>
                    </w:rPr>
                    <w:t>43.9</w:t>
                  </w:r>
                </w:p>
              </w:tc>
              <w:tc>
                <w:tcPr>
                  <w:tcW w:w="485" w:type="pct"/>
                  <w:tcBorders>
                    <w:top w:val="nil"/>
                    <w:left w:val="nil"/>
                    <w:bottom w:val="nil"/>
                    <w:right w:val="nil"/>
                  </w:tcBorders>
                  <w:shd w:val="clear" w:color="auto" w:fill="auto"/>
                  <w:vAlign w:val="center"/>
                  <w:hideMark/>
                </w:tcPr>
                <w:p w14:paraId="547EFD9A" w14:textId="77777777" w:rsidR="007D417F" w:rsidRPr="007472E6" w:rsidRDefault="007D417F" w:rsidP="00E44AEF">
                  <w:pPr>
                    <w:pStyle w:val="TableBodyText"/>
                    <w:spacing w:after="20"/>
                    <w:rPr>
                      <w:szCs w:val="18"/>
                    </w:rPr>
                  </w:pPr>
                  <w:r w:rsidRPr="0081515A">
                    <w:rPr>
                      <w:rFonts w:cs="Arial"/>
                      <w:szCs w:val="18"/>
                    </w:rPr>
                    <w:t>13.8</w:t>
                  </w:r>
                </w:p>
              </w:tc>
              <w:tc>
                <w:tcPr>
                  <w:tcW w:w="672" w:type="pct"/>
                  <w:tcBorders>
                    <w:top w:val="nil"/>
                    <w:left w:val="nil"/>
                    <w:bottom w:val="nil"/>
                    <w:right w:val="nil"/>
                  </w:tcBorders>
                  <w:shd w:val="clear" w:color="000000" w:fill="F2F2F2"/>
                  <w:vAlign w:val="center"/>
                  <w:hideMark/>
                </w:tcPr>
                <w:p w14:paraId="26D3DCA1" w14:textId="77777777" w:rsidR="007D417F" w:rsidRPr="007472E6" w:rsidRDefault="007D417F" w:rsidP="00E44AEF">
                  <w:pPr>
                    <w:pStyle w:val="TableBodyText"/>
                    <w:spacing w:after="20"/>
                    <w:rPr>
                      <w:szCs w:val="18"/>
                    </w:rPr>
                  </w:pPr>
                  <w:r w:rsidRPr="0081515A">
                    <w:rPr>
                      <w:rFonts w:cs="Arial"/>
                      <w:szCs w:val="18"/>
                    </w:rPr>
                    <w:t>73.0</w:t>
                  </w:r>
                </w:p>
              </w:tc>
            </w:tr>
            <w:tr w:rsidR="007D417F" w14:paraId="6983C99B" w14:textId="77777777" w:rsidTr="00E44AEF">
              <w:tc>
                <w:tcPr>
                  <w:tcW w:w="1574" w:type="pct"/>
                  <w:hideMark/>
                </w:tcPr>
                <w:p w14:paraId="7E25D929" w14:textId="77777777" w:rsidR="007D417F" w:rsidRDefault="007D417F" w:rsidP="00E44AEF">
                  <w:pPr>
                    <w:pStyle w:val="TableBodyText"/>
                    <w:spacing w:after="20"/>
                    <w:jc w:val="left"/>
                  </w:pPr>
                  <w:r>
                    <w:t>Petroleum, coal and chemicals</w:t>
                  </w:r>
                </w:p>
              </w:tc>
              <w:tc>
                <w:tcPr>
                  <w:tcW w:w="663" w:type="pct"/>
                  <w:tcBorders>
                    <w:top w:val="nil"/>
                    <w:left w:val="nil"/>
                    <w:bottom w:val="nil"/>
                    <w:right w:val="nil"/>
                  </w:tcBorders>
                  <w:shd w:val="clear" w:color="auto" w:fill="auto"/>
                  <w:vAlign w:val="center"/>
                  <w:hideMark/>
                </w:tcPr>
                <w:p w14:paraId="0D08E558" w14:textId="77777777" w:rsidR="007D417F" w:rsidRPr="007472E6" w:rsidRDefault="007D417F" w:rsidP="00E44AEF">
                  <w:pPr>
                    <w:pStyle w:val="TableBodyText"/>
                    <w:spacing w:after="20"/>
                    <w:rPr>
                      <w:szCs w:val="18"/>
                    </w:rPr>
                  </w:pPr>
                  <w:r w:rsidRPr="0081515A">
                    <w:rPr>
                      <w:rFonts w:cs="Arial"/>
                      <w:szCs w:val="18"/>
                    </w:rPr>
                    <w:t>208.3</w:t>
                  </w:r>
                </w:p>
              </w:tc>
              <w:tc>
                <w:tcPr>
                  <w:tcW w:w="580" w:type="pct"/>
                  <w:tcBorders>
                    <w:top w:val="nil"/>
                    <w:left w:val="nil"/>
                    <w:bottom w:val="nil"/>
                    <w:right w:val="nil"/>
                  </w:tcBorders>
                  <w:shd w:val="clear" w:color="auto" w:fill="auto"/>
                  <w:vAlign w:val="center"/>
                  <w:hideMark/>
                </w:tcPr>
                <w:p w14:paraId="295326BB" w14:textId="77777777" w:rsidR="007D417F" w:rsidRPr="007472E6" w:rsidRDefault="007D417F" w:rsidP="00E44AEF">
                  <w:pPr>
                    <w:pStyle w:val="TableBodyText"/>
                    <w:spacing w:after="20"/>
                    <w:rPr>
                      <w:szCs w:val="18"/>
                    </w:rPr>
                  </w:pPr>
                  <w:r w:rsidRPr="0081515A">
                    <w:rPr>
                      <w:rFonts w:cs="Arial"/>
                      <w:szCs w:val="18"/>
                    </w:rPr>
                    <w:t>-42.1</w:t>
                  </w:r>
                </w:p>
              </w:tc>
              <w:tc>
                <w:tcPr>
                  <w:tcW w:w="475" w:type="pct"/>
                  <w:tcBorders>
                    <w:top w:val="nil"/>
                    <w:left w:val="nil"/>
                    <w:bottom w:val="nil"/>
                    <w:right w:val="nil"/>
                  </w:tcBorders>
                  <w:shd w:val="clear" w:color="000000" w:fill="F2F2F2"/>
                  <w:vAlign w:val="center"/>
                  <w:hideMark/>
                </w:tcPr>
                <w:p w14:paraId="76018B87" w14:textId="77777777" w:rsidR="007D417F" w:rsidRPr="007472E6" w:rsidRDefault="007D417F" w:rsidP="00E44AEF">
                  <w:pPr>
                    <w:pStyle w:val="TableBodyText"/>
                    <w:spacing w:after="20"/>
                    <w:rPr>
                      <w:szCs w:val="18"/>
                    </w:rPr>
                  </w:pPr>
                  <w:r w:rsidRPr="0081515A">
                    <w:rPr>
                      <w:rFonts w:cs="Arial"/>
                      <w:szCs w:val="18"/>
                    </w:rPr>
                    <w:t>166.2</w:t>
                  </w:r>
                </w:p>
              </w:tc>
              <w:tc>
                <w:tcPr>
                  <w:tcW w:w="550" w:type="pct"/>
                  <w:tcBorders>
                    <w:top w:val="nil"/>
                    <w:left w:val="nil"/>
                    <w:bottom w:val="nil"/>
                    <w:right w:val="nil"/>
                  </w:tcBorders>
                  <w:shd w:val="clear" w:color="auto" w:fill="auto"/>
                  <w:vAlign w:val="center"/>
                  <w:hideMark/>
                </w:tcPr>
                <w:p w14:paraId="3452B1B4" w14:textId="77777777" w:rsidR="007D417F" w:rsidRPr="007472E6" w:rsidRDefault="007D417F" w:rsidP="00E44AEF">
                  <w:pPr>
                    <w:pStyle w:val="TableBodyText"/>
                    <w:spacing w:after="20"/>
                    <w:rPr>
                      <w:szCs w:val="18"/>
                    </w:rPr>
                  </w:pPr>
                  <w:r w:rsidRPr="0081515A">
                    <w:rPr>
                      <w:rFonts w:cs="Arial"/>
                      <w:szCs w:val="18"/>
                    </w:rPr>
                    <w:t>187.9</w:t>
                  </w:r>
                </w:p>
              </w:tc>
              <w:tc>
                <w:tcPr>
                  <w:tcW w:w="485" w:type="pct"/>
                  <w:tcBorders>
                    <w:top w:val="nil"/>
                    <w:left w:val="nil"/>
                    <w:bottom w:val="nil"/>
                    <w:right w:val="nil"/>
                  </w:tcBorders>
                  <w:shd w:val="clear" w:color="auto" w:fill="auto"/>
                  <w:vAlign w:val="center"/>
                  <w:hideMark/>
                </w:tcPr>
                <w:p w14:paraId="63782360" w14:textId="77777777" w:rsidR="007D417F" w:rsidRPr="007472E6" w:rsidRDefault="007D417F" w:rsidP="00E44AEF">
                  <w:pPr>
                    <w:pStyle w:val="TableBodyText"/>
                    <w:spacing w:after="20"/>
                    <w:rPr>
                      <w:szCs w:val="18"/>
                    </w:rPr>
                  </w:pPr>
                  <w:r w:rsidRPr="0081515A">
                    <w:rPr>
                      <w:rFonts w:cs="Arial"/>
                      <w:szCs w:val="18"/>
                    </w:rPr>
                    <w:t>30.5</w:t>
                  </w:r>
                </w:p>
              </w:tc>
              <w:tc>
                <w:tcPr>
                  <w:tcW w:w="672" w:type="pct"/>
                  <w:tcBorders>
                    <w:top w:val="nil"/>
                    <w:left w:val="nil"/>
                    <w:bottom w:val="nil"/>
                    <w:right w:val="nil"/>
                  </w:tcBorders>
                  <w:shd w:val="clear" w:color="000000" w:fill="F2F2F2"/>
                  <w:vAlign w:val="center"/>
                  <w:hideMark/>
                </w:tcPr>
                <w:p w14:paraId="12F203AD" w14:textId="77777777" w:rsidR="007D417F" w:rsidRPr="007472E6" w:rsidRDefault="007D417F" w:rsidP="00E44AEF">
                  <w:pPr>
                    <w:pStyle w:val="TableBodyText"/>
                    <w:spacing w:after="20"/>
                    <w:rPr>
                      <w:szCs w:val="18"/>
                    </w:rPr>
                  </w:pPr>
                  <w:r w:rsidRPr="0081515A">
                    <w:rPr>
                      <w:rFonts w:cs="Arial"/>
                      <w:szCs w:val="18"/>
                    </w:rPr>
                    <w:t>384.6</w:t>
                  </w:r>
                </w:p>
              </w:tc>
            </w:tr>
            <w:tr w:rsidR="007D417F" w14:paraId="2E8EF2AA" w14:textId="77777777" w:rsidTr="00E44AEF">
              <w:tc>
                <w:tcPr>
                  <w:tcW w:w="1574" w:type="pct"/>
                  <w:hideMark/>
                </w:tcPr>
                <w:p w14:paraId="7FDA1D44" w14:textId="77777777" w:rsidR="007D417F" w:rsidRDefault="007D417F" w:rsidP="00E44AEF">
                  <w:pPr>
                    <w:pStyle w:val="TableBodyText"/>
                    <w:spacing w:after="20"/>
                    <w:jc w:val="left"/>
                  </w:pPr>
                  <w:r>
                    <w:t>Non</w:t>
                  </w:r>
                  <w:r>
                    <w:noBreakHyphen/>
                    <w:t>metallic mineral products</w:t>
                  </w:r>
                </w:p>
              </w:tc>
              <w:tc>
                <w:tcPr>
                  <w:tcW w:w="663" w:type="pct"/>
                  <w:tcBorders>
                    <w:top w:val="nil"/>
                    <w:left w:val="nil"/>
                    <w:bottom w:val="nil"/>
                    <w:right w:val="nil"/>
                  </w:tcBorders>
                  <w:shd w:val="clear" w:color="auto" w:fill="auto"/>
                  <w:vAlign w:val="center"/>
                  <w:hideMark/>
                </w:tcPr>
                <w:p w14:paraId="6DA1B15C" w14:textId="77777777" w:rsidR="007D417F" w:rsidRPr="007472E6" w:rsidRDefault="007D417F" w:rsidP="00E44AEF">
                  <w:pPr>
                    <w:pStyle w:val="TableBodyText"/>
                    <w:spacing w:after="20"/>
                    <w:rPr>
                      <w:szCs w:val="18"/>
                    </w:rPr>
                  </w:pPr>
                  <w:r w:rsidRPr="0081515A">
                    <w:rPr>
                      <w:rFonts w:cs="Arial"/>
                      <w:szCs w:val="18"/>
                    </w:rPr>
                    <w:t>82.6</w:t>
                  </w:r>
                </w:p>
              </w:tc>
              <w:tc>
                <w:tcPr>
                  <w:tcW w:w="580" w:type="pct"/>
                  <w:tcBorders>
                    <w:top w:val="nil"/>
                    <w:left w:val="nil"/>
                    <w:bottom w:val="nil"/>
                    <w:right w:val="nil"/>
                  </w:tcBorders>
                  <w:shd w:val="clear" w:color="auto" w:fill="auto"/>
                  <w:vAlign w:val="center"/>
                  <w:hideMark/>
                </w:tcPr>
                <w:p w14:paraId="6F1E19C5" w14:textId="77777777" w:rsidR="007D417F" w:rsidRPr="007472E6" w:rsidRDefault="007D417F" w:rsidP="00E44AEF">
                  <w:pPr>
                    <w:pStyle w:val="TableBodyText"/>
                    <w:spacing w:after="20"/>
                    <w:rPr>
                      <w:szCs w:val="18"/>
                    </w:rPr>
                  </w:pPr>
                  <w:r w:rsidRPr="0081515A">
                    <w:rPr>
                      <w:rFonts w:cs="Arial"/>
                      <w:szCs w:val="18"/>
                    </w:rPr>
                    <w:t>-15.8</w:t>
                  </w:r>
                </w:p>
              </w:tc>
              <w:tc>
                <w:tcPr>
                  <w:tcW w:w="475" w:type="pct"/>
                  <w:tcBorders>
                    <w:top w:val="nil"/>
                    <w:left w:val="nil"/>
                    <w:bottom w:val="nil"/>
                    <w:right w:val="nil"/>
                  </w:tcBorders>
                  <w:shd w:val="clear" w:color="000000" w:fill="F2F2F2"/>
                  <w:vAlign w:val="center"/>
                  <w:hideMark/>
                </w:tcPr>
                <w:p w14:paraId="70CF8470" w14:textId="77777777" w:rsidR="007D417F" w:rsidRPr="007472E6" w:rsidRDefault="007D417F" w:rsidP="00E44AEF">
                  <w:pPr>
                    <w:pStyle w:val="TableBodyText"/>
                    <w:spacing w:after="20"/>
                    <w:rPr>
                      <w:szCs w:val="18"/>
                    </w:rPr>
                  </w:pPr>
                  <w:r w:rsidRPr="0081515A">
                    <w:rPr>
                      <w:rFonts w:cs="Arial"/>
                      <w:szCs w:val="18"/>
                    </w:rPr>
                    <w:t>66.8</w:t>
                  </w:r>
                </w:p>
              </w:tc>
              <w:tc>
                <w:tcPr>
                  <w:tcW w:w="550" w:type="pct"/>
                  <w:tcBorders>
                    <w:top w:val="nil"/>
                    <w:left w:val="nil"/>
                    <w:bottom w:val="nil"/>
                    <w:right w:val="nil"/>
                  </w:tcBorders>
                  <w:shd w:val="clear" w:color="auto" w:fill="auto"/>
                  <w:vAlign w:val="center"/>
                  <w:hideMark/>
                </w:tcPr>
                <w:p w14:paraId="6418AFDA" w14:textId="77777777" w:rsidR="007D417F" w:rsidRPr="007472E6" w:rsidRDefault="007D417F" w:rsidP="00E44AEF">
                  <w:pPr>
                    <w:pStyle w:val="TableBodyText"/>
                    <w:spacing w:after="20"/>
                    <w:rPr>
                      <w:szCs w:val="18"/>
                    </w:rPr>
                  </w:pPr>
                  <w:r w:rsidRPr="0081515A">
                    <w:rPr>
                      <w:rFonts w:cs="Arial"/>
                      <w:szCs w:val="18"/>
                    </w:rPr>
                    <w:t>15.8</w:t>
                  </w:r>
                </w:p>
              </w:tc>
              <w:tc>
                <w:tcPr>
                  <w:tcW w:w="485" w:type="pct"/>
                  <w:tcBorders>
                    <w:top w:val="nil"/>
                    <w:left w:val="nil"/>
                    <w:bottom w:val="nil"/>
                    <w:right w:val="nil"/>
                  </w:tcBorders>
                  <w:shd w:val="clear" w:color="auto" w:fill="auto"/>
                  <w:vAlign w:val="center"/>
                  <w:hideMark/>
                </w:tcPr>
                <w:p w14:paraId="221F1F14" w14:textId="77777777" w:rsidR="007D417F" w:rsidRPr="007472E6" w:rsidRDefault="007D417F" w:rsidP="00E44AEF">
                  <w:pPr>
                    <w:pStyle w:val="TableBodyText"/>
                    <w:spacing w:after="20"/>
                    <w:rPr>
                      <w:szCs w:val="18"/>
                    </w:rPr>
                  </w:pPr>
                  <w:r w:rsidRPr="0081515A">
                    <w:rPr>
                      <w:rFonts w:cs="Arial"/>
                      <w:szCs w:val="18"/>
                    </w:rPr>
                    <w:t>11.1</w:t>
                  </w:r>
                </w:p>
              </w:tc>
              <w:tc>
                <w:tcPr>
                  <w:tcW w:w="672" w:type="pct"/>
                  <w:tcBorders>
                    <w:top w:val="nil"/>
                    <w:left w:val="nil"/>
                    <w:bottom w:val="nil"/>
                    <w:right w:val="nil"/>
                  </w:tcBorders>
                  <w:shd w:val="clear" w:color="000000" w:fill="F2F2F2"/>
                  <w:vAlign w:val="center"/>
                  <w:hideMark/>
                </w:tcPr>
                <w:p w14:paraId="1EF816C9" w14:textId="77777777" w:rsidR="007D417F" w:rsidRPr="007472E6" w:rsidRDefault="007D417F" w:rsidP="00E44AEF">
                  <w:pPr>
                    <w:pStyle w:val="TableBodyText"/>
                    <w:spacing w:after="20"/>
                    <w:rPr>
                      <w:szCs w:val="18"/>
                    </w:rPr>
                  </w:pPr>
                  <w:r w:rsidRPr="0081515A">
                    <w:rPr>
                      <w:rFonts w:cs="Arial"/>
                      <w:szCs w:val="18"/>
                    </w:rPr>
                    <w:t>93.6</w:t>
                  </w:r>
                </w:p>
              </w:tc>
            </w:tr>
            <w:tr w:rsidR="007D417F" w14:paraId="7BB3B04E" w14:textId="77777777" w:rsidTr="00E44AEF">
              <w:tc>
                <w:tcPr>
                  <w:tcW w:w="1574" w:type="pct"/>
                  <w:hideMark/>
                </w:tcPr>
                <w:p w14:paraId="3D002ED6" w14:textId="77777777" w:rsidR="007D417F" w:rsidRDefault="007D417F" w:rsidP="00E44AEF">
                  <w:pPr>
                    <w:pStyle w:val="TableBodyText"/>
                    <w:spacing w:after="20"/>
                    <w:jc w:val="left"/>
                  </w:pPr>
                  <w:r>
                    <w:t>Metal and fabricated products</w:t>
                  </w:r>
                </w:p>
              </w:tc>
              <w:tc>
                <w:tcPr>
                  <w:tcW w:w="663" w:type="pct"/>
                  <w:tcBorders>
                    <w:top w:val="nil"/>
                    <w:left w:val="nil"/>
                    <w:bottom w:val="nil"/>
                    <w:right w:val="nil"/>
                  </w:tcBorders>
                  <w:shd w:val="clear" w:color="auto" w:fill="auto"/>
                  <w:vAlign w:val="center"/>
                  <w:hideMark/>
                </w:tcPr>
                <w:p w14:paraId="4B11A1BB" w14:textId="77777777" w:rsidR="007D417F" w:rsidRPr="007472E6" w:rsidRDefault="007D417F" w:rsidP="00E44AEF">
                  <w:pPr>
                    <w:pStyle w:val="TableBodyText"/>
                    <w:spacing w:after="20"/>
                    <w:rPr>
                      <w:szCs w:val="18"/>
                    </w:rPr>
                  </w:pPr>
                  <w:r w:rsidRPr="0081515A">
                    <w:rPr>
                      <w:rFonts w:cs="Arial"/>
                      <w:szCs w:val="18"/>
                    </w:rPr>
                    <w:t>227.8</w:t>
                  </w:r>
                </w:p>
              </w:tc>
              <w:tc>
                <w:tcPr>
                  <w:tcW w:w="580" w:type="pct"/>
                  <w:tcBorders>
                    <w:top w:val="nil"/>
                    <w:left w:val="nil"/>
                    <w:bottom w:val="nil"/>
                    <w:right w:val="nil"/>
                  </w:tcBorders>
                  <w:shd w:val="clear" w:color="auto" w:fill="auto"/>
                  <w:vAlign w:val="center"/>
                  <w:hideMark/>
                </w:tcPr>
                <w:p w14:paraId="7E76628A" w14:textId="77777777" w:rsidR="007D417F" w:rsidRPr="007472E6" w:rsidRDefault="007D417F" w:rsidP="00E44AEF">
                  <w:pPr>
                    <w:pStyle w:val="TableBodyText"/>
                    <w:spacing w:after="20"/>
                    <w:rPr>
                      <w:szCs w:val="18"/>
                    </w:rPr>
                  </w:pPr>
                  <w:r w:rsidRPr="0081515A">
                    <w:rPr>
                      <w:rFonts w:cs="Arial"/>
                      <w:szCs w:val="18"/>
                    </w:rPr>
                    <w:t>-41.6</w:t>
                  </w:r>
                </w:p>
              </w:tc>
              <w:tc>
                <w:tcPr>
                  <w:tcW w:w="475" w:type="pct"/>
                  <w:tcBorders>
                    <w:top w:val="nil"/>
                    <w:left w:val="nil"/>
                    <w:bottom w:val="nil"/>
                    <w:right w:val="nil"/>
                  </w:tcBorders>
                  <w:shd w:val="clear" w:color="000000" w:fill="F2F2F2"/>
                  <w:vAlign w:val="center"/>
                  <w:hideMark/>
                </w:tcPr>
                <w:p w14:paraId="1EAF3FA5" w14:textId="77777777" w:rsidR="007D417F" w:rsidRPr="007472E6" w:rsidRDefault="007D417F" w:rsidP="00E44AEF">
                  <w:pPr>
                    <w:pStyle w:val="TableBodyText"/>
                    <w:spacing w:after="20"/>
                    <w:rPr>
                      <w:szCs w:val="18"/>
                    </w:rPr>
                  </w:pPr>
                  <w:r w:rsidRPr="0081515A">
                    <w:rPr>
                      <w:rFonts w:cs="Arial"/>
                      <w:szCs w:val="18"/>
                    </w:rPr>
                    <w:t>186.2</w:t>
                  </w:r>
                </w:p>
              </w:tc>
              <w:tc>
                <w:tcPr>
                  <w:tcW w:w="550" w:type="pct"/>
                  <w:tcBorders>
                    <w:top w:val="nil"/>
                    <w:left w:val="nil"/>
                    <w:bottom w:val="nil"/>
                    <w:right w:val="nil"/>
                  </w:tcBorders>
                  <w:shd w:val="clear" w:color="auto" w:fill="auto"/>
                  <w:vAlign w:val="center"/>
                  <w:hideMark/>
                </w:tcPr>
                <w:p w14:paraId="44296BFE" w14:textId="77777777" w:rsidR="007D417F" w:rsidRPr="007472E6" w:rsidRDefault="007D417F" w:rsidP="00E44AEF">
                  <w:pPr>
                    <w:pStyle w:val="TableBodyText"/>
                    <w:spacing w:after="20"/>
                    <w:rPr>
                      <w:szCs w:val="18"/>
                    </w:rPr>
                  </w:pPr>
                  <w:r w:rsidRPr="0081515A">
                    <w:rPr>
                      <w:rFonts w:cs="Arial"/>
                      <w:szCs w:val="18"/>
                    </w:rPr>
                    <w:t>75.2</w:t>
                  </w:r>
                </w:p>
              </w:tc>
              <w:tc>
                <w:tcPr>
                  <w:tcW w:w="485" w:type="pct"/>
                  <w:tcBorders>
                    <w:top w:val="nil"/>
                    <w:left w:val="nil"/>
                    <w:bottom w:val="nil"/>
                    <w:right w:val="nil"/>
                  </w:tcBorders>
                  <w:shd w:val="clear" w:color="auto" w:fill="auto"/>
                  <w:vAlign w:val="center"/>
                  <w:hideMark/>
                </w:tcPr>
                <w:p w14:paraId="0420BAF4" w14:textId="77777777" w:rsidR="007D417F" w:rsidRPr="007472E6" w:rsidRDefault="007D417F" w:rsidP="00E44AEF">
                  <w:pPr>
                    <w:pStyle w:val="TableBodyText"/>
                    <w:spacing w:after="20"/>
                    <w:rPr>
                      <w:szCs w:val="18"/>
                    </w:rPr>
                  </w:pPr>
                  <w:r w:rsidRPr="0081515A">
                    <w:rPr>
                      <w:rFonts w:cs="Arial"/>
                      <w:szCs w:val="18"/>
                    </w:rPr>
                    <w:t>103.6</w:t>
                  </w:r>
                </w:p>
              </w:tc>
              <w:tc>
                <w:tcPr>
                  <w:tcW w:w="672" w:type="pct"/>
                  <w:tcBorders>
                    <w:top w:val="nil"/>
                    <w:left w:val="nil"/>
                    <w:bottom w:val="nil"/>
                    <w:right w:val="nil"/>
                  </w:tcBorders>
                  <w:shd w:val="clear" w:color="000000" w:fill="F2F2F2"/>
                  <w:vAlign w:val="center"/>
                  <w:hideMark/>
                </w:tcPr>
                <w:p w14:paraId="76B0E7A6" w14:textId="77777777" w:rsidR="007D417F" w:rsidRPr="007472E6" w:rsidRDefault="007D417F" w:rsidP="00E44AEF">
                  <w:pPr>
                    <w:pStyle w:val="TableBodyText"/>
                    <w:spacing w:after="20"/>
                    <w:rPr>
                      <w:szCs w:val="18"/>
                    </w:rPr>
                  </w:pPr>
                  <w:r w:rsidRPr="0081515A">
                    <w:rPr>
                      <w:rFonts w:cs="Arial"/>
                      <w:szCs w:val="18"/>
                    </w:rPr>
                    <w:t>365.0</w:t>
                  </w:r>
                </w:p>
              </w:tc>
            </w:tr>
            <w:tr w:rsidR="007D417F" w14:paraId="5B6058B9" w14:textId="77777777" w:rsidTr="00E44AEF">
              <w:tc>
                <w:tcPr>
                  <w:tcW w:w="1574" w:type="pct"/>
                  <w:hideMark/>
                </w:tcPr>
                <w:p w14:paraId="377F9AD8" w14:textId="77777777" w:rsidR="007D417F" w:rsidRDefault="007D417F" w:rsidP="00E44AEF">
                  <w:pPr>
                    <w:pStyle w:val="TableBodyText"/>
                    <w:spacing w:after="20"/>
                    <w:jc w:val="left"/>
                  </w:pPr>
                  <w:r>
                    <w:t>Motor vehicles and parts</w:t>
                  </w:r>
                </w:p>
              </w:tc>
              <w:tc>
                <w:tcPr>
                  <w:tcW w:w="663" w:type="pct"/>
                  <w:tcBorders>
                    <w:top w:val="nil"/>
                    <w:left w:val="nil"/>
                    <w:bottom w:val="nil"/>
                    <w:right w:val="nil"/>
                  </w:tcBorders>
                  <w:shd w:val="clear" w:color="auto" w:fill="auto"/>
                  <w:vAlign w:val="center"/>
                  <w:hideMark/>
                </w:tcPr>
                <w:p w14:paraId="356429B6" w14:textId="77777777" w:rsidR="007D417F" w:rsidRPr="007472E6" w:rsidRDefault="007D417F" w:rsidP="00E44AEF">
                  <w:pPr>
                    <w:pStyle w:val="TableBodyText"/>
                    <w:spacing w:after="20"/>
                    <w:rPr>
                      <w:szCs w:val="18"/>
                    </w:rPr>
                  </w:pPr>
                  <w:r w:rsidRPr="0081515A">
                    <w:rPr>
                      <w:rFonts w:cs="Arial"/>
                      <w:szCs w:val="18"/>
                    </w:rPr>
                    <w:t>131.2</w:t>
                  </w:r>
                </w:p>
              </w:tc>
              <w:tc>
                <w:tcPr>
                  <w:tcW w:w="580" w:type="pct"/>
                  <w:tcBorders>
                    <w:top w:val="nil"/>
                    <w:left w:val="nil"/>
                    <w:bottom w:val="nil"/>
                    <w:right w:val="nil"/>
                  </w:tcBorders>
                  <w:shd w:val="clear" w:color="auto" w:fill="auto"/>
                  <w:vAlign w:val="center"/>
                  <w:hideMark/>
                </w:tcPr>
                <w:p w14:paraId="5EA0EB67" w14:textId="77777777" w:rsidR="007D417F" w:rsidRPr="007472E6" w:rsidRDefault="007D417F" w:rsidP="00E44AEF">
                  <w:pPr>
                    <w:pStyle w:val="TableBodyText"/>
                    <w:spacing w:after="20"/>
                    <w:rPr>
                      <w:szCs w:val="18"/>
                    </w:rPr>
                  </w:pPr>
                  <w:r w:rsidRPr="0081515A">
                    <w:rPr>
                      <w:rFonts w:cs="Arial"/>
                      <w:szCs w:val="18"/>
                    </w:rPr>
                    <w:t>-30.3</w:t>
                  </w:r>
                </w:p>
              </w:tc>
              <w:tc>
                <w:tcPr>
                  <w:tcW w:w="475" w:type="pct"/>
                  <w:tcBorders>
                    <w:top w:val="nil"/>
                    <w:left w:val="nil"/>
                    <w:bottom w:val="nil"/>
                    <w:right w:val="nil"/>
                  </w:tcBorders>
                  <w:shd w:val="clear" w:color="000000" w:fill="F2F2F2"/>
                  <w:vAlign w:val="center"/>
                  <w:hideMark/>
                </w:tcPr>
                <w:p w14:paraId="5E73C8C6" w14:textId="77777777" w:rsidR="007D417F" w:rsidRPr="007472E6" w:rsidRDefault="007D417F" w:rsidP="00E44AEF">
                  <w:pPr>
                    <w:pStyle w:val="TableBodyText"/>
                    <w:spacing w:after="20"/>
                    <w:rPr>
                      <w:szCs w:val="18"/>
                    </w:rPr>
                  </w:pPr>
                  <w:r w:rsidRPr="0081515A">
                    <w:rPr>
                      <w:rFonts w:cs="Arial"/>
                      <w:szCs w:val="18"/>
                    </w:rPr>
                    <w:t>101.0</w:t>
                  </w:r>
                </w:p>
              </w:tc>
              <w:tc>
                <w:tcPr>
                  <w:tcW w:w="550" w:type="pct"/>
                  <w:tcBorders>
                    <w:top w:val="nil"/>
                    <w:left w:val="nil"/>
                    <w:bottom w:val="nil"/>
                    <w:right w:val="nil"/>
                  </w:tcBorders>
                  <w:shd w:val="clear" w:color="auto" w:fill="auto"/>
                  <w:vAlign w:val="center"/>
                  <w:hideMark/>
                </w:tcPr>
                <w:p w14:paraId="1AEA4586" w14:textId="77777777" w:rsidR="007D417F" w:rsidRPr="007472E6" w:rsidRDefault="007D417F" w:rsidP="00E44AEF">
                  <w:pPr>
                    <w:pStyle w:val="TableBodyText"/>
                    <w:spacing w:after="20"/>
                    <w:rPr>
                      <w:szCs w:val="18"/>
                    </w:rPr>
                  </w:pPr>
                  <w:r w:rsidRPr="0081515A">
                    <w:rPr>
                      <w:rFonts w:cs="Arial"/>
                      <w:szCs w:val="18"/>
                    </w:rPr>
                    <w:t>68.0</w:t>
                  </w:r>
                </w:p>
              </w:tc>
              <w:tc>
                <w:tcPr>
                  <w:tcW w:w="485" w:type="pct"/>
                  <w:tcBorders>
                    <w:top w:val="nil"/>
                    <w:left w:val="nil"/>
                    <w:bottom w:val="nil"/>
                    <w:right w:val="nil"/>
                  </w:tcBorders>
                  <w:shd w:val="clear" w:color="auto" w:fill="auto"/>
                  <w:vAlign w:val="center"/>
                  <w:hideMark/>
                </w:tcPr>
                <w:p w14:paraId="2879E73E" w14:textId="77777777" w:rsidR="007D417F" w:rsidRPr="007472E6" w:rsidRDefault="007D417F" w:rsidP="00E44AEF">
                  <w:pPr>
                    <w:pStyle w:val="TableBodyText"/>
                    <w:spacing w:after="20"/>
                    <w:rPr>
                      <w:szCs w:val="18"/>
                    </w:rPr>
                  </w:pPr>
                  <w:r w:rsidRPr="0081515A">
                    <w:rPr>
                      <w:rFonts w:cs="Arial"/>
                      <w:szCs w:val="18"/>
                    </w:rPr>
                    <w:t>27.0</w:t>
                  </w:r>
                </w:p>
              </w:tc>
              <w:tc>
                <w:tcPr>
                  <w:tcW w:w="672" w:type="pct"/>
                  <w:tcBorders>
                    <w:top w:val="nil"/>
                    <w:left w:val="nil"/>
                    <w:bottom w:val="nil"/>
                    <w:right w:val="nil"/>
                  </w:tcBorders>
                  <w:shd w:val="clear" w:color="000000" w:fill="F2F2F2"/>
                  <w:vAlign w:val="center"/>
                  <w:hideMark/>
                </w:tcPr>
                <w:p w14:paraId="67A90CE3" w14:textId="77777777" w:rsidR="007D417F" w:rsidRPr="007472E6" w:rsidRDefault="007D417F" w:rsidP="00E44AEF">
                  <w:pPr>
                    <w:pStyle w:val="TableBodyText"/>
                    <w:spacing w:after="20"/>
                    <w:rPr>
                      <w:szCs w:val="18"/>
                    </w:rPr>
                  </w:pPr>
                  <w:r w:rsidRPr="0081515A">
                    <w:rPr>
                      <w:rFonts w:cs="Arial"/>
                      <w:szCs w:val="18"/>
                    </w:rPr>
                    <w:t>195.9</w:t>
                  </w:r>
                </w:p>
              </w:tc>
            </w:tr>
            <w:tr w:rsidR="007D417F" w14:paraId="7133B18B" w14:textId="77777777" w:rsidTr="00E44AEF">
              <w:tc>
                <w:tcPr>
                  <w:tcW w:w="1574" w:type="pct"/>
                  <w:hideMark/>
                </w:tcPr>
                <w:p w14:paraId="1A389F81" w14:textId="77777777" w:rsidR="007D417F" w:rsidRDefault="007D417F" w:rsidP="00E44AEF">
                  <w:pPr>
                    <w:pStyle w:val="TableBodyText"/>
                    <w:spacing w:after="20"/>
                    <w:jc w:val="left"/>
                  </w:pPr>
                  <w:r>
                    <w:t>Other transport equipment</w:t>
                  </w:r>
                </w:p>
              </w:tc>
              <w:tc>
                <w:tcPr>
                  <w:tcW w:w="663" w:type="pct"/>
                  <w:tcBorders>
                    <w:top w:val="nil"/>
                    <w:left w:val="nil"/>
                    <w:bottom w:val="nil"/>
                    <w:right w:val="nil"/>
                  </w:tcBorders>
                  <w:shd w:val="clear" w:color="auto" w:fill="auto"/>
                  <w:vAlign w:val="center"/>
                  <w:hideMark/>
                </w:tcPr>
                <w:p w14:paraId="094BD9BB" w14:textId="77777777" w:rsidR="007D417F" w:rsidRPr="007472E6" w:rsidRDefault="007D417F" w:rsidP="00E44AEF">
                  <w:pPr>
                    <w:pStyle w:val="TableBodyText"/>
                    <w:spacing w:after="20"/>
                    <w:rPr>
                      <w:szCs w:val="18"/>
                    </w:rPr>
                  </w:pPr>
                  <w:r w:rsidRPr="0081515A">
                    <w:rPr>
                      <w:rFonts w:cs="Arial"/>
                      <w:szCs w:val="18"/>
                    </w:rPr>
                    <w:t>78.0</w:t>
                  </w:r>
                </w:p>
              </w:tc>
              <w:tc>
                <w:tcPr>
                  <w:tcW w:w="580" w:type="pct"/>
                  <w:tcBorders>
                    <w:top w:val="nil"/>
                    <w:left w:val="nil"/>
                    <w:bottom w:val="nil"/>
                    <w:right w:val="nil"/>
                  </w:tcBorders>
                  <w:shd w:val="clear" w:color="auto" w:fill="auto"/>
                  <w:vAlign w:val="center"/>
                  <w:hideMark/>
                </w:tcPr>
                <w:p w14:paraId="3DEC8172" w14:textId="77777777" w:rsidR="007D417F" w:rsidRPr="007472E6" w:rsidRDefault="007D417F" w:rsidP="00E44AEF">
                  <w:pPr>
                    <w:pStyle w:val="TableBodyText"/>
                    <w:spacing w:after="20"/>
                    <w:rPr>
                      <w:szCs w:val="18"/>
                    </w:rPr>
                  </w:pPr>
                  <w:r w:rsidRPr="0081515A">
                    <w:rPr>
                      <w:rFonts w:cs="Arial"/>
                      <w:szCs w:val="18"/>
                    </w:rPr>
                    <w:t>-19.3</w:t>
                  </w:r>
                </w:p>
              </w:tc>
              <w:tc>
                <w:tcPr>
                  <w:tcW w:w="475" w:type="pct"/>
                  <w:tcBorders>
                    <w:top w:val="nil"/>
                    <w:left w:val="nil"/>
                    <w:bottom w:val="nil"/>
                    <w:right w:val="nil"/>
                  </w:tcBorders>
                  <w:shd w:val="clear" w:color="000000" w:fill="F2F2F2"/>
                  <w:vAlign w:val="center"/>
                  <w:hideMark/>
                </w:tcPr>
                <w:p w14:paraId="352EDA31" w14:textId="77777777" w:rsidR="007D417F" w:rsidRPr="007472E6" w:rsidRDefault="007D417F" w:rsidP="00E44AEF">
                  <w:pPr>
                    <w:pStyle w:val="TableBodyText"/>
                    <w:spacing w:after="20"/>
                    <w:rPr>
                      <w:szCs w:val="18"/>
                    </w:rPr>
                  </w:pPr>
                  <w:r w:rsidRPr="0081515A">
                    <w:rPr>
                      <w:rFonts w:cs="Arial"/>
                      <w:szCs w:val="18"/>
                    </w:rPr>
                    <w:t>58.7</w:t>
                  </w:r>
                </w:p>
              </w:tc>
              <w:tc>
                <w:tcPr>
                  <w:tcW w:w="550" w:type="pct"/>
                  <w:tcBorders>
                    <w:top w:val="nil"/>
                    <w:left w:val="nil"/>
                    <w:bottom w:val="nil"/>
                    <w:right w:val="nil"/>
                  </w:tcBorders>
                  <w:shd w:val="clear" w:color="auto" w:fill="auto"/>
                  <w:vAlign w:val="center"/>
                  <w:hideMark/>
                </w:tcPr>
                <w:p w14:paraId="6175533B" w14:textId="77777777" w:rsidR="007D417F" w:rsidRPr="007472E6" w:rsidRDefault="007D417F" w:rsidP="00E44AEF">
                  <w:pPr>
                    <w:pStyle w:val="TableBodyText"/>
                    <w:spacing w:after="20"/>
                    <w:rPr>
                      <w:szCs w:val="18"/>
                    </w:rPr>
                  </w:pPr>
                  <w:r w:rsidRPr="0081515A">
                    <w:rPr>
                      <w:rFonts w:cs="Arial"/>
                      <w:szCs w:val="18"/>
                    </w:rPr>
                    <w:t>18.8</w:t>
                  </w:r>
                </w:p>
              </w:tc>
              <w:tc>
                <w:tcPr>
                  <w:tcW w:w="485" w:type="pct"/>
                  <w:tcBorders>
                    <w:top w:val="nil"/>
                    <w:left w:val="nil"/>
                    <w:bottom w:val="nil"/>
                    <w:right w:val="nil"/>
                  </w:tcBorders>
                  <w:shd w:val="clear" w:color="auto" w:fill="auto"/>
                  <w:vAlign w:val="center"/>
                  <w:hideMark/>
                </w:tcPr>
                <w:p w14:paraId="6D06D892" w14:textId="77777777" w:rsidR="007D417F" w:rsidRPr="007472E6" w:rsidRDefault="007D417F" w:rsidP="00E44AEF">
                  <w:pPr>
                    <w:pStyle w:val="TableBodyText"/>
                    <w:spacing w:after="20"/>
                    <w:rPr>
                      <w:szCs w:val="18"/>
                    </w:rPr>
                  </w:pPr>
                  <w:r w:rsidRPr="0081515A">
                    <w:rPr>
                      <w:rFonts w:cs="Arial"/>
                      <w:szCs w:val="18"/>
                    </w:rPr>
                    <w:t>8.3</w:t>
                  </w:r>
                </w:p>
              </w:tc>
              <w:tc>
                <w:tcPr>
                  <w:tcW w:w="672" w:type="pct"/>
                  <w:tcBorders>
                    <w:top w:val="nil"/>
                    <w:left w:val="nil"/>
                    <w:bottom w:val="nil"/>
                    <w:right w:val="nil"/>
                  </w:tcBorders>
                  <w:shd w:val="clear" w:color="000000" w:fill="F2F2F2"/>
                  <w:vAlign w:val="center"/>
                  <w:hideMark/>
                </w:tcPr>
                <w:p w14:paraId="3AAF4696" w14:textId="77777777" w:rsidR="007D417F" w:rsidRPr="007472E6" w:rsidRDefault="007D417F" w:rsidP="00E44AEF">
                  <w:pPr>
                    <w:pStyle w:val="TableBodyText"/>
                    <w:spacing w:after="20"/>
                    <w:rPr>
                      <w:szCs w:val="18"/>
                    </w:rPr>
                  </w:pPr>
                  <w:r w:rsidRPr="0081515A">
                    <w:rPr>
                      <w:rFonts w:cs="Arial"/>
                      <w:szCs w:val="18"/>
                    </w:rPr>
                    <w:t>85.8</w:t>
                  </w:r>
                </w:p>
              </w:tc>
            </w:tr>
            <w:tr w:rsidR="007D417F" w14:paraId="4AFD217A" w14:textId="77777777" w:rsidTr="00E44AEF">
              <w:tc>
                <w:tcPr>
                  <w:tcW w:w="1574" w:type="pct"/>
                  <w:hideMark/>
                </w:tcPr>
                <w:p w14:paraId="672F2585" w14:textId="77777777" w:rsidR="007D417F" w:rsidRDefault="007D417F" w:rsidP="00E44AEF">
                  <w:pPr>
                    <w:pStyle w:val="TableBodyText"/>
                    <w:spacing w:after="20"/>
                    <w:jc w:val="left"/>
                  </w:pPr>
                  <w:r>
                    <w:t>Machinery and equipment</w:t>
                  </w:r>
                </w:p>
              </w:tc>
              <w:tc>
                <w:tcPr>
                  <w:tcW w:w="663" w:type="pct"/>
                  <w:tcBorders>
                    <w:top w:val="nil"/>
                    <w:left w:val="nil"/>
                    <w:bottom w:val="nil"/>
                    <w:right w:val="nil"/>
                  </w:tcBorders>
                  <w:shd w:val="clear" w:color="auto" w:fill="auto"/>
                  <w:vAlign w:val="center"/>
                  <w:hideMark/>
                </w:tcPr>
                <w:p w14:paraId="16BF3B42" w14:textId="77777777" w:rsidR="007D417F" w:rsidRPr="007472E6" w:rsidRDefault="007D417F" w:rsidP="00E44AEF">
                  <w:pPr>
                    <w:pStyle w:val="TableBodyText"/>
                    <w:spacing w:after="20"/>
                    <w:rPr>
                      <w:szCs w:val="18"/>
                    </w:rPr>
                  </w:pPr>
                  <w:r w:rsidRPr="0081515A">
                    <w:rPr>
                      <w:rFonts w:cs="Arial"/>
                      <w:szCs w:val="18"/>
                    </w:rPr>
                    <w:t>103.1</w:t>
                  </w:r>
                </w:p>
              </w:tc>
              <w:tc>
                <w:tcPr>
                  <w:tcW w:w="580" w:type="pct"/>
                  <w:tcBorders>
                    <w:top w:val="nil"/>
                    <w:left w:val="nil"/>
                    <w:bottom w:val="nil"/>
                    <w:right w:val="nil"/>
                  </w:tcBorders>
                  <w:shd w:val="clear" w:color="auto" w:fill="auto"/>
                  <w:vAlign w:val="center"/>
                  <w:hideMark/>
                </w:tcPr>
                <w:p w14:paraId="41510195" w14:textId="77777777" w:rsidR="007D417F" w:rsidRPr="007472E6" w:rsidRDefault="007D417F" w:rsidP="00E44AEF">
                  <w:pPr>
                    <w:pStyle w:val="TableBodyText"/>
                    <w:spacing w:after="20"/>
                    <w:rPr>
                      <w:szCs w:val="18"/>
                    </w:rPr>
                  </w:pPr>
                  <w:r w:rsidRPr="0081515A">
                    <w:rPr>
                      <w:rFonts w:cs="Arial"/>
                      <w:szCs w:val="18"/>
                    </w:rPr>
                    <w:t>-22.3</w:t>
                  </w:r>
                </w:p>
              </w:tc>
              <w:tc>
                <w:tcPr>
                  <w:tcW w:w="475" w:type="pct"/>
                  <w:tcBorders>
                    <w:top w:val="nil"/>
                    <w:left w:val="nil"/>
                    <w:bottom w:val="nil"/>
                    <w:right w:val="nil"/>
                  </w:tcBorders>
                  <w:shd w:val="clear" w:color="000000" w:fill="F2F2F2"/>
                  <w:vAlign w:val="center"/>
                  <w:hideMark/>
                </w:tcPr>
                <w:p w14:paraId="5BB68A38" w14:textId="77777777" w:rsidR="007D417F" w:rsidRPr="007472E6" w:rsidRDefault="007D417F" w:rsidP="00E44AEF">
                  <w:pPr>
                    <w:pStyle w:val="TableBodyText"/>
                    <w:spacing w:after="20"/>
                    <w:rPr>
                      <w:szCs w:val="18"/>
                    </w:rPr>
                  </w:pPr>
                  <w:r w:rsidRPr="0081515A">
                    <w:rPr>
                      <w:rFonts w:cs="Arial"/>
                      <w:szCs w:val="18"/>
                    </w:rPr>
                    <w:t>80.8</w:t>
                  </w:r>
                </w:p>
              </w:tc>
              <w:tc>
                <w:tcPr>
                  <w:tcW w:w="550" w:type="pct"/>
                  <w:tcBorders>
                    <w:top w:val="nil"/>
                    <w:left w:val="nil"/>
                    <w:bottom w:val="nil"/>
                    <w:right w:val="nil"/>
                  </w:tcBorders>
                  <w:shd w:val="clear" w:color="auto" w:fill="auto"/>
                  <w:vAlign w:val="center"/>
                  <w:hideMark/>
                </w:tcPr>
                <w:p w14:paraId="04E15F10" w14:textId="77777777" w:rsidR="007D417F" w:rsidRPr="007472E6" w:rsidRDefault="007D417F" w:rsidP="00E44AEF">
                  <w:pPr>
                    <w:pStyle w:val="TableBodyText"/>
                    <w:spacing w:after="20"/>
                    <w:rPr>
                      <w:szCs w:val="18"/>
                    </w:rPr>
                  </w:pPr>
                  <w:r w:rsidRPr="0081515A">
                    <w:rPr>
                      <w:rFonts w:cs="Arial"/>
                      <w:szCs w:val="18"/>
                    </w:rPr>
                    <w:t>190.3</w:t>
                  </w:r>
                </w:p>
              </w:tc>
              <w:tc>
                <w:tcPr>
                  <w:tcW w:w="485" w:type="pct"/>
                  <w:tcBorders>
                    <w:top w:val="nil"/>
                    <w:left w:val="nil"/>
                    <w:bottom w:val="nil"/>
                    <w:right w:val="nil"/>
                  </w:tcBorders>
                  <w:shd w:val="clear" w:color="auto" w:fill="auto"/>
                  <w:vAlign w:val="center"/>
                  <w:hideMark/>
                </w:tcPr>
                <w:p w14:paraId="55089EAF" w14:textId="77777777" w:rsidR="007D417F" w:rsidRPr="007472E6" w:rsidRDefault="007D417F" w:rsidP="00E44AEF">
                  <w:pPr>
                    <w:pStyle w:val="TableBodyText"/>
                    <w:spacing w:after="20"/>
                    <w:rPr>
                      <w:szCs w:val="18"/>
                    </w:rPr>
                  </w:pPr>
                  <w:r w:rsidRPr="0081515A">
                    <w:rPr>
                      <w:rFonts w:cs="Arial"/>
                      <w:szCs w:val="18"/>
                    </w:rPr>
                    <w:t>41.1</w:t>
                  </w:r>
                </w:p>
              </w:tc>
              <w:tc>
                <w:tcPr>
                  <w:tcW w:w="672" w:type="pct"/>
                  <w:tcBorders>
                    <w:top w:val="nil"/>
                    <w:left w:val="nil"/>
                    <w:bottom w:val="nil"/>
                    <w:right w:val="nil"/>
                  </w:tcBorders>
                  <w:shd w:val="clear" w:color="000000" w:fill="F2F2F2"/>
                  <w:vAlign w:val="center"/>
                  <w:hideMark/>
                </w:tcPr>
                <w:p w14:paraId="46BC906B" w14:textId="77777777" w:rsidR="007D417F" w:rsidRPr="007472E6" w:rsidRDefault="007D417F" w:rsidP="00E44AEF">
                  <w:pPr>
                    <w:pStyle w:val="TableBodyText"/>
                    <w:spacing w:after="20"/>
                    <w:rPr>
                      <w:szCs w:val="18"/>
                    </w:rPr>
                  </w:pPr>
                  <w:r w:rsidRPr="0081515A">
                    <w:rPr>
                      <w:rFonts w:cs="Arial"/>
                      <w:szCs w:val="18"/>
                    </w:rPr>
                    <w:t>312.2</w:t>
                  </w:r>
                </w:p>
              </w:tc>
            </w:tr>
            <w:tr w:rsidR="007D417F" w14:paraId="54342DF0" w14:textId="77777777" w:rsidTr="00E44AEF">
              <w:tc>
                <w:tcPr>
                  <w:tcW w:w="1574" w:type="pct"/>
                  <w:hideMark/>
                </w:tcPr>
                <w:p w14:paraId="6BFA1F88" w14:textId="77777777" w:rsidR="007D417F" w:rsidRDefault="007D417F" w:rsidP="00E44AEF">
                  <w:pPr>
                    <w:pStyle w:val="TableBodyText"/>
                    <w:spacing w:after="20"/>
                    <w:jc w:val="left"/>
                  </w:pPr>
                  <w:r>
                    <w:t>Furniture and other products</w:t>
                  </w:r>
                </w:p>
              </w:tc>
              <w:tc>
                <w:tcPr>
                  <w:tcW w:w="663" w:type="pct"/>
                  <w:tcBorders>
                    <w:top w:val="nil"/>
                    <w:left w:val="nil"/>
                    <w:bottom w:val="nil"/>
                    <w:right w:val="nil"/>
                  </w:tcBorders>
                  <w:shd w:val="clear" w:color="auto" w:fill="auto"/>
                  <w:vAlign w:val="center"/>
                  <w:hideMark/>
                </w:tcPr>
                <w:p w14:paraId="759898EB" w14:textId="77777777" w:rsidR="007D417F" w:rsidRPr="007472E6" w:rsidRDefault="007D417F" w:rsidP="00E44AEF">
                  <w:pPr>
                    <w:pStyle w:val="TableBodyText"/>
                    <w:spacing w:after="20"/>
                    <w:rPr>
                      <w:szCs w:val="18"/>
                    </w:rPr>
                  </w:pPr>
                  <w:r w:rsidRPr="0081515A">
                    <w:rPr>
                      <w:rFonts w:cs="Arial"/>
                      <w:szCs w:val="18"/>
                    </w:rPr>
                    <w:t>44.8</w:t>
                  </w:r>
                </w:p>
              </w:tc>
              <w:tc>
                <w:tcPr>
                  <w:tcW w:w="580" w:type="pct"/>
                  <w:tcBorders>
                    <w:top w:val="nil"/>
                    <w:left w:val="nil"/>
                    <w:bottom w:val="nil"/>
                    <w:right w:val="nil"/>
                  </w:tcBorders>
                  <w:shd w:val="clear" w:color="auto" w:fill="auto"/>
                  <w:vAlign w:val="center"/>
                  <w:hideMark/>
                </w:tcPr>
                <w:p w14:paraId="7A2F5A97" w14:textId="77777777" w:rsidR="007D417F" w:rsidRPr="007472E6" w:rsidRDefault="007D417F" w:rsidP="00E44AEF">
                  <w:pPr>
                    <w:pStyle w:val="TableBodyText"/>
                    <w:spacing w:after="20"/>
                    <w:rPr>
                      <w:szCs w:val="18"/>
                    </w:rPr>
                  </w:pPr>
                  <w:r w:rsidRPr="0081515A">
                    <w:rPr>
                      <w:rFonts w:cs="Arial"/>
                      <w:szCs w:val="18"/>
                    </w:rPr>
                    <w:t>-14.8</w:t>
                  </w:r>
                </w:p>
              </w:tc>
              <w:tc>
                <w:tcPr>
                  <w:tcW w:w="475" w:type="pct"/>
                  <w:tcBorders>
                    <w:top w:val="nil"/>
                    <w:left w:val="nil"/>
                    <w:bottom w:val="nil"/>
                    <w:right w:val="nil"/>
                  </w:tcBorders>
                  <w:shd w:val="clear" w:color="000000" w:fill="F2F2F2"/>
                  <w:vAlign w:val="center"/>
                  <w:hideMark/>
                </w:tcPr>
                <w:p w14:paraId="05B3505D" w14:textId="77777777" w:rsidR="007D417F" w:rsidRPr="007472E6" w:rsidRDefault="007D417F" w:rsidP="00E44AEF">
                  <w:pPr>
                    <w:pStyle w:val="TableBodyText"/>
                    <w:spacing w:after="20"/>
                    <w:rPr>
                      <w:szCs w:val="18"/>
                    </w:rPr>
                  </w:pPr>
                  <w:r w:rsidRPr="0081515A">
                    <w:rPr>
                      <w:rFonts w:cs="Arial"/>
                      <w:szCs w:val="18"/>
                    </w:rPr>
                    <w:t>30.1</w:t>
                  </w:r>
                </w:p>
              </w:tc>
              <w:tc>
                <w:tcPr>
                  <w:tcW w:w="550" w:type="pct"/>
                  <w:tcBorders>
                    <w:top w:val="nil"/>
                    <w:left w:val="nil"/>
                    <w:bottom w:val="nil"/>
                    <w:right w:val="nil"/>
                  </w:tcBorders>
                  <w:shd w:val="clear" w:color="auto" w:fill="auto"/>
                  <w:vAlign w:val="center"/>
                  <w:hideMark/>
                </w:tcPr>
                <w:p w14:paraId="4B1EBCDA" w14:textId="77777777" w:rsidR="007D417F" w:rsidRPr="007472E6" w:rsidRDefault="007D417F" w:rsidP="00E44AEF">
                  <w:pPr>
                    <w:pStyle w:val="TableBodyText"/>
                    <w:spacing w:after="20"/>
                    <w:rPr>
                      <w:szCs w:val="18"/>
                    </w:rPr>
                  </w:pPr>
                  <w:r w:rsidRPr="0081515A">
                    <w:rPr>
                      <w:rFonts w:cs="Arial"/>
                      <w:szCs w:val="18"/>
                    </w:rPr>
                    <w:t>28.3</w:t>
                  </w:r>
                </w:p>
              </w:tc>
              <w:tc>
                <w:tcPr>
                  <w:tcW w:w="485" w:type="pct"/>
                  <w:tcBorders>
                    <w:top w:val="nil"/>
                    <w:left w:val="nil"/>
                    <w:bottom w:val="nil"/>
                    <w:right w:val="nil"/>
                  </w:tcBorders>
                  <w:shd w:val="clear" w:color="auto" w:fill="auto"/>
                  <w:vAlign w:val="center"/>
                  <w:hideMark/>
                </w:tcPr>
                <w:p w14:paraId="753FD274" w14:textId="77777777" w:rsidR="007D417F" w:rsidRPr="007472E6" w:rsidRDefault="007D417F" w:rsidP="00E44AEF">
                  <w:pPr>
                    <w:pStyle w:val="TableBodyText"/>
                    <w:spacing w:after="20"/>
                    <w:rPr>
                      <w:szCs w:val="18"/>
                    </w:rPr>
                  </w:pPr>
                  <w:r w:rsidRPr="0081515A">
                    <w:rPr>
                      <w:rFonts w:cs="Arial"/>
                      <w:szCs w:val="18"/>
                    </w:rPr>
                    <w:t>4.1</w:t>
                  </w:r>
                </w:p>
              </w:tc>
              <w:tc>
                <w:tcPr>
                  <w:tcW w:w="672" w:type="pct"/>
                  <w:tcBorders>
                    <w:top w:val="nil"/>
                    <w:left w:val="nil"/>
                    <w:bottom w:val="nil"/>
                    <w:right w:val="nil"/>
                  </w:tcBorders>
                  <w:shd w:val="clear" w:color="000000" w:fill="F2F2F2"/>
                  <w:vAlign w:val="center"/>
                  <w:hideMark/>
                </w:tcPr>
                <w:p w14:paraId="2C79B57C" w14:textId="77777777" w:rsidR="007D417F" w:rsidRPr="007472E6" w:rsidRDefault="007D417F" w:rsidP="00E44AEF">
                  <w:pPr>
                    <w:pStyle w:val="TableBodyText"/>
                    <w:spacing w:after="20"/>
                    <w:rPr>
                      <w:szCs w:val="18"/>
                    </w:rPr>
                  </w:pPr>
                  <w:r w:rsidRPr="0081515A">
                    <w:rPr>
                      <w:rFonts w:cs="Arial"/>
                      <w:szCs w:val="18"/>
                    </w:rPr>
                    <w:t>62.4</w:t>
                  </w:r>
                </w:p>
              </w:tc>
            </w:tr>
            <w:tr w:rsidR="007D417F" w14:paraId="63C72DB8" w14:textId="77777777" w:rsidTr="00E44AEF">
              <w:tc>
                <w:tcPr>
                  <w:tcW w:w="1574" w:type="pct"/>
                  <w:hideMark/>
                </w:tcPr>
                <w:p w14:paraId="70D32C7F" w14:textId="77777777" w:rsidR="007D417F" w:rsidRDefault="007D417F" w:rsidP="00E44AEF">
                  <w:pPr>
                    <w:pStyle w:val="TableBodyText"/>
                    <w:spacing w:after="20"/>
                    <w:jc w:val="left"/>
                  </w:pPr>
                  <w:r>
                    <w:t xml:space="preserve">Unallocated </w:t>
                  </w:r>
                  <w:proofErr w:type="spellStart"/>
                  <w:r>
                    <w:t>manufacturing</w:t>
                  </w:r>
                  <w:r w:rsidRPr="009B68C8">
                    <w:rPr>
                      <w:b/>
                      <w:bCs/>
                      <w:vertAlign w:val="superscript"/>
                    </w:rPr>
                    <w:t>b</w:t>
                  </w:r>
                  <w:proofErr w:type="spellEnd"/>
                </w:p>
              </w:tc>
              <w:tc>
                <w:tcPr>
                  <w:tcW w:w="663" w:type="pct"/>
                  <w:tcBorders>
                    <w:top w:val="nil"/>
                    <w:left w:val="nil"/>
                    <w:bottom w:val="nil"/>
                    <w:right w:val="nil"/>
                  </w:tcBorders>
                  <w:shd w:val="clear" w:color="auto" w:fill="auto"/>
                  <w:vAlign w:val="center"/>
                  <w:hideMark/>
                </w:tcPr>
                <w:p w14:paraId="705EFBF2" w14:textId="77777777" w:rsidR="007D417F" w:rsidRPr="007472E6" w:rsidRDefault="007D417F" w:rsidP="00E44AEF">
                  <w:pPr>
                    <w:pStyle w:val="TableBodyText"/>
                    <w:spacing w:after="20"/>
                    <w:rPr>
                      <w:szCs w:val="18"/>
                    </w:rPr>
                  </w:pPr>
                  <w:r w:rsidRPr="0081515A">
                    <w:rPr>
                      <w:rFonts w:cs="Arial"/>
                      <w:szCs w:val="18"/>
                    </w:rPr>
                    <w:t>–</w:t>
                  </w:r>
                </w:p>
              </w:tc>
              <w:tc>
                <w:tcPr>
                  <w:tcW w:w="580" w:type="pct"/>
                  <w:tcBorders>
                    <w:top w:val="nil"/>
                    <w:left w:val="nil"/>
                    <w:bottom w:val="nil"/>
                    <w:right w:val="nil"/>
                  </w:tcBorders>
                  <w:shd w:val="clear" w:color="auto" w:fill="auto"/>
                  <w:vAlign w:val="center"/>
                  <w:hideMark/>
                </w:tcPr>
                <w:p w14:paraId="06F45DD7" w14:textId="77777777" w:rsidR="007D417F" w:rsidRPr="007472E6" w:rsidRDefault="007D417F" w:rsidP="00E44AEF">
                  <w:pPr>
                    <w:pStyle w:val="TableBodyText"/>
                    <w:spacing w:after="20"/>
                    <w:rPr>
                      <w:szCs w:val="18"/>
                    </w:rPr>
                  </w:pPr>
                  <w:r w:rsidRPr="0081515A">
                    <w:rPr>
                      <w:rFonts w:cs="Arial"/>
                      <w:szCs w:val="18"/>
                    </w:rPr>
                    <w:t>–</w:t>
                  </w:r>
                </w:p>
              </w:tc>
              <w:tc>
                <w:tcPr>
                  <w:tcW w:w="475" w:type="pct"/>
                  <w:tcBorders>
                    <w:top w:val="nil"/>
                    <w:left w:val="nil"/>
                    <w:bottom w:val="nil"/>
                    <w:right w:val="nil"/>
                  </w:tcBorders>
                  <w:shd w:val="clear" w:color="000000" w:fill="F2F2F2"/>
                  <w:vAlign w:val="center"/>
                  <w:hideMark/>
                </w:tcPr>
                <w:p w14:paraId="67C0BC5F" w14:textId="77777777" w:rsidR="007D417F" w:rsidRPr="007472E6" w:rsidRDefault="007D417F" w:rsidP="00E44AEF">
                  <w:pPr>
                    <w:pStyle w:val="TableBodyText"/>
                    <w:spacing w:after="20"/>
                    <w:rPr>
                      <w:szCs w:val="18"/>
                    </w:rPr>
                  </w:pPr>
                  <w:r w:rsidRPr="0081515A">
                    <w:rPr>
                      <w:rFonts w:cs="Arial"/>
                      <w:szCs w:val="18"/>
                    </w:rPr>
                    <w:t>–</w:t>
                  </w:r>
                </w:p>
              </w:tc>
              <w:tc>
                <w:tcPr>
                  <w:tcW w:w="550" w:type="pct"/>
                  <w:tcBorders>
                    <w:top w:val="nil"/>
                    <w:left w:val="nil"/>
                    <w:bottom w:val="nil"/>
                    <w:right w:val="nil"/>
                  </w:tcBorders>
                  <w:shd w:val="clear" w:color="auto" w:fill="auto"/>
                  <w:vAlign w:val="center"/>
                  <w:hideMark/>
                </w:tcPr>
                <w:p w14:paraId="68077C59" w14:textId="77777777" w:rsidR="007D417F" w:rsidRPr="007472E6" w:rsidRDefault="007D417F" w:rsidP="00E44AEF">
                  <w:pPr>
                    <w:pStyle w:val="TableBodyText"/>
                    <w:spacing w:after="20"/>
                    <w:rPr>
                      <w:szCs w:val="18"/>
                    </w:rPr>
                  </w:pPr>
                  <w:r w:rsidRPr="0081515A">
                    <w:rPr>
                      <w:rFonts w:cs="Arial"/>
                      <w:szCs w:val="18"/>
                    </w:rPr>
                    <w:t>166.4</w:t>
                  </w:r>
                </w:p>
              </w:tc>
              <w:tc>
                <w:tcPr>
                  <w:tcW w:w="485" w:type="pct"/>
                  <w:tcBorders>
                    <w:top w:val="nil"/>
                    <w:left w:val="nil"/>
                    <w:bottom w:val="nil"/>
                    <w:right w:val="nil"/>
                  </w:tcBorders>
                  <w:shd w:val="clear" w:color="auto" w:fill="auto"/>
                  <w:vAlign w:val="center"/>
                  <w:hideMark/>
                </w:tcPr>
                <w:p w14:paraId="023A5B7F" w14:textId="77777777" w:rsidR="007D417F" w:rsidRPr="007472E6" w:rsidRDefault="007D417F" w:rsidP="00E44AEF">
                  <w:pPr>
                    <w:pStyle w:val="TableBodyText"/>
                    <w:spacing w:after="20"/>
                    <w:rPr>
                      <w:szCs w:val="18"/>
                    </w:rPr>
                  </w:pPr>
                  <w:r w:rsidRPr="0081515A">
                    <w:rPr>
                      <w:rFonts w:cs="Arial"/>
                      <w:szCs w:val="18"/>
                    </w:rPr>
                    <w:t>203.3</w:t>
                  </w:r>
                </w:p>
              </w:tc>
              <w:tc>
                <w:tcPr>
                  <w:tcW w:w="672" w:type="pct"/>
                  <w:tcBorders>
                    <w:top w:val="nil"/>
                    <w:left w:val="nil"/>
                    <w:bottom w:val="nil"/>
                    <w:right w:val="nil"/>
                  </w:tcBorders>
                  <w:shd w:val="clear" w:color="000000" w:fill="F2F2F2"/>
                  <w:vAlign w:val="center"/>
                  <w:hideMark/>
                </w:tcPr>
                <w:p w14:paraId="13D4BF9A" w14:textId="77777777" w:rsidR="007D417F" w:rsidRPr="007472E6" w:rsidRDefault="007D417F" w:rsidP="00E44AEF">
                  <w:pPr>
                    <w:pStyle w:val="TableBodyText"/>
                    <w:spacing w:after="20"/>
                    <w:rPr>
                      <w:szCs w:val="18"/>
                    </w:rPr>
                  </w:pPr>
                  <w:r w:rsidRPr="0081515A">
                    <w:rPr>
                      <w:rFonts w:cs="Arial"/>
                      <w:szCs w:val="18"/>
                    </w:rPr>
                    <w:t>369.8</w:t>
                  </w:r>
                </w:p>
              </w:tc>
            </w:tr>
            <w:tr w:rsidR="007D417F" w:rsidRPr="000B758E" w14:paraId="24951BFF" w14:textId="77777777" w:rsidTr="00E44AEF">
              <w:tc>
                <w:tcPr>
                  <w:tcW w:w="1574" w:type="pct"/>
                  <w:hideMark/>
                </w:tcPr>
                <w:p w14:paraId="6B31D437" w14:textId="77777777" w:rsidR="007D417F" w:rsidRPr="000B758E" w:rsidRDefault="007D417F" w:rsidP="00E44AEF">
                  <w:pPr>
                    <w:pStyle w:val="TableBodyText"/>
                    <w:jc w:val="left"/>
                    <w:rPr>
                      <w:b/>
                    </w:rPr>
                  </w:pPr>
                  <w:r w:rsidRPr="000B758E">
                    <w:rPr>
                      <w:b/>
                    </w:rPr>
                    <w:t>Services</w:t>
                  </w:r>
                </w:p>
              </w:tc>
              <w:tc>
                <w:tcPr>
                  <w:tcW w:w="663" w:type="pct"/>
                  <w:tcBorders>
                    <w:top w:val="nil"/>
                    <w:left w:val="nil"/>
                    <w:bottom w:val="nil"/>
                    <w:right w:val="nil"/>
                  </w:tcBorders>
                  <w:shd w:val="clear" w:color="auto" w:fill="auto"/>
                  <w:vAlign w:val="center"/>
                  <w:hideMark/>
                </w:tcPr>
                <w:p w14:paraId="71A74327" w14:textId="77777777" w:rsidR="007D417F" w:rsidRPr="007472E6" w:rsidRDefault="007D417F" w:rsidP="00E44AEF">
                  <w:pPr>
                    <w:pStyle w:val="TableBodyText"/>
                    <w:rPr>
                      <w:b/>
                      <w:szCs w:val="18"/>
                    </w:rPr>
                  </w:pPr>
                  <w:r w:rsidRPr="0081515A">
                    <w:rPr>
                      <w:rFonts w:cs="Arial"/>
                      <w:b/>
                      <w:szCs w:val="18"/>
                    </w:rPr>
                    <w:t>0.0</w:t>
                  </w:r>
                </w:p>
              </w:tc>
              <w:tc>
                <w:tcPr>
                  <w:tcW w:w="580" w:type="pct"/>
                  <w:tcBorders>
                    <w:top w:val="nil"/>
                    <w:left w:val="nil"/>
                    <w:bottom w:val="nil"/>
                    <w:right w:val="nil"/>
                  </w:tcBorders>
                  <w:shd w:val="clear" w:color="auto" w:fill="auto"/>
                  <w:vAlign w:val="center"/>
                  <w:hideMark/>
                </w:tcPr>
                <w:p w14:paraId="38C83511" w14:textId="77777777" w:rsidR="007D417F" w:rsidRPr="007472E6" w:rsidRDefault="007D417F" w:rsidP="00E44AEF">
                  <w:pPr>
                    <w:pStyle w:val="TableBodyText"/>
                    <w:rPr>
                      <w:b/>
                      <w:szCs w:val="18"/>
                    </w:rPr>
                  </w:pPr>
                  <w:r w:rsidRPr="0081515A">
                    <w:rPr>
                      <w:rFonts w:cs="Arial"/>
                      <w:b/>
                      <w:szCs w:val="18"/>
                    </w:rPr>
                    <w:t>-1</w:t>
                  </w:r>
                  <w:r>
                    <w:rPr>
                      <w:rFonts w:cs="Arial"/>
                      <w:b/>
                      <w:szCs w:val="18"/>
                    </w:rPr>
                    <w:t> </w:t>
                  </w:r>
                  <w:r w:rsidRPr="0081515A">
                    <w:rPr>
                      <w:rFonts w:cs="Arial"/>
                      <w:b/>
                      <w:szCs w:val="18"/>
                    </w:rPr>
                    <w:t>028.6</w:t>
                  </w:r>
                </w:p>
              </w:tc>
              <w:tc>
                <w:tcPr>
                  <w:tcW w:w="475" w:type="pct"/>
                  <w:tcBorders>
                    <w:top w:val="nil"/>
                    <w:left w:val="nil"/>
                    <w:bottom w:val="nil"/>
                    <w:right w:val="nil"/>
                  </w:tcBorders>
                  <w:shd w:val="clear" w:color="000000" w:fill="F2F2F2"/>
                  <w:vAlign w:val="center"/>
                  <w:hideMark/>
                </w:tcPr>
                <w:p w14:paraId="73A8976D" w14:textId="77777777" w:rsidR="007D417F" w:rsidRPr="007472E6" w:rsidRDefault="007D417F" w:rsidP="00E44AEF">
                  <w:pPr>
                    <w:pStyle w:val="TableBodyText"/>
                    <w:rPr>
                      <w:b/>
                      <w:szCs w:val="18"/>
                    </w:rPr>
                  </w:pPr>
                  <w:r w:rsidRPr="0081515A">
                    <w:rPr>
                      <w:rFonts w:cs="Arial"/>
                      <w:b/>
                      <w:szCs w:val="18"/>
                    </w:rPr>
                    <w:t>-1</w:t>
                  </w:r>
                  <w:r>
                    <w:rPr>
                      <w:rFonts w:cs="Arial"/>
                      <w:b/>
                      <w:szCs w:val="18"/>
                    </w:rPr>
                    <w:t> </w:t>
                  </w:r>
                  <w:r w:rsidRPr="0081515A">
                    <w:rPr>
                      <w:rFonts w:cs="Arial"/>
                      <w:b/>
                      <w:szCs w:val="18"/>
                    </w:rPr>
                    <w:t>028.6</w:t>
                  </w:r>
                </w:p>
              </w:tc>
              <w:tc>
                <w:tcPr>
                  <w:tcW w:w="550" w:type="pct"/>
                  <w:tcBorders>
                    <w:top w:val="nil"/>
                    <w:left w:val="nil"/>
                    <w:bottom w:val="nil"/>
                    <w:right w:val="nil"/>
                  </w:tcBorders>
                  <w:shd w:val="clear" w:color="auto" w:fill="auto"/>
                  <w:vAlign w:val="center"/>
                  <w:hideMark/>
                </w:tcPr>
                <w:p w14:paraId="25C63107" w14:textId="77777777" w:rsidR="007D417F" w:rsidRPr="007472E6" w:rsidRDefault="007D417F" w:rsidP="00E44AEF">
                  <w:pPr>
                    <w:pStyle w:val="TableBodyText"/>
                    <w:rPr>
                      <w:b/>
                      <w:szCs w:val="18"/>
                    </w:rPr>
                  </w:pPr>
                  <w:r w:rsidRPr="0081515A">
                    <w:rPr>
                      <w:rFonts w:cs="Arial"/>
                      <w:b/>
                      <w:szCs w:val="18"/>
                    </w:rPr>
                    <w:t>2</w:t>
                  </w:r>
                  <w:r>
                    <w:rPr>
                      <w:rFonts w:cs="Arial"/>
                      <w:b/>
                      <w:szCs w:val="18"/>
                    </w:rPr>
                    <w:t> </w:t>
                  </w:r>
                  <w:r w:rsidRPr="0081515A">
                    <w:rPr>
                      <w:rFonts w:cs="Arial"/>
                      <w:b/>
                      <w:szCs w:val="18"/>
                    </w:rPr>
                    <w:t>217.3</w:t>
                  </w:r>
                </w:p>
              </w:tc>
              <w:tc>
                <w:tcPr>
                  <w:tcW w:w="485" w:type="pct"/>
                  <w:tcBorders>
                    <w:top w:val="nil"/>
                    <w:left w:val="nil"/>
                    <w:bottom w:val="nil"/>
                    <w:right w:val="nil"/>
                  </w:tcBorders>
                  <w:shd w:val="clear" w:color="auto" w:fill="auto"/>
                  <w:vAlign w:val="center"/>
                  <w:hideMark/>
                </w:tcPr>
                <w:p w14:paraId="3F5399E8" w14:textId="77777777" w:rsidR="007D417F" w:rsidRPr="007472E6" w:rsidRDefault="007D417F" w:rsidP="00E44AEF">
                  <w:pPr>
                    <w:pStyle w:val="TableBodyText"/>
                    <w:rPr>
                      <w:b/>
                      <w:szCs w:val="18"/>
                    </w:rPr>
                  </w:pPr>
                  <w:r w:rsidRPr="0081515A">
                    <w:rPr>
                      <w:rFonts w:cs="Arial"/>
                      <w:b/>
                      <w:szCs w:val="18"/>
                    </w:rPr>
                    <w:t>2</w:t>
                  </w:r>
                  <w:r>
                    <w:rPr>
                      <w:rFonts w:cs="Arial"/>
                      <w:b/>
                      <w:szCs w:val="18"/>
                    </w:rPr>
                    <w:t> </w:t>
                  </w:r>
                  <w:r w:rsidRPr="0081515A">
                    <w:rPr>
                      <w:rFonts w:cs="Arial"/>
                      <w:b/>
                      <w:szCs w:val="18"/>
                    </w:rPr>
                    <w:t>573.1</w:t>
                  </w:r>
                </w:p>
              </w:tc>
              <w:tc>
                <w:tcPr>
                  <w:tcW w:w="672" w:type="pct"/>
                  <w:tcBorders>
                    <w:top w:val="nil"/>
                    <w:left w:val="nil"/>
                    <w:bottom w:val="nil"/>
                    <w:right w:val="nil"/>
                  </w:tcBorders>
                  <w:shd w:val="clear" w:color="000000" w:fill="F2F2F2"/>
                  <w:vAlign w:val="center"/>
                  <w:hideMark/>
                </w:tcPr>
                <w:p w14:paraId="05443440" w14:textId="77777777" w:rsidR="007D417F" w:rsidRPr="007472E6" w:rsidRDefault="007D417F" w:rsidP="00E44AEF">
                  <w:pPr>
                    <w:pStyle w:val="TableBodyText"/>
                    <w:rPr>
                      <w:b/>
                      <w:szCs w:val="18"/>
                    </w:rPr>
                  </w:pPr>
                  <w:r w:rsidRPr="0081515A">
                    <w:rPr>
                      <w:rFonts w:cs="Arial"/>
                      <w:b/>
                      <w:szCs w:val="18"/>
                    </w:rPr>
                    <w:t>3</w:t>
                  </w:r>
                  <w:r>
                    <w:rPr>
                      <w:rFonts w:cs="Arial"/>
                      <w:b/>
                      <w:szCs w:val="18"/>
                    </w:rPr>
                    <w:t> </w:t>
                  </w:r>
                  <w:r w:rsidRPr="0081515A">
                    <w:rPr>
                      <w:rFonts w:cs="Arial"/>
                      <w:b/>
                      <w:szCs w:val="18"/>
                    </w:rPr>
                    <w:t>761.7</w:t>
                  </w:r>
                </w:p>
              </w:tc>
            </w:tr>
            <w:tr w:rsidR="007D417F" w14:paraId="037DC509" w14:textId="77777777" w:rsidTr="00E44AEF">
              <w:tc>
                <w:tcPr>
                  <w:tcW w:w="1574" w:type="pct"/>
                  <w:hideMark/>
                </w:tcPr>
                <w:p w14:paraId="075FC794" w14:textId="77777777" w:rsidR="007D417F" w:rsidRDefault="007D417F" w:rsidP="00E44AEF">
                  <w:pPr>
                    <w:pStyle w:val="TableBodyText"/>
                    <w:spacing w:after="20"/>
                    <w:jc w:val="left"/>
                  </w:pPr>
                  <w:r>
                    <w:t>Electricity, gas, water and waste</w:t>
                  </w:r>
                </w:p>
              </w:tc>
              <w:tc>
                <w:tcPr>
                  <w:tcW w:w="663" w:type="pct"/>
                  <w:tcBorders>
                    <w:top w:val="nil"/>
                    <w:left w:val="nil"/>
                    <w:bottom w:val="nil"/>
                    <w:right w:val="nil"/>
                  </w:tcBorders>
                  <w:shd w:val="clear" w:color="auto" w:fill="auto"/>
                  <w:vAlign w:val="center"/>
                  <w:hideMark/>
                </w:tcPr>
                <w:p w14:paraId="00782640" w14:textId="77777777" w:rsidR="007D417F" w:rsidRPr="007472E6" w:rsidRDefault="007D417F" w:rsidP="00E44AEF">
                  <w:pPr>
                    <w:pStyle w:val="TableBodyText"/>
                    <w:spacing w:after="20"/>
                    <w:rPr>
                      <w:szCs w:val="18"/>
                    </w:rPr>
                  </w:pPr>
                  <w:r w:rsidRPr="0081515A">
                    <w:rPr>
                      <w:rFonts w:cs="Arial"/>
                      <w:szCs w:val="18"/>
                    </w:rPr>
                    <w:t>–</w:t>
                  </w:r>
                </w:p>
              </w:tc>
              <w:tc>
                <w:tcPr>
                  <w:tcW w:w="580" w:type="pct"/>
                  <w:tcBorders>
                    <w:top w:val="nil"/>
                    <w:left w:val="nil"/>
                    <w:bottom w:val="nil"/>
                    <w:right w:val="nil"/>
                  </w:tcBorders>
                  <w:shd w:val="clear" w:color="auto" w:fill="auto"/>
                  <w:vAlign w:val="center"/>
                  <w:hideMark/>
                </w:tcPr>
                <w:p w14:paraId="1C60228B" w14:textId="77777777" w:rsidR="007D417F" w:rsidRPr="007472E6" w:rsidRDefault="007D417F" w:rsidP="00E44AEF">
                  <w:pPr>
                    <w:pStyle w:val="TableBodyText"/>
                    <w:spacing w:after="20"/>
                    <w:rPr>
                      <w:szCs w:val="18"/>
                    </w:rPr>
                  </w:pPr>
                  <w:r w:rsidRPr="0081515A">
                    <w:rPr>
                      <w:rFonts w:cs="Arial"/>
                      <w:szCs w:val="18"/>
                    </w:rPr>
                    <w:t>-20.5</w:t>
                  </w:r>
                </w:p>
              </w:tc>
              <w:tc>
                <w:tcPr>
                  <w:tcW w:w="475" w:type="pct"/>
                  <w:tcBorders>
                    <w:top w:val="nil"/>
                    <w:left w:val="nil"/>
                    <w:bottom w:val="nil"/>
                    <w:right w:val="nil"/>
                  </w:tcBorders>
                  <w:shd w:val="clear" w:color="000000" w:fill="F2F2F2"/>
                  <w:vAlign w:val="center"/>
                  <w:hideMark/>
                </w:tcPr>
                <w:p w14:paraId="2F19F84E" w14:textId="77777777" w:rsidR="007D417F" w:rsidRPr="007472E6" w:rsidRDefault="007D417F" w:rsidP="00E44AEF">
                  <w:pPr>
                    <w:pStyle w:val="TableBodyText"/>
                    <w:spacing w:after="20"/>
                    <w:rPr>
                      <w:szCs w:val="18"/>
                    </w:rPr>
                  </w:pPr>
                  <w:r w:rsidRPr="0081515A">
                    <w:rPr>
                      <w:rFonts w:cs="Arial"/>
                      <w:szCs w:val="18"/>
                    </w:rPr>
                    <w:t>-20.5</w:t>
                  </w:r>
                </w:p>
              </w:tc>
              <w:tc>
                <w:tcPr>
                  <w:tcW w:w="550" w:type="pct"/>
                  <w:tcBorders>
                    <w:top w:val="nil"/>
                    <w:left w:val="nil"/>
                    <w:bottom w:val="nil"/>
                    <w:right w:val="nil"/>
                  </w:tcBorders>
                  <w:shd w:val="clear" w:color="auto" w:fill="auto"/>
                  <w:vAlign w:val="center"/>
                  <w:hideMark/>
                </w:tcPr>
                <w:p w14:paraId="12578418" w14:textId="77777777" w:rsidR="007D417F" w:rsidRPr="007472E6" w:rsidRDefault="007D417F" w:rsidP="00E44AEF">
                  <w:pPr>
                    <w:pStyle w:val="TableBodyText"/>
                    <w:spacing w:after="20"/>
                    <w:rPr>
                      <w:szCs w:val="18"/>
                    </w:rPr>
                  </w:pPr>
                  <w:r w:rsidRPr="0081515A">
                    <w:rPr>
                      <w:rFonts w:cs="Arial"/>
                      <w:szCs w:val="18"/>
                    </w:rPr>
                    <w:t>90.6</w:t>
                  </w:r>
                </w:p>
              </w:tc>
              <w:tc>
                <w:tcPr>
                  <w:tcW w:w="485" w:type="pct"/>
                  <w:tcBorders>
                    <w:top w:val="nil"/>
                    <w:left w:val="nil"/>
                    <w:bottom w:val="nil"/>
                    <w:right w:val="nil"/>
                  </w:tcBorders>
                  <w:shd w:val="clear" w:color="auto" w:fill="auto"/>
                  <w:vAlign w:val="center"/>
                  <w:hideMark/>
                </w:tcPr>
                <w:p w14:paraId="42734DF2" w14:textId="77777777" w:rsidR="007D417F" w:rsidRPr="007472E6" w:rsidRDefault="007D417F" w:rsidP="00E44AEF">
                  <w:pPr>
                    <w:pStyle w:val="TableBodyText"/>
                    <w:spacing w:after="20"/>
                    <w:rPr>
                      <w:szCs w:val="18"/>
                    </w:rPr>
                  </w:pPr>
                  <w:r w:rsidRPr="0081515A">
                    <w:rPr>
                      <w:rFonts w:cs="Arial"/>
                      <w:szCs w:val="18"/>
                    </w:rPr>
                    <w:t>20.2</w:t>
                  </w:r>
                </w:p>
              </w:tc>
              <w:tc>
                <w:tcPr>
                  <w:tcW w:w="672" w:type="pct"/>
                  <w:tcBorders>
                    <w:top w:val="nil"/>
                    <w:left w:val="nil"/>
                    <w:bottom w:val="nil"/>
                    <w:right w:val="nil"/>
                  </w:tcBorders>
                  <w:shd w:val="clear" w:color="000000" w:fill="F2F2F2"/>
                  <w:vAlign w:val="center"/>
                  <w:hideMark/>
                </w:tcPr>
                <w:p w14:paraId="5C82081A" w14:textId="77777777" w:rsidR="007D417F" w:rsidRPr="007472E6" w:rsidRDefault="007D417F" w:rsidP="00E44AEF">
                  <w:pPr>
                    <w:pStyle w:val="TableBodyText"/>
                    <w:spacing w:after="20"/>
                    <w:rPr>
                      <w:szCs w:val="18"/>
                    </w:rPr>
                  </w:pPr>
                  <w:r w:rsidRPr="0081515A">
                    <w:rPr>
                      <w:rFonts w:cs="Arial"/>
                      <w:szCs w:val="18"/>
                    </w:rPr>
                    <w:t>90.3</w:t>
                  </w:r>
                </w:p>
              </w:tc>
            </w:tr>
            <w:tr w:rsidR="007D417F" w14:paraId="6CA7EF12" w14:textId="77777777" w:rsidTr="00E44AEF">
              <w:tc>
                <w:tcPr>
                  <w:tcW w:w="1574" w:type="pct"/>
                  <w:hideMark/>
                </w:tcPr>
                <w:p w14:paraId="0AFC99DA" w14:textId="77777777" w:rsidR="007D417F" w:rsidRDefault="007D417F" w:rsidP="00E44AEF">
                  <w:pPr>
                    <w:pStyle w:val="TableBodyText"/>
                    <w:spacing w:after="20"/>
                    <w:jc w:val="left"/>
                  </w:pPr>
                  <w:r>
                    <w:t>Construction</w:t>
                  </w:r>
                </w:p>
              </w:tc>
              <w:tc>
                <w:tcPr>
                  <w:tcW w:w="663" w:type="pct"/>
                  <w:tcBorders>
                    <w:top w:val="nil"/>
                    <w:left w:val="nil"/>
                    <w:bottom w:val="nil"/>
                    <w:right w:val="nil"/>
                  </w:tcBorders>
                  <w:shd w:val="clear" w:color="auto" w:fill="auto"/>
                  <w:vAlign w:val="center"/>
                  <w:hideMark/>
                </w:tcPr>
                <w:p w14:paraId="17A700C9" w14:textId="77777777" w:rsidR="007D417F" w:rsidRPr="007472E6" w:rsidRDefault="007D417F" w:rsidP="00E44AEF">
                  <w:pPr>
                    <w:pStyle w:val="TableBodyText"/>
                    <w:spacing w:after="20"/>
                    <w:rPr>
                      <w:szCs w:val="18"/>
                    </w:rPr>
                  </w:pPr>
                  <w:r w:rsidRPr="0081515A">
                    <w:rPr>
                      <w:rFonts w:cs="Arial"/>
                      <w:szCs w:val="18"/>
                    </w:rPr>
                    <w:t>–</w:t>
                  </w:r>
                </w:p>
              </w:tc>
              <w:tc>
                <w:tcPr>
                  <w:tcW w:w="580" w:type="pct"/>
                  <w:tcBorders>
                    <w:top w:val="nil"/>
                    <w:left w:val="nil"/>
                    <w:bottom w:val="nil"/>
                    <w:right w:val="nil"/>
                  </w:tcBorders>
                  <w:shd w:val="clear" w:color="auto" w:fill="auto"/>
                  <w:vAlign w:val="center"/>
                  <w:hideMark/>
                </w:tcPr>
                <w:p w14:paraId="7CD5E885" w14:textId="77777777" w:rsidR="007D417F" w:rsidRPr="007472E6" w:rsidRDefault="007D417F" w:rsidP="00E44AEF">
                  <w:pPr>
                    <w:pStyle w:val="TableBodyText"/>
                    <w:spacing w:after="20"/>
                    <w:rPr>
                      <w:szCs w:val="18"/>
                    </w:rPr>
                  </w:pPr>
                  <w:r w:rsidRPr="0081515A">
                    <w:rPr>
                      <w:rFonts w:cs="Arial"/>
                      <w:szCs w:val="18"/>
                    </w:rPr>
                    <w:t>-401.6</w:t>
                  </w:r>
                </w:p>
              </w:tc>
              <w:tc>
                <w:tcPr>
                  <w:tcW w:w="475" w:type="pct"/>
                  <w:tcBorders>
                    <w:top w:val="nil"/>
                    <w:left w:val="nil"/>
                    <w:bottom w:val="nil"/>
                    <w:right w:val="nil"/>
                  </w:tcBorders>
                  <w:shd w:val="clear" w:color="000000" w:fill="F2F2F2"/>
                  <w:vAlign w:val="center"/>
                  <w:hideMark/>
                </w:tcPr>
                <w:p w14:paraId="35463DCA" w14:textId="77777777" w:rsidR="007D417F" w:rsidRPr="007472E6" w:rsidRDefault="007D417F" w:rsidP="00E44AEF">
                  <w:pPr>
                    <w:pStyle w:val="TableBodyText"/>
                    <w:spacing w:after="20"/>
                    <w:rPr>
                      <w:szCs w:val="18"/>
                    </w:rPr>
                  </w:pPr>
                  <w:r w:rsidRPr="0081515A">
                    <w:rPr>
                      <w:rFonts w:cs="Arial"/>
                      <w:szCs w:val="18"/>
                    </w:rPr>
                    <w:t>-401.6</w:t>
                  </w:r>
                </w:p>
              </w:tc>
              <w:tc>
                <w:tcPr>
                  <w:tcW w:w="550" w:type="pct"/>
                  <w:tcBorders>
                    <w:top w:val="nil"/>
                    <w:left w:val="nil"/>
                    <w:bottom w:val="nil"/>
                    <w:right w:val="nil"/>
                  </w:tcBorders>
                  <w:shd w:val="clear" w:color="auto" w:fill="auto"/>
                  <w:vAlign w:val="center"/>
                  <w:hideMark/>
                </w:tcPr>
                <w:p w14:paraId="62BD3171" w14:textId="77777777" w:rsidR="007D417F" w:rsidRPr="007472E6" w:rsidRDefault="007D417F" w:rsidP="00E44AEF">
                  <w:pPr>
                    <w:pStyle w:val="TableBodyText"/>
                    <w:spacing w:after="20"/>
                    <w:rPr>
                      <w:szCs w:val="18"/>
                    </w:rPr>
                  </w:pPr>
                  <w:r w:rsidRPr="0081515A">
                    <w:rPr>
                      <w:rFonts w:cs="Arial"/>
                      <w:szCs w:val="18"/>
                    </w:rPr>
                    <w:t>52.0</w:t>
                  </w:r>
                </w:p>
              </w:tc>
              <w:tc>
                <w:tcPr>
                  <w:tcW w:w="485" w:type="pct"/>
                  <w:tcBorders>
                    <w:top w:val="nil"/>
                    <w:left w:val="nil"/>
                    <w:bottom w:val="nil"/>
                    <w:right w:val="nil"/>
                  </w:tcBorders>
                  <w:shd w:val="clear" w:color="auto" w:fill="auto"/>
                  <w:vAlign w:val="center"/>
                  <w:hideMark/>
                </w:tcPr>
                <w:p w14:paraId="0F1EABB2" w14:textId="77777777" w:rsidR="007D417F" w:rsidRPr="007472E6" w:rsidRDefault="007D417F" w:rsidP="00E44AEF">
                  <w:pPr>
                    <w:pStyle w:val="TableBodyText"/>
                    <w:spacing w:after="20"/>
                    <w:rPr>
                      <w:szCs w:val="18"/>
                    </w:rPr>
                  </w:pPr>
                  <w:r w:rsidRPr="0081515A">
                    <w:rPr>
                      <w:rFonts w:cs="Arial"/>
                      <w:szCs w:val="18"/>
                    </w:rPr>
                    <w:t>119.6</w:t>
                  </w:r>
                </w:p>
              </w:tc>
              <w:tc>
                <w:tcPr>
                  <w:tcW w:w="672" w:type="pct"/>
                  <w:tcBorders>
                    <w:top w:val="nil"/>
                    <w:left w:val="nil"/>
                    <w:bottom w:val="nil"/>
                    <w:right w:val="nil"/>
                  </w:tcBorders>
                  <w:shd w:val="clear" w:color="000000" w:fill="F2F2F2"/>
                  <w:vAlign w:val="center"/>
                  <w:hideMark/>
                </w:tcPr>
                <w:p w14:paraId="26AD97DE" w14:textId="77777777" w:rsidR="007D417F" w:rsidRPr="007472E6" w:rsidRDefault="007D417F" w:rsidP="00E44AEF">
                  <w:pPr>
                    <w:pStyle w:val="TableBodyText"/>
                    <w:spacing w:after="20"/>
                    <w:rPr>
                      <w:szCs w:val="18"/>
                    </w:rPr>
                  </w:pPr>
                  <w:r w:rsidRPr="0081515A">
                    <w:rPr>
                      <w:rFonts w:cs="Arial"/>
                      <w:szCs w:val="18"/>
                    </w:rPr>
                    <w:t>-230.1</w:t>
                  </w:r>
                </w:p>
              </w:tc>
            </w:tr>
            <w:tr w:rsidR="007D417F" w14:paraId="1469D5C1" w14:textId="77777777" w:rsidTr="00E44AEF">
              <w:tc>
                <w:tcPr>
                  <w:tcW w:w="1574" w:type="pct"/>
                  <w:hideMark/>
                </w:tcPr>
                <w:p w14:paraId="018B7410" w14:textId="77777777" w:rsidR="007D417F" w:rsidRDefault="007D417F" w:rsidP="00E44AEF">
                  <w:pPr>
                    <w:pStyle w:val="TableBodyText"/>
                    <w:spacing w:after="20"/>
                    <w:jc w:val="left"/>
                  </w:pPr>
                  <w:r>
                    <w:t>Wholesale trade</w:t>
                  </w:r>
                </w:p>
              </w:tc>
              <w:tc>
                <w:tcPr>
                  <w:tcW w:w="663" w:type="pct"/>
                  <w:tcBorders>
                    <w:top w:val="nil"/>
                    <w:left w:val="nil"/>
                    <w:bottom w:val="nil"/>
                    <w:right w:val="nil"/>
                  </w:tcBorders>
                  <w:shd w:val="clear" w:color="auto" w:fill="auto"/>
                  <w:vAlign w:val="center"/>
                  <w:hideMark/>
                </w:tcPr>
                <w:p w14:paraId="5DF03A4A" w14:textId="77777777" w:rsidR="007D417F" w:rsidRPr="007472E6" w:rsidRDefault="007D417F" w:rsidP="00E44AEF">
                  <w:pPr>
                    <w:pStyle w:val="TableBodyText"/>
                    <w:spacing w:after="20"/>
                    <w:rPr>
                      <w:szCs w:val="18"/>
                    </w:rPr>
                  </w:pPr>
                  <w:r w:rsidRPr="0081515A">
                    <w:rPr>
                      <w:rFonts w:cs="Arial"/>
                      <w:szCs w:val="18"/>
                    </w:rPr>
                    <w:t>–</w:t>
                  </w:r>
                </w:p>
              </w:tc>
              <w:tc>
                <w:tcPr>
                  <w:tcW w:w="580" w:type="pct"/>
                  <w:tcBorders>
                    <w:top w:val="nil"/>
                    <w:left w:val="nil"/>
                    <w:bottom w:val="nil"/>
                    <w:right w:val="nil"/>
                  </w:tcBorders>
                  <w:shd w:val="clear" w:color="auto" w:fill="auto"/>
                  <w:vAlign w:val="center"/>
                  <w:hideMark/>
                </w:tcPr>
                <w:p w14:paraId="63F916BA" w14:textId="77777777" w:rsidR="007D417F" w:rsidRPr="007472E6" w:rsidRDefault="007D417F" w:rsidP="00E44AEF">
                  <w:pPr>
                    <w:pStyle w:val="TableBodyText"/>
                    <w:spacing w:after="20"/>
                    <w:rPr>
                      <w:szCs w:val="18"/>
                    </w:rPr>
                  </w:pPr>
                  <w:r w:rsidRPr="0081515A">
                    <w:rPr>
                      <w:rFonts w:cs="Arial"/>
                      <w:szCs w:val="18"/>
                    </w:rPr>
                    <w:t>-56.5</w:t>
                  </w:r>
                </w:p>
              </w:tc>
              <w:tc>
                <w:tcPr>
                  <w:tcW w:w="475" w:type="pct"/>
                  <w:tcBorders>
                    <w:top w:val="nil"/>
                    <w:left w:val="nil"/>
                    <w:bottom w:val="nil"/>
                    <w:right w:val="nil"/>
                  </w:tcBorders>
                  <w:shd w:val="clear" w:color="000000" w:fill="F2F2F2"/>
                  <w:vAlign w:val="center"/>
                  <w:hideMark/>
                </w:tcPr>
                <w:p w14:paraId="65E9CDD0" w14:textId="77777777" w:rsidR="007D417F" w:rsidRPr="007472E6" w:rsidRDefault="007D417F" w:rsidP="00E44AEF">
                  <w:pPr>
                    <w:pStyle w:val="TableBodyText"/>
                    <w:spacing w:after="20"/>
                    <w:rPr>
                      <w:szCs w:val="18"/>
                    </w:rPr>
                  </w:pPr>
                  <w:r w:rsidRPr="0081515A">
                    <w:rPr>
                      <w:rFonts w:cs="Arial"/>
                      <w:szCs w:val="18"/>
                    </w:rPr>
                    <w:t>-56.5</w:t>
                  </w:r>
                </w:p>
              </w:tc>
              <w:tc>
                <w:tcPr>
                  <w:tcW w:w="550" w:type="pct"/>
                  <w:tcBorders>
                    <w:top w:val="nil"/>
                    <w:left w:val="nil"/>
                    <w:bottom w:val="nil"/>
                    <w:right w:val="nil"/>
                  </w:tcBorders>
                  <w:shd w:val="clear" w:color="auto" w:fill="auto"/>
                  <w:vAlign w:val="center"/>
                  <w:hideMark/>
                </w:tcPr>
                <w:p w14:paraId="55898226" w14:textId="77777777" w:rsidR="007D417F" w:rsidRPr="007472E6" w:rsidRDefault="007D417F" w:rsidP="00E44AEF">
                  <w:pPr>
                    <w:pStyle w:val="TableBodyText"/>
                    <w:spacing w:after="20"/>
                    <w:rPr>
                      <w:szCs w:val="18"/>
                    </w:rPr>
                  </w:pPr>
                  <w:r w:rsidRPr="0081515A">
                    <w:rPr>
                      <w:rFonts w:cs="Arial"/>
                      <w:szCs w:val="18"/>
                    </w:rPr>
                    <w:t>88.4</w:t>
                  </w:r>
                </w:p>
              </w:tc>
              <w:tc>
                <w:tcPr>
                  <w:tcW w:w="485" w:type="pct"/>
                  <w:tcBorders>
                    <w:top w:val="nil"/>
                    <w:left w:val="nil"/>
                    <w:bottom w:val="nil"/>
                    <w:right w:val="nil"/>
                  </w:tcBorders>
                  <w:shd w:val="clear" w:color="auto" w:fill="auto"/>
                  <w:vAlign w:val="center"/>
                  <w:hideMark/>
                </w:tcPr>
                <w:p w14:paraId="1752C0A0" w14:textId="77777777" w:rsidR="007D417F" w:rsidRPr="007472E6" w:rsidRDefault="007D417F" w:rsidP="00E44AEF">
                  <w:pPr>
                    <w:pStyle w:val="TableBodyText"/>
                    <w:spacing w:after="20"/>
                    <w:rPr>
                      <w:szCs w:val="18"/>
                    </w:rPr>
                  </w:pPr>
                  <w:r w:rsidRPr="0081515A">
                    <w:rPr>
                      <w:rFonts w:cs="Arial"/>
                      <w:szCs w:val="18"/>
                    </w:rPr>
                    <w:t>90.8</w:t>
                  </w:r>
                </w:p>
              </w:tc>
              <w:tc>
                <w:tcPr>
                  <w:tcW w:w="672" w:type="pct"/>
                  <w:tcBorders>
                    <w:top w:val="nil"/>
                    <w:left w:val="nil"/>
                    <w:bottom w:val="nil"/>
                    <w:right w:val="nil"/>
                  </w:tcBorders>
                  <w:shd w:val="clear" w:color="000000" w:fill="F2F2F2"/>
                  <w:vAlign w:val="center"/>
                  <w:hideMark/>
                </w:tcPr>
                <w:p w14:paraId="5CB48547" w14:textId="77777777" w:rsidR="007D417F" w:rsidRPr="007472E6" w:rsidRDefault="007D417F" w:rsidP="00E44AEF">
                  <w:pPr>
                    <w:pStyle w:val="TableBodyText"/>
                    <w:spacing w:after="20"/>
                    <w:rPr>
                      <w:szCs w:val="18"/>
                    </w:rPr>
                  </w:pPr>
                  <w:r w:rsidRPr="0081515A">
                    <w:rPr>
                      <w:rFonts w:cs="Arial"/>
                      <w:szCs w:val="18"/>
                    </w:rPr>
                    <w:t>122.7</w:t>
                  </w:r>
                </w:p>
              </w:tc>
            </w:tr>
            <w:tr w:rsidR="007D417F" w14:paraId="09B9AF1B" w14:textId="77777777" w:rsidTr="00E44AEF">
              <w:tc>
                <w:tcPr>
                  <w:tcW w:w="1574" w:type="pct"/>
                  <w:hideMark/>
                </w:tcPr>
                <w:p w14:paraId="3B3A023D" w14:textId="77777777" w:rsidR="007D417F" w:rsidRDefault="007D417F" w:rsidP="00E44AEF">
                  <w:pPr>
                    <w:pStyle w:val="TableBodyText"/>
                    <w:spacing w:after="20"/>
                    <w:jc w:val="left"/>
                  </w:pPr>
                  <w:r>
                    <w:t>Retail trade</w:t>
                  </w:r>
                </w:p>
              </w:tc>
              <w:tc>
                <w:tcPr>
                  <w:tcW w:w="663" w:type="pct"/>
                  <w:tcBorders>
                    <w:top w:val="nil"/>
                    <w:left w:val="nil"/>
                    <w:bottom w:val="nil"/>
                    <w:right w:val="nil"/>
                  </w:tcBorders>
                  <w:shd w:val="clear" w:color="auto" w:fill="auto"/>
                  <w:vAlign w:val="center"/>
                  <w:hideMark/>
                </w:tcPr>
                <w:p w14:paraId="3B74AFAF" w14:textId="77777777" w:rsidR="007D417F" w:rsidRPr="007472E6" w:rsidRDefault="007D417F" w:rsidP="00E44AEF">
                  <w:pPr>
                    <w:pStyle w:val="TableBodyText"/>
                    <w:spacing w:after="20"/>
                    <w:rPr>
                      <w:szCs w:val="18"/>
                    </w:rPr>
                  </w:pPr>
                  <w:r w:rsidRPr="0081515A">
                    <w:rPr>
                      <w:rFonts w:cs="Arial"/>
                      <w:szCs w:val="18"/>
                    </w:rPr>
                    <w:t>–</w:t>
                  </w:r>
                </w:p>
              </w:tc>
              <w:tc>
                <w:tcPr>
                  <w:tcW w:w="580" w:type="pct"/>
                  <w:tcBorders>
                    <w:top w:val="nil"/>
                    <w:left w:val="nil"/>
                    <w:bottom w:val="nil"/>
                    <w:right w:val="nil"/>
                  </w:tcBorders>
                  <w:shd w:val="clear" w:color="auto" w:fill="auto"/>
                  <w:vAlign w:val="center"/>
                  <w:hideMark/>
                </w:tcPr>
                <w:p w14:paraId="06849808" w14:textId="77777777" w:rsidR="007D417F" w:rsidRPr="007472E6" w:rsidRDefault="007D417F" w:rsidP="00E44AEF">
                  <w:pPr>
                    <w:pStyle w:val="TableBodyText"/>
                    <w:spacing w:after="20"/>
                    <w:rPr>
                      <w:szCs w:val="18"/>
                    </w:rPr>
                  </w:pPr>
                  <w:r w:rsidRPr="0081515A">
                    <w:rPr>
                      <w:rFonts w:cs="Arial"/>
                      <w:szCs w:val="18"/>
                    </w:rPr>
                    <w:t>-35.4</w:t>
                  </w:r>
                </w:p>
              </w:tc>
              <w:tc>
                <w:tcPr>
                  <w:tcW w:w="475" w:type="pct"/>
                  <w:tcBorders>
                    <w:top w:val="nil"/>
                    <w:left w:val="nil"/>
                    <w:bottom w:val="nil"/>
                    <w:right w:val="nil"/>
                  </w:tcBorders>
                  <w:shd w:val="clear" w:color="000000" w:fill="F2F2F2"/>
                  <w:vAlign w:val="center"/>
                  <w:hideMark/>
                </w:tcPr>
                <w:p w14:paraId="27C91B03" w14:textId="77777777" w:rsidR="007D417F" w:rsidRPr="007472E6" w:rsidRDefault="007D417F" w:rsidP="00E44AEF">
                  <w:pPr>
                    <w:pStyle w:val="TableBodyText"/>
                    <w:spacing w:after="20"/>
                    <w:rPr>
                      <w:szCs w:val="18"/>
                    </w:rPr>
                  </w:pPr>
                  <w:r w:rsidRPr="0081515A">
                    <w:rPr>
                      <w:rFonts w:cs="Arial"/>
                      <w:szCs w:val="18"/>
                    </w:rPr>
                    <w:t>-35.4</w:t>
                  </w:r>
                </w:p>
              </w:tc>
              <w:tc>
                <w:tcPr>
                  <w:tcW w:w="550" w:type="pct"/>
                  <w:tcBorders>
                    <w:top w:val="nil"/>
                    <w:left w:val="nil"/>
                    <w:bottom w:val="nil"/>
                    <w:right w:val="nil"/>
                  </w:tcBorders>
                  <w:shd w:val="clear" w:color="auto" w:fill="auto"/>
                  <w:vAlign w:val="center"/>
                  <w:hideMark/>
                </w:tcPr>
                <w:p w14:paraId="691E0D17" w14:textId="77777777" w:rsidR="007D417F" w:rsidRPr="007472E6" w:rsidRDefault="007D417F" w:rsidP="00E44AEF">
                  <w:pPr>
                    <w:pStyle w:val="TableBodyText"/>
                    <w:spacing w:after="20"/>
                    <w:rPr>
                      <w:szCs w:val="18"/>
                    </w:rPr>
                  </w:pPr>
                  <w:r w:rsidRPr="0081515A">
                    <w:rPr>
                      <w:rFonts w:cs="Arial"/>
                      <w:szCs w:val="18"/>
                    </w:rPr>
                    <w:t>36.1</w:t>
                  </w:r>
                </w:p>
              </w:tc>
              <w:tc>
                <w:tcPr>
                  <w:tcW w:w="485" w:type="pct"/>
                  <w:tcBorders>
                    <w:top w:val="nil"/>
                    <w:left w:val="nil"/>
                    <w:bottom w:val="nil"/>
                    <w:right w:val="nil"/>
                  </w:tcBorders>
                  <w:shd w:val="clear" w:color="auto" w:fill="auto"/>
                  <w:vAlign w:val="center"/>
                  <w:hideMark/>
                </w:tcPr>
                <w:p w14:paraId="40E924BD" w14:textId="77777777" w:rsidR="007D417F" w:rsidRPr="007472E6" w:rsidRDefault="007D417F" w:rsidP="00E44AEF">
                  <w:pPr>
                    <w:pStyle w:val="TableBodyText"/>
                    <w:spacing w:after="20"/>
                    <w:rPr>
                      <w:szCs w:val="18"/>
                    </w:rPr>
                  </w:pPr>
                  <w:r w:rsidRPr="0081515A">
                    <w:rPr>
                      <w:rFonts w:cs="Arial"/>
                      <w:szCs w:val="18"/>
                    </w:rPr>
                    <w:t>96.9</w:t>
                  </w:r>
                </w:p>
              </w:tc>
              <w:tc>
                <w:tcPr>
                  <w:tcW w:w="672" w:type="pct"/>
                  <w:tcBorders>
                    <w:top w:val="nil"/>
                    <w:left w:val="nil"/>
                    <w:bottom w:val="nil"/>
                    <w:right w:val="nil"/>
                  </w:tcBorders>
                  <w:shd w:val="clear" w:color="000000" w:fill="F2F2F2"/>
                  <w:vAlign w:val="center"/>
                  <w:hideMark/>
                </w:tcPr>
                <w:p w14:paraId="4B334A64" w14:textId="77777777" w:rsidR="007D417F" w:rsidRPr="007472E6" w:rsidRDefault="007D417F" w:rsidP="00E44AEF">
                  <w:pPr>
                    <w:pStyle w:val="TableBodyText"/>
                    <w:spacing w:after="20"/>
                    <w:rPr>
                      <w:szCs w:val="18"/>
                    </w:rPr>
                  </w:pPr>
                  <w:r w:rsidRPr="0081515A">
                    <w:rPr>
                      <w:rFonts w:cs="Arial"/>
                      <w:szCs w:val="18"/>
                    </w:rPr>
                    <w:t>97.7</w:t>
                  </w:r>
                </w:p>
              </w:tc>
            </w:tr>
            <w:tr w:rsidR="007D417F" w14:paraId="774641ED" w14:textId="77777777" w:rsidTr="00E44AEF">
              <w:tc>
                <w:tcPr>
                  <w:tcW w:w="1574" w:type="pct"/>
                  <w:hideMark/>
                </w:tcPr>
                <w:p w14:paraId="337F4AF1" w14:textId="77777777" w:rsidR="007D417F" w:rsidRDefault="007D417F" w:rsidP="00E44AEF">
                  <w:pPr>
                    <w:pStyle w:val="TableBodyText"/>
                    <w:spacing w:after="20"/>
                    <w:jc w:val="left"/>
                  </w:pPr>
                  <w:r>
                    <w:t>Accommodation &amp; food services</w:t>
                  </w:r>
                </w:p>
              </w:tc>
              <w:tc>
                <w:tcPr>
                  <w:tcW w:w="663" w:type="pct"/>
                  <w:tcBorders>
                    <w:top w:val="nil"/>
                    <w:left w:val="nil"/>
                    <w:bottom w:val="nil"/>
                    <w:right w:val="nil"/>
                  </w:tcBorders>
                  <w:shd w:val="clear" w:color="auto" w:fill="auto"/>
                  <w:vAlign w:val="center"/>
                  <w:hideMark/>
                </w:tcPr>
                <w:p w14:paraId="356AD8DE" w14:textId="77777777" w:rsidR="007D417F" w:rsidRPr="007472E6" w:rsidRDefault="007D417F" w:rsidP="00E44AEF">
                  <w:pPr>
                    <w:pStyle w:val="TableBodyText"/>
                    <w:spacing w:after="20"/>
                    <w:rPr>
                      <w:szCs w:val="18"/>
                    </w:rPr>
                  </w:pPr>
                  <w:r w:rsidRPr="0081515A">
                    <w:rPr>
                      <w:rFonts w:cs="Arial"/>
                      <w:szCs w:val="18"/>
                    </w:rPr>
                    <w:t>–</w:t>
                  </w:r>
                </w:p>
              </w:tc>
              <w:tc>
                <w:tcPr>
                  <w:tcW w:w="580" w:type="pct"/>
                  <w:tcBorders>
                    <w:top w:val="nil"/>
                    <w:left w:val="nil"/>
                    <w:bottom w:val="nil"/>
                    <w:right w:val="nil"/>
                  </w:tcBorders>
                  <w:shd w:val="clear" w:color="auto" w:fill="auto"/>
                  <w:vAlign w:val="center"/>
                  <w:hideMark/>
                </w:tcPr>
                <w:p w14:paraId="5F0E83E7" w14:textId="77777777" w:rsidR="007D417F" w:rsidRPr="007472E6" w:rsidRDefault="007D417F" w:rsidP="00E44AEF">
                  <w:pPr>
                    <w:pStyle w:val="TableBodyText"/>
                    <w:spacing w:after="20"/>
                    <w:rPr>
                      <w:szCs w:val="18"/>
                    </w:rPr>
                  </w:pPr>
                  <w:r w:rsidRPr="0081515A">
                    <w:rPr>
                      <w:rFonts w:cs="Arial"/>
                      <w:szCs w:val="18"/>
                    </w:rPr>
                    <w:t>-79.6</w:t>
                  </w:r>
                </w:p>
              </w:tc>
              <w:tc>
                <w:tcPr>
                  <w:tcW w:w="475" w:type="pct"/>
                  <w:tcBorders>
                    <w:top w:val="nil"/>
                    <w:left w:val="nil"/>
                    <w:bottom w:val="nil"/>
                    <w:right w:val="nil"/>
                  </w:tcBorders>
                  <w:shd w:val="clear" w:color="000000" w:fill="F2F2F2"/>
                  <w:vAlign w:val="center"/>
                  <w:hideMark/>
                </w:tcPr>
                <w:p w14:paraId="4AE72B28" w14:textId="77777777" w:rsidR="007D417F" w:rsidRPr="007472E6" w:rsidRDefault="007D417F" w:rsidP="00E44AEF">
                  <w:pPr>
                    <w:pStyle w:val="TableBodyText"/>
                    <w:spacing w:after="20"/>
                    <w:rPr>
                      <w:szCs w:val="18"/>
                    </w:rPr>
                  </w:pPr>
                  <w:r w:rsidRPr="0081515A">
                    <w:rPr>
                      <w:rFonts w:cs="Arial"/>
                      <w:szCs w:val="18"/>
                    </w:rPr>
                    <w:t>-79.6</w:t>
                  </w:r>
                </w:p>
              </w:tc>
              <w:tc>
                <w:tcPr>
                  <w:tcW w:w="550" w:type="pct"/>
                  <w:tcBorders>
                    <w:top w:val="nil"/>
                    <w:left w:val="nil"/>
                    <w:bottom w:val="nil"/>
                    <w:right w:val="nil"/>
                  </w:tcBorders>
                  <w:shd w:val="clear" w:color="auto" w:fill="auto"/>
                  <w:vAlign w:val="center"/>
                  <w:hideMark/>
                </w:tcPr>
                <w:p w14:paraId="216F6923" w14:textId="77777777" w:rsidR="007D417F" w:rsidRPr="007472E6" w:rsidRDefault="007D417F" w:rsidP="00E44AEF">
                  <w:pPr>
                    <w:pStyle w:val="TableBodyText"/>
                    <w:spacing w:after="20"/>
                    <w:rPr>
                      <w:szCs w:val="18"/>
                    </w:rPr>
                  </w:pPr>
                  <w:r w:rsidRPr="0081515A">
                    <w:rPr>
                      <w:rFonts w:cs="Arial"/>
                      <w:szCs w:val="18"/>
                    </w:rPr>
                    <w:t>9.2</w:t>
                  </w:r>
                </w:p>
              </w:tc>
              <w:tc>
                <w:tcPr>
                  <w:tcW w:w="485" w:type="pct"/>
                  <w:tcBorders>
                    <w:top w:val="nil"/>
                    <w:left w:val="nil"/>
                    <w:bottom w:val="nil"/>
                    <w:right w:val="nil"/>
                  </w:tcBorders>
                  <w:shd w:val="clear" w:color="auto" w:fill="auto"/>
                  <w:vAlign w:val="center"/>
                  <w:hideMark/>
                </w:tcPr>
                <w:p w14:paraId="4A2121C1" w14:textId="77777777" w:rsidR="007D417F" w:rsidRPr="007472E6" w:rsidRDefault="007D417F" w:rsidP="00E44AEF">
                  <w:pPr>
                    <w:pStyle w:val="TableBodyText"/>
                    <w:spacing w:after="20"/>
                    <w:rPr>
                      <w:szCs w:val="18"/>
                    </w:rPr>
                  </w:pPr>
                  <w:r w:rsidRPr="0081515A">
                    <w:rPr>
                      <w:rFonts w:cs="Arial"/>
                      <w:szCs w:val="18"/>
                    </w:rPr>
                    <w:t>84.1</w:t>
                  </w:r>
                </w:p>
              </w:tc>
              <w:tc>
                <w:tcPr>
                  <w:tcW w:w="672" w:type="pct"/>
                  <w:tcBorders>
                    <w:top w:val="nil"/>
                    <w:left w:val="nil"/>
                    <w:bottom w:val="nil"/>
                    <w:right w:val="nil"/>
                  </w:tcBorders>
                  <w:shd w:val="clear" w:color="000000" w:fill="F2F2F2"/>
                  <w:vAlign w:val="center"/>
                  <w:hideMark/>
                </w:tcPr>
                <w:p w14:paraId="7418D23C" w14:textId="77777777" w:rsidR="007D417F" w:rsidRPr="007472E6" w:rsidRDefault="007D417F" w:rsidP="00E44AEF">
                  <w:pPr>
                    <w:pStyle w:val="TableBodyText"/>
                    <w:spacing w:after="20"/>
                    <w:rPr>
                      <w:szCs w:val="18"/>
                    </w:rPr>
                  </w:pPr>
                  <w:r w:rsidRPr="0081515A">
                    <w:rPr>
                      <w:rFonts w:cs="Arial"/>
                      <w:szCs w:val="18"/>
                    </w:rPr>
                    <w:t>13.6</w:t>
                  </w:r>
                </w:p>
              </w:tc>
            </w:tr>
            <w:tr w:rsidR="007D417F" w14:paraId="21D050C0" w14:textId="77777777" w:rsidTr="00E44AEF">
              <w:tc>
                <w:tcPr>
                  <w:tcW w:w="1574" w:type="pct"/>
                  <w:hideMark/>
                </w:tcPr>
                <w:p w14:paraId="5D5C244C" w14:textId="77777777" w:rsidR="007D417F" w:rsidRDefault="007D417F" w:rsidP="00E44AEF">
                  <w:pPr>
                    <w:pStyle w:val="TableBodyText"/>
                    <w:spacing w:after="20"/>
                    <w:jc w:val="left"/>
                  </w:pPr>
                  <w:r>
                    <w:t>Transport, postal, warehousing</w:t>
                  </w:r>
                </w:p>
              </w:tc>
              <w:tc>
                <w:tcPr>
                  <w:tcW w:w="663" w:type="pct"/>
                  <w:tcBorders>
                    <w:top w:val="nil"/>
                    <w:left w:val="nil"/>
                    <w:bottom w:val="nil"/>
                    <w:right w:val="nil"/>
                  </w:tcBorders>
                  <w:shd w:val="clear" w:color="auto" w:fill="auto"/>
                  <w:vAlign w:val="center"/>
                  <w:hideMark/>
                </w:tcPr>
                <w:p w14:paraId="32E9538C" w14:textId="77777777" w:rsidR="007D417F" w:rsidRPr="007472E6" w:rsidRDefault="007D417F" w:rsidP="00E44AEF">
                  <w:pPr>
                    <w:pStyle w:val="TableBodyText"/>
                    <w:spacing w:after="20"/>
                    <w:rPr>
                      <w:szCs w:val="18"/>
                    </w:rPr>
                  </w:pPr>
                  <w:r w:rsidRPr="0081515A">
                    <w:rPr>
                      <w:rFonts w:cs="Arial"/>
                      <w:szCs w:val="18"/>
                    </w:rPr>
                    <w:t>–</w:t>
                  </w:r>
                </w:p>
              </w:tc>
              <w:tc>
                <w:tcPr>
                  <w:tcW w:w="580" w:type="pct"/>
                  <w:tcBorders>
                    <w:top w:val="nil"/>
                    <w:left w:val="nil"/>
                    <w:bottom w:val="nil"/>
                    <w:right w:val="nil"/>
                  </w:tcBorders>
                  <w:shd w:val="clear" w:color="auto" w:fill="auto"/>
                  <w:vAlign w:val="center"/>
                  <w:hideMark/>
                </w:tcPr>
                <w:p w14:paraId="3C36F6D4" w14:textId="77777777" w:rsidR="007D417F" w:rsidRPr="007472E6" w:rsidRDefault="007D417F" w:rsidP="00E44AEF">
                  <w:pPr>
                    <w:pStyle w:val="TableBodyText"/>
                    <w:spacing w:after="20"/>
                    <w:rPr>
                      <w:szCs w:val="18"/>
                    </w:rPr>
                  </w:pPr>
                  <w:r w:rsidRPr="0081515A">
                    <w:rPr>
                      <w:rFonts w:cs="Arial"/>
                      <w:szCs w:val="18"/>
                    </w:rPr>
                    <w:t>-47.6</w:t>
                  </w:r>
                </w:p>
              </w:tc>
              <w:tc>
                <w:tcPr>
                  <w:tcW w:w="475" w:type="pct"/>
                  <w:tcBorders>
                    <w:top w:val="nil"/>
                    <w:left w:val="nil"/>
                    <w:bottom w:val="nil"/>
                    <w:right w:val="nil"/>
                  </w:tcBorders>
                  <w:shd w:val="clear" w:color="000000" w:fill="F2F2F2"/>
                  <w:vAlign w:val="center"/>
                  <w:hideMark/>
                </w:tcPr>
                <w:p w14:paraId="23A7FC1B" w14:textId="77777777" w:rsidR="007D417F" w:rsidRPr="007472E6" w:rsidRDefault="007D417F" w:rsidP="00E44AEF">
                  <w:pPr>
                    <w:pStyle w:val="TableBodyText"/>
                    <w:spacing w:after="20"/>
                    <w:rPr>
                      <w:szCs w:val="18"/>
                    </w:rPr>
                  </w:pPr>
                  <w:r w:rsidRPr="0081515A">
                    <w:rPr>
                      <w:rFonts w:cs="Arial"/>
                      <w:szCs w:val="18"/>
                    </w:rPr>
                    <w:t>-47.6</w:t>
                  </w:r>
                </w:p>
              </w:tc>
              <w:tc>
                <w:tcPr>
                  <w:tcW w:w="550" w:type="pct"/>
                  <w:tcBorders>
                    <w:top w:val="nil"/>
                    <w:left w:val="nil"/>
                    <w:bottom w:val="nil"/>
                    <w:right w:val="nil"/>
                  </w:tcBorders>
                  <w:shd w:val="clear" w:color="auto" w:fill="auto"/>
                  <w:vAlign w:val="center"/>
                  <w:hideMark/>
                </w:tcPr>
                <w:p w14:paraId="7E7F7085" w14:textId="77777777" w:rsidR="007D417F" w:rsidRPr="007472E6" w:rsidRDefault="007D417F" w:rsidP="00E44AEF">
                  <w:pPr>
                    <w:pStyle w:val="TableBodyText"/>
                    <w:spacing w:after="20"/>
                    <w:rPr>
                      <w:szCs w:val="18"/>
                    </w:rPr>
                  </w:pPr>
                  <w:r w:rsidRPr="0081515A">
                    <w:rPr>
                      <w:rFonts w:cs="Arial"/>
                      <w:szCs w:val="18"/>
                    </w:rPr>
                    <w:t>78.4</w:t>
                  </w:r>
                </w:p>
              </w:tc>
              <w:tc>
                <w:tcPr>
                  <w:tcW w:w="485" w:type="pct"/>
                  <w:tcBorders>
                    <w:top w:val="nil"/>
                    <w:left w:val="nil"/>
                    <w:bottom w:val="nil"/>
                    <w:right w:val="nil"/>
                  </w:tcBorders>
                  <w:shd w:val="clear" w:color="auto" w:fill="auto"/>
                  <w:vAlign w:val="center"/>
                  <w:hideMark/>
                </w:tcPr>
                <w:p w14:paraId="7A0CA0EA" w14:textId="77777777" w:rsidR="007D417F" w:rsidRPr="007472E6" w:rsidRDefault="007D417F" w:rsidP="00E44AEF">
                  <w:pPr>
                    <w:pStyle w:val="TableBodyText"/>
                    <w:spacing w:after="20"/>
                    <w:rPr>
                      <w:szCs w:val="18"/>
                    </w:rPr>
                  </w:pPr>
                  <w:r w:rsidRPr="0081515A">
                    <w:rPr>
                      <w:rFonts w:cs="Arial"/>
                      <w:szCs w:val="18"/>
                    </w:rPr>
                    <w:t>55.1</w:t>
                  </w:r>
                </w:p>
              </w:tc>
              <w:tc>
                <w:tcPr>
                  <w:tcW w:w="672" w:type="pct"/>
                  <w:tcBorders>
                    <w:top w:val="nil"/>
                    <w:left w:val="nil"/>
                    <w:bottom w:val="nil"/>
                    <w:right w:val="nil"/>
                  </w:tcBorders>
                  <w:shd w:val="clear" w:color="000000" w:fill="F2F2F2"/>
                  <w:vAlign w:val="center"/>
                  <w:hideMark/>
                </w:tcPr>
                <w:p w14:paraId="518621ED" w14:textId="77777777" w:rsidR="007D417F" w:rsidRPr="007472E6" w:rsidRDefault="007D417F" w:rsidP="00E44AEF">
                  <w:pPr>
                    <w:pStyle w:val="TableBodyText"/>
                    <w:spacing w:after="20"/>
                    <w:rPr>
                      <w:szCs w:val="18"/>
                    </w:rPr>
                  </w:pPr>
                  <w:r w:rsidRPr="0081515A">
                    <w:rPr>
                      <w:rFonts w:cs="Arial"/>
                      <w:szCs w:val="18"/>
                    </w:rPr>
                    <w:t>85.9</w:t>
                  </w:r>
                </w:p>
              </w:tc>
            </w:tr>
            <w:tr w:rsidR="007D417F" w14:paraId="3AE740BA" w14:textId="77777777" w:rsidTr="00E44AEF">
              <w:tc>
                <w:tcPr>
                  <w:tcW w:w="1574" w:type="pct"/>
                  <w:hideMark/>
                </w:tcPr>
                <w:p w14:paraId="4FB68C72" w14:textId="77777777" w:rsidR="007D417F" w:rsidRDefault="007D417F" w:rsidP="00E44AEF">
                  <w:pPr>
                    <w:pStyle w:val="TableBodyText"/>
                    <w:spacing w:after="20"/>
                    <w:jc w:val="left"/>
                  </w:pPr>
                  <w:r>
                    <w:t>Information &amp; communications</w:t>
                  </w:r>
                </w:p>
              </w:tc>
              <w:tc>
                <w:tcPr>
                  <w:tcW w:w="663" w:type="pct"/>
                  <w:tcBorders>
                    <w:top w:val="nil"/>
                    <w:left w:val="nil"/>
                    <w:bottom w:val="nil"/>
                    <w:right w:val="nil"/>
                  </w:tcBorders>
                  <w:shd w:val="clear" w:color="auto" w:fill="auto"/>
                  <w:vAlign w:val="center"/>
                  <w:hideMark/>
                </w:tcPr>
                <w:p w14:paraId="2936E22F" w14:textId="77777777" w:rsidR="007D417F" w:rsidRPr="007472E6" w:rsidRDefault="007D417F" w:rsidP="00E44AEF">
                  <w:pPr>
                    <w:pStyle w:val="TableBodyText"/>
                    <w:spacing w:after="20"/>
                    <w:rPr>
                      <w:szCs w:val="18"/>
                    </w:rPr>
                  </w:pPr>
                  <w:r w:rsidRPr="0081515A">
                    <w:rPr>
                      <w:rFonts w:cs="Arial"/>
                      <w:szCs w:val="18"/>
                    </w:rPr>
                    <w:t>–</w:t>
                  </w:r>
                </w:p>
              </w:tc>
              <w:tc>
                <w:tcPr>
                  <w:tcW w:w="580" w:type="pct"/>
                  <w:tcBorders>
                    <w:top w:val="nil"/>
                    <w:left w:val="nil"/>
                    <w:bottom w:val="nil"/>
                    <w:right w:val="nil"/>
                  </w:tcBorders>
                  <w:shd w:val="clear" w:color="auto" w:fill="auto"/>
                  <w:vAlign w:val="center"/>
                  <w:hideMark/>
                </w:tcPr>
                <w:p w14:paraId="398FE6B6" w14:textId="77777777" w:rsidR="007D417F" w:rsidRPr="007472E6" w:rsidRDefault="007D417F" w:rsidP="00E44AEF">
                  <w:pPr>
                    <w:pStyle w:val="TableBodyText"/>
                    <w:spacing w:after="20"/>
                    <w:rPr>
                      <w:szCs w:val="18"/>
                    </w:rPr>
                  </w:pPr>
                  <w:r w:rsidRPr="0081515A">
                    <w:rPr>
                      <w:rFonts w:cs="Arial"/>
                      <w:szCs w:val="18"/>
                    </w:rPr>
                    <w:t>-13.9</w:t>
                  </w:r>
                </w:p>
              </w:tc>
              <w:tc>
                <w:tcPr>
                  <w:tcW w:w="475" w:type="pct"/>
                  <w:tcBorders>
                    <w:top w:val="nil"/>
                    <w:left w:val="nil"/>
                    <w:bottom w:val="nil"/>
                    <w:right w:val="nil"/>
                  </w:tcBorders>
                  <w:shd w:val="clear" w:color="000000" w:fill="F2F2F2"/>
                  <w:vAlign w:val="center"/>
                  <w:hideMark/>
                </w:tcPr>
                <w:p w14:paraId="6092B273" w14:textId="77777777" w:rsidR="007D417F" w:rsidRPr="007472E6" w:rsidRDefault="007D417F" w:rsidP="00E44AEF">
                  <w:pPr>
                    <w:pStyle w:val="TableBodyText"/>
                    <w:spacing w:after="20"/>
                    <w:rPr>
                      <w:szCs w:val="18"/>
                    </w:rPr>
                  </w:pPr>
                  <w:r w:rsidRPr="0081515A">
                    <w:rPr>
                      <w:rFonts w:cs="Arial"/>
                      <w:szCs w:val="18"/>
                    </w:rPr>
                    <w:t>-13.9</w:t>
                  </w:r>
                </w:p>
              </w:tc>
              <w:tc>
                <w:tcPr>
                  <w:tcW w:w="550" w:type="pct"/>
                  <w:tcBorders>
                    <w:top w:val="nil"/>
                    <w:left w:val="nil"/>
                    <w:bottom w:val="nil"/>
                    <w:right w:val="nil"/>
                  </w:tcBorders>
                  <w:shd w:val="clear" w:color="auto" w:fill="auto"/>
                  <w:vAlign w:val="center"/>
                  <w:hideMark/>
                </w:tcPr>
                <w:p w14:paraId="76D4D9EA" w14:textId="77777777" w:rsidR="007D417F" w:rsidRPr="007472E6" w:rsidRDefault="007D417F" w:rsidP="00E44AEF">
                  <w:pPr>
                    <w:pStyle w:val="TableBodyText"/>
                    <w:spacing w:after="20"/>
                    <w:rPr>
                      <w:szCs w:val="18"/>
                    </w:rPr>
                  </w:pPr>
                  <w:r w:rsidRPr="0081515A">
                    <w:rPr>
                      <w:rFonts w:cs="Arial"/>
                      <w:szCs w:val="18"/>
                    </w:rPr>
                    <w:t>210.4</w:t>
                  </w:r>
                </w:p>
              </w:tc>
              <w:tc>
                <w:tcPr>
                  <w:tcW w:w="485" w:type="pct"/>
                  <w:tcBorders>
                    <w:top w:val="nil"/>
                    <w:left w:val="nil"/>
                    <w:bottom w:val="nil"/>
                    <w:right w:val="nil"/>
                  </w:tcBorders>
                  <w:shd w:val="clear" w:color="auto" w:fill="auto"/>
                  <w:vAlign w:val="center"/>
                  <w:hideMark/>
                </w:tcPr>
                <w:p w14:paraId="5EB8D4AD" w14:textId="77777777" w:rsidR="007D417F" w:rsidRPr="007472E6" w:rsidRDefault="007D417F" w:rsidP="00E44AEF">
                  <w:pPr>
                    <w:pStyle w:val="TableBodyText"/>
                    <w:spacing w:after="20"/>
                    <w:rPr>
                      <w:szCs w:val="18"/>
                    </w:rPr>
                  </w:pPr>
                  <w:r w:rsidRPr="0081515A">
                    <w:rPr>
                      <w:rFonts w:cs="Arial"/>
                      <w:szCs w:val="18"/>
                    </w:rPr>
                    <w:t>34.8</w:t>
                  </w:r>
                </w:p>
              </w:tc>
              <w:tc>
                <w:tcPr>
                  <w:tcW w:w="672" w:type="pct"/>
                  <w:tcBorders>
                    <w:top w:val="nil"/>
                    <w:left w:val="nil"/>
                    <w:bottom w:val="nil"/>
                    <w:right w:val="nil"/>
                  </w:tcBorders>
                  <w:shd w:val="clear" w:color="000000" w:fill="F2F2F2"/>
                  <w:vAlign w:val="center"/>
                  <w:hideMark/>
                </w:tcPr>
                <w:p w14:paraId="73C3D5A0" w14:textId="77777777" w:rsidR="007D417F" w:rsidRPr="007472E6" w:rsidRDefault="007D417F" w:rsidP="00E44AEF">
                  <w:pPr>
                    <w:pStyle w:val="TableBodyText"/>
                    <w:spacing w:after="20"/>
                    <w:rPr>
                      <w:szCs w:val="18"/>
                    </w:rPr>
                  </w:pPr>
                  <w:r w:rsidRPr="0081515A">
                    <w:rPr>
                      <w:rFonts w:cs="Arial"/>
                      <w:szCs w:val="18"/>
                    </w:rPr>
                    <w:t>231.4</w:t>
                  </w:r>
                </w:p>
              </w:tc>
            </w:tr>
            <w:tr w:rsidR="007D417F" w14:paraId="51FB6A06" w14:textId="77777777" w:rsidTr="00E44AEF">
              <w:tc>
                <w:tcPr>
                  <w:tcW w:w="1574" w:type="pct"/>
                  <w:hideMark/>
                </w:tcPr>
                <w:p w14:paraId="54AB0519" w14:textId="77777777" w:rsidR="007D417F" w:rsidRDefault="007D417F" w:rsidP="00E44AEF">
                  <w:pPr>
                    <w:pStyle w:val="TableBodyText"/>
                    <w:spacing w:after="20"/>
                    <w:jc w:val="left"/>
                  </w:pPr>
                  <w:r>
                    <w:t>Financial &amp; insurance services</w:t>
                  </w:r>
                </w:p>
              </w:tc>
              <w:tc>
                <w:tcPr>
                  <w:tcW w:w="663" w:type="pct"/>
                  <w:tcBorders>
                    <w:top w:val="nil"/>
                    <w:left w:val="nil"/>
                    <w:bottom w:val="nil"/>
                    <w:right w:val="nil"/>
                  </w:tcBorders>
                  <w:shd w:val="clear" w:color="auto" w:fill="auto"/>
                  <w:vAlign w:val="center"/>
                  <w:hideMark/>
                </w:tcPr>
                <w:p w14:paraId="3FEF6EA4" w14:textId="77777777" w:rsidR="007D417F" w:rsidRPr="007472E6" w:rsidRDefault="007D417F" w:rsidP="00E44AEF">
                  <w:pPr>
                    <w:pStyle w:val="TableBodyText"/>
                    <w:spacing w:after="20"/>
                    <w:rPr>
                      <w:szCs w:val="18"/>
                    </w:rPr>
                  </w:pPr>
                  <w:r w:rsidRPr="0081515A">
                    <w:rPr>
                      <w:rFonts w:cs="Arial"/>
                      <w:szCs w:val="18"/>
                    </w:rPr>
                    <w:t>–</w:t>
                  </w:r>
                </w:p>
              </w:tc>
              <w:tc>
                <w:tcPr>
                  <w:tcW w:w="580" w:type="pct"/>
                  <w:tcBorders>
                    <w:top w:val="nil"/>
                    <w:left w:val="nil"/>
                    <w:bottom w:val="nil"/>
                    <w:right w:val="nil"/>
                  </w:tcBorders>
                  <w:shd w:val="clear" w:color="auto" w:fill="auto"/>
                  <w:vAlign w:val="center"/>
                  <w:hideMark/>
                </w:tcPr>
                <w:p w14:paraId="5F746C42" w14:textId="77777777" w:rsidR="007D417F" w:rsidRPr="007472E6" w:rsidRDefault="007D417F" w:rsidP="00E44AEF">
                  <w:pPr>
                    <w:pStyle w:val="TableBodyText"/>
                    <w:spacing w:after="20"/>
                    <w:rPr>
                      <w:szCs w:val="18"/>
                    </w:rPr>
                  </w:pPr>
                  <w:r w:rsidRPr="0081515A">
                    <w:rPr>
                      <w:rFonts w:cs="Arial"/>
                      <w:szCs w:val="18"/>
                    </w:rPr>
                    <w:t>-3.4</w:t>
                  </w:r>
                </w:p>
              </w:tc>
              <w:tc>
                <w:tcPr>
                  <w:tcW w:w="475" w:type="pct"/>
                  <w:tcBorders>
                    <w:top w:val="nil"/>
                    <w:left w:val="nil"/>
                    <w:bottom w:val="nil"/>
                    <w:right w:val="nil"/>
                  </w:tcBorders>
                  <w:shd w:val="clear" w:color="000000" w:fill="F2F2F2"/>
                  <w:vAlign w:val="center"/>
                  <w:hideMark/>
                </w:tcPr>
                <w:p w14:paraId="106A0249" w14:textId="77777777" w:rsidR="007D417F" w:rsidRPr="007472E6" w:rsidRDefault="007D417F" w:rsidP="00E44AEF">
                  <w:pPr>
                    <w:pStyle w:val="TableBodyText"/>
                    <w:spacing w:after="20"/>
                    <w:rPr>
                      <w:szCs w:val="18"/>
                    </w:rPr>
                  </w:pPr>
                  <w:r w:rsidRPr="0081515A">
                    <w:rPr>
                      <w:rFonts w:cs="Arial"/>
                      <w:szCs w:val="18"/>
                    </w:rPr>
                    <w:t>-3.4</w:t>
                  </w:r>
                </w:p>
              </w:tc>
              <w:tc>
                <w:tcPr>
                  <w:tcW w:w="550" w:type="pct"/>
                  <w:tcBorders>
                    <w:top w:val="nil"/>
                    <w:left w:val="nil"/>
                    <w:bottom w:val="nil"/>
                    <w:right w:val="nil"/>
                  </w:tcBorders>
                  <w:shd w:val="clear" w:color="auto" w:fill="auto"/>
                  <w:vAlign w:val="center"/>
                  <w:hideMark/>
                </w:tcPr>
                <w:p w14:paraId="4DE669FC" w14:textId="77777777" w:rsidR="007D417F" w:rsidRPr="007472E6" w:rsidRDefault="007D417F" w:rsidP="00E44AEF">
                  <w:pPr>
                    <w:pStyle w:val="TableBodyText"/>
                    <w:spacing w:after="20"/>
                    <w:rPr>
                      <w:szCs w:val="18"/>
                    </w:rPr>
                  </w:pPr>
                  <w:r w:rsidRPr="0081515A">
                    <w:rPr>
                      <w:rFonts w:cs="Arial"/>
                      <w:szCs w:val="18"/>
                    </w:rPr>
                    <w:t>126.9</w:t>
                  </w:r>
                </w:p>
              </w:tc>
              <w:tc>
                <w:tcPr>
                  <w:tcW w:w="485" w:type="pct"/>
                  <w:tcBorders>
                    <w:top w:val="nil"/>
                    <w:left w:val="nil"/>
                    <w:bottom w:val="nil"/>
                    <w:right w:val="nil"/>
                  </w:tcBorders>
                  <w:shd w:val="clear" w:color="auto" w:fill="auto"/>
                  <w:vAlign w:val="center"/>
                  <w:hideMark/>
                </w:tcPr>
                <w:p w14:paraId="1B7CBC9E" w14:textId="77777777" w:rsidR="007D417F" w:rsidRPr="007472E6" w:rsidRDefault="007D417F" w:rsidP="00E44AEF">
                  <w:pPr>
                    <w:pStyle w:val="TableBodyText"/>
                    <w:spacing w:after="20"/>
                    <w:rPr>
                      <w:szCs w:val="18"/>
                    </w:rPr>
                  </w:pPr>
                  <w:r w:rsidRPr="0081515A">
                    <w:rPr>
                      <w:rFonts w:cs="Arial"/>
                      <w:szCs w:val="18"/>
                    </w:rPr>
                    <w:t>882.2</w:t>
                  </w:r>
                </w:p>
              </w:tc>
              <w:tc>
                <w:tcPr>
                  <w:tcW w:w="672" w:type="pct"/>
                  <w:tcBorders>
                    <w:top w:val="nil"/>
                    <w:left w:val="nil"/>
                    <w:bottom w:val="nil"/>
                    <w:right w:val="nil"/>
                  </w:tcBorders>
                  <w:shd w:val="clear" w:color="000000" w:fill="F2F2F2"/>
                  <w:vAlign w:val="center"/>
                  <w:hideMark/>
                </w:tcPr>
                <w:p w14:paraId="1B5CCB99" w14:textId="77777777" w:rsidR="007D417F" w:rsidRPr="007472E6" w:rsidRDefault="007D417F" w:rsidP="00E44AEF">
                  <w:pPr>
                    <w:pStyle w:val="TableBodyText"/>
                    <w:spacing w:after="20"/>
                    <w:rPr>
                      <w:szCs w:val="18"/>
                    </w:rPr>
                  </w:pPr>
                  <w:r w:rsidRPr="0081515A">
                    <w:rPr>
                      <w:rFonts w:cs="Arial"/>
                      <w:szCs w:val="18"/>
                    </w:rPr>
                    <w:t>1</w:t>
                  </w:r>
                  <w:r>
                    <w:rPr>
                      <w:rFonts w:cs="Arial"/>
                      <w:szCs w:val="18"/>
                    </w:rPr>
                    <w:t> </w:t>
                  </w:r>
                  <w:r w:rsidRPr="0081515A">
                    <w:rPr>
                      <w:rFonts w:cs="Arial"/>
                      <w:szCs w:val="18"/>
                    </w:rPr>
                    <w:t>005.6</w:t>
                  </w:r>
                </w:p>
              </w:tc>
            </w:tr>
            <w:tr w:rsidR="007D417F" w14:paraId="74A938F7" w14:textId="77777777" w:rsidTr="00E44AEF">
              <w:tc>
                <w:tcPr>
                  <w:tcW w:w="1574" w:type="pct"/>
                  <w:hideMark/>
                </w:tcPr>
                <w:p w14:paraId="351F3FEC" w14:textId="77777777" w:rsidR="007D417F" w:rsidRDefault="007D417F" w:rsidP="00E44AEF">
                  <w:pPr>
                    <w:pStyle w:val="TableBodyText"/>
                    <w:spacing w:after="20"/>
                    <w:jc w:val="left"/>
                  </w:pPr>
                  <w:r>
                    <w:t xml:space="preserve">Property, professional &amp; admin. </w:t>
                  </w:r>
                </w:p>
              </w:tc>
              <w:tc>
                <w:tcPr>
                  <w:tcW w:w="663" w:type="pct"/>
                  <w:tcBorders>
                    <w:top w:val="nil"/>
                    <w:left w:val="nil"/>
                    <w:bottom w:val="nil"/>
                    <w:right w:val="nil"/>
                  </w:tcBorders>
                  <w:shd w:val="clear" w:color="auto" w:fill="auto"/>
                  <w:vAlign w:val="center"/>
                  <w:hideMark/>
                </w:tcPr>
                <w:p w14:paraId="0AE40F1D" w14:textId="77777777" w:rsidR="007D417F" w:rsidRPr="007472E6" w:rsidRDefault="007D417F" w:rsidP="00E44AEF">
                  <w:pPr>
                    <w:pStyle w:val="TableBodyText"/>
                    <w:spacing w:after="20"/>
                    <w:rPr>
                      <w:szCs w:val="18"/>
                    </w:rPr>
                  </w:pPr>
                  <w:r w:rsidRPr="0081515A">
                    <w:rPr>
                      <w:rFonts w:cs="Arial"/>
                      <w:szCs w:val="18"/>
                    </w:rPr>
                    <w:t>–</w:t>
                  </w:r>
                </w:p>
              </w:tc>
              <w:tc>
                <w:tcPr>
                  <w:tcW w:w="580" w:type="pct"/>
                  <w:tcBorders>
                    <w:top w:val="nil"/>
                    <w:left w:val="nil"/>
                    <w:bottom w:val="nil"/>
                    <w:right w:val="nil"/>
                  </w:tcBorders>
                  <w:shd w:val="clear" w:color="auto" w:fill="auto"/>
                  <w:vAlign w:val="center"/>
                  <w:hideMark/>
                </w:tcPr>
                <w:p w14:paraId="6A247EDC" w14:textId="77777777" w:rsidR="007D417F" w:rsidRPr="007472E6" w:rsidRDefault="007D417F" w:rsidP="00E44AEF">
                  <w:pPr>
                    <w:pStyle w:val="TableBodyText"/>
                    <w:spacing w:after="20"/>
                    <w:rPr>
                      <w:szCs w:val="18"/>
                    </w:rPr>
                  </w:pPr>
                  <w:r w:rsidRPr="0081515A">
                    <w:rPr>
                      <w:rFonts w:cs="Arial"/>
                      <w:szCs w:val="18"/>
                    </w:rPr>
                    <w:t>-92.4</w:t>
                  </w:r>
                </w:p>
              </w:tc>
              <w:tc>
                <w:tcPr>
                  <w:tcW w:w="475" w:type="pct"/>
                  <w:tcBorders>
                    <w:top w:val="nil"/>
                    <w:left w:val="nil"/>
                    <w:bottom w:val="nil"/>
                    <w:right w:val="nil"/>
                  </w:tcBorders>
                  <w:shd w:val="clear" w:color="000000" w:fill="F2F2F2"/>
                  <w:vAlign w:val="center"/>
                  <w:hideMark/>
                </w:tcPr>
                <w:p w14:paraId="1523A806" w14:textId="77777777" w:rsidR="007D417F" w:rsidRPr="007472E6" w:rsidRDefault="007D417F" w:rsidP="00E44AEF">
                  <w:pPr>
                    <w:pStyle w:val="TableBodyText"/>
                    <w:spacing w:after="20"/>
                    <w:rPr>
                      <w:szCs w:val="18"/>
                    </w:rPr>
                  </w:pPr>
                  <w:r w:rsidRPr="0081515A">
                    <w:rPr>
                      <w:rFonts w:cs="Arial"/>
                      <w:szCs w:val="18"/>
                    </w:rPr>
                    <w:t>-92.4</w:t>
                  </w:r>
                </w:p>
              </w:tc>
              <w:tc>
                <w:tcPr>
                  <w:tcW w:w="550" w:type="pct"/>
                  <w:tcBorders>
                    <w:top w:val="nil"/>
                    <w:left w:val="nil"/>
                    <w:bottom w:val="nil"/>
                    <w:right w:val="nil"/>
                  </w:tcBorders>
                  <w:shd w:val="clear" w:color="auto" w:fill="auto"/>
                  <w:vAlign w:val="center"/>
                  <w:hideMark/>
                </w:tcPr>
                <w:p w14:paraId="13F1A973" w14:textId="77777777" w:rsidR="007D417F" w:rsidRPr="007472E6" w:rsidRDefault="007D417F" w:rsidP="00E44AEF">
                  <w:pPr>
                    <w:pStyle w:val="TableBodyText"/>
                    <w:spacing w:after="20"/>
                    <w:rPr>
                      <w:szCs w:val="18"/>
                    </w:rPr>
                  </w:pPr>
                  <w:r w:rsidRPr="0081515A">
                    <w:rPr>
                      <w:rFonts w:cs="Arial"/>
                      <w:szCs w:val="18"/>
                    </w:rPr>
                    <w:t>1</w:t>
                  </w:r>
                  <w:r>
                    <w:rPr>
                      <w:rFonts w:cs="Arial"/>
                      <w:szCs w:val="18"/>
                    </w:rPr>
                    <w:t> </w:t>
                  </w:r>
                  <w:r w:rsidRPr="0081515A">
                    <w:rPr>
                      <w:rFonts w:cs="Arial"/>
                      <w:szCs w:val="18"/>
                    </w:rPr>
                    <w:t>059.8</w:t>
                  </w:r>
                </w:p>
              </w:tc>
              <w:tc>
                <w:tcPr>
                  <w:tcW w:w="485" w:type="pct"/>
                  <w:tcBorders>
                    <w:top w:val="nil"/>
                    <w:left w:val="nil"/>
                    <w:bottom w:val="nil"/>
                    <w:right w:val="nil"/>
                  </w:tcBorders>
                  <w:shd w:val="clear" w:color="auto" w:fill="auto"/>
                  <w:vAlign w:val="center"/>
                  <w:hideMark/>
                </w:tcPr>
                <w:p w14:paraId="38FE6E41" w14:textId="77777777" w:rsidR="007D417F" w:rsidRPr="007472E6" w:rsidRDefault="007D417F" w:rsidP="00E44AEF">
                  <w:pPr>
                    <w:pStyle w:val="TableBodyText"/>
                    <w:spacing w:after="20"/>
                    <w:rPr>
                      <w:szCs w:val="18"/>
                    </w:rPr>
                  </w:pPr>
                  <w:r w:rsidRPr="0081515A">
                    <w:rPr>
                      <w:rFonts w:cs="Arial"/>
                      <w:szCs w:val="18"/>
                    </w:rPr>
                    <w:t>641.7</w:t>
                  </w:r>
                </w:p>
              </w:tc>
              <w:tc>
                <w:tcPr>
                  <w:tcW w:w="672" w:type="pct"/>
                  <w:tcBorders>
                    <w:top w:val="nil"/>
                    <w:left w:val="nil"/>
                    <w:bottom w:val="nil"/>
                    <w:right w:val="nil"/>
                  </w:tcBorders>
                  <w:shd w:val="clear" w:color="000000" w:fill="F2F2F2"/>
                  <w:vAlign w:val="center"/>
                  <w:hideMark/>
                </w:tcPr>
                <w:p w14:paraId="13D88669" w14:textId="77777777" w:rsidR="007D417F" w:rsidRPr="007472E6" w:rsidRDefault="007D417F" w:rsidP="00E44AEF">
                  <w:pPr>
                    <w:pStyle w:val="TableBodyText"/>
                    <w:spacing w:after="20"/>
                    <w:rPr>
                      <w:szCs w:val="18"/>
                    </w:rPr>
                  </w:pPr>
                  <w:r w:rsidRPr="0081515A">
                    <w:rPr>
                      <w:rFonts w:cs="Arial"/>
                      <w:szCs w:val="18"/>
                    </w:rPr>
                    <w:t>1</w:t>
                  </w:r>
                  <w:r>
                    <w:rPr>
                      <w:rFonts w:cs="Arial"/>
                      <w:szCs w:val="18"/>
                    </w:rPr>
                    <w:t> </w:t>
                  </w:r>
                  <w:r w:rsidRPr="0081515A">
                    <w:rPr>
                      <w:rFonts w:cs="Arial"/>
                      <w:szCs w:val="18"/>
                    </w:rPr>
                    <w:t>609.1</w:t>
                  </w:r>
                </w:p>
              </w:tc>
            </w:tr>
            <w:tr w:rsidR="007D417F" w14:paraId="4233F1C8" w14:textId="77777777" w:rsidTr="00E44AEF">
              <w:tc>
                <w:tcPr>
                  <w:tcW w:w="1574" w:type="pct"/>
                  <w:hideMark/>
                </w:tcPr>
                <w:p w14:paraId="1AFB5F3B" w14:textId="77777777" w:rsidR="007D417F" w:rsidRDefault="007D417F" w:rsidP="00E44AEF">
                  <w:pPr>
                    <w:pStyle w:val="TableBodyText"/>
                    <w:spacing w:after="20"/>
                    <w:jc w:val="left"/>
                  </w:pPr>
                  <w:r>
                    <w:t>Public administration and safety</w:t>
                  </w:r>
                </w:p>
              </w:tc>
              <w:tc>
                <w:tcPr>
                  <w:tcW w:w="663" w:type="pct"/>
                  <w:tcBorders>
                    <w:top w:val="nil"/>
                    <w:left w:val="nil"/>
                    <w:bottom w:val="nil"/>
                    <w:right w:val="nil"/>
                  </w:tcBorders>
                  <w:shd w:val="clear" w:color="auto" w:fill="auto"/>
                  <w:vAlign w:val="center"/>
                  <w:hideMark/>
                </w:tcPr>
                <w:p w14:paraId="38812BE2" w14:textId="77777777" w:rsidR="007D417F" w:rsidRPr="007472E6" w:rsidRDefault="007D417F" w:rsidP="00E44AEF">
                  <w:pPr>
                    <w:pStyle w:val="TableBodyText"/>
                    <w:spacing w:after="20"/>
                    <w:rPr>
                      <w:szCs w:val="18"/>
                    </w:rPr>
                  </w:pPr>
                  <w:r w:rsidRPr="0081515A">
                    <w:rPr>
                      <w:rFonts w:cs="Arial"/>
                      <w:szCs w:val="18"/>
                    </w:rPr>
                    <w:t>–</w:t>
                  </w:r>
                </w:p>
              </w:tc>
              <w:tc>
                <w:tcPr>
                  <w:tcW w:w="580" w:type="pct"/>
                  <w:tcBorders>
                    <w:top w:val="nil"/>
                    <w:left w:val="nil"/>
                    <w:bottom w:val="nil"/>
                    <w:right w:val="nil"/>
                  </w:tcBorders>
                  <w:shd w:val="clear" w:color="auto" w:fill="auto"/>
                  <w:vAlign w:val="center"/>
                  <w:hideMark/>
                </w:tcPr>
                <w:p w14:paraId="4E7D4196" w14:textId="77777777" w:rsidR="007D417F" w:rsidRPr="007472E6" w:rsidRDefault="007D417F" w:rsidP="00E44AEF">
                  <w:pPr>
                    <w:pStyle w:val="TableBodyText"/>
                    <w:spacing w:after="20"/>
                    <w:rPr>
                      <w:szCs w:val="18"/>
                    </w:rPr>
                  </w:pPr>
                  <w:r w:rsidRPr="0081515A">
                    <w:rPr>
                      <w:rFonts w:cs="Arial"/>
                      <w:szCs w:val="18"/>
                    </w:rPr>
                    <w:t>-49.1</w:t>
                  </w:r>
                </w:p>
              </w:tc>
              <w:tc>
                <w:tcPr>
                  <w:tcW w:w="475" w:type="pct"/>
                  <w:tcBorders>
                    <w:top w:val="nil"/>
                    <w:left w:val="nil"/>
                    <w:bottom w:val="nil"/>
                    <w:right w:val="nil"/>
                  </w:tcBorders>
                  <w:shd w:val="clear" w:color="000000" w:fill="F2F2F2"/>
                  <w:vAlign w:val="center"/>
                  <w:hideMark/>
                </w:tcPr>
                <w:p w14:paraId="3649F215" w14:textId="77777777" w:rsidR="007D417F" w:rsidRPr="007472E6" w:rsidRDefault="007D417F" w:rsidP="00E44AEF">
                  <w:pPr>
                    <w:pStyle w:val="TableBodyText"/>
                    <w:spacing w:after="20"/>
                    <w:rPr>
                      <w:szCs w:val="18"/>
                    </w:rPr>
                  </w:pPr>
                  <w:r w:rsidRPr="0081515A">
                    <w:rPr>
                      <w:rFonts w:cs="Arial"/>
                      <w:szCs w:val="18"/>
                    </w:rPr>
                    <w:t>-49.1</w:t>
                  </w:r>
                </w:p>
              </w:tc>
              <w:tc>
                <w:tcPr>
                  <w:tcW w:w="550" w:type="pct"/>
                  <w:tcBorders>
                    <w:top w:val="nil"/>
                    <w:left w:val="nil"/>
                    <w:bottom w:val="nil"/>
                    <w:right w:val="nil"/>
                  </w:tcBorders>
                  <w:shd w:val="clear" w:color="auto" w:fill="auto"/>
                  <w:vAlign w:val="center"/>
                  <w:hideMark/>
                </w:tcPr>
                <w:p w14:paraId="4DD8DA42" w14:textId="77777777" w:rsidR="007D417F" w:rsidRPr="007472E6" w:rsidRDefault="007D417F" w:rsidP="00E44AEF">
                  <w:pPr>
                    <w:pStyle w:val="TableBodyText"/>
                    <w:spacing w:after="20"/>
                    <w:rPr>
                      <w:szCs w:val="18"/>
                    </w:rPr>
                  </w:pPr>
                  <w:r w:rsidRPr="0081515A">
                    <w:rPr>
                      <w:rFonts w:cs="Arial"/>
                      <w:szCs w:val="18"/>
                    </w:rPr>
                    <w:t>20.7</w:t>
                  </w:r>
                </w:p>
              </w:tc>
              <w:tc>
                <w:tcPr>
                  <w:tcW w:w="485" w:type="pct"/>
                  <w:tcBorders>
                    <w:top w:val="nil"/>
                    <w:left w:val="nil"/>
                    <w:bottom w:val="nil"/>
                    <w:right w:val="nil"/>
                  </w:tcBorders>
                  <w:shd w:val="clear" w:color="auto" w:fill="auto"/>
                  <w:vAlign w:val="center"/>
                  <w:hideMark/>
                </w:tcPr>
                <w:p w14:paraId="1339EC86" w14:textId="77777777" w:rsidR="007D417F" w:rsidRPr="007472E6" w:rsidRDefault="007D417F" w:rsidP="00E44AEF">
                  <w:pPr>
                    <w:pStyle w:val="TableBodyText"/>
                    <w:spacing w:after="20"/>
                    <w:rPr>
                      <w:szCs w:val="18"/>
                    </w:rPr>
                  </w:pPr>
                  <w:r w:rsidRPr="0081515A">
                    <w:rPr>
                      <w:rFonts w:cs="Arial"/>
                      <w:szCs w:val="18"/>
                    </w:rPr>
                    <w:t>5.7</w:t>
                  </w:r>
                </w:p>
              </w:tc>
              <w:tc>
                <w:tcPr>
                  <w:tcW w:w="672" w:type="pct"/>
                  <w:tcBorders>
                    <w:top w:val="nil"/>
                    <w:left w:val="nil"/>
                    <w:bottom w:val="nil"/>
                    <w:right w:val="nil"/>
                  </w:tcBorders>
                  <w:shd w:val="clear" w:color="000000" w:fill="F2F2F2"/>
                  <w:vAlign w:val="center"/>
                  <w:hideMark/>
                </w:tcPr>
                <w:p w14:paraId="30337C4A" w14:textId="77777777" w:rsidR="007D417F" w:rsidRPr="007472E6" w:rsidRDefault="007D417F" w:rsidP="00E44AEF">
                  <w:pPr>
                    <w:pStyle w:val="TableBodyText"/>
                    <w:spacing w:after="20"/>
                    <w:rPr>
                      <w:szCs w:val="18"/>
                    </w:rPr>
                  </w:pPr>
                  <w:r w:rsidRPr="0081515A">
                    <w:rPr>
                      <w:rFonts w:cs="Arial"/>
                      <w:szCs w:val="18"/>
                    </w:rPr>
                    <w:t>-22.7</w:t>
                  </w:r>
                </w:p>
              </w:tc>
            </w:tr>
            <w:tr w:rsidR="007D417F" w14:paraId="59906D07" w14:textId="77777777" w:rsidTr="00E44AEF">
              <w:tc>
                <w:tcPr>
                  <w:tcW w:w="1574" w:type="pct"/>
                  <w:hideMark/>
                </w:tcPr>
                <w:p w14:paraId="5DCF69C2" w14:textId="77777777" w:rsidR="007D417F" w:rsidRDefault="007D417F" w:rsidP="00E44AEF">
                  <w:pPr>
                    <w:pStyle w:val="TableBodyText"/>
                    <w:spacing w:after="20"/>
                    <w:jc w:val="left"/>
                  </w:pPr>
                  <w:r>
                    <w:t>Education and training</w:t>
                  </w:r>
                </w:p>
              </w:tc>
              <w:tc>
                <w:tcPr>
                  <w:tcW w:w="663" w:type="pct"/>
                  <w:tcBorders>
                    <w:top w:val="nil"/>
                    <w:left w:val="nil"/>
                    <w:bottom w:val="nil"/>
                    <w:right w:val="nil"/>
                  </w:tcBorders>
                  <w:shd w:val="clear" w:color="auto" w:fill="auto"/>
                  <w:vAlign w:val="center"/>
                  <w:hideMark/>
                </w:tcPr>
                <w:p w14:paraId="79192B16" w14:textId="77777777" w:rsidR="007D417F" w:rsidRPr="007472E6" w:rsidRDefault="007D417F" w:rsidP="00E44AEF">
                  <w:pPr>
                    <w:pStyle w:val="TableBodyText"/>
                    <w:spacing w:after="20"/>
                    <w:rPr>
                      <w:szCs w:val="18"/>
                    </w:rPr>
                  </w:pPr>
                  <w:r w:rsidRPr="0081515A">
                    <w:rPr>
                      <w:rFonts w:cs="Arial"/>
                      <w:szCs w:val="18"/>
                    </w:rPr>
                    <w:t>–</w:t>
                  </w:r>
                </w:p>
              </w:tc>
              <w:tc>
                <w:tcPr>
                  <w:tcW w:w="580" w:type="pct"/>
                  <w:tcBorders>
                    <w:top w:val="nil"/>
                    <w:left w:val="nil"/>
                    <w:bottom w:val="nil"/>
                    <w:right w:val="nil"/>
                  </w:tcBorders>
                  <w:shd w:val="clear" w:color="auto" w:fill="auto"/>
                  <w:vAlign w:val="center"/>
                  <w:hideMark/>
                </w:tcPr>
                <w:p w14:paraId="5596F59C" w14:textId="77777777" w:rsidR="007D417F" w:rsidRPr="007472E6" w:rsidRDefault="007D417F" w:rsidP="00E44AEF">
                  <w:pPr>
                    <w:pStyle w:val="TableBodyText"/>
                    <w:spacing w:after="20"/>
                    <w:rPr>
                      <w:szCs w:val="18"/>
                    </w:rPr>
                  </w:pPr>
                  <w:r w:rsidRPr="0081515A">
                    <w:rPr>
                      <w:rFonts w:cs="Arial"/>
                      <w:szCs w:val="18"/>
                    </w:rPr>
                    <w:t>-19.2</w:t>
                  </w:r>
                </w:p>
              </w:tc>
              <w:tc>
                <w:tcPr>
                  <w:tcW w:w="475" w:type="pct"/>
                  <w:tcBorders>
                    <w:top w:val="nil"/>
                    <w:left w:val="nil"/>
                    <w:bottom w:val="nil"/>
                    <w:right w:val="nil"/>
                  </w:tcBorders>
                  <w:shd w:val="clear" w:color="000000" w:fill="F2F2F2"/>
                  <w:vAlign w:val="center"/>
                  <w:hideMark/>
                </w:tcPr>
                <w:p w14:paraId="1B593D03" w14:textId="77777777" w:rsidR="007D417F" w:rsidRPr="007472E6" w:rsidRDefault="007D417F" w:rsidP="00E44AEF">
                  <w:pPr>
                    <w:pStyle w:val="TableBodyText"/>
                    <w:spacing w:after="20"/>
                    <w:rPr>
                      <w:szCs w:val="18"/>
                    </w:rPr>
                  </w:pPr>
                  <w:r w:rsidRPr="0081515A">
                    <w:rPr>
                      <w:rFonts w:cs="Arial"/>
                      <w:szCs w:val="18"/>
                    </w:rPr>
                    <w:t>-19.2</w:t>
                  </w:r>
                </w:p>
              </w:tc>
              <w:tc>
                <w:tcPr>
                  <w:tcW w:w="550" w:type="pct"/>
                  <w:tcBorders>
                    <w:top w:val="nil"/>
                    <w:left w:val="nil"/>
                    <w:bottom w:val="nil"/>
                    <w:right w:val="nil"/>
                  </w:tcBorders>
                  <w:shd w:val="clear" w:color="auto" w:fill="auto"/>
                  <w:vAlign w:val="center"/>
                  <w:hideMark/>
                </w:tcPr>
                <w:p w14:paraId="49865FAD" w14:textId="77777777" w:rsidR="007D417F" w:rsidRPr="007472E6" w:rsidRDefault="007D417F" w:rsidP="00E44AEF">
                  <w:pPr>
                    <w:pStyle w:val="TableBodyText"/>
                    <w:spacing w:after="20"/>
                    <w:rPr>
                      <w:szCs w:val="18"/>
                    </w:rPr>
                  </w:pPr>
                  <w:r w:rsidRPr="0081515A">
                    <w:rPr>
                      <w:rFonts w:cs="Arial"/>
                      <w:szCs w:val="18"/>
                    </w:rPr>
                    <w:t>35.5</w:t>
                  </w:r>
                </w:p>
              </w:tc>
              <w:tc>
                <w:tcPr>
                  <w:tcW w:w="485" w:type="pct"/>
                  <w:tcBorders>
                    <w:top w:val="nil"/>
                    <w:left w:val="nil"/>
                    <w:bottom w:val="nil"/>
                    <w:right w:val="nil"/>
                  </w:tcBorders>
                  <w:shd w:val="clear" w:color="auto" w:fill="auto"/>
                  <w:vAlign w:val="center"/>
                  <w:hideMark/>
                </w:tcPr>
                <w:p w14:paraId="4311438B" w14:textId="77777777" w:rsidR="007D417F" w:rsidRPr="007472E6" w:rsidRDefault="007D417F" w:rsidP="00E44AEF">
                  <w:pPr>
                    <w:pStyle w:val="TableBodyText"/>
                    <w:spacing w:after="20"/>
                    <w:rPr>
                      <w:szCs w:val="18"/>
                    </w:rPr>
                  </w:pPr>
                  <w:r w:rsidRPr="0081515A">
                    <w:rPr>
                      <w:rFonts w:cs="Arial"/>
                      <w:szCs w:val="18"/>
                    </w:rPr>
                    <w:t>11.9</w:t>
                  </w:r>
                </w:p>
              </w:tc>
              <w:tc>
                <w:tcPr>
                  <w:tcW w:w="672" w:type="pct"/>
                  <w:tcBorders>
                    <w:top w:val="nil"/>
                    <w:left w:val="nil"/>
                    <w:bottom w:val="nil"/>
                    <w:right w:val="nil"/>
                  </w:tcBorders>
                  <w:shd w:val="clear" w:color="000000" w:fill="F2F2F2"/>
                  <w:vAlign w:val="center"/>
                  <w:hideMark/>
                </w:tcPr>
                <w:p w14:paraId="08590138" w14:textId="77777777" w:rsidR="007D417F" w:rsidRPr="007472E6" w:rsidRDefault="007D417F" w:rsidP="00E44AEF">
                  <w:pPr>
                    <w:pStyle w:val="TableBodyText"/>
                    <w:spacing w:after="20"/>
                    <w:rPr>
                      <w:szCs w:val="18"/>
                    </w:rPr>
                  </w:pPr>
                  <w:r w:rsidRPr="0081515A">
                    <w:rPr>
                      <w:rFonts w:cs="Arial"/>
                      <w:szCs w:val="18"/>
                    </w:rPr>
                    <w:t>28.1</w:t>
                  </w:r>
                </w:p>
              </w:tc>
            </w:tr>
            <w:tr w:rsidR="007D417F" w14:paraId="49BA1185" w14:textId="77777777" w:rsidTr="00E44AEF">
              <w:tc>
                <w:tcPr>
                  <w:tcW w:w="1574" w:type="pct"/>
                  <w:hideMark/>
                </w:tcPr>
                <w:p w14:paraId="14B37B6A" w14:textId="77777777" w:rsidR="007D417F" w:rsidRDefault="007D417F" w:rsidP="00E44AEF">
                  <w:pPr>
                    <w:pStyle w:val="TableBodyText"/>
                    <w:spacing w:after="20"/>
                    <w:jc w:val="left"/>
                  </w:pPr>
                  <w:r>
                    <w:t>Health care &amp; social assistance</w:t>
                  </w:r>
                </w:p>
              </w:tc>
              <w:tc>
                <w:tcPr>
                  <w:tcW w:w="663" w:type="pct"/>
                  <w:tcBorders>
                    <w:top w:val="nil"/>
                    <w:left w:val="nil"/>
                    <w:bottom w:val="nil"/>
                    <w:right w:val="nil"/>
                  </w:tcBorders>
                  <w:shd w:val="clear" w:color="auto" w:fill="auto"/>
                  <w:vAlign w:val="center"/>
                  <w:hideMark/>
                </w:tcPr>
                <w:p w14:paraId="44924B21" w14:textId="77777777" w:rsidR="007D417F" w:rsidRPr="007472E6" w:rsidRDefault="007D417F" w:rsidP="00E44AEF">
                  <w:pPr>
                    <w:pStyle w:val="TableBodyText"/>
                    <w:spacing w:after="20"/>
                    <w:rPr>
                      <w:szCs w:val="18"/>
                    </w:rPr>
                  </w:pPr>
                  <w:r w:rsidRPr="0081515A">
                    <w:rPr>
                      <w:rFonts w:cs="Arial"/>
                      <w:szCs w:val="18"/>
                    </w:rPr>
                    <w:t>–</w:t>
                  </w:r>
                </w:p>
              </w:tc>
              <w:tc>
                <w:tcPr>
                  <w:tcW w:w="580" w:type="pct"/>
                  <w:tcBorders>
                    <w:top w:val="nil"/>
                    <w:left w:val="nil"/>
                    <w:bottom w:val="nil"/>
                    <w:right w:val="nil"/>
                  </w:tcBorders>
                  <w:shd w:val="clear" w:color="auto" w:fill="auto"/>
                  <w:vAlign w:val="center"/>
                  <w:hideMark/>
                </w:tcPr>
                <w:p w14:paraId="3B58FE9D" w14:textId="77777777" w:rsidR="007D417F" w:rsidRPr="007472E6" w:rsidRDefault="007D417F" w:rsidP="00E44AEF">
                  <w:pPr>
                    <w:pStyle w:val="TableBodyText"/>
                    <w:spacing w:after="20"/>
                    <w:rPr>
                      <w:szCs w:val="18"/>
                    </w:rPr>
                  </w:pPr>
                  <w:r w:rsidRPr="0081515A">
                    <w:rPr>
                      <w:rFonts w:cs="Arial"/>
                      <w:szCs w:val="18"/>
                    </w:rPr>
                    <w:t>-76.2</w:t>
                  </w:r>
                </w:p>
              </w:tc>
              <w:tc>
                <w:tcPr>
                  <w:tcW w:w="475" w:type="pct"/>
                  <w:tcBorders>
                    <w:top w:val="nil"/>
                    <w:left w:val="nil"/>
                    <w:bottom w:val="nil"/>
                    <w:right w:val="nil"/>
                  </w:tcBorders>
                  <w:shd w:val="clear" w:color="000000" w:fill="F2F2F2"/>
                  <w:vAlign w:val="center"/>
                  <w:hideMark/>
                </w:tcPr>
                <w:p w14:paraId="602CADC4" w14:textId="77777777" w:rsidR="007D417F" w:rsidRPr="007472E6" w:rsidRDefault="007D417F" w:rsidP="00E44AEF">
                  <w:pPr>
                    <w:pStyle w:val="TableBodyText"/>
                    <w:spacing w:after="20"/>
                    <w:rPr>
                      <w:szCs w:val="18"/>
                    </w:rPr>
                  </w:pPr>
                  <w:r w:rsidRPr="0081515A">
                    <w:rPr>
                      <w:rFonts w:cs="Arial"/>
                      <w:szCs w:val="18"/>
                    </w:rPr>
                    <w:t>-76.2</w:t>
                  </w:r>
                </w:p>
              </w:tc>
              <w:tc>
                <w:tcPr>
                  <w:tcW w:w="550" w:type="pct"/>
                  <w:tcBorders>
                    <w:top w:val="nil"/>
                    <w:left w:val="nil"/>
                    <w:bottom w:val="nil"/>
                    <w:right w:val="nil"/>
                  </w:tcBorders>
                  <w:shd w:val="clear" w:color="auto" w:fill="auto"/>
                  <w:vAlign w:val="center"/>
                  <w:hideMark/>
                </w:tcPr>
                <w:p w14:paraId="2D132526" w14:textId="77777777" w:rsidR="007D417F" w:rsidRPr="007472E6" w:rsidRDefault="007D417F" w:rsidP="00E44AEF">
                  <w:pPr>
                    <w:pStyle w:val="TableBodyText"/>
                    <w:spacing w:after="20"/>
                    <w:rPr>
                      <w:szCs w:val="18"/>
                    </w:rPr>
                  </w:pPr>
                  <w:r w:rsidRPr="0081515A">
                    <w:rPr>
                      <w:rFonts w:cs="Arial"/>
                      <w:szCs w:val="18"/>
                    </w:rPr>
                    <w:t>106.6</w:t>
                  </w:r>
                </w:p>
              </w:tc>
              <w:tc>
                <w:tcPr>
                  <w:tcW w:w="485" w:type="pct"/>
                  <w:tcBorders>
                    <w:top w:val="nil"/>
                    <w:left w:val="nil"/>
                    <w:bottom w:val="nil"/>
                    <w:right w:val="nil"/>
                  </w:tcBorders>
                  <w:shd w:val="clear" w:color="auto" w:fill="auto"/>
                  <w:vAlign w:val="center"/>
                  <w:hideMark/>
                </w:tcPr>
                <w:p w14:paraId="528500B0" w14:textId="77777777" w:rsidR="007D417F" w:rsidRPr="007472E6" w:rsidRDefault="007D417F" w:rsidP="00E44AEF">
                  <w:pPr>
                    <w:pStyle w:val="TableBodyText"/>
                    <w:spacing w:after="20"/>
                    <w:rPr>
                      <w:szCs w:val="18"/>
                    </w:rPr>
                  </w:pPr>
                  <w:r w:rsidRPr="0081515A">
                    <w:rPr>
                      <w:rFonts w:cs="Arial"/>
                      <w:szCs w:val="18"/>
                    </w:rPr>
                    <w:t>96.9</w:t>
                  </w:r>
                </w:p>
              </w:tc>
              <w:tc>
                <w:tcPr>
                  <w:tcW w:w="672" w:type="pct"/>
                  <w:tcBorders>
                    <w:top w:val="nil"/>
                    <w:left w:val="nil"/>
                    <w:bottom w:val="nil"/>
                    <w:right w:val="nil"/>
                  </w:tcBorders>
                  <w:shd w:val="clear" w:color="000000" w:fill="F2F2F2"/>
                  <w:vAlign w:val="center"/>
                  <w:hideMark/>
                </w:tcPr>
                <w:p w14:paraId="537850A1" w14:textId="77777777" w:rsidR="007D417F" w:rsidRPr="007472E6" w:rsidRDefault="007D417F" w:rsidP="00E44AEF">
                  <w:pPr>
                    <w:pStyle w:val="TableBodyText"/>
                    <w:spacing w:after="20"/>
                    <w:rPr>
                      <w:szCs w:val="18"/>
                    </w:rPr>
                  </w:pPr>
                  <w:r w:rsidRPr="0081515A">
                    <w:rPr>
                      <w:rFonts w:cs="Arial"/>
                      <w:szCs w:val="18"/>
                    </w:rPr>
                    <w:t>127.3</w:t>
                  </w:r>
                </w:p>
              </w:tc>
            </w:tr>
            <w:tr w:rsidR="007D417F" w14:paraId="0BF50005" w14:textId="77777777" w:rsidTr="00E44AEF">
              <w:tc>
                <w:tcPr>
                  <w:tcW w:w="1574" w:type="pct"/>
                  <w:hideMark/>
                </w:tcPr>
                <w:p w14:paraId="023EFDC7" w14:textId="77777777" w:rsidR="007D417F" w:rsidRDefault="007D417F" w:rsidP="00E44AEF">
                  <w:pPr>
                    <w:pStyle w:val="TableBodyText"/>
                    <w:spacing w:after="20"/>
                    <w:jc w:val="left"/>
                  </w:pPr>
                  <w:r>
                    <w:t>Arts and recreation services</w:t>
                  </w:r>
                </w:p>
              </w:tc>
              <w:tc>
                <w:tcPr>
                  <w:tcW w:w="663" w:type="pct"/>
                  <w:tcBorders>
                    <w:top w:val="nil"/>
                    <w:left w:val="nil"/>
                    <w:bottom w:val="nil"/>
                    <w:right w:val="nil"/>
                  </w:tcBorders>
                  <w:shd w:val="clear" w:color="auto" w:fill="auto"/>
                  <w:vAlign w:val="center"/>
                  <w:hideMark/>
                </w:tcPr>
                <w:p w14:paraId="459A6255" w14:textId="77777777" w:rsidR="007D417F" w:rsidRPr="007472E6" w:rsidRDefault="007D417F" w:rsidP="00E44AEF">
                  <w:pPr>
                    <w:pStyle w:val="TableBodyText"/>
                    <w:spacing w:after="20"/>
                    <w:rPr>
                      <w:szCs w:val="18"/>
                    </w:rPr>
                  </w:pPr>
                  <w:r w:rsidRPr="0081515A">
                    <w:rPr>
                      <w:rFonts w:cs="Arial"/>
                      <w:szCs w:val="18"/>
                    </w:rPr>
                    <w:t>–</w:t>
                  </w:r>
                </w:p>
              </w:tc>
              <w:tc>
                <w:tcPr>
                  <w:tcW w:w="580" w:type="pct"/>
                  <w:tcBorders>
                    <w:top w:val="nil"/>
                    <w:left w:val="nil"/>
                    <w:bottom w:val="nil"/>
                    <w:right w:val="nil"/>
                  </w:tcBorders>
                  <w:shd w:val="clear" w:color="auto" w:fill="auto"/>
                  <w:vAlign w:val="center"/>
                  <w:hideMark/>
                </w:tcPr>
                <w:p w14:paraId="4EBB22B5" w14:textId="77777777" w:rsidR="007D417F" w:rsidRPr="007472E6" w:rsidRDefault="007D417F" w:rsidP="00E44AEF">
                  <w:pPr>
                    <w:pStyle w:val="TableBodyText"/>
                    <w:spacing w:after="20"/>
                    <w:rPr>
                      <w:szCs w:val="18"/>
                    </w:rPr>
                  </w:pPr>
                  <w:r w:rsidRPr="0081515A">
                    <w:rPr>
                      <w:rFonts w:cs="Arial"/>
                      <w:szCs w:val="18"/>
                    </w:rPr>
                    <w:t>-27.7</w:t>
                  </w:r>
                </w:p>
              </w:tc>
              <w:tc>
                <w:tcPr>
                  <w:tcW w:w="475" w:type="pct"/>
                  <w:tcBorders>
                    <w:top w:val="nil"/>
                    <w:left w:val="nil"/>
                    <w:bottom w:val="nil"/>
                    <w:right w:val="nil"/>
                  </w:tcBorders>
                  <w:shd w:val="clear" w:color="000000" w:fill="F2F2F2"/>
                  <w:vAlign w:val="center"/>
                  <w:hideMark/>
                </w:tcPr>
                <w:p w14:paraId="7C2F63B3" w14:textId="77777777" w:rsidR="007D417F" w:rsidRPr="007472E6" w:rsidRDefault="007D417F" w:rsidP="00E44AEF">
                  <w:pPr>
                    <w:pStyle w:val="TableBodyText"/>
                    <w:spacing w:after="20"/>
                    <w:rPr>
                      <w:szCs w:val="18"/>
                    </w:rPr>
                  </w:pPr>
                  <w:r w:rsidRPr="0081515A">
                    <w:rPr>
                      <w:rFonts w:cs="Arial"/>
                      <w:szCs w:val="18"/>
                    </w:rPr>
                    <w:t>-27.7</w:t>
                  </w:r>
                </w:p>
              </w:tc>
              <w:tc>
                <w:tcPr>
                  <w:tcW w:w="550" w:type="pct"/>
                  <w:tcBorders>
                    <w:top w:val="nil"/>
                    <w:left w:val="nil"/>
                    <w:bottom w:val="nil"/>
                    <w:right w:val="nil"/>
                  </w:tcBorders>
                  <w:shd w:val="clear" w:color="auto" w:fill="auto"/>
                  <w:vAlign w:val="center"/>
                  <w:hideMark/>
                </w:tcPr>
                <w:p w14:paraId="4110C416" w14:textId="77777777" w:rsidR="007D417F" w:rsidRPr="007472E6" w:rsidRDefault="007D417F" w:rsidP="00E44AEF">
                  <w:pPr>
                    <w:pStyle w:val="TableBodyText"/>
                    <w:spacing w:after="20"/>
                    <w:rPr>
                      <w:szCs w:val="18"/>
                    </w:rPr>
                  </w:pPr>
                  <w:r w:rsidRPr="0081515A">
                    <w:rPr>
                      <w:rFonts w:cs="Arial"/>
                      <w:szCs w:val="18"/>
                    </w:rPr>
                    <w:t>110.7</w:t>
                  </w:r>
                </w:p>
              </w:tc>
              <w:tc>
                <w:tcPr>
                  <w:tcW w:w="485" w:type="pct"/>
                  <w:tcBorders>
                    <w:top w:val="nil"/>
                    <w:left w:val="nil"/>
                    <w:bottom w:val="nil"/>
                    <w:right w:val="nil"/>
                  </w:tcBorders>
                  <w:shd w:val="clear" w:color="auto" w:fill="auto"/>
                  <w:vAlign w:val="center"/>
                  <w:hideMark/>
                </w:tcPr>
                <w:p w14:paraId="3B3F55C9" w14:textId="77777777" w:rsidR="007D417F" w:rsidRPr="007472E6" w:rsidRDefault="007D417F" w:rsidP="00E44AEF">
                  <w:pPr>
                    <w:pStyle w:val="TableBodyText"/>
                    <w:spacing w:after="20"/>
                    <w:rPr>
                      <w:szCs w:val="18"/>
                    </w:rPr>
                  </w:pPr>
                  <w:r w:rsidRPr="0081515A">
                    <w:rPr>
                      <w:rFonts w:cs="Arial"/>
                      <w:szCs w:val="18"/>
                    </w:rPr>
                    <w:t>390.5</w:t>
                  </w:r>
                </w:p>
              </w:tc>
              <w:tc>
                <w:tcPr>
                  <w:tcW w:w="672" w:type="pct"/>
                  <w:tcBorders>
                    <w:top w:val="nil"/>
                    <w:left w:val="nil"/>
                    <w:bottom w:val="nil"/>
                    <w:right w:val="nil"/>
                  </w:tcBorders>
                  <w:shd w:val="clear" w:color="000000" w:fill="F2F2F2"/>
                  <w:vAlign w:val="center"/>
                  <w:hideMark/>
                </w:tcPr>
                <w:p w14:paraId="07CAD90A" w14:textId="77777777" w:rsidR="007D417F" w:rsidRPr="007472E6" w:rsidRDefault="007D417F" w:rsidP="00E44AEF">
                  <w:pPr>
                    <w:pStyle w:val="TableBodyText"/>
                    <w:spacing w:after="20"/>
                    <w:rPr>
                      <w:szCs w:val="18"/>
                    </w:rPr>
                  </w:pPr>
                  <w:r w:rsidRPr="0081515A">
                    <w:rPr>
                      <w:rFonts w:cs="Arial"/>
                      <w:szCs w:val="18"/>
                    </w:rPr>
                    <w:t>473.6</w:t>
                  </w:r>
                </w:p>
              </w:tc>
            </w:tr>
            <w:tr w:rsidR="007D417F" w14:paraId="208A6BBE" w14:textId="77777777" w:rsidTr="00E44AEF">
              <w:tc>
                <w:tcPr>
                  <w:tcW w:w="1574" w:type="pct"/>
                  <w:hideMark/>
                </w:tcPr>
                <w:p w14:paraId="510E79CF" w14:textId="77777777" w:rsidR="007D417F" w:rsidRDefault="007D417F" w:rsidP="00E44AEF">
                  <w:pPr>
                    <w:pStyle w:val="TableBodyText"/>
                    <w:spacing w:after="20"/>
                    <w:jc w:val="left"/>
                  </w:pPr>
                  <w:r>
                    <w:t>Other services</w:t>
                  </w:r>
                </w:p>
              </w:tc>
              <w:tc>
                <w:tcPr>
                  <w:tcW w:w="663" w:type="pct"/>
                  <w:tcBorders>
                    <w:top w:val="nil"/>
                    <w:left w:val="nil"/>
                    <w:bottom w:val="nil"/>
                    <w:right w:val="nil"/>
                  </w:tcBorders>
                  <w:shd w:val="clear" w:color="auto" w:fill="auto"/>
                  <w:vAlign w:val="center"/>
                  <w:hideMark/>
                </w:tcPr>
                <w:p w14:paraId="3363EAAB" w14:textId="77777777" w:rsidR="007D417F" w:rsidRPr="007472E6" w:rsidRDefault="007D417F" w:rsidP="00E44AEF">
                  <w:pPr>
                    <w:pStyle w:val="TableBodyText"/>
                    <w:spacing w:after="20"/>
                    <w:rPr>
                      <w:szCs w:val="18"/>
                    </w:rPr>
                  </w:pPr>
                  <w:r w:rsidRPr="0081515A">
                    <w:rPr>
                      <w:rFonts w:cs="Arial"/>
                      <w:szCs w:val="18"/>
                    </w:rPr>
                    <w:t>–</w:t>
                  </w:r>
                </w:p>
              </w:tc>
              <w:tc>
                <w:tcPr>
                  <w:tcW w:w="580" w:type="pct"/>
                  <w:tcBorders>
                    <w:top w:val="nil"/>
                    <w:left w:val="nil"/>
                    <w:bottom w:val="nil"/>
                    <w:right w:val="nil"/>
                  </w:tcBorders>
                  <w:shd w:val="clear" w:color="auto" w:fill="auto"/>
                  <w:vAlign w:val="center"/>
                  <w:hideMark/>
                </w:tcPr>
                <w:p w14:paraId="1B2E6E40" w14:textId="77777777" w:rsidR="007D417F" w:rsidRPr="007472E6" w:rsidRDefault="007D417F" w:rsidP="00E44AEF">
                  <w:pPr>
                    <w:pStyle w:val="TableBodyText"/>
                    <w:spacing w:after="20"/>
                    <w:rPr>
                      <w:szCs w:val="18"/>
                    </w:rPr>
                  </w:pPr>
                  <w:r w:rsidRPr="0081515A">
                    <w:rPr>
                      <w:rFonts w:cs="Arial"/>
                      <w:szCs w:val="18"/>
                    </w:rPr>
                    <w:t>-105.6</w:t>
                  </w:r>
                </w:p>
              </w:tc>
              <w:tc>
                <w:tcPr>
                  <w:tcW w:w="475" w:type="pct"/>
                  <w:tcBorders>
                    <w:top w:val="nil"/>
                    <w:left w:val="nil"/>
                    <w:bottom w:val="nil"/>
                    <w:right w:val="nil"/>
                  </w:tcBorders>
                  <w:shd w:val="clear" w:color="000000" w:fill="F2F2F2"/>
                  <w:vAlign w:val="center"/>
                  <w:hideMark/>
                </w:tcPr>
                <w:p w14:paraId="5F4855B4" w14:textId="77777777" w:rsidR="007D417F" w:rsidRPr="007472E6" w:rsidRDefault="007D417F" w:rsidP="00E44AEF">
                  <w:pPr>
                    <w:pStyle w:val="TableBodyText"/>
                    <w:spacing w:after="20"/>
                    <w:rPr>
                      <w:szCs w:val="18"/>
                    </w:rPr>
                  </w:pPr>
                  <w:r w:rsidRPr="0081515A">
                    <w:rPr>
                      <w:rFonts w:cs="Arial"/>
                      <w:szCs w:val="18"/>
                    </w:rPr>
                    <w:t>-105.6</w:t>
                  </w:r>
                </w:p>
              </w:tc>
              <w:tc>
                <w:tcPr>
                  <w:tcW w:w="550" w:type="pct"/>
                  <w:tcBorders>
                    <w:top w:val="nil"/>
                    <w:left w:val="nil"/>
                    <w:bottom w:val="nil"/>
                    <w:right w:val="nil"/>
                  </w:tcBorders>
                  <w:shd w:val="clear" w:color="auto" w:fill="auto"/>
                  <w:vAlign w:val="center"/>
                  <w:hideMark/>
                </w:tcPr>
                <w:p w14:paraId="750CCD07" w14:textId="77777777" w:rsidR="007D417F" w:rsidRPr="007472E6" w:rsidRDefault="007D417F" w:rsidP="00E44AEF">
                  <w:pPr>
                    <w:pStyle w:val="TableBodyText"/>
                    <w:spacing w:after="20"/>
                    <w:rPr>
                      <w:szCs w:val="18"/>
                    </w:rPr>
                  </w:pPr>
                  <w:r w:rsidRPr="0081515A">
                    <w:rPr>
                      <w:rFonts w:cs="Arial"/>
                      <w:szCs w:val="18"/>
                    </w:rPr>
                    <w:t>57.1</w:t>
                  </w:r>
                </w:p>
              </w:tc>
              <w:tc>
                <w:tcPr>
                  <w:tcW w:w="485" w:type="pct"/>
                  <w:tcBorders>
                    <w:top w:val="nil"/>
                    <w:left w:val="nil"/>
                    <w:bottom w:val="nil"/>
                    <w:right w:val="nil"/>
                  </w:tcBorders>
                  <w:shd w:val="clear" w:color="auto" w:fill="auto"/>
                  <w:vAlign w:val="center"/>
                  <w:hideMark/>
                </w:tcPr>
                <w:p w14:paraId="0722824D" w14:textId="77777777" w:rsidR="007D417F" w:rsidRPr="007472E6" w:rsidRDefault="007D417F" w:rsidP="00E44AEF">
                  <w:pPr>
                    <w:pStyle w:val="TableBodyText"/>
                    <w:spacing w:after="20"/>
                    <w:rPr>
                      <w:szCs w:val="18"/>
                    </w:rPr>
                  </w:pPr>
                  <w:r w:rsidRPr="0081515A">
                    <w:rPr>
                      <w:rFonts w:cs="Arial"/>
                      <w:szCs w:val="18"/>
                    </w:rPr>
                    <w:t>42.8</w:t>
                  </w:r>
                </w:p>
              </w:tc>
              <w:tc>
                <w:tcPr>
                  <w:tcW w:w="672" w:type="pct"/>
                  <w:tcBorders>
                    <w:top w:val="nil"/>
                    <w:left w:val="nil"/>
                    <w:bottom w:val="nil"/>
                    <w:right w:val="nil"/>
                  </w:tcBorders>
                  <w:shd w:val="clear" w:color="000000" w:fill="F2F2F2"/>
                  <w:vAlign w:val="center"/>
                  <w:hideMark/>
                </w:tcPr>
                <w:p w14:paraId="51ED8815" w14:textId="77777777" w:rsidR="007D417F" w:rsidRPr="007472E6" w:rsidRDefault="007D417F" w:rsidP="00E44AEF">
                  <w:pPr>
                    <w:pStyle w:val="TableBodyText"/>
                    <w:spacing w:after="20"/>
                    <w:rPr>
                      <w:szCs w:val="18"/>
                    </w:rPr>
                  </w:pPr>
                  <w:r w:rsidRPr="0081515A">
                    <w:rPr>
                      <w:rFonts w:cs="Arial"/>
                      <w:szCs w:val="18"/>
                    </w:rPr>
                    <w:t>-5.7</w:t>
                  </w:r>
                </w:p>
              </w:tc>
            </w:tr>
            <w:tr w:rsidR="007D417F" w14:paraId="2A96C72F" w14:textId="77777777" w:rsidTr="00E44AEF">
              <w:tc>
                <w:tcPr>
                  <w:tcW w:w="1574" w:type="pct"/>
                  <w:hideMark/>
                </w:tcPr>
                <w:p w14:paraId="795410E4" w14:textId="77777777" w:rsidR="007D417F" w:rsidRDefault="007D417F" w:rsidP="00E44AEF">
                  <w:pPr>
                    <w:pStyle w:val="TableBodyText"/>
                    <w:spacing w:after="20"/>
                    <w:jc w:val="left"/>
                  </w:pPr>
                  <w:r>
                    <w:t xml:space="preserve">Unallocated </w:t>
                  </w:r>
                  <w:proofErr w:type="spellStart"/>
                  <w:r>
                    <w:t>services</w:t>
                  </w:r>
                  <w:r w:rsidRPr="009B68C8">
                    <w:rPr>
                      <w:b/>
                      <w:bCs/>
                      <w:vertAlign w:val="superscript"/>
                    </w:rPr>
                    <w:t>b</w:t>
                  </w:r>
                  <w:proofErr w:type="spellEnd"/>
                </w:p>
              </w:tc>
              <w:tc>
                <w:tcPr>
                  <w:tcW w:w="663" w:type="pct"/>
                  <w:tcBorders>
                    <w:top w:val="nil"/>
                    <w:left w:val="nil"/>
                    <w:bottom w:val="nil"/>
                    <w:right w:val="nil"/>
                  </w:tcBorders>
                  <w:shd w:val="clear" w:color="auto" w:fill="auto"/>
                  <w:vAlign w:val="center"/>
                  <w:hideMark/>
                </w:tcPr>
                <w:p w14:paraId="2918F5DD" w14:textId="77777777" w:rsidR="007D417F" w:rsidRPr="007472E6" w:rsidRDefault="007D417F" w:rsidP="00E44AEF">
                  <w:pPr>
                    <w:pStyle w:val="TableBodyText"/>
                    <w:spacing w:after="20"/>
                    <w:rPr>
                      <w:szCs w:val="18"/>
                    </w:rPr>
                  </w:pPr>
                  <w:r w:rsidRPr="0081515A">
                    <w:rPr>
                      <w:rFonts w:cs="Arial"/>
                      <w:szCs w:val="18"/>
                    </w:rPr>
                    <w:t>–</w:t>
                  </w:r>
                </w:p>
              </w:tc>
              <w:tc>
                <w:tcPr>
                  <w:tcW w:w="580" w:type="pct"/>
                  <w:tcBorders>
                    <w:top w:val="nil"/>
                    <w:left w:val="nil"/>
                    <w:bottom w:val="nil"/>
                    <w:right w:val="nil"/>
                  </w:tcBorders>
                  <w:shd w:val="clear" w:color="auto" w:fill="auto"/>
                  <w:vAlign w:val="center"/>
                  <w:hideMark/>
                </w:tcPr>
                <w:p w14:paraId="3D9CDCA7" w14:textId="77777777" w:rsidR="007D417F" w:rsidRPr="007472E6" w:rsidRDefault="007D417F" w:rsidP="00E44AEF">
                  <w:pPr>
                    <w:pStyle w:val="TableBodyText"/>
                    <w:spacing w:after="20"/>
                    <w:rPr>
                      <w:szCs w:val="18"/>
                    </w:rPr>
                  </w:pPr>
                  <w:r w:rsidRPr="0081515A">
                    <w:rPr>
                      <w:rFonts w:cs="Arial"/>
                      <w:szCs w:val="18"/>
                    </w:rPr>
                    <w:t>–</w:t>
                  </w:r>
                </w:p>
              </w:tc>
              <w:tc>
                <w:tcPr>
                  <w:tcW w:w="475" w:type="pct"/>
                  <w:tcBorders>
                    <w:top w:val="nil"/>
                    <w:left w:val="nil"/>
                    <w:bottom w:val="nil"/>
                    <w:right w:val="nil"/>
                  </w:tcBorders>
                  <w:shd w:val="clear" w:color="000000" w:fill="F2F2F2"/>
                  <w:vAlign w:val="center"/>
                  <w:hideMark/>
                </w:tcPr>
                <w:p w14:paraId="45C9C371" w14:textId="77777777" w:rsidR="007D417F" w:rsidRPr="007472E6" w:rsidRDefault="007D417F" w:rsidP="00E44AEF">
                  <w:pPr>
                    <w:pStyle w:val="TableBodyText"/>
                    <w:spacing w:after="20"/>
                    <w:rPr>
                      <w:szCs w:val="18"/>
                    </w:rPr>
                  </w:pPr>
                  <w:r w:rsidRPr="0081515A">
                    <w:rPr>
                      <w:rFonts w:cs="Arial"/>
                      <w:szCs w:val="18"/>
                    </w:rPr>
                    <w:t>–</w:t>
                  </w:r>
                </w:p>
              </w:tc>
              <w:tc>
                <w:tcPr>
                  <w:tcW w:w="550" w:type="pct"/>
                  <w:tcBorders>
                    <w:top w:val="nil"/>
                    <w:left w:val="nil"/>
                    <w:bottom w:val="nil"/>
                    <w:right w:val="nil"/>
                  </w:tcBorders>
                  <w:shd w:val="clear" w:color="auto" w:fill="auto"/>
                  <w:vAlign w:val="center"/>
                  <w:hideMark/>
                </w:tcPr>
                <w:p w14:paraId="685B988B" w14:textId="77777777" w:rsidR="007D417F" w:rsidRPr="007472E6" w:rsidRDefault="007D417F" w:rsidP="00E44AEF">
                  <w:pPr>
                    <w:pStyle w:val="TableBodyText"/>
                    <w:spacing w:after="20"/>
                    <w:rPr>
                      <w:szCs w:val="18"/>
                    </w:rPr>
                  </w:pPr>
                  <w:r w:rsidRPr="0081515A">
                    <w:rPr>
                      <w:rFonts w:cs="Arial"/>
                      <w:szCs w:val="18"/>
                    </w:rPr>
                    <w:t>135.0</w:t>
                  </w:r>
                </w:p>
              </w:tc>
              <w:tc>
                <w:tcPr>
                  <w:tcW w:w="485" w:type="pct"/>
                  <w:tcBorders>
                    <w:top w:val="nil"/>
                    <w:left w:val="nil"/>
                    <w:bottom w:val="nil"/>
                    <w:right w:val="nil"/>
                  </w:tcBorders>
                  <w:shd w:val="clear" w:color="auto" w:fill="auto"/>
                  <w:vAlign w:val="center"/>
                  <w:hideMark/>
                </w:tcPr>
                <w:p w14:paraId="1CF80C2D" w14:textId="77777777" w:rsidR="007D417F" w:rsidRPr="007472E6" w:rsidRDefault="007D417F" w:rsidP="00E44AEF">
                  <w:pPr>
                    <w:pStyle w:val="TableBodyText"/>
                    <w:spacing w:after="20"/>
                    <w:rPr>
                      <w:szCs w:val="18"/>
                    </w:rPr>
                  </w:pPr>
                  <w:r w:rsidRPr="0081515A">
                    <w:rPr>
                      <w:rFonts w:cs="Arial"/>
                      <w:szCs w:val="18"/>
                    </w:rPr>
                    <w:t>0.0</w:t>
                  </w:r>
                </w:p>
              </w:tc>
              <w:tc>
                <w:tcPr>
                  <w:tcW w:w="672" w:type="pct"/>
                  <w:tcBorders>
                    <w:top w:val="nil"/>
                    <w:left w:val="nil"/>
                    <w:bottom w:val="nil"/>
                    <w:right w:val="nil"/>
                  </w:tcBorders>
                  <w:shd w:val="clear" w:color="000000" w:fill="F2F2F2"/>
                  <w:vAlign w:val="center"/>
                  <w:hideMark/>
                </w:tcPr>
                <w:p w14:paraId="72F7E19A" w14:textId="77777777" w:rsidR="007D417F" w:rsidRPr="007472E6" w:rsidRDefault="007D417F" w:rsidP="00E44AEF">
                  <w:pPr>
                    <w:pStyle w:val="TableBodyText"/>
                    <w:spacing w:after="20"/>
                    <w:rPr>
                      <w:szCs w:val="18"/>
                    </w:rPr>
                  </w:pPr>
                  <w:r w:rsidRPr="0081515A">
                    <w:rPr>
                      <w:rFonts w:cs="Arial"/>
                      <w:szCs w:val="18"/>
                    </w:rPr>
                    <w:t>135.0</w:t>
                  </w:r>
                </w:p>
              </w:tc>
            </w:tr>
            <w:tr w:rsidR="007D417F" w:rsidRPr="000B758E" w14:paraId="348143C3" w14:textId="77777777" w:rsidTr="00E44AEF">
              <w:tc>
                <w:tcPr>
                  <w:tcW w:w="1574" w:type="pct"/>
                  <w:hideMark/>
                </w:tcPr>
                <w:p w14:paraId="756421D3" w14:textId="77777777" w:rsidR="007D417F" w:rsidRPr="000B758E" w:rsidRDefault="007D417F" w:rsidP="00E44AEF">
                  <w:pPr>
                    <w:pStyle w:val="TableBodyText"/>
                    <w:jc w:val="left"/>
                    <w:rPr>
                      <w:b/>
                    </w:rPr>
                  </w:pPr>
                  <w:r w:rsidRPr="000B758E">
                    <w:rPr>
                      <w:b/>
                    </w:rPr>
                    <w:t xml:space="preserve">Unallocated </w:t>
                  </w:r>
                  <w:proofErr w:type="spellStart"/>
                  <w:r w:rsidRPr="000B758E">
                    <w:rPr>
                      <w:b/>
                    </w:rPr>
                    <w:t>other</w:t>
                  </w:r>
                  <w:r w:rsidRPr="00457909">
                    <w:rPr>
                      <w:b/>
                      <w:vertAlign w:val="superscript"/>
                    </w:rPr>
                    <w:t>b</w:t>
                  </w:r>
                  <w:proofErr w:type="spellEnd"/>
                </w:p>
              </w:tc>
              <w:tc>
                <w:tcPr>
                  <w:tcW w:w="663" w:type="pct"/>
                  <w:tcBorders>
                    <w:top w:val="nil"/>
                    <w:left w:val="nil"/>
                    <w:right w:val="nil"/>
                  </w:tcBorders>
                  <w:shd w:val="clear" w:color="auto" w:fill="auto"/>
                  <w:vAlign w:val="center"/>
                  <w:hideMark/>
                </w:tcPr>
                <w:p w14:paraId="1D728DFF" w14:textId="77777777" w:rsidR="007D417F" w:rsidRPr="007472E6" w:rsidRDefault="007D417F" w:rsidP="00E44AEF">
                  <w:pPr>
                    <w:pStyle w:val="TableBodyText"/>
                    <w:rPr>
                      <w:b/>
                      <w:szCs w:val="18"/>
                    </w:rPr>
                  </w:pPr>
                  <w:r w:rsidRPr="0081515A">
                    <w:rPr>
                      <w:rFonts w:cs="Arial"/>
                      <w:b/>
                      <w:szCs w:val="18"/>
                    </w:rPr>
                    <w:t>–</w:t>
                  </w:r>
                </w:p>
              </w:tc>
              <w:tc>
                <w:tcPr>
                  <w:tcW w:w="580" w:type="pct"/>
                  <w:tcBorders>
                    <w:top w:val="nil"/>
                    <w:left w:val="nil"/>
                    <w:right w:val="nil"/>
                  </w:tcBorders>
                  <w:shd w:val="clear" w:color="auto" w:fill="auto"/>
                  <w:vAlign w:val="center"/>
                  <w:hideMark/>
                </w:tcPr>
                <w:p w14:paraId="4EBE2A4E" w14:textId="77777777" w:rsidR="007D417F" w:rsidRPr="007472E6" w:rsidRDefault="007D417F" w:rsidP="00E44AEF">
                  <w:pPr>
                    <w:pStyle w:val="TableBodyText"/>
                    <w:rPr>
                      <w:b/>
                      <w:szCs w:val="18"/>
                    </w:rPr>
                  </w:pPr>
                  <w:r w:rsidRPr="0081515A">
                    <w:rPr>
                      <w:rFonts w:cs="Arial"/>
                      <w:b/>
                      <w:szCs w:val="18"/>
                    </w:rPr>
                    <w:t>–</w:t>
                  </w:r>
                </w:p>
              </w:tc>
              <w:tc>
                <w:tcPr>
                  <w:tcW w:w="475" w:type="pct"/>
                  <w:tcBorders>
                    <w:top w:val="nil"/>
                    <w:left w:val="nil"/>
                    <w:right w:val="nil"/>
                  </w:tcBorders>
                  <w:shd w:val="clear" w:color="000000" w:fill="F2F2F2"/>
                  <w:vAlign w:val="center"/>
                  <w:hideMark/>
                </w:tcPr>
                <w:p w14:paraId="7069D4CA" w14:textId="77777777" w:rsidR="007D417F" w:rsidRPr="007472E6" w:rsidRDefault="007D417F" w:rsidP="00E44AEF">
                  <w:pPr>
                    <w:pStyle w:val="TableBodyText"/>
                    <w:rPr>
                      <w:b/>
                      <w:szCs w:val="18"/>
                    </w:rPr>
                  </w:pPr>
                  <w:r w:rsidRPr="0081515A">
                    <w:rPr>
                      <w:rFonts w:cs="Arial"/>
                      <w:b/>
                      <w:szCs w:val="18"/>
                    </w:rPr>
                    <w:t>–</w:t>
                  </w:r>
                </w:p>
              </w:tc>
              <w:tc>
                <w:tcPr>
                  <w:tcW w:w="550" w:type="pct"/>
                  <w:tcBorders>
                    <w:top w:val="nil"/>
                    <w:left w:val="nil"/>
                    <w:right w:val="nil"/>
                  </w:tcBorders>
                  <w:shd w:val="clear" w:color="auto" w:fill="auto"/>
                  <w:vAlign w:val="center"/>
                  <w:hideMark/>
                </w:tcPr>
                <w:p w14:paraId="27153D26" w14:textId="77777777" w:rsidR="007D417F" w:rsidRPr="007472E6" w:rsidRDefault="007D417F" w:rsidP="00E44AEF">
                  <w:pPr>
                    <w:pStyle w:val="TableBodyText"/>
                    <w:rPr>
                      <w:b/>
                      <w:szCs w:val="18"/>
                    </w:rPr>
                  </w:pPr>
                  <w:r w:rsidRPr="0081515A">
                    <w:rPr>
                      <w:rFonts w:cs="Arial"/>
                      <w:b/>
                      <w:szCs w:val="18"/>
                    </w:rPr>
                    <w:t>335.4</w:t>
                  </w:r>
                </w:p>
              </w:tc>
              <w:tc>
                <w:tcPr>
                  <w:tcW w:w="485" w:type="pct"/>
                  <w:tcBorders>
                    <w:top w:val="nil"/>
                    <w:left w:val="nil"/>
                    <w:right w:val="nil"/>
                  </w:tcBorders>
                  <w:shd w:val="clear" w:color="auto" w:fill="auto"/>
                  <w:vAlign w:val="center"/>
                  <w:hideMark/>
                </w:tcPr>
                <w:p w14:paraId="74D7A6B4" w14:textId="77777777" w:rsidR="007D417F" w:rsidRPr="007472E6" w:rsidRDefault="007D417F" w:rsidP="00E44AEF">
                  <w:pPr>
                    <w:pStyle w:val="TableBodyText"/>
                    <w:rPr>
                      <w:b/>
                      <w:szCs w:val="18"/>
                    </w:rPr>
                  </w:pPr>
                  <w:r w:rsidRPr="0081515A">
                    <w:rPr>
                      <w:rFonts w:cs="Arial"/>
                      <w:b/>
                      <w:szCs w:val="18"/>
                    </w:rPr>
                    <w:t>3</w:t>
                  </w:r>
                  <w:r>
                    <w:rPr>
                      <w:rFonts w:cs="Arial"/>
                      <w:b/>
                      <w:szCs w:val="18"/>
                    </w:rPr>
                    <w:t> </w:t>
                  </w:r>
                  <w:r w:rsidRPr="0081515A">
                    <w:rPr>
                      <w:rFonts w:cs="Arial"/>
                      <w:b/>
                      <w:szCs w:val="18"/>
                    </w:rPr>
                    <w:t>402.7</w:t>
                  </w:r>
                </w:p>
              </w:tc>
              <w:tc>
                <w:tcPr>
                  <w:tcW w:w="672" w:type="pct"/>
                  <w:tcBorders>
                    <w:top w:val="nil"/>
                    <w:left w:val="nil"/>
                    <w:right w:val="nil"/>
                  </w:tcBorders>
                  <w:shd w:val="clear" w:color="000000" w:fill="F2F2F2"/>
                  <w:vAlign w:val="center"/>
                  <w:hideMark/>
                </w:tcPr>
                <w:p w14:paraId="102347AC" w14:textId="77777777" w:rsidR="007D417F" w:rsidRPr="007472E6" w:rsidRDefault="007D417F" w:rsidP="00E44AEF">
                  <w:pPr>
                    <w:pStyle w:val="TableBodyText"/>
                    <w:rPr>
                      <w:b/>
                      <w:szCs w:val="18"/>
                    </w:rPr>
                  </w:pPr>
                  <w:r w:rsidRPr="0081515A">
                    <w:rPr>
                      <w:rFonts w:cs="Arial"/>
                      <w:b/>
                      <w:szCs w:val="18"/>
                    </w:rPr>
                    <w:t>3</w:t>
                  </w:r>
                  <w:r>
                    <w:rPr>
                      <w:rFonts w:cs="Arial"/>
                      <w:b/>
                      <w:szCs w:val="18"/>
                    </w:rPr>
                    <w:t> </w:t>
                  </w:r>
                  <w:r w:rsidRPr="0081515A">
                    <w:rPr>
                      <w:rFonts w:cs="Arial"/>
                      <w:b/>
                      <w:szCs w:val="18"/>
                    </w:rPr>
                    <w:t>738.1</w:t>
                  </w:r>
                </w:p>
              </w:tc>
            </w:tr>
            <w:tr w:rsidR="007D417F" w:rsidRPr="000B758E" w14:paraId="433E565F" w14:textId="77777777" w:rsidTr="00E44AEF">
              <w:tc>
                <w:tcPr>
                  <w:tcW w:w="1574" w:type="pct"/>
                  <w:tcBorders>
                    <w:top w:val="nil"/>
                    <w:left w:val="nil"/>
                    <w:bottom w:val="single" w:sz="4" w:space="0" w:color="BFBFBF" w:themeColor="background1" w:themeShade="BF"/>
                    <w:right w:val="nil"/>
                  </w:tcBorders>
                  <w:hideMark/>
                </w:tcPr>
                <w:p w14:paraId="5E11651B" w14:textId="77777777" w:rsidR="007D417F" w:rsidRPr="000B758E" w:rsidRDefault="007D417F" w:rsidP="00E44AEF">
                  <w:pPr>
                    <w:pStyle w:val="TableBodyText"/>
                    <w:jc w:val="left"/>
                    <w:rPr>
                      <w:b/>
                    </w:rPr>
                  </w:pPr>
                  <w:r w:rsidRPr="000B758E">
                    <w:rPr>
                      <w:b/>
                    </w:rPr>
                    <w:t>Total</w:t>
                  </w:r>
                </w:p>
              </w:tc>
              <w:tc>
                <w:tcPr>
                  <w:tcW w:w="663" w:type="pct"/>
                  <w:tcBorders>
                    <w:top w:val="nil"/>
                    <w:left w:val="nil"/>
                    <w:bottom w:val="single" w:sz="4" w:space="0" w:color="BFBFBF" w:themeColor="background1" w:themeShade="BF"/>
                    <w:right w:val="nil"/>
                  </w:tcBorders>
                  <w:shd w:val="clear" w:color="auto" w:fill="auto"/>
                  <w:vAlign w:val="center"/>
                  <w:hideMark/>
                </w:tcPr>
                <w:p w14:paraId="5C60B1C5" w14:textId="77777777" w:rsidR="007D417F" w:rsidRPr="007472E6" w:rsidRDefault="007D417F" w:rsidP="00E44AEF">
                  <w:pPr>
                    <w:pStyle w:val="TableBodyText"/>
                    <w:rPr>
                      <w:b/>
                      <w:szCs w:val="18"/>
                    </w:rPr>
                  </w:pPr>
                  <w:r w:rsidRPr="0081515A">
                    <w:rPr>
                      <w:rFonts w:cs="Arial"/>
                      <w:b/>
                      <w:szCs w:val="18"/>
                    </w:rPr>
                    <w:t>1</w:t>
                  </w:r>
                  <w:r>
                    <w:rPr>
                      <w:rFonts w:cs="Arial"/>
                      <w:b/>
                      <w:szCs w:val="18"/>
                    </w:rPr>
                    <w:t> </w:t>
                  </w:r>
                  <w:r w:rsidRPr="0081515A">
                    <w:rPr>
                      <w:rFonts w:cs="Arial"/>
                      <w:b/>
                      <w:szCs w:val="18"/>
                    </w:rPr>
                    <w:t>967.9</w:t>
                  </w:r>
                </w:p>
              </w:tc>
              <w:tc>
                <w:tcPr>
                  <w:tcW w:w="580" w:type="pct"/>
                  <w:tcBorders>
                    <w:top w:val="nil"/>
                    <w:left w:val="nil"/>
                    <w:bottom w:val="single" w:sz="4" w:space="0" w:color="BFBFBF" w:themeColor="background1" w:themeShade="BF"/>
                    <w:right w:val="nil"/>
                  </w:tcBorders>
                  <w:shd w:val="clear" w:color="auto" w:fill="auto"/>
                  <w:vAlign w:val="center"/>
                  <w:hideMark/>
                </w:tcPr>
                <w:p w14:paraId="0490C12A" w14:textId="77777777" w:rsidR="007D417F" w:rsidRPr="007472E6" w:rsidRDefault="007D417F" w:rsidP="00E44AEF">
                  <w:pPr>
                    <w:pStyle w:val="TableBodyText"/>
                    <w:rPr>
                      <w:b/>
                      <w:szCs w:val="18"/>
                    </w:rPr>
                  </w:pPr>
                  <w:r w:rsidRPr="0081515A">
                    <w:rPr>
                      <w:rFonts w:cs="Arial"/>
                      <w:b/>
                      <w:szCs w:val="18"/>
                    </w:rPr>
                    <w:t>-1</w:t>
                  </w:r>
                  <w:r>
                    <w:rPr>
                      <w:rFonts w:cs="Arial"/>
                      <w:b/>
                      <w:szCs w:val="18"/>
                    </w:rPr>
                    <w:t> </w:t>
                  </w:r>
                  <w:r w:rsidRPr="0081515A">
                    <w:rPr>
                      <w:rFonts w:cs="Arial"/>
                      <w:b/>
                      <w:szCs w:val="18"/>
                    </w:rPr>
                    <w:t>703.2</w:t>
                  </w:r>
                </w:p>
              </w:tc>
              <w:tc>
                <w:tcPr>
                  <w:tcW w:w="475" w:type="pct"/>
                  <w:tcBorders>
                    <w:top w:val="nil"/>
                    <w:left w:val="nil"/>
                    <w:bottom w:val="single" w:sz="4" w:space="0" w:color="BFBFBF" w:themeColor="background1" w:themeShade="BF"/>
                    <w:right w:val="nil"/>
                  </w:tcBorders>
                  <w:shd w:val="clear" w:color="000000" w:fill="F2F2F2"/>
                  <w:vAlign w:val="center"/>
                  <w:hideMark/>
                </w:tcPr>
                <w:p w14:paraId="404F1FA1" w14:textId="77777777" w:rsidR="007D417F" w:rsidRPr="007472E6" w:rsidRDefault="007D417F" w:rsidP="00E44AEF">
                  <w:pPr>
                    <w:pStyle w:val="TableBodyText"/>
                    <w:rPr>
                      <w:b/>
                      <w:szCs w:val="18"/>
                    </w:rPr>
                  </w:pPr>
                  <w:r w:rsidRPr="0081515A">
                    <w:rPr>
                      <w:rFonts w:cs="Arial"/>
                      <w:b/>
                      <w:szCs w:val="18"/>
                    </w:rPr>
                    <w:t>264.7</w:t>
                  </w:r>
                </w:p>
              </w:tc>
              <w:tc>
                <w:tcPr>
                  <w:tcW w:w="550" w:type="pct"/>
                  <w:tcBorders>
                    <w:top w:val="nil"/>
                    <w:left w:val="nil"/>
                    <w:bottom w:val="single" w:sz="4" w:space="0" w:color="BFBFBF" w:themeColor="background1" w:themeShade="BF"/>
                    <w:right w:val="nil"/>
                  </w:tcBorders>
                  <w:shd w:val="clear" w:color="auto" w:fill="auto"/>
                  <w:vAlign w:val="center"/>
                  <w:hideMark/>
                </w:tcPr>
                <w:p w14:paraId="367D463F" w14:textId="77777777" w:rsidR="007D417F" w:rsidRPr="007472E6" w:rsidRDefault="007D417F" w:rsidP="00E44AEF">
                  <w:pPr>
                    <w:pStyle w:val="TableBodyText"/>
                    <w:rPr>
                      <w:b/>
                      <w:szCs w:val="18"/>
                    </w:rPr>
                  </w:pPr>
                  <w:r w:rsidRPr="0081515A">
                    <w:rPr>
                      <w:rFonts w:cs="Arial"/>
                      <w:b/>
                      <w:szCs w:val="18"/>
                    </w:rPr>
                    <w:t>4</w:t>
                  </w:r>
                  <w:r>
                    <w:rPr>
                      <w:rFonts w:cs="Arial"/>
                      <w:b/>
                      <w:szCs w:val="18"/>
                    </w:rPr>
                    <w:t> </w:t>
                  </w:r>
                  <w:r w:rsidRPr="0081515A">
                    <w:rPr>
                      <w:rFonts w:cs="Arial"/>
                      <w:b/>
                      <w:szCs w:val="18"/>
                    </w:rPr>
                    <w:t>450.7</w:t>
                  </w:r>
                </w:p>
              </w:tc>
              <w:tc>
                <w:tcPr>
                  <w:tcW w:w="485" w:type="pct"/>
                  <w:tcBorders>
                    <w:top w:val="nil"/>
                    <w:left w:val="nil"/>
                    <w:bottom w:val="single" w:sz="4" w:space="0" w:color="BFBFBF" w:themeColor="background1" w:themeShade="BF"/>
                    <w:right w:val="nil"/>
                  </w:tcBorders>
                  <w:shd w:val="clear" w:color="auto" w:fill="auto"/>
                  <w:vAlign w:val="center"/>
                  <w:hideMark/>
                </w:tcPr>
                <w:p w14:paraId="7EFCA1CB" w14:textId="77777777" w:rsidR="007D417F" w:rsidRPr="007472E6" w:rsidRDefault="007D417F" w:rsidP="00E44AEF">
                  <w:pPr>
                    <w:pStyle w:val="TableBodyText"/>
                    <w:rPr>
                      <w:b/>
                      <w:szCs w:val="18"/>
                    </w:rPr>
                  </w:pPr>
                  <w:r w:rsidRPr="0081515A">
                    <w:rPr>
                      <w:rFonts w:cs="Arial"/>
                      <w:b/>
                      <w:szCs w:val="18"/>
                    </w:rPr>
                    <w:t>7</w:t>
                  </w:r>
                  <w:r>
                    <w:rPr>
                      <w:rFonts w:cs="Arial"/>
                      <w:b/>
                      <w:szCs w:val="18"/>
                    </w:rPr>
                    <w:t> </w:t>
                  </w:r>
                  <w:r w:rsidRPr="0081515A">
                    <w:rPr>
                      <w:rFonts w:cs="Arial"/>
                      <w:b/>
                      <w:szCs w:val="18"/>
                    </w:rPr>
                    <w:t>389.7</w:t>
                  </w:r>
                </w:p>
              </w:tc>
              <w:tc>
                <w:tcPr>
                  <w:tcW w:w="672" w:type="pct"/>
                  <w:tcBorders>
                    <w:top w:val="nil"/>
                    <w:left w:val="nil"/>
                    <w:bottom w:val="single" w:sz="4" w:space="0" w:color="BFBFBF" w:themeColor="background1" w:themeShade="BF"/>
                    <w:right w:val="nil"/>
                  </w:tcBorders>
                  <w:shd w:val="clear" w:color="000000" w:fill="F2F2F2"/>
                  <w:vAlign w:val="center"/>
                  <w:hideMark/>
                </w:tcPr>
                <w:p w14:paraId="3CD7F0D1" w14:textId="77777777" w:rsidR="007D417F" w:rsidRPr="007472E6" w:rsidRDefault="007D417F" w:rsidP="00E44AEF">
                  <w:pPr>
                    <w:pStyle w:val="TableBodyText"/>
                    <w:rPr>
                      <w:b/>
                      <w:szCs w:val="18"/>
                    </w:rPr>
                  </w:pPr>
                  <w:r w:rsidRPr="0081515A">
                    <w:rPr>
                      <w:rFonts w:cs="Arial"/>
                      <w:b/>
                      <w:szCs w:val="18"/>
                    </w:rPr>
                    <w:t>12</w:t>
                  </w:r>
                  <w:r>
                    <w:rPr>
                      <w:rFonts w:cs="Arial"/>
                      <w:b/>
                      <w:szCs w:val="18"/>
                    </w:rPr>
                    <w:t> </w:t>
                  </w:r>
                  <w:r w:rsidRPr="0081515A">
                    <w:rPr>
                      <w:rFonts w:cs="Arial"/>
                      <w:b/>
                      <w:szCs w:val="18"/>
                    </w:rPr>
                    <w:t>105.2</w:t>
                  </w:r>
                </w:p>
              </w:tc>
            </w:tr>
          </w:tbl>
          <w:p w14:paraId="49844930" w14:textId="77777777" w:rsidR="007D417F" w:rsidRDefault="007D417F" w:rsidP="00E44AEF">
            <w:pPr>
              <w:pStyle w:val="BoxSpaceBelow"/>
            </w:pPr>
          </w:p>
        </w:tc>
      </w:tr>
      <w:tr w:rsidR="007D417F" w14:paraId="7A6C8324" w14:textId="77777777" w:rsidTr="00E44AEF">
        <w:tc>
          <w:tcPr>
            <w:tcW w:w="5000" w:type="pct"/>
            <w:tcBorders>
              <w:top w:val="nil"/>
              <w:left w:val="nil"/>
              <w:bottom w:val="nil"/>
              <w:right w:val="nil"/>
            </w:tcBorders>
            <w:hideMark/>
          </w:tcPr>
          <w:p w14:paraId="432B97D4" w14:textId="77777777" w:rsidR="007D417F" w:rsidRDefault="007D417F" w:rsidP="00E44AEF">
            <w:pPr>
              <w:pStyle w:val="Note"/>
              <w:rPr>
                <w:i/>
              </w:rPr>
            </w:pPr>
            <w:r w:rsidRPr="00FC6486">
              <w:t xml:space="preserve">‒ Nil. </w:t>
            </w:r>
            <w:r w:rsidRPr="00D672BF">
              <w:rPr>
                <w:rStyle w:val="NoteLabel"/>
              </w:rPr>
              <w:t>a</w:t>
            </w:r>
            <w:r>
              <w:t xml:space="preserve"> </w:t>
            </w:r>
            <w:r w:rsidRPr="00FC6486">
              <w:t xml:space="preserve">Totals may not add due to rounding. </w:t>
            </w:r>
            <w:r>
              <w:t>See appendix A for a user guide.</w:t>
            </w:r>
            <w:r w:rsidRPr="00FC6486">
              <w:t xml:space="preserve"> </w:t>
            </w:r>
            <w:r w:rsidRPr="00D672BF">
              <w:rPr>
                <w:rStyle w:val="NoteLabel"/>
              </w:rPr>
              <w:t>b</w:t>
            </w:r>
            <w:r w:rsidRPr="00FC6486">
              <w:t xml:space="preserve"> Unallocated includes programs for which details of the initial benefiting industry cannot be readily identified.  </w:t>
            </w:r>
          </w:p>
        </w:tc>
      </w:tr>
      <w:tr w:rsidR="007D417F" w14:paraId="2677336B" w14:textId="77777777" w:rsidTr="00E44AEF">
        <w:tc>
          <w:tcPr>
            <w:tcW w:w="5000" w:type="pct"/>
            <w:tcBorders>
              <w:top w:val="nil"/>
              <w:left w:val="nil"/>
              <w:bottom w:val="nil"/>
              <w:right w:val="nil"/>
            </w:tcBorders>
            <w:hideMark/>
          </w:tcPr>
          <w:p w14:paraId="2FF00832" w14:textId="77777777" w:rsidR="007D417F" w:rsidRDefault="007D417F" w:rsidP="00E44AEF">
            <w:pPr>
              <w:pStyle w:val="Source"/>
            </w:pPr>
            <w:r>
              <w:rPr>
                <w:i/>
              </w:rPr>
              <w:t>Source</w:t>
            </w:r>
            <w:r>
              <w:t xml:space="preserve">: Commission estimates. </w:t>
            </w:r>
          </w:p>
        </w:tc>
      </w:tr>
      <w:tr w:rsidR="007D417F" w14:paraId="7B400D06" w14:textId="77777777" w:rsidTr="00E44AEF">
        <w:tc>
          <w:tcPr>
            <w:tcW w:w="5000" w:type="pct"/>
            <w:tcBorders>
              <w:top w:val="nil"/>
              <w:left w:val="nil"/>
              <w:bottom w:val="single" w:sz="6" w:space="0" w:color="78A22F"/>
              <w:right w:val="nil"/>
            </w:tcBorders>
          </w:tcPr>
          <w:p w14:paraId="45FC4DC3" w14:textId="77777777" w:rsidR="007D417F" w:rsidRDefault="007D417F" w:rsidP="00E44AEF">
            <w:pPr>
              <w:pStyle w:val="Box"/>
              <w:spacing w:before="0" w:line="120" w:lineRule="exact"/>
            </w:pPr>
          </w:p>
        </w:tc>
      </w:tr>
      <w:tr w:rsidR="007D417F" w:rsidRPr="000863A5" w14:paraId="4182A086" w14:textId="77777777" w:rsidTr="00E44AEF">
        <w:tblPrEx>
          <w:tblBorders>
            <w:top w:val="single" w:sz="6" w:space="0" w:color="78A22F"/>
            <w:left w:val="single" w:sz="6" w:space="0" w:color="78A22F"/>
            <w:bottom w:val="single" w:sz="6" w:space="0" w:color="78A22F"/>
            <w:right w:val="single" w:sz="6" w:space="0" w:color="78A22F"/>
          </w:tblBorders>
          <w:tblLook w:val="0000" w:firstRow="0" w:lastRow="0" w:firstColumn="0" w:lastColumn="0" w:noHBand="0" w:noVBand="0"/>
        </w:tblPrEx>
        <w:tc>
          <w:tcPr>
            <w:tcW w:w="5000" w:type="pct"/>
            <w:tcBorders>
              <w:top w:val="single" w:sz="6" w:space="0" w:color="78A22F"/>
              <w:left w:val="nil"/>
              <w:bottom w:val="nil"/>
              <w:right w:val="nil"/>
            </w:tcBorders>
          </w:tcPr>
          <w:p w14:paraId="6340A18E" w14:textId="77777777" w:rsidR="007D417F" w:rsidRPr="00626D32" w:rsidRDefault="007D417F" w:rsidP="00E44AEF">
            <w:pPr>
              <w:pStyle w:val="BoxSpaceBelow"/>
            </w:pPr>
          </w:p>
        </w:tc>
      </w:tr>
    </w:tbl>
    <w:p w14:paraId="4B5509A6" w14:textId="77777777" w:rsidR="007D417F" w:rsidRDefault="007D417F" w:rsidP="00E44AEF">
      <w:pPr>
        <w:pStyle w:val="BodyText"/>
        <w:spacing w:before="200"/>
        <w:rPr>
          <w:spacing w:val="-2"/>
        </w:rPr>
      </w:pPr>
      <w:r w:rsidRPr="00457909">
        <w:lastRenderedPageBreak/>
        <w:t>While the long</w:t>
      </w:r>
      <w:r w:rsidRPr="00457909">
        <w:noBreakHyphen/>
        <w:t xml:space="preserve">run decline in assistance has eliminated their worst economic inefficiencies, some economic distortions still arise </w:t>
      </w:r>
      <w:r>
        <w:t>from current policy (section 1.2</w:t>
      </w:r>
      <w:r w:rsidRPr="00457909">
        <w:t>). Indeed, in recent years, the decline in net tariff assistance has slowed, and been offset for some sectors by increases in budgetary assistance</w:t>
      </w:r>
      <w:r w:rsidRPr="00457909">
        <w:rPr>
          <w:spacing w:val="-2"/>
        </w:rPr>
        <w:t xml:space="preserve"> </w:t>
      </w:r>
      <w:r w:rsidRPr="00457909">
        <w:t>(section</w:t>
      </w:r>
      <w:r>
        <w:t> </w:t>
      </w:r>
      <w:r w:rsidRPr="00457909">
        <w:t>1.3)</w:t>
      </w:r>
      <w:r w:rsidRPr="00457909">
        <w:rPr>
          <w:spacing w:val="-2"/>
        </w:rPr>
        <w:t>.</w:t>
      </w:r>
      <w:r w:rsidRPr="00457909">
        <w:t xml:space="preserve"> </w:t>
      </w:r>
      <w:r w:rsidRPr="00457909">
        <w:rPr>
          <w:spacing w:val="-2"/>
        </w:rPr>
        <w:t>In particular, while budgetary assistance for the mining and manufacturing sectors has declined, assistance to the agriculture and service sectors has grown since 2013</w:t>
      </w:r>
      <w:r>
        <w:rPr>
          <w:spacing w:val="-2"/>
        </w:rPr>
        <w:noBreakHyphen/>
      </w:r>
      <w:r w:rsidRPr="00457909">
        <w:rPr>
          <w:spacing w:val="-2"/>
        </w:rPr>
        <w:t>14.</w:t>
      </w:r>
      <w:r w:rsidRPr="00457909">
        <w:t xml:space="preserve"> </w:t>
      </w:r>
    </w:p>
    <w:p w14:paraId="185FFE66" w14:textId="77777777" w:rsidR="007D417F" w:rsidRDefault="007D417F" w:rsidP="00E44AE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417F" w14:paraId="35E5FD4C" w14:textId="77777777" w:rsidTr="00E44AEF">
        <w:trPr>
          <w:tblHeader/>
        </w:trPr>
        <w:tc>
          <w:tcPr>
            <w:tcW w:w="5000" w:type="pct"/>
            <w:tcBorders>
              <w:top w:val="single" w:sz="6" w:space="0" w:color="78A22F"/>
              <w:left w:val="nil"/>
              <w:bottom w:val="nil"/>
              <w:right w:val="nil"/>
            </w:tcBorders>
            <w:shd w:val="clear" w:color="auto" w:fill="auto"/>
          </w:tcPr>
          <w:p w14:paraId="35AF4168" w14:textId="77777777" w:rsidR="007D417F" w:rsidRDefault="007D417F" w:rsidP="00E44AEF">
            <w:pPr>
              <w:pStyle w:val="FigureTitle"/>
            </w:pPr>
            <w:r w:rsidRPr="00784A05">
              <w:rPr>
                <w:b w:val="0"/>
              </w:rPr>
              <w:t xml:space="preserve">Figure </w:t>
            </w:r>
            <w:r>
              <w:rPr>
                <w:b w:val="0"/>
              </w:rPr>
              <w:t>1.</w:t>
            </w:r>
            <w:r>
              <w:rPr>
                <w:b w:val="0"/>
                <w:noProof/>
              </w:rPr>
              <w:t>3</w:t>
            </w:r>
            <w:r>
              <w:tab/>
              <w:t>A long</w:t>
            </w:r>
            <w:r>
              <w:noBreakHyphen/>
              <w:t>run downward trend in protectionism</w:t>
            </w:r>
          </w:p>
          <w:p w14:paraId="1F6D0F05" w14:textId="77777777" w:rsidR="007D417F" w:rsidRPr="00176D3F" w:rsidRDefault="007D417F" w:rsidP="00E44AEF">
            <w:pPr>
              <w:pStyle w:val="Subtitle"/>
            </w:pPr>
            <w:r w:rsidRPr="00AE7BA8">
              <w:t xml:space="preserve">Effective rates of assistance </w:t>
            </w:r>
            <w:r>
              <w:t>(ERA)</w:t>
            </w:r>
            <w:r w:rsidRPr="00731B32">
              <w:rPr>
                <w:rStyle w:val="NoteLabel"/>
              </w:rPr>
              <w:t>a</w:t>
            </w:r>
            <w:r>
              <w:t>,</w:t>
            </w:r>
            <w:r w:rsidRPr="00AE7BA8">
              <w:t xml:space="preserve"> 1970</w:t>
            </w:r>
            <w:r>
              <w:noBreakHyphen/>
            </w:r>
            <w:r w:rsidRPr="00AE7BA8">
              <w:t xml:space="preserve">71 to </w:t>
            </w:r>
            <w:r>
              <w:t>2018</w:t>
            </w:r>
            <w:r>
              <w:noBreakHyphen/>
              <w:t>19</w:t>
            </w:r>
            <w:r w:rsidRPr="00731B32">
              <w:rPr>
                <w:rStyle w:val="NoteLabel"/>
              </w:rPr>
              <w:t>b</w:t>
            </w:r>
          </w:p>
        </w:tc>
      </w:tr>
      <w:tr w:rsidR="007D417F" w14:paraId="0A6FC537" w14:textId="77777777" w:rsidTr="00E44AE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D417F" w:rsidRPr="00B1465D" w14:paraId="69C1B931" w14:textId="77777777" w:rsidTr="00E44AEF">
              <w:trPr>
                <w:tblHeader/>
                <w:jc w:val="center"/>
              </w:trPr>
              <w:tc>
                <w:tcPr>
                  <w:tcW w:w="5000" w:type="pct"/>
                  <w:tcBorders>
                    <w:top w:val="nil"/>
                    <w:bottom w:val="nil"/>
                  </w:tcBorders>
                </w:tcPr>
                <w:p w14:paraId="53331537" w14:textId="08963964" w:rsidR="007D417F" w:rsidRPr="00B1465D" w:rsidRDefault="005720DA" w:rsidP="00E44AEF">
                  <w:pPr>
                    <w:pStyle w:val="Figure"/>
                    <w:spacing w:before="60" w:after="60"/>
                    <w:rPr>
                      <w:rFonts w:ascii="Arial" w:hAnsi="Arial" w:cs="Arial"/>
                      <w:sz w:val="18"/>
                      <w:szCs w:val="18"/>
                    </w:rPr>
                  </w:pPr>
                  <w:r w:rsidRPr="005720DA">
                    <w:rPr>
                      <w:rFonts w:ascii="Arial" w:hAnsi="Arial" w:cs="Arial"/>
                      <w:noProof/>
                      <w:sz w:val="18"/>
                      <w:szCs w:val="18"/>
                    </w:rPr>
                    <w:drawing>
                      <wp:inline distT="0" distB="0" distL="0" distR="0" wp14:anchorId="122FC2FE" wp14:editId="61504A8D">
                        <wp:extent cx="5296535" cy="2897505"/>
                        <wp:effectExtent l="0" t="0" r="0" b="0"/>
                        <wp:docPr id="10" name="Picture 10" descr="This figure shows that the effective rate of assistance for manufacturing and agriculture have both declined from around 30 per cent in 1970 to around 5 per cent by 2000 with some further reduction to 2018-19. " title="A long run downward trend in protectio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96535" cy="2897505"/>
                                </a:xfrm>
                                <a:prstGeom prst="rect">
                                  <a:avLst/>
                                </a:prstGeom>
                                <a:noFill/>
                                <a:ln>
                                  <a:noFill/>
                                </a:ln>
                              </pic:spPr>
                            </pic:pic>
                          </a:graphicData>
                        </a:graphic>
                      </wp:inline>
                    </w:drawing>
                  </w:r>
                </w:p>
              </w:tc>
            </w:tr>
          </w:tbl>
          <w:p w14:paraId="47EA8150" w14:textId="77777777" w:rsidR="007D417F" w:rsidRDefault="007D417F" w:rsidP="00E44AEF">
            <w:pPr>
              <w:pStyle w:val="Figure"/>
            </w:pPr>
          </w:p>
        </w:tc>
      </w:tr>
      <w:tr w:rsidR="007D417F" w:rsidRPr="00176D3F" w14:paraId="3D3CE4FD" w14:textId="77777777" w:rsidTr="00E44AEF">
        <w:tc>
          <w:tcPr>
            <w:tcW w:w="5000" w:type="pct"/>
            <w:tcBorders>
              <w:top w:val="nil"/>
              <w:left w:val="nil"/>
              <w:bottom w:val="nil"/>
              <w:right w:val="nil"/>
            </w:tcBorders>
            <w:shd w:val="clear" w:color="auto" w:fill="auto"/>
          </w:tcPr>
          <w:p w14:paraId="7CED78B6" w14:textId="77777777" w:rsidR="007D417F" w:rsidRPr="00176D3F" w:rsidRDefault="007D417F" w:rsidP="00E44AEF">
            <w:pPr>
              <w:pStyle w:val="Note"/>
            </w:pPr>
            <w:r>
              <w:rPr>
                <w:rStyle w:val="NoteLabel"/>
              </w:rPr>
              <w:t>a</w:t>
            </w:r>
            <w:r>
              <w:t xml:space="preserve"> ‘Agriculture’ r</w:t>
            </w:r>
            <w:r w:rsidRPr="001D2B6C">
              <w:t>efers to selected agriculture activities up to and including 2000</w:t>
            </w:r>
            <w:r>
              <w:noBreakHyphen/>
            </w:r>
            <w:r w:rsidRPr="001D2B6C">
              <w:t>01</w:t>
            </w:r>
            <w:r>
              <w:t xml:space="preserve">, and primary production thereafter. </w:t>
            </w:r>
            <w:r>
              <w:rPr>
                <w:rStyle w:val="NoteLabel"/>
              </w:rPr>
              <w:t>b</w:t>
            </w:r>
            <w:r>
              <w:t xml:space="preserve"> Breaks and overlapping series represent a change of methodology and/or data sources.</w:t>
            </w:r>
          </w:p>
        </w:tc>
      </w:tr>
      <w:tr w:rsidR="007D417F" w:rsidRPr="00176D3F" w14:paraId="2A6A7587" w14:textId="77777777" w:rsidTr="00E44AEF">
        <w:tc>
          <w:tcPr>
            <w:tcW w:w="5000" w:type="pct"/>
            <w:tcBorders>
              <w:top w:val="nil"/>
              <w:left w:val="nil"/>
              <w:bottom w:val="nil"/>
              <w:right w:val="nil"/>
            </w:tcBorders>
            <w:shd w:val="clear" w:color="auto" w:fill="auto"/>
          </w:tcPr>
          <w:p w14:paraId="642995F3" w14:textId="77777777" w:rsidR="007D417F" w:rsidRPr="00176D3F" w:rsidRDefault="007D417F" w:rsidP="00E44AEF">
            <w:pPr>
              <w:pStyle w:val="Source"/>
            </w:pPr>
            <w:r>
              <w:rPr>
                <w:i/>
              </w:rPr>
              <w:t>S</w:t>
            </w:r>
            <w:r w:rsidRPr="00784A05">
              <w:rPr>
                <w:i/>
              </w:rPr>
              <w:t>ource</w:t>
            </w:r>
            <w:r w:rsidRPr="00176D3F">
              <w:t xml:space="preserve">: </w:t>
            </w:r>
            <w:r>
              <w:t>Commission estimates.</w:t>
            </w:r>
          </w:p>
        </w:tc>
      </w:tr>
      <w:tr w:rsidR="007D417F" w14:paraId="0DA3AD7D" w14:textId="77777777" w:rsidTr="00E44AEF">
        <w:tc>
          <w:tcPr>
            <w:tcW w:w="5000" w:type="pct"/>
            <w:tcBorders>
              <w:top w:val="nil"/>
              <w:left w:val="nil"/>
              <w:bottom w:val="single" w:sz="6" w:space="0" w:color="78A22F"/>
              <w:right w:val="nil"/>
            </w:tcBorders>
            <w:shd w:val="clear" w:color="auto" w:fill="auto"/>
          </w:tcPr>
          <w:p w14:paraId="512B853F" w14:textId="77777777" w:rsidR="007D417F" w:rsidRDefault="007D417F" w:rsidP="00E44AEF">
            <w:pPr>
              <w:pStyle w:val="Figurespace"/>
            </w:pPr>
          </w:p>
        </w:tc>
      </w:tr>
      <w:tr w:rsidR="007D417F" w:rsidRPr="000863A5" w14:paraId="3E382C00" w14:textId="77777777" w:rsidTr="00E44AEF">
        <w:tc>
          <w:tcPr>
            <w:tcW w:w="5000" w:type="pct"/>
            <w:tcBorders>
              <w:top w:val="single" w:sz="6" w:space="0" w:color="78A22F"/>
              <w:left w:val="nil"/>
              <w:bottom w:val="nil"/>
              <w:right w:val="nil"/>
            </w:tcBorders>
          </w:tcPr>
          <w:p w14:paraId="5B434197" w14:textId="77777777" w:rsidR="007D417F" w:rsidRPr="00626D32" w:rsidRDefault="007D417F" w:rsidP="00E44AEF">
            <w:pPr>
              <w:pStyle w:val="BoxSpaceBelow"/>
            </w:pPr>
          </w:p>
        </w:tc>
      </w:tr>
    </w:tbl>
    <w:p w14:paraId="0BFCD64B" w14:textId="77777777" w:rsidR="007D417F" w:rsidRDefault="007D417F" w:rsidP="00E44AEF">
      <w:pPr>
        <w:pStyle w:val="BodyText"/>
      </w:pPr>
      <w:r>
        <w:t>Moreover, assistance across the Australian economy still constitutes a considerable amount of protection, exceeding $12 billion in 2018</w:t>
      </w:r>
      <w:r>
        <w:noBreakHyphen/>
        <w:t>19 (table 1.1 above). Similarly, the average rate of assistance for manufacturing and agriculture hide significantly greater rates of assistance among each sector’s component industries, as well as for individual firms, with adverse consequences for efficiency.</w:t>
      </w:r>
    </w:p>
    <w:p w14:paraId="7DB5A9FF" w14:textId="77777777" w:rsidR="007D417F" w:rsidRDefault="007D417F" w:rsidP="00E44AEF">
      <w:pPr>
        <w:pStyle w:val="Heading4"/>
      </w:pPr>
      <w:r>
        <w:t>Rates of assistance vary between different sub</w:t>
      </w:r>
      <w:r>
        <w:noBreakHyphen/>
        <w:t>sectors …</w:t>
      </w:r>
    </w:p>
    <w:p w14:paraId="3D47A907" w14:textId="77777777" w:rsidR="007D417F" w:rsidRDefault="007D417F" w:rsidP="00E44AEF">
      <w:pPr>
        <w:pStyle w:val="BodyText"/>
      </w:pPr>
      <w:r>
        <w:t xml:space="preserve">Within the manufacturing sector, half a century of liberalising reforms (box 1.1) have resulted in most manufacturing industries experiencing steady declines in effective rates of assistance (figure 1.4). All manufacturing industries now have effective rates of assistance below 3 per cent. </w:t>
      </w:r>
    </w:p>
    <w:p w14:paraId="012C4218" w14:textId="77777777" w:rsidR="007D417F" w:rsidRDefault="007D417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417F" w14:paraId="3345CC61" w14:textId="77777777" w:rsidTr="00E44AEF">
        <w:trPr>
          <w:tblHeader/>
        </w:trPr>
        <w:tc>
          <w:tcPr>
            <w:tcW w:w="5000" w:type="pct"/>
            <w:tcBorders>
              <w:top w:val="single" w:sz="6" w:space="0" w:color="78A22F"/>
              <w:left w:val="nil"/>
              <w:bottom w:val="nil"/>
              <w:right w:val="nil"/>
            </w:tcBorders>
            <w:shd w:val="clear" w:color="auto" w:fill="F2F2F2"/>
          </w:tcPr>
          <w:p w14:paraId="19F05050" w14:textId="77777777" w:rsidR="007D417F" w:rsidRDefault="007D417F" w:rsidP="00E44AEF">
            <w:pPr>
              <w:pStyle w:val="BoxTitle"/>
            </w:pPr>
            <w:r>
              <w:rPr>
                <w:b w:val="0"/>
              </w:rPr>
              <w:t>Box 1.</w:t>
            </w:r>
            <w:r>
              <w:rPr>
                <w:b w:val="0"/>
                <w:noProof/>
              </w:rPr>
              <w:t>1</w:t>
            </w:r>
            <w:r>
              <w:tab/>
              <w:t>Half a century of manufacturing liberalisation</w:t>
            </w:r>
          </w:p>
        </w:tc>
      </w:tr>
      <w:tr w:rsidR="007D417F" w14:paraId="2705CC8D" w14:textId="77777777" w:rsidTr="00E44AEF">
        <w:tc>
          <w:tcPr>
            <w:tcW w:w="5000" w:type="pct"/>
            <w:tcBorders>
              <w:top w:val="nil"/>
              <w:left w:val="nil"/>
              <w:bottom w:val="nil"/>
              <w:right w:val="nil"/>
            </w:tcBorders>
            <w:shd w:val="clear" w:color="auto" w:fill="F2F2F2"/>
          </w:tcPr>
          <w:p w14:paraId="17BE76E0" w14:textId="77777777" w:rsidR="007D417F" w:rsidRPr="007170F1" w:rsidRDefault="007D417F" w:rsidP="00E44AEF">
            <w:pPr>
              <w:pStyle w:val="Box"/>
            </w:pPr>
            <w:r>
              <w:t>The</w:t>
            </w:r>
            <w:r w:rsidRPr="007170F1">
              <w:t xml:space="preserve"> fall </w:t>
            </w:r>
            <w:r>
              <w:t>in effective rates of assistance to manufacturing since 1970</w:t>
            </w:r>
            <w:r w:rsidRPr="007170F1">
              <w:t xml:space="preserve"> </w:t>
            </w:r>
            <w:r>
              <w:t>began with</w:t>
            </w:r>
            <w:r w:rsidRPr="007170F1">
              <w:t xml:space="preserve"> the 25 per cent acro</w:t>
            </w:r>
            <w:r>
              <w:t>ss the board tariff cut of 1973. This was</w:t>
            </w:r>
            <w:r w:rsidRPr="007170F1">
              <w:t xml:space="preserve"> </w:t>
            </w:r>
            <w:r>
              <w:t xml:space="preserve">followed by </w:t>
            </w:r>
            <w:r w:rsidRPr="007170F1">
              <w:t>the removal of all quantitative import restrictions (except for textiles, clothing and footwear</w:t>
            </w:r>
            <w:r>
              <w:t>, or TCF</w:t>
            </w:r>
            <w:r w:rsidRPr="007170F1">
              <w:t xml:space="preserve">) by 1988, and broad programs of tariff reductions that commenced in the late 1980s. Under the </w:t>
            </w:r>
            <w:r w:rsidRPr="007170F1">
              <w:rPr>
                <w:i/>
              </w:rPr>
              <w:t>May 1988 Economic Statement</w:t>
            </w:r>
            <w:r>
              <w:t>, for example,</w:t>
            </w:r>
            <w:r w:rsidRPr="007170F1">
              <w:t xml:space="preserve"> the Government introduced a program to phase down all tariffs to either 10 per cent or 15 per cent by 1992</w:t>
            </w:r>
            <w:r>
              <w:t xml:space="preserve"> </w:t>
            </w:r>
            <w:r w:rsidRPr="007170F1">
              <w:t xml:space="preserve">(except for </w:t>
            </w:r>
            <w:r>
              <w:t xml:space="preserve">on </w:t>
            </w:r>
            <w:r w:rsidRPr="007170F1">
              <w:t xml:space="preserve">passenger motor vehicles and </w:t>
            </w:r>
            <w:r>
              <w:t>TCF</w:t>
            </w:r>
            <w:r w:rsidRPr="007170F1">
              <w:t xml:space="preserve">). </w:t>
            </w:r>
          </w:p>
          <w:p w14:paraId="00E3321A" w14:textId="77777777" w:rsidR="007D417F" w:rsidRPr="0049377C" w:rsidRDefault="007D417F" w:rsidP="00E44AEF">
            <w:pPr>
              <w:pStyle w:val="Box"/>
              <w:rPr>
                <w:spacing w:val="-2"/>
              </w:rPr>
            </w:pPr>
            <w:r w:rsidRPr="0049377C">
              <w:rPr>
                <w:spacing w:val="-2"/>
              </w:rPr>
              <w:t xml:space="preserve">Reductions in general tariff rates were continued with the 1991 </w:t>
            </w:r>
            <w:r w:rsidRPr="0049377C">
              <w:rPr>
                <w:i/>
                <w:spacing w:val="-2"/>
              </w:rPr>
              <w:t>Building a Competitive Australia</w:t>
            </w:r>
            <w:r w:rsidRPr="0049377C">
              <w:rPr>
                <w:spacing w:val="-2"/>
              </w:rPr>
              <w:t xml:space="preserve"> initiative which reduced general tariff rates from 15 and 10 per cent to a single rate of 5 per cent by 1996. As part of the initiative, tariffs on passenger motor vehicles were also reduced to 15 per cent by 2000. Import quotas for TCF were abolished by 1993, with TCF tariffs phased down to a maximum of 25 per cent by 2000. Following the changes during the 1990s, tariffs on passenger motor vehicles were further reduced to 10 per cent in 2005 and 5 per cent in 2010. Meanwhile, TCF tariffs were reduced to 17.5 per cent in 2005, 10 per cent in 2010, and 5 per cent in 2015. </w:t>
            </w:r>
          </w:p>
        </w:tc>
      </w:tr>
      <w:tr w:rsidR="007D417F" w14:paraId="1EAF06A0" w14:textId="77777777" w:rsidTr="00E44AEF">
        <w:tc>
          <w:tcPr>
            <w:tcW w:w="5000" w:type="pct"/>
            <w:tcBorders>
              <w:top w:val="nil"/>
              <w:left w:val="nil"/>
              <w:bottom w:val="nil"/>
              <w:right w:val="nil"/>
            </w:tcBorders>
            <w:shd w:val="clear" w:color="auto" w:fill="F2F2F2"/>
          </w:tcPr>
          <w:p w14:paraId="248508CA" w14:textId="77777777" w:rsidR="007D417F" w:rsidRDefault="007D417F" w:rsidP="00E44AEF">
            <w:pPr>
              <w:pStyle w:val="BoxSource"/>
            </w:pPr>
            <w:r w:rsidRPr="00843421">
              <w:rPr>
                <w:i/>
                <w:iCs/>
              </w:rPr>
              <w:t>Source</w:t>
            </w:r>
            <w:r>
              <w:t xml:space="preserve">: PC </w:t>
            </w:r>
            <w:r w:rsidRPr="00F553B1">
              <w:rPr>
                <w:rFonts w:cs="Arial"/>
                <w:sz w:val="20"/>
              </w:rPr>
              <w:t>(2019)</w:t>
            </w:r>
            <w:r>
              <w:t>.</w:t>
            </w:r>
          </w:p>
        </w:tc>
      </w:tr>
      <w:tr w:rsidR="007D417F" w14:paraId="33E9FE81" w14:textId="77777777" w:rsidTr="00E44AEF">
        <w:tc>
          <w:tcPr>
            <w:tcW w:w="5000" w:type="pct"/>
            <w:tcBorders>
              <w:top w:val="nil"/>
              <w:left w:val="nil"/>
              <w:bottom w:val="single" w:sz="6" w:space="0" w:color="78A22F"/>
              <w:right w:val="nil"/>
            </w:tcBorders>
            <w:shd w:val="clear" w:color="auto" w:fill="F2F2F2"/>
          </w:tcPr>
          <w:p w14:paraId="3B9DE86A" w14:textId="77777777" w:rsidR="007D417F" w:rsidRDefault="007D417F">
            <w:pPr>
              <w:pStyle w:val="Box"/>
              <w:spacing w:before="0" w:line="120" w:lineRule="exact"/>
            </w:pPr>
          </w:p>
        </w:tc>
      </w:tr>
      <w:tr w:rsidR="007D417F" w:rsidRPr="000863A5" w14:paraId="3FBA6848" w14:textId="77777777" w:rsidTr="00E44AEF">
        <w:tc>
          <w:tcPr>
            <w:tcW w:w="5000" w:type="pct"/>
            <w:tcBorders>
              <w:top w:val="single" w:sz="6" w:space="0" w:color="78A22F"/>
              <w:left w:val="nil"/>
              <w:bottom w:val="nil"/>
              <w:right w:val="nil"/>
            </w:tcBorders>
          </w:tcPr>
          <w:p w14:paraId="32D56618" w14:textId="77777777" w:rsidR="007D417F" w:rsidRPr="00626D32" w:rsidRDefault="007D417F" w:rsidP="00E44AEF">
            <w:pPr>
              <w:pStyle w:val="BoxSpaceBelow"/>
            </w:pPr>
          </w:p>
        </w:tc>
      </w:tr>
    </w:tbl>
    <w:p w14:paraId="6D3F6985" w14:textId="77777777" w:rsidR="007D417F" w:rsidRDefault="007D417F" w:rsidP="00E44AE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417F" w14:paraId="0F2318C3" w14:textId="77777777" w:rsidTr="00E44AEF">
        <w:trPr>
          <w:tblHeader/>
        </w:trPr>
        <w:tc>
          <w:tcPr>
            <w:tcW w:w="5000" w:type="pct"/>
            <w:tcBorders>
              <w:top w:val="single" w:sz="6" w:space="0" w:color="78A22F"/>
              <w:left w:val="nil"/>
              <w:bottom w:val="nil"/>
              <w:right w:val="nil"/>
            </w:tcBorders>
            <w:shd w:val="clear" w:color="auto" w:fill="auto"/>
          </w:tcPr>
          <w:p w14:paraId="34C00B94" w14:textId="77777777" w:rsidR="007D417F" w:rsidRDefault="007D417F" w:rsidP="00E44AEF">
            <w:pPr>
              <w:pStyle w:val="FigureTitle"/>
            </w:pPr>
            <w:r w:rsidRPr="00784A05">
              <w:rPr>
                <w:b w:val="0"/>
              </w:rPr>
              <w:t xml:space="preserve">Figure </w:t>
            </w:r>
            <w:r>
              <w:rPr>
                <w:b w:val="0"/>
              </w:rPr>
              <w:t>1.</w:t>
            </w:r>
            <w:r>
              <w:rPr>
                <w:b w:val="0"/>
                <w:noProof/>
              </w:rPr>
              <w:t>4</w:t>
            </w:r>
            <w:r>
              <w:tab/>
              <w:t>Manufacturing industries have experienced steady decreases in assistance …</w:t>
            </w:r>
          </w:p>
          <w:p w14:paraId="4688F4C6" w14:textId="77777777" w:rsidR="007D417F" w:rsidRPr="00176D3F" w:rsidRDefault="007D417F" w:rsidP="00E44AEF">
            <w:pPr>
              <w:pStyle w:val="Subtitle"/>
            </w:pPr>
            <w:r w:rsidRPr="00AE7BA8">
              <w:t xml:space="preserve">Effective rates of assistance </w:t>
            </w:r>
            <w:r>
              <w:t>(ERA) in manufacturing, 2013</w:t>
            </w:r>
            <w:r>
              <w:noBreakHyphen/>
              <w:t>14 to 2018</w:t>
            </w:r>
            <w:r>
              <w:noBreakHyphen/>
              <w:t>19</w:t>
            </w:r>
          </w:p>
        </w:tc>
      </w:tr>
      <w:tr w:rsidR="007D417F" w14:paraId="5458B2C4" w14:textId="77777777" w:rsidTr="00E44AE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D417F" w:rsidRPr="00B1465D" w14:paraId="68D1E45E" w14:textId="77777777" w:rsidTr="00E44AEF">
              <w:trPr>
                <w:tblHeader/>
                <w:jc w:val="center"/>
              </w:trPr>
              <w:tc>
                <w:tcPr>
                  <w:tcW w:w="5000" w:type="pct"/>
                  <w:tcBorders>
                    <w:top w:val="nil"/>
                    <w:bottom w:val="nil"/>
                  </w:tcBorders>
                </w:tcPr>
                <w:p w14:paraId="5079B998" w14:textId="0438A476" w:rsidR="007D417F" w:rsidRPr="00B1465D" w:rsidRDefault="005720DA" w:rsidP="00E44AEF">
                  <w:pPr>
                    <w:pStyle w:val="Figure"/>
                    <w:spacing w:before="60" w:after="60"/>
                    <w:rPr>
                      <w:rFonts w:ascii="Arial" w:hAnsi="Arial" w:cs="Arial"/>
                      <w:sz w:val="18"/>
                      <w:szCs w:val="18"/>
                    </w:rPr>
                  </w:pPr>
                  <w:r w:rsidRPr="005720DA">
                    <w:rPr>
                      <w:rFonts w:ascii="Arial" w:hAnsi="Arial" w:cs="Arial"/>
                      <w:noProof/>
                      <w:sz w:val="18"/>
                      <w:szCs w:val="18"/>
                    </w:rPr>
                    <w:drawing>
                      <wp:inline distT="0" distB="0" distL="0" distR="0" wp14:anchorId="302C787C" wp14:editId="0FB9CEFF">
                        <wp:extent cx="4702810" cy="3752850"/>
                        <wp:effectExtent l="0" t="0" r="2540" b="0"/>
                        <wp:docPr id="12" name="Picture 12" descr="This charts shows steady declines in effective rates of assistance in manufacturing industries; in recent years all manufacturing industries having an effective rate below 3 per cent. " title="Manufacturing industries have experienced steady decreases in assist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02810" cy="3752850"/>
                                </a:xfrm>
                                <a:prstGeom prst="rect">
                                  <a:avLst/>
                                </a:prstGeom>
                                <a:noFill/>
                                <a:ln>
                                  <a:noFill/>
                                </a:ln>
                              </pic:spPr>
                            </pic:pic>
                          </a:graphicData>
                        </a:graphic>
                      </wp:inline>
                    </w:drawing>
                  </w:r>
                </w:p>
              </w:tc>
            </w:tr>
          </w:tbl>
          <w:p w14:paraId="5732D66B" w14:textId="77777777" w:rsidR="007D417F" w:rsidRDefault="007D417F" w:rsidP="00E44AEF">
            <w:pPr>
              <w:pStyle w:val="Figure"/>
            </w:pPr>
          </w:p>
        </w:tc>
      </w:tr>
      <w:tr w:rsidR="007D417F" w:rsidRPr="00176D3F" w14:paraId="4424C96C" w14:textId="77777777" w:rsidTr="00E44AEF">
        <w:tc>
          <w:tcPr>
            <w:tcW w:w="5000" w:type="pct"/>
            <w:tcBorders>
              <w:top w:val="nil"/>
              <w:left w:val="nil"/>
              <w:bottom w:val="nil"/>
              <w:right w:val="nil"/>
            </w:tcBorders>
            <w:shd w:val="clear" w:color="auto" w:fill="auto"/>
          </w:tcPr>
          <w:p w14:paraId="69CEF89F" w14:textId="77777777" w:rsidR="007D417F" w:rsidRPr="00176D3F" w:rsidRDefault="007D417F" w:rsidP="00E44AEF">
            <w:pPr>
              <w:pStyle w:val="Source"/>
            </w:pPr>
            <w:r>
              <w:rPr>
                <w:i/>
              </w:rPr>
              <w:t>S</w:t>
            </w:r>
            <w:r w:rsidRPr="00784A05">
              <w:rPr>
                <w:i/>
              </w:rPr>
              <w:t>ource</w:t>
            </w:r>
            <w:r w:rsidRPr="00176D3F">
              <w:t xml:space="preserve">: </w:t>
            </w:r>
            <w:r>
              <w:t>Commission estimates.</w:t>
            </w:r>
          </w:p>
        </w:tc>
      </w:tr>
      <w:tr w:rsidR="007D417F" w14:paraId="64837D36" w14:textId="77777777" w:rsidTr="00E44AEF">
        <w:tc>
          <w:tcPr>
            <w:tcW w:w="5000" w:type="pct"/>
            <w:tcBorders>
              <w:top w:val="nil"/>
              <w:left w:val="nil"/>
              <w:bottom w:val="single" w:sz="6" w:space="0" w:color="78A22F"/>
              <w:right w:val="nil"/>
            </w:tcBorders>
            <w:shd w:val="clear" w:color="auto" w:fill="auto"/>
          </w:tcPr>
          <w:p w14:paraId="52501005" w14:textId="77777777" w:rsidR="007D417F" w:rsidRDefault="007D417F" w:rsidP="00E44AEF">
            <w:pPr>
              <w:pStyle w:val="Figurespace"/>
            </w:pPr>
          </w:p>
        </w:tc>
      </w:tr>
      <w:tr w:rsidR="007D417F" w:rsidRPr="000863A5" w14:paraId="50257F3E" w14:textId="77777777" w:rsidTr="00E44AEF">
        <w:tc>
          <w:tcPr>
            <w:tcW w:w="5000" w:type="pct"/>
            <w:tcBorders>
              <w:top w:val="single" w:sz="6" w:space="0" w:color="78A22F"/>
              <w:left w:val="nil"/>
              <w:bottom w:val="nil"/>
              <w:right w:val="nil"/>
            </w:tcBorders>
          </w:tcPr>
          <w:p w14:paraId="236761F3" w14:textId="77777777" w:rsidR="007D417F" w:rsidRPr="00626D32" w:rsidRDefault="007D417F" w:rsidP="00E44AEF">
            <w:pPr>
              <w:pStyle w:val="BoxSpaceBelow"/>
            </w:pPr>
          </w:p>
        </w:tc>
      </w:tr>
    </w:tbl>
    <w:p w14:paraId="498F50CE" w14:textId="77777777" w:rsidR="007D417F" w:rsidRDefault="007D417F" w:rsidP="00E44AEF">
      <w:pPr>
        <w:pStyle w:val="BodyText"/>
      </w:pPr>
      <w:r>
        <w:lastRenderedPageBreak/>
        <w:t>In the agricultural sector, by contrast, average rates of assistance have not declined over the past six years (figure 1.5), though they remain low compared to the period before the mid</w:t>
      </w:r>
      <w:r>
        <w:noBreakHyphen/>
        <w:t>1990s (figure 1.3 above). While assistance to some industries has fallen (such as for dairy cattle farming), other industries have remained stable (aquaculture and fishing) or even grown over the period (sheep, beef cattle and grain farming). Some of these changes could reflect the underlying volatility of agricultural assistance estimates.</w:t>
      </w:r>
      <w:r w:rsidRPr="0007522F">
        <w:rPr>
          <w:rStyle w:val="FootnoteReference"/>
        </w:rPr>
        <w:footnoteReference w:id="3"/>
      </w:r>
    </w:p>
    <w:p w14:paraId="1A1BBC2A" w14:textId="77777777" w:rsidR="007D417F" w:rsidRDefault="007D417F" w:rsidP="00E44AEF">
      <w:pPr>
        <w:pStyle w:val="BodyText"/>
      </w:pPr>
      <w:r>
        <w:t>The ongoing decline in manufacturing assistance has meant that it is now less assisted than agriculture — a break in the long</w:t>
      </w:r>
      <w:r>
        <w:noBreakHyphen/>
        <w:t xml:space="preserve">run pattern. In particular, assistance rates for </w:t>
      </w:r>
      <w:r w:rsidRPr="00AA1F43">
        <w:rPr>
          <w:i/>
        </w:rPr>
        <w:t>all</w:t>
      </w:r>
      <w:r>
        <w:t xml:space="preserve"> of the component industries in the manufacturing sector are now lower than the average assistance rate for the agriculture sector. In fact, the rate of assistance to the sheep, beef cattle and grain farming industry is now more than triple that provided to the manufacturing sector on average (4.3 per cent compared to 1.4 per cent).</w:t>
      </w:r>
    </w:p>
    <w:p w14:paraId="350E5C1E" w14:textId="77777777" w:rsidR="007D417F" w:rsidRDefault="007D417F" w:rsidP="00E44AE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417F" w14:paraId="6FF44050" w14:textId="77777777" w:rsidTr="00E44AEF">
        <w:trPr>
          <w:tblHeader/>
        </w:trPr>
        <w:tc>
          <w:tcPr>
            <w:tcW w:w="5000" w:type="pct"/>
            <w:tcBorders>
              <w:top w:val="single" w:sz="6" w:space="0" w:color="78A22F"/>
              <w:left w:val="nil"/>
              <w:bottom w:val="nil"/>
              <w:right w:val="nil"/>
            </w:tcBorders>
            <w:shd w:val="clear" w:color="auto" w:fill="auto"/>
          </w:tcPr>
          <w:p w14:paraId="02F0C1F8" w14:textId="77777777" w:rsidR="007D417F" w:rsidRDefault="007D417F" w:rsidP="00E44AEF">
            <w:pPr>
              <w:pStyle w:val="FigureTitle"/>
            </w:pPr>
            <w:r w:rsidRPr="00784A05">
              <w:rPr>
                <w:b w:val="0"/>
              </w:rPr>
              <w:t xml:space="preserve">Figure </w:t>
            </w:r>
            <w:r>
              <w:rPr>
                <w:b w:val="0"/>
              </w:rPr>
              <w:t>1.</w:t>
            </w:r>
            <w:r>
              <w:rPr>
                <w:b w:val="0"/>
                <w:noProof/>
              </w:rPr>
              <w:t>5</w:t>
            </w:r>
            <w:r>
              <w:tab/>
              <w:t>… while assistance to agriculture industries has varied</w:t>
            </w:r>
          </w:p>
          <w:p w14:paraId="694DFD1D" w14:textId="77777777" w:rsidR="007D417F" w:rsidRPr="00176D3F" w:rsidRDefault="007D417F" w:rsidP="00E44AEF">
            <w:pPr>
              <w:pStyle w:val="Subtitle"/>
            </w:pPr>
            <w:r w:rsidRPr="00AE7BA8">
              <w:t xml:space="preserve">Effective rates of assistance </w:t>
            </w:r>
            <w:r>
              <w:t>(ERA) in agriculture, 2013</w:t>
            </w:r>
            <w:r>
              <w:noBreakHyphen/>
              <w:t>14 to 2018</w:t>
            </w:r>
            <w:r>
              <w:noBreakHyphen/>
              <w:t>19</w:t>
            </w:r>
          </w:p>
        </w:tc>
      </w:tr>
      <w:tr w:rsidR="007D417F" w14:paraId="6E720B04" w14:textId="77777777" w:rsidTr="00E44AE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D417F" w:rsidRPr="00B1465D" w14:paraId="22604FCB" w14:textId="77777777" w:rsidTr="00E44AEF">
              <w:trPr>
                <w:tblHeader/>
                <w:jc w:val="center"/>
              </w:trPr>
              <w:tc>
                <w:tcPr>
                  <w:tcW w:w="5000" w:type="pct"/>
                  <w:tcBorders>
                    <w:top w:val="nil"/>
                    <w:bottom w:val="nil"/>
                  </w:tcBorders>
                </w:tcPr>
                <w:p w14:paraId="08543ACC" w14:textId="25736798" w:rsidR="007D417F" w:rsidRPr="00B1465D" w:rsidRDefault="001551EB" w:rsidP="00E44AEF">
                  <w:pPr>
                    <w:pStyle w:val="Figure"/>
                    <w:spacing w:before="60" w:after="60"/>
                    <w:rPr>
                      <w:rFonts w:ascii="Arial" w:hAnsi="Arial" w:cs="Arial"/>
                      <w:sz w:val="18"/>
                      <w:szCs w:val="18"/>
                    </w:rPr>
                  </w:pPr>
                  <w:r w:rsidRPr="001551EB">
                    <w:rPr>
                      <w:rFonts w:ascii="Arial" w:hAnsi="Arial" w:cs="Arial"/>
                      <w:noProof/>
                      <w:sz w:val="18"/>
                      <w:szCs w:val="18"/>
                    </w:rPr>
                    <w:drawing>
                      <wp:inline distT="0" distB="0" distL="0" distR="0" wp14:anchorId="7A159D00" wp14:editId="34E8EBAC">
                        <wp:extent cx="4655185" cy="3823970"/>
                        <wp:effectExtent l="0" t="0" r="0" b="5080"/>
                        <wp:docPr id="13" name="Picture 13" descr="However, average rates of assistance in agriculture have remained volatile, with varying rates of changes over the past six years. While assistance to some industries such as dairy cattle farming has fallen, assistance to aquaculture and fishing has remained stable and assistance to sheep, beef cattle and grain farming has grown over the period." title="… while assistance to agriculture industries has var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655185" cy="3823970"/>
                                </a:xfrm>
                                <a:prstGeom prst="rect">
                                  <a:avLst/>
                                </a:prstGeom>
                                <a:noFill/>
                                <a:ln>
                                  <a:noFill/>
                                </a:ln>
                              </pic:spPr>
                            </pic:pic>
                          </a:graphicData>
                        </a:graphic>
                      </wp:inline>
                    </w:drawing>
                  </w:r>
                </w:p>
              </w:tc>
            </w:tr>
          </w:tbl>
          <w:p w14:paraId="63E1F49D" w14:textId="77777777" w:rsidR="007D417F" w:rsidRDefault="007D417F" w:rsidP="00E44AEF">
            <w:pPr>
              <w:pStyle w:val="Figure"/>
            </w:pPr>
          </w:p>
        </w:tc>
      </w:tr>
      <w:tr w:rsidR="007D417F" w:rsidRPr="00176D3F" w14:paraId="10A1ABC9" w14:textId="77777777" w:rsidTr="00E44AEF">
        <w:tc>
          <w:tcPr>
            <w:tcW w:w="5000" w:type="pct"/>
            <w:tcBorders>
              <w:top w:val="nil"/>
              <w:left w:val="nil"/>
              <w:bottom w:val="nil"/>
              <w:right w:val="nil"/>
            </w:tcBorders>
            <w:shd w:val="clear" w:color="auto" w:fill="auto"/>
          </w:tcPr>
          <w:p w14:paraId="281D8C72" w14:textId="77777777" w:rsidR="007D417F" w:rsidRPr="00176D3F" w:rsidRDefault="007D417F" w:rsidP="00E44AEF">
            <w:pPr>
              <w:pStyle w:val="Source"/>
            </w:pPr>
            <w:r>
              <w:rPr>
                <w:i/>
              </w:rPr>
              <w:t>S</w:t>
            </w:r>
            <w:r w:rsidRPr="00784A05">
              <w:rPr>
                <w:i/>
              </w:rPr>
              <w:t>ource</w:t>
            </w:r>
            <w:r w:rsidRPr="00176D3F">
              <w:t xml:space="preserve">: </w:t>
            </w:r>
            <w:r>
              <w:t>Commission estimates.</w:t>
            </w:r>
          </w:p>
        </w:tc>
      </w:tr>
      <w:tr w:rsidR="007D417F" w14:paraId="56E565D4" w14:textId="77777777" w:rsidTr="00E44AEF">
        <w:tc>
          <w:tcPr>
            <w:tcW w:w="5000" w:type="pct"/>
            <w:tcBorders>
              <w:top w:val="nil"/>
              <w:left w:val="nil"/>
              <w:bottom w:val="single" w:sz="6" w:space="0" w:color="78A22F"/>
              <w:right w:val="nil"/>
            </w:tcBorders>
            <w:shd w:val="clear" w:color="auto" w:fill="auto"/>
          </w:tcPr>
          <w:p w14:paraId="2548049B" w14:textId="77777777" w:rsidR="007D417F" w:rsidRDefault="007D417F" w:rsidP="00E44AEF">
            <w:pPr>
              <w:pStyle w:val="Figurespace"/>
            </w:pPr>
          </w:p>
        </w:tc>
      </w:tr>
      <w:tr w:rsidR="007D417F" w:rsidRPr="000863A5" w14:paraId="0DF10ECA" w14:textId="77777777" w:rsidTr="00E44AEF">
        <w:tc>
          <w:tcPr>
            <w:tcW w:w="5000" w:type="pct"/>
            <w:tcBorders>
              <w:top w:val="single" w:sz="6" w:space="0" w:color="78A22F"/>
              <w:left w:val="nil"/>
              <w:bottom w:val="nil"/>
              <w:right w:val="nil"/>
            </w:tcBorders>
          </w:tcPr>
          <w:p w14:paraId="398066B5" w14:textId="77777777" w:rsidR="007D417F" w:rsidRPr="00626D32" w:rsidRDefault="007D417F" w:rsidP="00E44AEF">
            <w:pPr>
              <w:pStyle w:val="BoxSpaceBelow"/>
            </w:pPr>
          </w:p>
        </w:tc>
      </w:tr>
    </w:tbl>
    <w:p w14:paraId="73D11779" w14:textId="77777777" w:rsidR="007D417F" w:rsidRDefault="007D417F" w:rsidP="00E44AEF">
      <w:pPr>
        <w:pStyle w:val="Heading4"/>
      </w:pPr>
      <w:r>
        <w:lastRenderedPageBreak/>
        <w:t>… and vary even more at the firm</w:t>
      </w:r>
      <w:r>
        <w:noBreakHyphen/>
        <w:t>level</w:t>
      </w:r>
    </w:p>
    <w:p w14:paraId="377E70B9" w14:textId="77777777" w:rsidR="007D417F" w:rsidRDefault="007D417F" w:rsidP="00E44AEF">
      <w:pPr>
        <w:pStyle w:val="BodyText"/>
      </w:pPr>
      <w:r>
        <w:t xml:space="preserve">While effective rates for agriculture and manufacturing sectors are at an historic low, the effective rate of assistance for an individual company or project can be substantial. This occurs when budgetary assistance (such as a grant program or subsidy, section 1.3) is targeted at particular firms or activities, providing greater levels of assistance to those firms than others in the same sector or even the same industry (box 1.2). </w:t>
      </w:r>
    </w:p>
    <w:p w14:paraId="08B7351D" w14:textId="77777777" w:rsidR="007D417F" w:rsidRDefault="007D417F" w:rsidP="00E44AEF">
      <w:pPr>
        <w:pStyle w:val="BodyText"/>
      </w:pPr>
      <w:r>
        <w:t>Providing particular firms or activities with a high degree of assistance confers a large competitive advantage. This can be highly distortionary (both within the relevant industry and at the economy</w:t>
      </w:r>
      <w:r>
        <w:noBreakHyphen/>
        <w:t>wide level), as it redirects scarce resources (such as financing, labour or equipment) away from other more productive activities that are not receiving the same level of assistance from government.</w:t>
      </w:r>
    </w:p>
    <w:p w14:paraId="777D4D15" w14:textId="77777777" w:rsidR="007D417F" w:rsidRDefault="007D417F" w:rsidP="00E44AE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417F" w14:paraId="1B94A533" w14:textId="77777777" w:rsidTr="00E44AEF">
        <w:trPr>
          <w:tblHeader/>
        </w:trPr>
        <w:tc>
          <w:tcPr>
            <w:tcW w:w="5000" w:type="pct"/>
            <w:tcBorders>
              <w:top w:val="single" w:sz="6" w:space="0" w:color="78A22F"/>
              <w:left w:val="nil"/>
              <w:bottom w:val="nil"/>
              <w:right w:val="nil"/>
            </w:tcBorders>
            <w:shd w:val="clear" w:color="auto" w:fill="F2F2F2"/>
          </w:tcPr>
          <w:p w14:paraId="1D031DA3" w14:textId="77777777" w:rsidR="007D417F" w:rsidRDefault="007D417F" w:rsidP="00E44AEF">
            <w:pPr>
              <w:pStyle w:val="BoxTitle"/>
            </w:pPr>
            <w:r>
              <w:rPr>
                <w:b w:val="0"/>
              </w:rPr>
              <w:t>Box 1.</w:t>
            </w:r>
            <w:r>
              <w:rPr>
                <w:b w:val="0"/>
                <w:noProof/>
              </w:rPr>
              <w:t>2</w:t>
            </w:r>
            <w:r>
              <w:tab/>
              <w:t>Assistance measures that provide above average levels of support</w:t>
            </w:r>
          </w:p>
        </w:tc>
      </w:tr>
      <w:tr w:rsidR="007D417F" w14:paraId="1753308B" w14:textId="77777777" w:rsidTr="00E44AEF">
        <w:tc>
          <w:tcPr>
            <w:tcW w:w="5000" w:type="pct"/>
            <w:tcBorders>
              <w:top w:val="nil"/>
              <w:left w:val="nil"/>
              <w:bottom w:val="nil"/>
              <w:right w:val="nil"/>
            </w:tcBorders>
            <w:shd w:val="clear" w:color="auto" w:fill="F2F2F2"/>
          </w:tcPr>
          <w:p w14:paraId="309244BC" w14:textId="77777777" w:rsidR="007D417F" w:rsidRPr="006A7325" w:rsidRDefault="007D417F" w:rsidP="00E44AEF">
            <w:pPr>
              <w:pStyle w:val="Box"/>
              <w:rPr>
                <w:spacing w:val="-2"/>
              </w:rPr>
            </w:pPr>
            <w:r w:rsidRPr="006A7325">
              <w:rPr>
                <w:spacing w:val="-2"/>
              </w:rPr>
              <w:t xml:space="preserve">Unless all </w:t>
            </w:r>
            <w:r>
              <w:rPr>
                <w:spacing w:val="-2"/>
              </w:rPr>
              <w:t>firms</w:t>
            </w:r>
            <w:r w:rsidRPr="006A7325">
              <w:rPr>
                <w:spacing w:val="-2"/>
              </w:rPr>
              <w:t xml:space="preserve"> produce </w:t>
            </w:r>
            <w:r>
              <w:rPr>
                <w:spacing w:val="-2"/>
              </w:rPr>
              <w:t xml:space="preserve">exactly the </w:t>
            </w:r>
            <w:r w:rsidRPr="006A7325">
              <w:rPr>
                <w:spacing w:val="-2"/>
              </w:rPr>
              <w:t xml:space="preserve">same products using the same input mix, some will receive effective assistance above </w:t>
            </w:r>
            <w:r>
              <w:rPr>
                <w:spacing w:val="-2"/>
              </w:rPr>
              <w:t>or</w:t>
            </w:r>
            <w:r w:rsidRPr="006A7325">
              <w:rPr>
                <w:spacing w:val="-2"/>
              </w:rPr>
              <w:t xml:space="preserve"> below</w:t>
            </w:r>
            <w:r>
              <w:rPr>
                <w:spacing w:val="-2"/>
              </w:rPr>
              <w:t xml:space="preserve"> the</w:t>
            </w:r>
            <w:r w:rsidRPr="006A7325">
              <w:rPr>
                <w:spacing w:val="-2"/>
              </w:rPr>
              <w:t xml:space="preserve"> average. However, all else equal, </w:t>
            </w:r>
            <w:r>
              <w:rPr>
                <w:spacing w:val="-2"/>
              </w:rPr>
              <w:t>policies and</w:t>
            </w:r>
            <w:r w:rsidRPr="006A7325">
              <w:rPr>
                <w:spacing w:val="-2"/>
              </w:rPr>
              <w:t xml:space="preserve"> programs that target one or a small range of firms (or projects) will </w:t>
            </w:r>
            <w:r>
              <w:rPr>
                <w:spacing w:val="-2"/>
              </w:rPr>
              <w:t>generally</w:t>
            </w:r>
            <w:r w:rsidRPr="006A7325">
              <w:rPr>
                <w:spacing w:val="-2"/>
              </w:rPr>
              <w:t xml:space="preserve"> confer </w:t>
            </w:r>
            <w:r>
              <w:rPr>
                <w:spacing w:val="-2"/>
              </w:rPr>
              <w:t xml:space="preserve">abnormally </w:t>
            </w:r>
            <w:r w:rsidRPr="006A7325">
              <w:rPr>
                <w:spacing w:val="-2"/>
              </w:rPr>
              <w:t xml:space="preserve">higher levels of relative assistance. Some examples of government support with the potential to provide </w:t>
            </w:r>
            <w:r>
              <w:rPr>
                <w:spacing w:val="-2"/>
              </w:rPr>
              <w:t>substantially higher levels of</w:t>
            </w:r>
            <w:r w:rsidRPr="006A7325">
              <w:rPr>
                <w:spacing w:val="-2"/>
              </w:rPr>
              <w:t xml:space="preserve"> assistance </w:t>
            </w:r>
            <w:r>
              <w:rPr>
                <w:spacing w:val="-2"/>
              </w:rPr>
              <w:t xml:space="preserve">to select firms </w:t>
            </w:r>
            <w:r w:rsidRPr="006A7325">
              <w:rPr>
                <w:spacing w:val="-2"/>
              </w:rPr>
              <w:t>include</w:t>
            </w:r>
            <w:r>
              <w:rPr>
                <w:spacing w:val="-2"/>
              </w:rPr>
              <w:t>:</w:t>
            </w:r>
          </w:p>
          <w:p w14:paraId="7663A467" w14:textId="77777777" w:rsidR="007D417F" w:rsidRDefault="007D417F" w:rsidP="00E44AEF">
            <w:pPr>
              <w:pStyle w:val="BoxListBullet"/>
            </w:pPr>
            <w:r w:rsidRPr="00984916">
              <w:t>Film industry offsets — government support provided by the producer tax offset (part of the Australian Screen Production Incentive) amounted to $</w:t>
            </w:r>
            <w:r>
              <w:t>143 </w:t>
            </w:r>
            <w:r w:rsidRPr="00984916">
              <w:t>million in 201</w:t>
            </w:r>
            <w:r>
              <w:t>4</w:t>
            </w:r>
            <w:r w:rsidRPr="00984916">
              <w:noBreakHyphen/>
              <w:t>1</w:t>
            </w:r>
            <w:r>
              <w:t xml:space="preserve">5 </w:t>
            </w:r>
            <w:r w:rsidRPr="00624A67">
              <w:rPr>
                <w:rFonts w:cs="Arial"/>
                <w:szCs w:val="24"/>
              </w:rPr>
              <w:t>(ATO 2017)</w:t>
            </w:r>
            <w:r>
              <w:t>, for an industry that had an estimated value added of around $3 billion in 2014</w:t>
            </w:r>
            <w:r>
              <w:noBreakHyphen/>
              <w:t xml:space="preserve">15 </w:t>
            </w:r>
            <w:r w:rsidRPr="0069750C">
              <w:rPr>
                <w:rFonts w:cs="Arial"/>
                <w:szCs w:val="24"/>
              </w:rPr>
              <w:t>(Deloitte Access Economics 2016)</w:t>
            </w:r>
            <w:r w:rsidRPr="00984916">
              <w:t>. The film industry also receive</w:t>
            </w:r>
            <w:r>
              <w:t>d</w:t>
            </w:r>
            <w:r w:rsidRPr="00984916">
              <w:t xml:space="preserve"> assistance from state and territory </w:t>
            </w:r>
            <w:r>
              <w:t>government film support programs and Screen Australia.</w:t>
            </w:r>
          </w:p>
          <w:p w14:paraId="67A707E4" w14:textId="77777777" w:rsidR="007D417F" w:rsidRPr="00541063" w:rsidRDefault="007D417F" w:rsidP="00E44AEF">
            <w:pPr>
              <w:pStyle w:val="BoxListBullet"/>
            </w:pPr>
            <w:r w:rsidRPr="00541063">
              <w:t>Tasmanian Freight Equalisation Scheme — around 50 per cent of the total amount claimed ($153 million in 2018</w:t>
            </w:r>
            <w:r w:rsidRPr="00541063">
              <w:noBreakHyphen/>
              <w:t xml:space="preserve">19) </w:t>
            </w:r>
            <w:r>
              <w:t>went</w:t>
            </w:r>
            <w:r w:rsidRPr="00541063">
              <w:t xml:space="preserve"> to 10 recipients </w:t>
            </w:r>
            <w:r w:rsidR="00AC5385" w:rsidRPr="00AC5385">
              <w:rPr>
                <w:rFonts w:cs="Arial"/>
                <w:szCs w:val="24"/>
              </w:rPr>
              <w:t>(PC 2014c)</w:t>
            </w:r>
            <w:r w:rsidRPr="00541063">
              <w:t xml:space="preserve">. </w:t>
            </w:r>
          </w:p>
          <w:p w14:paraId="0DE69511" w14:textId="77777777" w:rsidR="007D417F" w:rsidRPr="00541063" w:rsidRDefault="007D417F" w:rsidP="00E44AEF">
            <w:pPr>
              <w:pStyle w:val="BoxListBullet"/>
            </w:pPr>
            <w:r w:rsidRPr="00541063">
              <w:t>Ethanol production subsidy — between 2003</w:t>
            </w:r>
            <w:r w:rsidRPr="00541063">
              <w:noBreakHyphen/>
              <w:t>04 and 2013</w:t>
            </w:r>
            <w:r w:rsidRPr="00541063">
              <w:noBreakHyphen/>
              <w:t xml:space="preserve">14, participants in the program ranged from between 1 and 5 firms, with a single firm receiving over 70 per cent of funding over the life of the program </w:t>
            </w:r>
            <w:r w:rsidRPr="00166DAD">
              <w:rPr>
                <w:rFonts w:cs="Arial"/>
                <w:szCs w:val="24"/>
              </w:rPr>
              <w:t>(ANAO 2015)</w:t>
            </w:r>
            <w:r w:rsidRPr="00541063">
              <w:t xml:space="preserve">. </w:t>
            </w:r>
          </w:p>
          <w:p w14:paraId="61F15B7B" w14:textId="77777777" w:rsidR="007D417F" w:rsidRPr="00541063" w:rsidRDefault="007D417F" w:rsidP="00E44AEF">
            <w:pPr>
              <w:pStyle w:val="BoxListBullet"/>
            </w:pPr>
            <w:r w:rsidRPr="00541063">
              <w:t>Co</w:t>
            </w:r>
            <w:r w:rsidRPr="00541063">
              <w:noBreakHyphen/>
              <w:t>investment grants — over the three years to 2013</w:t>
            </w:r>
            <w:r w:rsidRPr="00541063">
              <w:noBreakHyphen/>
              <w:t>14, nearly $50</w:t>
            </w:r>
            <w:r>
              <w:t> </w:t>
            </w:r>
            <w:r w:rsidRPr="00541063">
              <w:t>million in co</w:t>
            </w:r>
            <w:r w:rsidRPr="00541063">
              <w:noBreakHyphen/>
              <w:t xml:space="preserve">investment grants was paid to four firms by the Australian Government. These payments can confer high levels of assistance at the individual firm or project level </w:t>
            </w:r>
            <w:r w:rsidRPr="003658A0">
              <w:rPr>
                <w:rFonts w:cs="Arial"/>
                <w:szCs w:val="24"/>
              </w:rPr>
              <w:t>(PC 2015)</w:t>
            </w:r>
            <w:r w:rsidRPr="00541063">
              <w:t xml:space="preserve">. </w:t>
            </w:r>
          </w:p>
          <w:p w14:paraId="034F6144" w14:textId="77777777" w:rsidR="007D417F" w:rsidRDefault="007D417F" w:rsidP="00E44AEF">
            <w:pPr>
              <w:pStyle w:val="BoxListBullet"/>
            </w:pPr>
            <w:r w:rsidRPr="00541063">
              <w:t>Local submarine assembly —</w:t>
            </w:r>
            <w:r>
              <w:t xml:space="preserve"> </w:t>
            </w:r>
            <w:r w:rsidRPr="00541063">
              <w:t>building the proposed submarines locally</w:t>
            </w:r>
            <w:r>
              <w:t xml:space="preserve"> comes with </w:t>
            </w:r>
            <w:r w:rsidRPr="00541063">
              <w:t xml:space="preserve">a reported </w:t>
            </w:r>
            <w:r>
              <w:t xml:space="preserve">cost </w:t>
            </w:r>
            <w:r w:rsidRPr="00541063">
              <w:t xml:space="preserve">premium of </w:t>
            </w:r>
            <w:r>
              <w:t>15 per cent (and perhaps up to 4</w:t>
            </w:r>
            <w:r w:rsidRPr="00541063">
              <w:t>0 per cent</w:t>
            </w:r>
            <w:r>
              <w:t>)</w:t>
            </w:r>
            <w:r w:rsidRPr="00541063">
              <w:t xml:space="preserve"> more than an overseas assembly, </w:t>
            </w:r>
            <w:r>
              <w:t>providing billions in assistance to local defence industry</w:t>
            </w:r>
            <w:r w:rsidRPr="00541063">
              <w:t xml:space="preserve"> </w:t>
            </w:r>
            <w:r w:rsidRPr="00541063">
              <w:rPr>
                <w:rFonts w:cs="Arial"/>
              </w:rPr>
              <w:t>(</w:t>
            </w:r>
            <w:r>
              <w:rPr>
                <w:rFonts w:cs="Arial"/>
              </w:rPr>
              <w:t>chapter 2)</w:t>
            </w:r>
            <w:r>
              <w:t>.</w:t>
            </w:r>
          </w:p>
        </w:tc>
      </w:tr>
      <w:tr w:rsidR="007D417F" w14:paraId="7B4D7294" w14:textId="77777777" w:rsidTr="00E44AEF">
        <w:tc>
          <w:tcPr>
            <w:tcW w:w="5000" w:type="pct"/>
            <w:tcBorders>
              <w:top w:val="nil"/>
              <w:left w:val="nil"/>
              <w:bottom w:val="single" w:sz="6" w:space="0" w:color="78A22F"/>
              <w:right w:val="nil"/>
            </w:tcBorders>
            <w:shd w:val="clear" w:color="auto" w:fill="F2F2F2"/>
          </w:tcPr>
          <w:p w14:paraId="6D79F8DF" w14:textId="77777777" w:rsidR="007D417F" w:rsidRDefault="007D417F" w:rsidP="00E44AEF">
            <w:pPr>
              <w:pStyle w:val="Box"/>
              <w:spacing w:before="0" w:line="120" w:lineRule="exact"/>
            </w:pPr>
          </w:p>
        </w:tc>
      </w:tr>
      <w:tr w:rsidR="007D417F" w:rsidRPr="000863A5" w14:paraId="378C3A47" w14:textId="77777777" w:rsidTr="00E44AEF">
        <w:tc>
          <w:tcPr>
            <w:tcW w:w="5000" w:type="pct"/>
            <w:tcBorders>
              <w:top w:val="single" w:sz="6" w:space="0" w:color="78A22F"/>
              <w:left w:val="nil"/>
              <w:bottom w:val="nil"/>
              <w:right w:val="nil"/>
            </w:tcBorders>
          </w:tcPr>
          <w:p w14:paraId="65318370" w14:textId="77777777" w:rsidR="007D417F" w:rsidRPr="00626D32" w:rsidRDefault="007D417F" w:rsidP="00E44AEF">
            <w:pPr>
              <w:pStyle w:val="BoxSpaceBelow"/>
            </w:pPr>
          </w:p>
        </w:tc>
      </w:tr>
    </w:tbl>
    <w:p w14:paraId="19A4806D" w14:textId="77777777" w:rsidR="007D417F" w:rsidRDefault="007D417F" w:rsidP="00E44AEF">
      <w:pPr>
        <w:pStyle w:val="Heading2"/>
      </w:pPr>
      <w:bookmarkStart w:id="19" w:name="_Toc38382137"/>
      <w:r>
        <w:lastRenderedPageBreak/>
        <w:t>1.</w:t>
      </w:r>
      <w:r>
        <w:rPr>
          <w:noProof/>
        </w:rPr>
        <w:t>2</w:t>
      </w:r>
      <w:r>
        <w:tab/>
        <w:t>Tariff assistance and penalty estimates</w:t>
      </w:r>
      <w:bookmarkEnd w:id="19"/>
    </w:p>
    <w:p w14:paraId="56DF85C7" w14:textId="77777777" w:rsidR="007D417F" w:rsidRDefault="007D417F" w:rsidP="00E44AEF">
      <w:pPr>
        <w:pStyle w:val="BodyText"/>
      </w:pPr>
      <w:r>
        <w:t>Historically, the imposition of tariffs on imported goods was one of the primary forms of government assistance to industry. The Commission’s estimates of tariff assistance are divided into three categories — output assistance, input penalties, and net assistance.</w:t>
      </w:r>
      <w:r w:rsidRPr="0007522F">
        <w:rPr>
          <w:rStyle w:val="FootnoteReference"/>
        </w:rPr>
        <w:footnoteReference w:id="4"/>
      </w:r>
      <w:r>
        <w:t xml:space="preserve"> </w:t>
      </w:r>
    </w:p>
    <w:p w14:paraId="581BF543" w14:textId="77777777" w:rsidR="007D417F" w:rsidRDefault="007D417F" w:rsidP="00E44AEF">
      <w:pPr>
        <w:pStyle w:val="ListBullet"/>
      </w:pPr>
      <w:r w:rsidRPr="00A87E81">
        <w:rPr>
          <w:i/>
        </w:rPr>
        <w:t>Output assistance</w:t>
      </w:r>
      <w:r>
        <w:t xml:space="preserve"> — by taxing imported goods, tariffs improve the price competitiveness of domestically</w:t>
      </w:r>
      <w:r>
        <w:noBreakHyphen/>
        <w:t>produced goods that directly compete with the imports</w:t>
      </w:r>
      <w:r w:rsidRPr="00BF4FB9">
        <w:t xml:space="preserve"> </w:t>
      </w:r>
      <w:r>
        <w:t xml:space="preserve">in the Australian market, allowing the Australian firms to earn greater returns. </w:t>
      </w:r>
    </w:p>
    <w:p w14:paraId="439D009A" w14:textId="77777777" w:rsidR="007D417F" w:rsidRDefault="007D417F" w:rsidP="00E44AEF">
      <w:pPr>
        <w:pStyle w:val="ListBullet"/>
      </w:pPr>
      <w:r w:rsidRPr="00A87E81">
        <w:rPr>
          <w:i/>
        </w:rPr>
        <w:t>Input penalties</w:t>
      </w:r>
      <w:r>
        <w:t xml:space="preserve"> — the imposition of tariffs also increases the price of local and imported goods that are used as inputs for other firms and sectors, and thus penalises local industries that rely on goods subject to tariffs (although this can be reduced if concessions are available, effectively providing a refund for the embedded tariffs in purchased goods).</w:t>
      </w:r>
    </w:p>
    <w:p w14:paraId="792CF80C" w14:textId="77777777" w:rsidR="007D417F" w:rsidRDefault="007D417F" w:rsidP="00E44AEF">
      <w:pPr>
        <w:pStyle w:val="ListBullet"/>
      </w:pPr>
      <w:r>
        <w:rPr>
          <w:i/>
        </w:rPr>
        <w:t xml:space="preserve">Net tariff assistance </w:t>
      </w:r>
      <w:r>
        <w:t>— calculated as output tariff assistance less the input tariff penalty for each industry.</w:t>
      </w:r>
    </w:p>
    <w:p w14:paraId="4D34D7F9" w14:textId="77777777" w:rsidR="007D417F" w:rsidRDefault="007D417F" w:rsidP="00E44AEF">
      <w:pPr>
        <w:pStyle w:val="Heading3"/>
      </w:pPr>
      <w:r>
        <w:t xml:space="preserve">The tariff </w:t>
      </w:r>
      <w:proofErr w:type="spellStart"/>
      <w:r>
        <w:t>giveth</w:t>
      </w:r>
      <w:proofErr w:type="spellEnd"/>
      <w:r>
        <w:t xml:space="preserve"> and the tariff </w:t>
      </w:r>
      <w:proofErr w:type="spellStart"/>
      <w:r>
        <w:t>taketh</w:t>
      </w:r>
      <w:proofErr w:type="spellEnd"/>
      <w:r>
        <w:t xml:space="preserve"> away</w:t>
      </w:r>
    </w:p>
    <w:p w14:paraId="7F4E4FC8" w14:textId="77777777" w:rsidR="007D417F" w:rsidRDefault="007D417F" w:rsidP="00120072">
      <w:pPr>
        <w:pStyle w:val="BodyText"/>
      </w:pPr>
      <w:r>
        <w:t>The lion’s share of output assistance from tariffs went to the manufacturing sector in 2018</w:t>
      </w:r>
      <w:r>
        <w:noBreakHyphen/>
        <w:t>19 (at over $1.7 billion or 88 per cent of the total, figure 1.6). Some manufacturing industries received more output assistance than others, particularly the food, beverages and tobacco ($621 million), metal and fabricated metal products ($228 million) and petroleum, coal, chemical and rubber production ($208 million) industries. Meanwhile, most of the output assistance provided to the agricultural sector went to the sheep, beef cattle and grain farming industry ($181 million, or about 77 per cent).</w:t>
      </w:r>
    </w:p>
    <w:p w14:paraId="7A57B42C" w14:textId="77777777" w:rsidR="007D417F" w:rsidRDefault="007D417F" w:rsidP="00120072">
      <w:pPr>
        <w:pStyle w:val="BodyText"/>
      </w:pPr>
      <w:r>
        <w:t xml:space="preserve">As tariffs do not apply to imported services (only goods), Australia’s services sector does not obtain </w:t>
      </w:r>
      <w:r w:rsidRPr="00CE2761">
        <w:rPr>
          <w:i/>
        </w:rPr>
        <w:t>any</w:t>
      </w:r>
      <w:r>
        <w:t xml:space="preserve"> output assistance from tariffs. Yet the services sector bears most of the costs associated with tariffs because they raise the cost of inputs into production. The input penalties faced by the services sector amounted to about $1 billion in 2018</w:t>
      </w:r>
      <w:r>
        <w:noBreakHyphen/>
        <w:t>19. Much of the penalty is concentrated in the construction industry (with $402 million of additional costs), while the p</w:t>
      </w:r>
      <w:r w:rsidRPr="00CE2761">
        <w:t>roperty, professional and administrative services</w:t>
      </w:r>
      <w:r>
        <w:t xml:space="preserve"> ($92 million), a</w:t>
      </w:r>
      <w:r w:rsidRPr="00CE2761">
        <w:t>ccommodation and food services</w:t>
      </w:r>
      <w:r>
        <w:t xml:space="preserve"> ($80 million) and health care and social assistance ($76 million) industries also carry significant costs. </w:t>
      </w:r>
    </w:p>
    <w:p w14:paraId="11A7FA64" w14:textId="77777777" w:rsidR="007D417F" w:rsidRDefault="007D417F" w:rsidP="00E44AE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417F" w14:paraId="26298DB7" w14:textId="77777777" w:rsidTr="00E44AEF">
        <w:trPr>
          <w:tblHeader/>
        </w:trPr>
        <w:tc>
          <w:tcPr>
            <w:tcW w:w="5000" w:type="pct"/>
            <w:tcBorders>
              <w:top w:val="single" w:sz="6" w:space="0" w:color="78A22F"/>
              <w:left w:val="nil"/>
              <w:bottom w:val="nil"/>
              <w:right w:val="nil"/>
            </w:tcBorders>
            <w:shd w:val="clear" w:color="auto" w:fill="auto"/>
          </w:tcPr>
          <w:p w14:paraId="743D9249" w14:textId="77777777" w:rsidR="007D417F" w:rsidRDefault="007D417F" w:rsidP="00E44AEF">
            <w:pPr>
              <w:pStyle w:val="FigureTitle"/>
            </w:pPr>
            <w:r w:rsidRPr="00784A05">
              <w:rPr>
                <w:b w:val="0"/>
              </w:rPr>
              <w:t xml:space="preserve">Figure </w:t>
            </w:r>
            <w:r>
              <w:rPr>
                <w:b w:val="0"/>
              </w:rPr>
              <w:t>1.</w:t>
            </w:r>
            <w:r>
              <w:rPr>
                <w:b w:val="0"/>
                <w:noProof/>
              </w:rPr>
              <w:t>6</w:t>
            </w:r>
            <w:r>
              <w:tab/>
              <w:t>Tariff winners and losers</w:t>
            </w:r>
          </w:p>
          <w:p w14:paraId="7921F10E" w14:textId="77777777" w:rsidR="007D417F" w:rsidRPr="00176D3F" w:rsidRDefault="007D417F" w:rsidP="00E44AEF">
            <w:pPr>
              <w:pStyle w:val="Subtitle"/>
            </w:pPr>
            <w:r>
              <w:t>Output, input and net tariff assistance, by sector, 2018</w:t>
            </w:r>
            <w:r>
              <w:noBreakHyphen/>
              <w:t>19</w:t>
            </w:r>
          </w:p>
        </w:tc>
      </w:tr>
      <w:tr w:rsidR="007D417F" w14:paraId="6DB53648" w14:textId="77777777" w:rsidTr="00E44AE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4"/>
            </w:tblGrid>
            <w:tr w:rsidR="007D417F" w:rsidRPr="00B1465D" w14:paraId="454DF2B5" w14:textId="77777777" w:rsidTr="00E44AEF">
              <w:trPr>
                <w:tblHeader/>
                <w:jc w:val="center"/>
              </w:trPr>
              <w:tc>
                <w:tcPr>
                  <w:tcW w:w="8504" w:type="dxa"/>
                  <w:tcBorders>
                    <w:top w:val="nil"/>
                    <w:bottom w:val="nil"/>
                  </w:tcBorders>
                </w:tcPr>
                <w:p w14:paraId="232E610D" w14:textId="7BEB0419" w:rsidR="007D417F" w:rsidRPr="00B1465D" w:rsidRDefault="001551EB" w:rsidP="00E44AEF">
                  <w:pPr>
                    <w:pStyle w:val="Figure"/>
                    <w:spacing w:before="60" w:after="60"/>
                    <w:rPr>
                      <w:rFonts w:ascii="Arial" w:hAnsi="Arial" w:cs="Arial"/>
                      <w:sz w:val="18"/>
                      <w:szCs w:val="18"/>
                    </w:rPr>
                  </w:pPr>
                  <w:r w:rsidRPr="001551EB">
                    <w:rPr>
                      <w:rFonts w:ascii="Arial" w:hAnsi="Arial" w:cs="Arial"/>
                      <w:noProof/>
                      <w:sz w:val="18"/>
                      <w:szCs w:val="18"/>
                    </w:rPr>
                    <w:drawing>
                      <wp:inline distT="0" distB="0" distL="0" distR="0" wp14:anchorId="1E7A3F25" wp14:editId="3FA0EE0F">
                        <wp:extent cx="4453255" cy="3574415"/>
                        <wp:effectExtent l="0" t="0" r="4445" b="6985"/>
                        <wp:docPr id="18" name="Picture 18" descr="This chart shows the sectoral distribution of output, input and net tariff assistance in 2018-19. Manufacturing received the bulk of output assistance and services paid the bulk of input tariff penalty. Net tariff assistance was not significant for primary production and mining." title="Tariff winners and lo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453255" cy="3574415"/>
                                </a:xfrm>
                                <a:prstGeom prst="rect">
                                  <a:avLst/>
                                </a:prstGeom>
                                <a:noFill/>
                                <a:ln>
                                  <a:noFill/>
                                </a:ln>
                              </pic:spPr>
                            </pic:pic>
                          </a:graphicData>
                        </a:graphic>
                      </wp:inline>
                    </w:drawing>
                  </w:r>
                </w:p>
              </w:tc>
            </w:tr>
          </w:tbl>
          <w:p w14:paraId="5A64F26D" w14:textId="77777777" w:rsidR="007D417F" w:rsidRDefault="007D417F" w:rsidP="00E44AEF">
            <w:pPr>
              <w:pStyle w:val="Figure"/>
            </w:pPr>
          </w:p>
        </w:tc>
      </w:tr>
      <w:tr w:rsidR="007D417F" w:rsidRPr="00176D3F" w14:paraId="2F4275CB" w14:textId="77777777" w:rsidTr="00E44AEF">
        <w:tc>
          <w:tcPr>
            <w:tcW w:w="5000" w:type="pct"/>
            <w:tcBorders>
              <w:top w:val="nil"/>
              <w:left w:val="nil"/>
              <w:bottom w:val="nil"/>
              <w:right w:val="nil"/>
            </w:tcBorders>
            <w:shd w:val="clear" w:color="auto" w:fill="auto"/>
          </w:tcPr>
          <w:p w14:paraId="5BF05D91" w14:textId="77777777" w:rsidR="007D417F" w:rsidRPr="00176D3F" w:rsidRDefault="007D417F" w:rsidP="00E44AEF">
            <w:pPr>
              <w:pStyle w:val="Source"/>
            </w:pPr>
            <w:r>
              <w:rPr>
                <w:i/>
              </w:rPr>
              <w:t>S</w:t>
            </w:r>
            <w:r w:rsidRPr="00784A05">
              <w:rPr>
                <w:i/>
              </w:rPr>
              <w:t>ource</w:t>
            </w:r>
            <w:r w:rsidRPr="00176D3F">
              <w:t xml:space="preserve">: </w:t>
            </w:r>
            <w:r>
              <w:t>Commission estimates.</w:t>
            </w:r>
          </w:p>
        </w:tc>
      </w:tr>
      <w:tr w:rsidR="007D417F" w14:paraId="5A947217" w14:textId="77777777" w:rsidTr="00E44AEF">
        <w:tc>
          <w:tcPr>
            <w:tcW w:w="5000" w:type="pct"/>
            <w:tcBorders>
              <w:top w:val="nil"/>
              <w:left w:val="nil"/>
              <w:bottom w:val="single" w:sz="6" w:space="0" w:color="78A22F"/>
              <w:right w:val="nil"/>
            </w:tcBorders>
            <w:shd w:val="clear" w:color="auto" w:fill="auto"/>
          </w:tcPr>
          <w:p w14:paraId="23ADB8BA" w14:textId="77777777" w:rsidR="007D417F" w:rsidRDefault="007D417F" w:rsidP="00E44AEF">
            <w:pPr>
              <w:pStyle w:val="Figurespace"/>
            </w:pPr>
          </w:p>
        </w:tc>
      </w:tr>
      <w:tr w:rsidR="007D417F" w:rsidRPr="000863A5" w14:paraId="1F335705" w14:textId="77777777" w:rsidTr="00E44AEF">
        <w:tc>
          <w:tcPr>
            <w:tcW w:w="5000" w:type="pct"/>
            <w:tcBorders>
              <w:top w:val="single" w:sz="6" w:space="0" w:color="78A22F"/>
              <w:left w:val="nil"/>
              <w:bottom w:val="nil"/>
              <w:right w:val="nil"/>
            </w:tcBorders>
          </w:tcPr>
          <w:p w14:paraId="0BE9B0E1" w14:textId="77777777" w:rsidR="007D417F" w:rsidRPr="00626D32" w:rsidRDefault="007D417F" w:rsidP="00E44AEF">
            <w:pPr>
              <w:pStyle w:val="BoxSpaceBelow"/>
            </w:pPr>
          </w:p>
        </w:tc>
      </w:tr>
    </w:tbl>
    <w:p w14:paraId="0F9E25E6" w14:textId="77777777" w:rsidR="007D417F" w:rsidRDefault="007D417F" w:rsidP="00E44AEF">
      <w:pPr>
        <w:pStyle w:val="BodyText"/>
      </w:pPr>
      <w:r>
        <w:t>Overall, the size of the input penalties from tariffs are almost as great as the value of output assistance. The n</w:t>
      </w:r>
      <w:r w:rsidRPr="00CE2761">
        <w:t>et tariff assistance</w:t>
      </w:r>
      <w:r>
        <w:t xml:space="preserve"> across all sectors in 2018</w:t>
      </w:r>
      <w:r>
        <w:noBreakHyphen/>
        <w:t>19 was only $265 million</w:t>
      </w:r>
      <w:r w:rsidRPr="00CE2761">
        <w:t>.</w:t>
      </w:r>
      <w:r>
        <w:t xml:space="preserve"> </w:t>
      </w:r>
    </w:p>
    <w:p w14:paraId="41209C2E" w14:textId="77777777" w:rsidR="007D417F" w:rsidRDefault="007D417F" w:rsidP="00E44AEF">
      <w:pPr>
        <w:pStyle w:val="BodyText"/>
      </w:pPr>
      <w:r>
        <w:t xml:space="preserve">Yet, despite the limited amount of </w:t>
      </w:r>
      <w:r w:rsidRPr="00D544E5">
        <w:rPr>
          <w:i/>
        </w:rPr>
        <w:t>net</w:t>
      </w:r>
      <w:r>
        <w:t xml:space="preserve"> assistance that tariffs bring, they still lead to distortions throughout the economy, as the gross levels of</w:t>
      </w:r>
      <w:r w:rsidRPr="00D5476D">
        <w:t xml:space="preserve"> output assistance and input penalties</w:t>
      </w:r>
      <w:r>
        <w:t xml:space="preserve"> remain material. The imposition of input penalties artificially inflates costs in the services sector, which eventually flows through to higher prices for consumers — from building construction to hospital health care. </w:t>
      </w:r>
    </w:p>
    <w:p w14:paraId="1B147052" w14:textId="77777777" w:rsidR="007D417F" w:rsidRDefault="007D417F" w:rsidP="00E44AEF">
      <w:pPr>
        <w:pStyle w:val="BodyText"/>
      </w:pPr>
      <w:r>
        <w:t>However, there has been a gradual decline in both gross levels of</w:t>
      </w:r>
      <w:r w:rsidRPr="00D5476D">
        <w:t xml:space="preserve"> output assistance and input penalties </w:t>
      </w:r>
      <w:r>
        <w:t>since 2013</w:t>
      </w:r>
      <w:r>
        <w:noBreakHyphen/>
        <w:t xml:space="preserve">14 (figure 1.7), slowly reducing the economic </w:t>
      </w:r>
      <w:r w:rsidRPr="00D5476D">
        <w:t>distortion</w:t>
      </w:r>
      <w:r>
        <w:t>s that such assistance creates</w:t>
      </w:r>
      <w:r w:rsidRPr="00D5476D">
        <w:t>.</w:t>
      </w:r>
      <w:r>
        <w:t xml:space="preserve"> </w:t>
      </w:r>
    </w:p>
    <w:p w14:paraId="7A25CAEF" w14:textId="77777777" w:rsidR="007D417F" w:rsidRDefault="007D417F" w:rsidP="00E44AE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417F" w14:paraId="41648DF7" w14:textId="77777777" w:rsidTr="00E44AEF">
        <w:trPr>
          <w:tblHeader/>
        </w:trPr>
        <w:tc>
          <w:tcPr>
            <w:tcW w:w="5000" w:type="pct"/>
            <w:tcBorders>
              <w:top w:val="single" w:sz="6" w:space="0" w:color="78A22F"/>
              <w:left w:val="nil"/>
              <w:bottom w:val="nil"/>
              <w:right w:val="nil"/>
            </w:tcBorders>
            <w:shd w:val="clear" w:color="auto" w:fill="auto"/>
          </w:tcPr>
          <w:p w14:paraId="16E7282A" w14:textId="77777777" w:rsidR="007D417F" w:rsidRDefault="007D417F" w:rsidP="00E44AEF">
            <w:pPr>
              <w:pStyle w:val="FigureTitle"/>
            </w:pPr>
            <w:r w:rsidRPr="00784A05">
              <w:rPr>
                <w:b w:val="0"/>
              </w:rPr>
              <w:t xml:space="preserve">Figure </w:t>
            </w:r>
            <w:r>
              <w:rPr>
                <w:b w:val="0"/>
              </w:rPr>
              <w:t>1.</w:t>
            </w:r>
            <w:r>
              <w:rPr>
                <w:b w:val="0"/>
                <w:noProof/>
              </w:rPr>
              <w:t>7</w:t>
            </w:r>
            <w:r>
              <w:tab/>
              <w:t>As output assistance and input penalties both fell, net tariff assistance remained steady</w:t>
            </w:r>
          </w:p>
          <w:p w14:paraId="3CFC981E" w14:textId="77777777" w:rsidR="007D417F" w:rsidRPr="00176D3F" w:rsidRDefault="007D417F" w:rsidP="00E44AEF">
            <w:pPr>
              <w:pStyle w:val="Subtitle"/>
            </w:pPr>
            <w:r w:rsidRPr="00BB7143">
              <w:t xml:space="preserve">Output, input and net tariff assistance, </w:t>
            </w:r>
            <w:r>
              <w:t>2013</w:t>
            </w:r>
            <w:r>
              <w:noBreakHyphen/>
              <w:t xml:space="preserve">14 to </w:t>
            </w:r>
            <w:r w:rsidRPr="00BB7143">
              <w:t>2018</w:t>
            </w:r>
            <w:r>
              <w:noBreakHyphen/>
            </w:r>
            <w:r w:rsidRPr="00BB7143">
              <w:t>19</w:t>
            </w:r>
          </w:p>
        </w:tc>
      </w:tr>
      <w:tr w:rsidR="007D417F" w14:paraId="328B6359" w14:textId="77777777" w:rsidTr="00E44AE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4"/>
            </w:tblGrid>
            <w:tr w:rsidR="007D417F" w:rsidRPr="00B1465D" w14:paraId="2A7B6C51" w14:textId="77777777" w:rsidTr="00E44AEF">
              <w:trPr>
                <w:tblHeader/>
                <w:jc w:val="center"/>
              </w:trPr>
              <w:tc>
                <w:tcPr>
                  <w:tcW w:w="8504" w:type="dxa"/>
                  <w:tcBorders>
                    <w:top w:val="nil"/>
                    <w:bottom w:val="nil"/>
                  </w:tcBorders>
                </w:tcPr>
                <w:p w14:paraId="49A7191E" w14:textId="47A37E1A" w:rsidR="007D417F" w:rsidRPr="00B1465D" w:rsidRDefault="001551EB" w:rsidP="00E44AEF">
                  <w:pPr>
                    <w:pStyle w:val="Figure"/>
                    <w:spacing w:before="60" w:after="60"/>
                    <w:rPr>
                      <w:rFonts w:ascii="Arial" w:hAnsi="Arial" w:cs="Arial"/>
                      <w:sz w:val="18"/>
                      <w:szCs w:val="18"/>
                    </w:rPr>
                  </w:pPr>
                  <w:r w:rsidRPr="001551EB">
                    <w:rPr>
                      <w:rFonts w:ascii="Arial" w:hAnsi="Arial" w:cs="Arial"/>
                      <w:noProof/>
                      <w:sz w:val="18"/>
                      <w:szCs w:val="18"/>
                    </w:rPr>
                    <w:drawing>
                      <wp:inline distT="0" distB="0" distL="0" distR="0" wp14:anchorId="025F05DE" wp14:editId="26CA0EC4">
                        <wp:extent cx="4120515" cy="3717290"/>
                        <wp:effectExtent l="0" t="0" r="0" b="0"/>
                        <wp:docPr id="20" name="Picture 20" descr="This chart shows that there was a gradual decline in both output assistance and input penalties from tariffs between 2013-14 and 2018-19. However, the size of the input penalties was almost as great as the value of output assistance, keeping net tariff assistance stable over the period." title="As output assistance and input penalties both fell, net tariff assistance remained st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120515" cy="3717290"/>
                                </a:xfrm>
                                <a:prstGeom prst="rect">
                                  <a:avLst/>
                                </a:prstGeom>
                                <a:noFill/>
                                <a:ln>
                                  <a:noFill/>
                                </a:ln>
                              </pic:spPr>
                            </pic:pic>
                          </a:graphicData>
                        </a:graphic>
                      </wp:inline>
                    </w:drawing>
                  </w:r>
                </w:p>
              </w:tc>
            </w:tr>
          </w:tbl>
          <w:p w14:paraId="5BF71FCA" w14:textId="77777777" w:rsidR="007D417F" w:rsidRDefault="007D417F" w:rsidP="00E44AEF">
            <w:pPr>
              <w:pStyle w:val="Figure"/>
            </w:pPr>
          </w:p>
        </w:tc>
      </w:tr>
      <w:tr w:rsidR="007D417F" w:rsidRPr="00176D3F" w14:paraId="486FF4FD" w14:textId="77777777" w:rsidTr="00E44AEF">
        <w:tc>
          <w:tcPr>
            <w:tcW w:w="5000" w:type="pct"/>
            <w:tcBorders>
              <w:top w:val="nil"/>
              <w:left w:val="nil"/>
              <w:bottom w:val="nil"/>
              <w:right w:val="nil"/>
            </w:tcBorders>
            <w:shd w:val="clear" w:color="auto" w:fill="auto"/>
          </w:tcPr>
          <w:p w14:paraId="286F1471" w14:textId="77777777" w:rsidR="007D417F" w:rsidRPr="00176D3F" w:rsidRDefault="007D417F" w:rsidP="00E44AEF">
            <w:pPr>
              <w:pStyle w:val="Source"/>
            </w:pPr>
            <w:r>
              <w:rPr>
                <w:i/>
              </w:rPr>
              <w:t>S</w:t>
            </w:r>
            <w:r w:rsidRPr="00784A05">
              <w:rPr>
                <w:i/>
              </w:rPr>
              <w:t>ource</w:t>
            </w:r>
            <w:r w:rsidRPr="00176D3F">
              <w:t xml:space="preserve">: </w:t>
            </w:r>
            <w:r>
              <w:t>Commission estimates.</w:t>
            </w:r>
          </w:p>
        </w:tc>
      </w:tr>
      <w:tr w:rsidR="007D417F" w14:paraId="17B10CC5" w14:textId="77777777" w:rsidTr="00E44AEF">
        <w:tc>
          <w:tcPr>
            <w:tcW w:w="5000" w:type="pct"/>
            <w:tcBorders>
              <w:top w:val="nil"/>
              <w:left w:val="nil"/>
              <w:bottom w:val="single" w:sz="6" w:space="0" w:color="78A22F"/>
              <w:right w:val="nil"/>
            </w:tcBorders>
            <w:shd w:val="clear" w:color="auto" w:fill="auto"/>
          </w:tcPr>
          <w:p w14:paraId="0A1661C2" w14:textId="77777777" w:rsidR="007D417F" w:rsidRDefault="007D417F" w:rsidP="00E44AEF">
            <w:pPr>
              <w:pStyle w:val="Figurespace"/>
            </w:pPr>
          </w:p>
        </w:tc>
      </w:tr>
      <w:tr w:rsidR="007D417F" w:rsidRPr="000863A5" w14:paraId="05123222" w14:textId="77777777" w:rsidTr="00E44AEF">
        <w:tc>
          <w:tcPr>
            <w:tcW w:w="5000" w:type="pct"/>
            <w:tcBorders>
              <w:top w:val="single" w:sz="6" w:space="0" w:color="78A22F"/>
              <w:left w:val="nil"/>
              <w:bottom w:val="nil"/>
              <w:right w:val="nil"/>
            </w:tcBorders>
          </w:tcPr>
          <w:p w14:paraId="7E43AB5E" w14:textId="77777777" w:rsidR="007D417F" w:rsidRPr="00626D32" w:rsidRDefault="007D417F" w:rsidP="00E44AEF">
            <w:pPr>
              <w:pStyle w:val="BoxSpaceBelow"/>
            </w:pPr>
          </w:p>
        </w:tc>
      </w:tr>
    </w:tbl>
    <w:p w14:paraId="2619F4EE" w14:textId="77777777" w:rsidR="007D417F" w:rsidRDefault="007D417F" w:rsidP="00E44AEF">
      <w:pPr>
        <w:pStyle w:val="BodyText"/>
      </w:pPr>
      <w:r>
        <w:t>Part of the recent decline in gross levels of tariff assistance is due to the growing share of Australia’s imports covered by bilateral and regional trade agreements. For example, the share of Australia’s merchandise imports from countries with which Australia had a trade agreement in force grew from less than 10 per cent in 2003</w:t>
      </w:r>
      <w:r>
        <w:noBreakHyphen/>
        <w:t>04 to over 67 per cent in 2018</w:t>
      </w:r>
      <w:r>
        <w:noBreakHyphen/>
        <w:t>19 (figure 1.8), largely due to new agreements (such as the Korea</w:t>
      </w:r>
      <w:r>
        <w:noBreakHyphen/>
      </w:r>
      <w:r w:rsidRPr="00062D16">
        <w:t>Australia Free Trade Agreement</w:t>
      </w:r>
      <w:r>
        <w:t xml:space="preserve"> in 2014</w:t>
      </w:r>
      <w:r w:rsidRPr="00062D16">
        <w:t xml:space="preserve"> </w:t>
      </w:r>
      <w:r>
        <w:t>and the China</w:t>
      </w:r>
      <w:r>
        <w:noBreakHyphen/>
      </w:r>
      <w:r w:rsidRPr="00062D16">
        <w:t>Australia Free Trade Agreement</w:t>
      </w:r>
      <w:r>
        <w:t xml:space="preserve"> in 2015), as well as a growing share of imports from counterparties</w:t>
      </w:r>
      <w:r w:rsidRPr="00755DE7">
        <w:t xml:space="preserve"> </w:t>
      </w:r>
      <w:r>
        <w:t xml:space="preserve">to existing trade agreements. Although the Commission has previously expressed concerns that the economic benefits of these agreements are overstated and their risks understated </w:t>
      </w:r>
      <w:r w:rsidRPr="00755DE7">
        <w:rPr>
          <w:szCs w:val="24"/>
        </w:rPr>
        <w:t>(PC</w:t>
      </w:r>
      <w:r>
        <w:rPr>
          <w:szCs w:val="24"/>
        </w:rPr>
        <w:t> 2</w:t>
      </w:r>
      <w:r w:rsidRPr="00755DE7">
        <w:rPr>
          <w:szCs w:val="24"/>
        </w:rPr>
        <w:t>010)</w:t>
      </w:r>
      <w:r>
        <w:t xml:space="preserve">, bilateral and regional trade agreements still tend to result in lower tariffs barriers for the relevant imports, helping to explain some of the decline in tariff assistance. </w:t>
      </w:r>
    </w:p>
    <w:p w14:paraId="4CD6193D" w14:textId="77777777" w:rsidR="007D417F" w:rsidRDefault="007D417F" w:rsidP="00E44AE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417F" w14:paraId="62643459" w14:textId="77777777" w:rsidTr="00E44AEF">
        <w:trPr>
          <w:tblHeader/>
        </w:trPr>
        <w:tc>
          <w:tcPr>
            <w:tcW w:w="5000" w:type="pct"/>
            <w:tcBorders>
              <w:top w:val="single" w:sz="6" w:space="0" w:color="78A22F"/>
              <w:left w:val="nil"/>
              <w:bottom w:val="nil"/>
              <w:right w:val="nil"/>
            </w:tcBorders>
            <w:shd w:val="clear" w:color="auto" w:fill="auto"/>
          </w:tcPr>
          <w:p w14:paraId="4C931DA3" w14:textId="77777777" w:rsidR="007D417F" w:rsidRDefault="007D417F" w:rsidP="00E44AEF">
            <w:pPr>
              <w:pStyle w:val="FigureTitle"/>
            </w:pPr>
            <w:r w:rsidRPr="00784A05">
              <w:rPr>
                <w:b w:val="0"/>
              </w:rPr>
              <w:t xml:space="preserve">Figure </w:t>
            </w:r>
            <w:r>
              <w:rPr>
                <w:b w:val="0"/>
              </w:rPr>
              <w:t>1.</w:t>
            </w:r>
            <w:r>
              <w:rPr>
                <w:b w:val="0"/>
                <w:noProof/>
              </w:rPr>
              <w:t>8</w:t>
            </w:r>
            <w:r>
              <w:tab/>
              <w:t>The growth of trade between friends</w:t>
            </w:r>
          </w:p>
          <w:p w14:paraId="42E4E64F" w14:textId="77777777" w:rsidR="007D417F" w:rsidRPr="00176D3F" w:rsidRDefault="007D417F" w:rsidP="00E44AEF">
            <w:pPr>
              <w:pStyle w:val="Subtitle"/>
            </w:pPr>
            <w:r>
              <w:t>Australia’s merchandise imports, 1988</w:t>
            </w:r>
            <w:r>
              <w:noBreakHyphen/>
              <w:t>89 to 2018</w:t>
            </w:r>
            <w:r>
              <w:noBreakHyphen/>
              <w:t>19</w:t>
            </w:r>
          </w:p>
        </w:tc>
      </w:tr>
      <w:tr w:rsidR="007D417F" w14:paraId="4A22792E" w14:textId="77777777" w:rsidTr="00E44AE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D417F" w:rsidRPr="00B1465D" w14:paraId="5E434818" w14:textId="77777777" w:rsidTr="00E44AEF">
              <w:trPr>
                <w:tblHeader/>
                <w:jc w:val="center"/>
              </w:trPr>
              <w:tc>
                <w:tcPr>
                  <w:tcW w:w="5000" w:type="pct"/>
                  <w:tcBorders>
                    <w:top w:val="nil"/>
                    <w:bottom w:val="nil"/>
                  </w:tcBorders>
                </w:tcPr>
                <w:p w14:paraId="39391765" w14:textId="361DDA62" w:rsidR="007D417F" w:rsidRPr="00B1465D" w:rsidRDefault="001551EB" w:rsidP="00E44AEF">
                  <w:pPr>
                    <w:pStyle w:val="Figure"/>
                    <w:spacing w:before="60" w:after="60"/>
                    <w:rPr>
                      <w:rFonts w:ascii="Arial" w:hAnsi="Arial" w:cs="Arial"/>
                      <w:sz w:val="18"/>
                      <w:szCs w:val="18"/>
                    </w:rPr>
                  </w:pPr>
                  <w:r w:rsidRPr="001551EB">
                    <w:rPr>
                      <w:rFonts w:ascii="Arial" w:hAnsi="Arial" w:cs="Arial"/>
                      <w:noProof/>
                      <w:sz w:val="18"/>
                      <w:szCs w:val="18"/>
                    </w:rPr>
                    <w:drawing>
                      <wp:inline distT="0" distB="0" distL="0" distR="0" wp14:anchorId="4B859EA2" wp14:editId="0F60E161">
                        <wp:extent cx="4330783" cy="3906982"/>
                        <wp:effectExtent l="0" t="0" r="0" b="0"/>
                        <wp:docPr id="21" name="Picture 21" descr="This chart shows the growing share of Australia’s imports covered by bilateral and regional trade agreements. The share of Australia’s merchandise imports from countries with which Australia had a trade agreement in force grew from less than 10 per cent in 2003-04 to over 67 per cent in 2018-19." title="The growth of trade between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340053" cy="3915345"/>
                                </a:xfrm>
                                <a:prstGeom prst="rect">
                                  <a:avLst/>
                                </a:prstGeom>
                                <a:noFill/>
                                <a:ln>
                                  <a:noFill/>
                                </a:ln>
                              </pic:spPr>
                            </pic:pic>
                          </a:graphicData>
                        </a:graphic>
                      </wp:inline>
                    </w:drawing>
                  </w:r>
                </w:p>
              </w:tc>
            </w:tr>
          </w:tbl>
          <w:p w14:paraId="5631A8B8" w14:textId="77777777" w:rsidR="007D417F" w:rsidRDefault="007D417F" w:rsidP="00E44AEF">
            <w:pPr>
              <w:pStyle w:val="Figure"/>
            </w:pPr>
          </w:p>
        </w:tc>
      </w:tr>
      <w:tr w:rsidR="007D417F" w:rsidRPr="00176D3F" w14:paraId="4D192EB7" w14:textId="77777777" w:rsidTr="00E44AEF">
        <w:tc>
          <w:tcPr>
            <w:tcW w:w="5000" w:type="pct"/>
            <w:tcBorders>
              <w:top w:val="nil"/>
              <w:left w:val="nil"/>
              <w:bottom w:val="nil"/>
              <w:right w:val="nil"/>
            </w:tcBorders>
            <w:shd w:val="clear" w:color="auto" w:fill="auto"/>
          </w:tcPr>
          <w:p w14:paraId="278FA77D" w14:textId="4391CFAD" w:rsidR="007D417F" w:rsidRPr="00176D3F" w:rsidRDefault="007D417F" w:rsidP="008C2904">
            <w:pPr>
              <w:pStyle w:val="Source"/>
            </w:pPr>
            <w:r>
              <w:rPr>
                <w:i/>
              </w:rPr>
              <w:t>S</w:t>
            </w:r>
            <w:r w:rsidRPr="00784A05">
              <w:rPr>
                <w:i/>
              </w:rPr>
              <w:t>ource</w:t>
            </w:r>
            <w:r w:rsidRPr="00176D3F">
              <w:t>:</w:t>
            </w:r>
            <w:r>
              <w:t xml:space="preserve"> Commission estimates using</w:t>
            </w:r>
            <w:r w:rsidRPr="00176D3F">
              <w:t xml:space="preserve"> </w:t>
            </w:r>
            <w:r w:rsidR="008C2904">
              <w:t>ABS</w:t>
            </w:r>
            <w:r>
              <w:t xml:space="preserve">, </w:t>
            </w:r>
            <w:r w:rsidRPr="00E11518">
              <w:rPr>
                <w:i/>
              </w:rPr>
              <w:t>International Trade in Goods and Services</w:t>
            </w:r>
            <w:r w:rsidR="008C2904">
              <w:rPr>
                <w:i/>
              </w:rPr>
              <w:t>, Nov 2019</w:t>
            </w:r>
            <w:r>
              <w:t>, cat. no. 5368.0 (table 14b).</w:t>
            </w:r>
          </w:p>
        </w:tc>
      </w:tr>
      <w:tr w:rsidR="007D417F" w14:paraId="667A74B5" w14:textId="77777777" w:rsidTr="00E44AEF">
        <w:tc>
          <w:tcPr>
            <w:tcW w:w="5000" w:type="pct"/>
            <w:tcBorders>
              <w:top w:val="nil"/>
              <w:left w:val="nil"/>
              <w:bottom w:val="single" w:sz="6" w:space="0" w:color="78A22F"/>
              <w:right w:val="nil"/>
            </w:tcBorders>
            <w:shd w:val="clear" w:color="auto" w:fill="auto"/>
          </w:tcPr>
          <w:p w14:paraId="5A22072F" w14:textId="77777777" w:rsidR="007D417F" w:rsidRDefault="007D417F" w:rsidP="00E44AEF">
            <w:pPr>
              <w:pStyle w:val="Figurespace"/>
            </w:pPr>
          </w:p>
        </w:tc>
      </w:tr>
      <w:tr w:rsidR="007D417F" w:rsidRPr="000863A5" w14:paraId="53C6A69A" w14:textId="77777777" w:rsidTr="00E44AEF">
        <w:tc>
          <w:tcPr>
            <w:tcW w:w="5000" w:type="pct"/>
            <w:tcBorders>
              <w:top w:val="single" w:sz="6" w:space="0" w:color="78A22F"/>
              <w:left w:val="nil"/>
              <w:bottom w:val="nil"/>
              <w:right w:val="nil"/>
            </w:tcBorders>
          </w:tcPr>
          <w:p w14:paraId="02DC2D68" w14:textId="77777777" w:rsidR="007D417F" w:rsidRPr="00626D32" w:rsidRDefault="007D417F" w:rsidP="00E44AEF">
            <w:pPr>
              <w:pStyle w:val="BoxSpaceBelow"/>
            </w:pPr>
          </w:p>
        </w:tc>
      </w:tr>
    </w:tbl>
    <w:p w14:paraId="06F24827" w14:textId="77777777" w:rsidR="007D417F" w:rsidRDefault="007D417F" w:rsidP="00E44AEF">
      <w:pPr>
        <w:pStyle w:val="Heading2"/>
      </w:pPr>
      <w:bookmarkStart w:id="20" w:name="_Toc38382138"/>
      <w:r>
        <w:t>1.</w:t>
      </w:r>
      <w:r>
        <w:rPr>
          <w:noProof/>
        </w:rPr>
        <w:t>3</w:t>
      </w:r>
      <w:r>
        <w:tab/>
        <w:t>Budgetary assistance estimates</w:t>
      </w:r>
      <w:bookmarkEnd w:id="20"/>
    </w:p>
    <w:p w14:paraId="17C6C15C" w14:textId="77777777" w:rsidR="007D417F" w:rsidRPr="00556483" w:rsidRDefault="007D417F" w:rsidP="00120072">
      <w:pPr>
        <w:pStyle w:val="BodyText"/>
      </w:pPr>
      <w:r>
        <w:t xml:space="preserve">Budgetary assistance is designed to encourage particular activities (such as R&amp;D or exports) or to support particular firms, industries or sectors. Generally, budgetary assistance involves </w:t>
      </w:r>
      <w:r>
        <w:rPr>
          <w:i/>
        </w:rPr>
        <w:t>outlays</w:t>
      </w:r>
      <w:r>
        <w:t xml:space="preserve"> (such as grants, subsidies, loans, guarantees or funding for organisations perform commercially beneficial services</w:t>
      </w:r>
      <w:r w:rsidRPr="000926E8">
        <w:t xml:space="preserve">) </w:t>
      </w:r>
      <w:r>
        <w:t xml:space="preserve">or </w:t>
      </w:r>
      <w:r w:rsidRPr="000926E8">
        <w:t>industry</w:t>
      </w:r>
      <w:r>
        <w:noBreakHyphen/>
      </w:r>
      <w:r w:rsidRPr="000926E8">
        <w:t>and sector</w:t>
      </w:r>
      <w:r>
        <w:noBreakHyphen/>
      </w:r>
      <w:r w:rsidRPr="000926E8">
        <w:t xml:space="preserve">specific </w:t>
      </w:r>
      <w:r w:rsidRPr="0007732A">
        <w:rPr>
          <w:i/>
        </w:rPr>
        <w:t>tax concessions</w:t>
      </w:r>
      <w:r w:rsidRPr="000926E8">
        <w:t xml:space="preserve"> </w:t>
      </w:r>
      <w:r>
        <w:t xml:space="preserve">(such as exemptions, offsets, deferrals and accelerated depreciation). </w:t>
      </w:r>
      <w:r w:rsidRPr="000926E8">
        <w:t xml:space="preserve">Some </w:t>
      </w:r>
      <w:r>
        <w:t xml:space="preserve">of these </w:t>
      </w:r>
      <w:r w:rsidRPr="000926E8">
        <w:t>measures provide financial assistance directly to firms, such as the Automotive Transformation Scheme ($</w:t>
      </w:r>
      <w:r w:rsidRPr="00A91FE8">
        <w:t xml:space="preserve">41.2 million </w:t>
      </w:r>
      <w:r w:rsidRPr="000926E8">
        <w:t xml:space="preserve">in </w:t>
      </w:r>
      <w:r>
        <w:t>2018</w:t>
      </w:r>
      <w:r>
        <w:noBreakHyphen/>
        <w:t>19)</w:t>
      </w:r>
      <w:r w:rsidRPr="000926E8">
        <w:t xml:space="preserve"> and R&amp;D </w:t>
      </w:r>
      <w:r>
        <w:t>t</w:t>
      </w:r>
      <w:r w:rsidRPr="000926E8">
        <w:t xml:space="preserve">ax </w:t>
      </w:r>
      <w:r>
        <w:t>i</w:t>
      </w:r>
      <w:r w:rsidRPr="000926E8">
        <w:t>ncentive</w:t>
      </w:r>
      <w:r>
        <w:t>s</w:t>
      </w:r>
      <w:r w:rsidRPr="000926E8">
        <w:t xml:space="preserve"> ($</w:t>
      </w:r>
      <w:r w:rsidRPr="00A91FE8">
        <w:t>2.6 </w:t>
      </w:r>
      <w:r w:rsidRPr="000926E8">
        <w:t xml:space="preserve">billion), while other </w:t>
      </w:r>
      <w:r w:rsidRPr="00556483">
        <w:t>budgetary support measures deliver benefits indirectly to an industry via intermediate organisations such as</w:t>
      </w:r>
      <w:r>
        <w:t xml:space="preserve"> through the</w:t>
      </w:r>
      <w:r w:rsidRPr="00556483">
        <w:t xml:space="preserve"> rural R&amp;D corporations ($328 million) and the </w:t>
      </w:r>
      <w:r w:rsidRPr="004D025B">
        <w:t>Commonwealth Scientific and Industrial Research Organisation</w:t>
      </w:r>
      <w:r>
        <w:t xml:space="preserve"> (</w:t>
      </w:r>
      <w:r w:rsidRPr="00556483">
        <w:t>CSIRO</w:t>
      </w:r>
      <w:r>
        <w:t>,</w:t>
      </w:r>
      <w:r w:rsidRPr="00556483">
        <w:t xml:space="preserve"> $589 million).</w:t>
      </w:r>
      <w:r w:rsidRPr="0007522F">
        <w:rPr>
          <w:rStyle w:val="FootnoteReference"/>
        </w:rPr>
        <w:footnoteReference w:id="5"/>
      </w:r>
      <w:r w:rsidRPr="00556483">
        <w:t xml:space="preserve"> </w:t>
      </w:r>
    </w:p>
    <w:p w14:paraId="3EF49AF2" w14:textId="77777777" w:rsidR="007D417F" w:rsidRDefault="007D417F" w:rsidP="00E44AEF">
      <w:pPr>
        <w:pStyle w:val="BodyText"/>
      </w:pPr>
      <w:r>
        <w:lastRenderedPageBreak/>
        <w:t>In 2018</w:t>
      </w:r>
      <w:r>
        <w:noBreakHyphen/>
        <w:t xml:space="preserve">19, the Australian Government spent over $11.8 billion on budgetary assistance, of which $1.5 billion went to the agriculture sector (mostly to the sheep, beef cattle and grain farming industry), $1.4 billion to the manufacturing sector and $4.8 billion to services sector. Most service sector assistance went to the </w:t>
      </w:r>
      <w:r w:rsidRPr="00774D3A">
        <w:t xml:space="preserve">property, professional </w:t>
      </w:r>
      <w:r>
        <w:t>&amp; administrative industry ($1.7 </w:t>
      </w:r>
      <w:r w:rsidRPr="00774D3A">
        <w:t>billion</w:t>
      </w:r>
      <w:r>
        <w:t>, largely from R&amp;D tax i</w:t>
      </w:r>
      <w:r w:rsidRPr="00774D3A">
        <w:t>ncentive</w:t>
      </w:r>
      <w:r>
        <w:t>s</w:t>
      </w:r>
      <w:r w:rsidRPr="00774D3A">
        <w:t xml:space="preserve"> </w:t>
      </w:r>
      <w:r>
        <w:t>and the small business s</w:t>
      </w:r>
      <w:r w:rsidRPr="00774D3A">
        <w:t>impl</w:t>
      </w:r>
      <w:r>
        <w:t>ified depreciation rules</w:t>
      </w:r>
      <w:r w:rsidRPr="00774D3A">
        <w:t xml:space="preserve">) </w:t>
      </w:r>
      <w:r>
        <w:t>or</w:t>
      </w:r>
      <w:r w:rsidRPr="00774D3A">
        <w:t xml:space="preserve"> </w:t>
      </w:r>
      <w:r>
        <w:t xml:space="preserve">to the </w:t>
      </w:r>
      <w:r w:rsidRPr="00774D3A">
        <w:t>fin</w:t>
      </w:r>
      <w:r>
        <w:t>ancial &amp; insurance industry ($1 </w:t>
      </w:r>
      <w:r w:rsidRPr="00774D3A">
        <w:t>billion</w:t>
      </w:r>
      <w:r>
        <w:t>, mostly</w:t>
      </w:r>
      <w:r w:rsidRPr="00774D3A">
        <w:t xml:space="preserve"> the Offshore Banking Unit </w:t>
      </w:r>
      <w:r>
        <w:t>concession and the c</w:t>
      </w:r>
      <w:r w:rsidRPr="00774D3A">
        <w:t>oncessional rate of withholding tax)</w:t>
      </w:r>
      <w:r>
        <w:t>.</w:t>
      </w:r>
    </w:p>
    <w:p w14:paraId="48E91C6A" w14:textId="77777777" w:rsidR="007D417F" w:rsidRPr="00A91FE8" w:rsidRDefault="007D417F" w:rsidP="00E44AEF">
      <w:pPr>
        <w:pStyle w:val="BodyText"/>
      </w:pPr>
      <w:r>
        <w:t>Among the two components of budgetary assistance, tax concessions have grown faster than outlays over the past few years and in 2018</w:t>
      </w:r>
      <w:r>
        <w:noBreakHyphen/>
        <w:t xml:space="preserve">19 62 per cent of the budgetary assistance was provided through tax concessions (figure 1.9). Small business tax concessions have driven this increase (box 1.3), including the </w:t>
      </w:r>
      <w:r w:rsidRPr="00F129D5">
        <w:t xml:space="preserve">concessional taxation </w:t>
      </w:r>
      <w:r>
        <w:t>of</w:t>
      </w:r>
      <w:r w:rsidRPr="00F129D5">
        <w:t xml:space="preserve"> small </w:t>
      </w:r>
      <w:r w:rsidRPr="00A91FE8">
        <w:t>businesses ($1.9 billion), small business capital gains tax concessions ($1.1 billion) and the unincorporated small business tax discount ($410 million). These tax concessions apply to small businesses across the economy and so are not allocated to any particular industry.</w:t>
      </w:r>
    </w:p>
    <w:p w14:paraId="31F3FAEE" w14:textId="77777777" w:rsidR="007D417F" w:rsidRDefault="007D417F" w:rsidP="00E44AE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417F" w14:paraId="3CBEFFB3" w14:textId="77777777" w:rsidTr="00E44AEF">
        <w:trPr>
          <w:tblHeader/>
        </w:trPr>
        <w:tc>
          <w:tcPr>
            <w:tcW w:w="5000" w:type="pct"/>
            <w:tcBorders>
              <w:top w:val="single" w:sz="6" w:space="0" w:color="78A22F"/>
              <w:left w:val="nil"/>
              <w:bottom w:val="nil"/>
              <w:right w:val="nil"/>
            </w:tcBorders>
            <w:shd w:val="clear" w:color="auto" w:fill="auto"/>
          </w:tcPr>
          <w:p w14:paraId="77EE4FEE" w14:textId="77777777" w:rsidR="007D417F" w:rsidRDefault="007D417F" w:rsidP="00E44AEF">
            <w:pPr>
              <w:pStyle w:val="FigureTitle"/>
            </w:pPr>
            <w:r w:rsidRPr="00784A05">
              <w:rPr>
                <w:b w:val="0"/>
              </w:rPr>
              <w:t xml:space="preserve">Figure </w:t>
            </w:r>
            <w:r>
              <w:rPr>
                <w:b w:val="0"/>
              </w:rPr>
              <w:t>1.</w:t>
            </w:r>
            <w:r>
              <w:rPr>
                <w:b w:val="0"/>
                <w:noProof/>
              </w:rPr>
              <w:t>9</w:t>
            </w:r>
            <w:r>
              <w:tab/>
              <w:t>Budgetary outlays and tax concessions</w:t>
            </w:r>
          </w:p>
          <w:p w14:paraId="0C7D44A4" w14:textId="77777777" w:rsidR="007D417F" w:rsidRPr="00176D3F" w:rsidRDefault="007D417F" w:rsidP="00E44AEF">
            <w:pPr>
              <w:pStyle w:val="Subtitle"/>
            </w:pPr>
            <w:r>
              <w:t>2013</w:t>
            </w:r>
            <w:r>
              <w:noBreakHyphen/>
              <w:t>14 to 2018</w:t>
            </w:r>
            <w:r>
              <w:noBreakHyphen/>
              <w:t>19</w:t>
            </w:r>
          </w:p>
        </w:tc>
      </w:tr>
      <w:tr w:rsidR="007D417F" w14:paraId="62F61001" w14:textId="77777777" w:rsidTr="00E44AE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D417F" w:rsidRPr="00B1465D" w14:paraId="51A0A616" w14:textId="77777777" w:rsidTr="00E44AEF">
              <w:trPr>
                <w:tblHeader/>
                <w:jc w:val="center"/>
              </w:trPr>
              <w:tc>
                <w:tcPr>
                  <w:tcW w:w="5000" w:type="pct"/>
                  <w:tcBorders>
                    <w:top w:val="nil"/>
                    <w:bottom w:val="nil"/>
                  </w:tcBorders>
                </w:tcPr>
                <w:p w14:paraId="066451BE" w14:textId="5A2966AE" w:rsidR="007D417F" w:rsidRPr="00B1465D" w:rsidRDefault="001551EB" w:rsidP="00E44AEF">
                  <w:pPr>
                    <w:pStyle w:val="Figure"/>
                    <w:spacing w:before="60" w:after="60"/>
                    <w:rPr>
                      <w:rFonts w:ascii="Arial" w:hAnsi="Arial" w:cs="Arial"/>
                      <w:sz w:val="18"/>
                      <w:szCs w:val="18"/>
                    </w:rPr>
                  </w:pPr>
                  <w:r w:rsidRPr="001551EB">
                    <w:rPr>
                      <w:rFonts w:ascii="Arial" w:hAnsi="Arial" w:cs="Arial"/>
                      <w:noProof/>
                      <w:sz w:val="18"/>
                      <w:szCs w:val="18"/>
                    </w:rPr>
                    <w:drawing>
                      <wp:inline distT="0" distB="0" distL="0" distR="0" wp14:anchorId="11718AA0" wp14:editId="4732F1E8">
                        <wp:extent cx="4465320" cy="3170555"/>
                        <wp:effectExtent l="0" t="0" r="0" b="0"/>
                        <wp:docPr id="23" name="Picture 23" descr="This figure shows the allocation of budgetary assistance by type, outlays and tax concessions. Tax concessions have grown faster than outlays over the past few years, and in 2018-19, it accounted for 62 per cent of the budgetary assistance." title="Budgetary outlays and tax conce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465320" cy="3170555"/>
                                </a:xfrm>
                                <a:prstGeom prst="rect">
                                  <a:avLst/>
                                </a:prstGeom>
                                <a:noFill/>
                                <a:ln>
                                  <a:noFill/>
                                </a:ln>
                              </pic:spPr>
                            </pic:pic>
                          </a:graphicData>
                        </a:graphic>
                      </wp:inline>
                    </w:drawing>
                  </w:r>
                </w:p>
              </w:tc>
            </w:tr>
          </w:tbl>
          <w:p w14:paraId="1B107F73" w14:textId="77777777" w:rsidR="007D417F" w:rsidRDefault="007D417F" w:rsidP="00E44AEF">
            <w:pPr>
              <w:pStyle w:val="Figure"/>
            </w:pPr>
          </w:p>
        </w:tc>
      </w:tr>
      <w:tr w:rsidR="007D417F" w:rsidRPr="00176D3F" w14:paraId="2BC17631" w14:textId="77777777" w:rsidTr="00E44AEF">
        <w:tc>
          <w:tcPr>
            <w:tcW w:w="5000" w:type="pct"/>
            <w:tcBorders>
              <w:top w:val="nil"/>
              <w:left w:val="nil"/>
              <w:bottom w:val="nil"/>
              <w:right w:val="nil"/>
            </w:tcBorders>
            <w:shd w:val="clear" w:color="auto" w:fill="auto"/>
          </w:tcPr>
          <w:p w14:paraId="14D0DD2B" w14:textId="77777777" w:rsidR="007D417F" w:rsidRPr="00176D3F" w:rsidRDefault="007D417F" w:rsidP="00E44AEF">
            <w:pPr>
              <w:pStyle w:val="Source"/>
            </w:pPr>
            <w:r>
              <w:rPr>
                <w:i/>
              </w:rPr>
              <w:t>S</w:t>
            </w:r>
            <w:r w:rsidRPr="00784A05">
              <w:rPr>
                <w:i/>
              </w:rPr>
              <w:t>ource</w:t>
            </w:r>
            <w:r w:rsidRPr="00176D3F">
              <w:t xml:space="preserve">: </w:t>
            </w:r>
            <w:r>
              <w:t>Commission estimates.</w:t>
            </w:r>
          </w:p>
        </w:tc>
      </w:tr>
      <w:tr w:rsidR="007D417F" w14:paraId="26581FB2" w14:textId="77777777" w:rsidTr="00E44AEF">
        <w:tc>
          <w:tcPr>
            <w:tcW w:w="5000" w:type="pct"/>
            <w:tcBorders>
              <w:top w:val="nil"/>
              <w:left w:val="nil"/>
              <w:bottom w:val="single" w:sz="6" w:space="0" w:color="78A22F"/>
              <w:right w:val="nil"/>
            </w:tcBorders>
            <w:shd w:val="clear" w:color="auto" w:fill="auto"/>
          </w:tcPr>
          <w:p w14:paraId="37DFF8CA" w14:textId="77777777" w:rsidR="007D417F" w:rsidRDefault="007D417F" w:rsidP="00E44AEF">
            <w:pPr>
              <w:pStyle w:val="Figurespace"/>
            </w:pPr>
          </w:p>
        </w:tc>
      </w:tr>
      <w:tr w:rsidR="007D417F" w:rsidRPr="000863A5" w14:paraId="20061BF6" w14:textId="77777777" w:rsidTr="00E44AEF">
        <w:tc>
          <w:tcPr>
            <w:tcW w:w="5000" w:type="pct"/>
            <w:tcBorders>
              <w:top w:val="single" w:sz="6" w:space="0" w:color="78A22F"/>
              <w:left w:val="nil"/>
              <w:bottom w:val="nil"/>
              <w:right w:val="nil"/>
            </w:tcBorders>
          </w:tcPr>
          <w:p w14:paraId="1DC4BFFD" w14:textId="77777777" w:rsidR="007D417F" w:rsidRPr="00626D32" w:rsidRDefault="007D417F" w:rsidP="00E44AEF">
            <w:pPr>
              <w:pStyle w:val="BoxSpaceBelow"/>
            </w:pPr>
          </w:p>
        </w:tc>
      </w:tr>
    </w:tbl>
    <w:p w14:paraId="256B780C" w14:textId="77777777" w:rsidR="007D417F" w:rsidRDefault="007D417F" w:rsidP="00E44AEF">
      <w:pPr>
        <w:pStyle w:val="BodyText"/>
      </w:pPr>
      <w:r>
        <w:t>By sector, over the six</w:t>
      </w:r>
      <w:r>
        <w:noBreakHyphen/>
        <w:t xml:space="preserve">year period covered by this </w:t>
      </w:r>
      <w:r w:rsidRPr="005F6257">
        <w:rPr>
          <w:i/>
        </w:rPr>
        <w:t>Review</w:t>
      </w:r>
      <w:r>
        <w:t xml:space="preserve">, budgetary assistance to the mining and manufacturing sectors </w:t>
      </w:r>
      <w:r w:rsidRPr="00CF5253">
        <w:t>declined</w:t>
      </w:r>
      <w:r>
        <w:t xml:space="preserve"> by nearly 30 per cent. Meanwhile,</w:t>
      </w:r>
      <w:r w:rsidRPr="00CF5253">
        <w:t xml:space="preserve"> assistance to the agriculture </w:t>
      </w:r>
      <w:r>
        <w:t xml:space="preserve">and services sectors has grown by 17 per cent </w:t>
      </w:r>
      <w:r w:rsidRPr="00CF5253">
        <w:t>and</w:t>
      </w:r>
      <w:r>
        <w:t xml:space="preserve"> 15 per cent, respectively</w:t>
      </w:r>
      <w:r w:rsidRPr="00CF5253">
        <w:t>.</w:t>
      </w:r>
      <w:r>
        <w:t xml:space="preserve"> </w:t>
      </w:r>
    </w:p>
    <w:p w14:paraId="26E9295F" w14:textId="77777777" w:rsidR="007D417F" w:rsidRPr="00CF5253" w:rsidRDefault="007D417F" w:rsidP="00E44AEF">
      <w:pPr>
        <w:pStyle w:val="BodyText"/>
      </w:pPr>
      <w:r>
        <w:t xml:space="preserve">Within each sector’s component industries, there have also been dramatic changes over recent years. One of the most substantial has been the fall in budgetary assistance for the </w:t>
      </w:r>
      <w:r>
        <w:lastRenderedPageBreak/>
        <w:t>motor vehicle and parts industry, which dropped from over $400 million of assistance in 2013</w:t>
      </w:r>
      <w:r>
        <w:noBreakHyphen/>
        <w:t>14 to less than $100 million in 2018</w:t>
      </w:r>
      <w:r>
        <w:noBreakHyphen/>
        <w:t xml:space="preserve">19 (a 76 per cent decline), largely due to the winding down of the Automotive Transformation Scheme. </w:t>
      </w:r>
    </w:p>
    <w:p w14:paraId="59E4E027" w14:textId="77777777" w:rsidR="007D417F" w:rsidRDefault="007D417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417F" w14:paraId="647D323A" w14:textId="77777777" w:rsidTr="00E44AEF">
        <w:trPr>
          <w:tblHeader/>
        </w:trPr>
        <w:tc>
          <w:tcPr>
            <w:tcW w:w="5000" w:type="pct"/>
            <w:tcBorders>
              <w:top w:val="single" w:sz="6" w:space="0" w:color="78A22F"/>
              <w:left w:val="nil"/>
              <w:bottom w:val="nil"/>
              <w:right w:val="nil"/>
            </w:tcBorders>
            <w:shd w:val="clear" w:color="auto" w:fill="F2F2F2"/>
          </w:tcPr>
          <w:p w14:paraId="3C780C50" w14:textId="77777777" w:rsidR="007D417F" w:rsidRDefault="007D417F">
            <w:pPr>
              <w:pStyle w:val="BoxTitle"/>
            </w:pPr>
            <w:r>
              <w:rPr>
                <w:b w:val="0"/>
              </w:rPr>
              <w:t>Box 1.</w:t>
            </w:r>
            <w:r>
              <w:rPr>
                <w:b w:val="0"/>
                <w:noProof/>
              </w:rPr>
              <w:t>3</w:t>
            </w:r>
            <w:r>
              <w:tab/>
            </w:r>
            <w:r w:rsidRPr="00F80CD4">
              <w:t>Small business assistance forms the largest category of budgetary assistance</w:t>
            </w:r>
          </w:p>
        </w:tc>
      </w:tr>
      <w:tr w:rsidR="007D417F" w14:paraId="67B0EF69" w14:textId="77777777" w:rsidTr="00E44AEF">
        <w:tc>
          <w:tcPr>
            <w:tcW w:w="5000" w:type="pct"/>
            <w:tcBorders>
              <w:top w:val="nil"/>
              <w:left w:val="nil"/>
              <w:bottom w:val="nil"/>
              <w:right w:val="nil"/>
            </w:tcBorders>
            <w:shd w:val="clear" w:color="auto" w:fill="F2F2F2"/>
          </w:tcPr>
          <w:p w14:paraId="31FCBAC1" w14:textId="77777777" w:rsidR="007D417F" w:rsidRDefault="007D417F" w:rsidP="00E44AEF">
            <w:pPr>
              <w:pStyle w:val="Box"/>
            </w:pPr>
            <w:r>
              <w:t>To facilitate more detailed assessments of changes in the composition and nature of assistance, the Commission categorised its estimates of budgetary assistance into eight groups (figure below). The majority of budgetary assistance in 2018</w:t>
            </w:r>
            <w:r>
              <w:noBreakHyphen/>
              <w:t>19 was directed to:</w:t>
            </w:r>
          </w:p>
          <w:p w14:paraId="4795563B" w14:textId="77777777" w:rsidR="007D417F" w:rsidRDefault="007D417F" w:rsidP="00E44AEF">
            <w:pPr>
              <w:pStyle w:val="BoxListBullet"/>
            </w:pPr>
            <w:r>
              <w:t>small business ($4.9 billion or 42 per cent) — including $2.2 billion for the Small Business Capital Gains Tax scheme (with over 40 per cent claimed by the services sector, including $250 million for the property, professional, scientific and technical services industry), $1.9 billion for the concessional taxation of small business and $0.4 billion for the Small Business Simplified Depreciation scheme</w:t>
            </w:r>
          </w:p>
          <w:p w14:paraId="4719E049" w14:textId="77777777" w:rsidR="007D417F" w:rsidRDefault="007D417F" w:rsidP="00E44AEF">
            <w:pPr>
              <w:pStyle w:val="BoxListBullet"/>
            </w:pPr>
            <w:r>
              <w:t xml:space="preserve">R&amp;D ($3.9 billion or 33 per cent) — including $2.6 billion via R&amp;D tax incentives, $125 million for the Cooperative Research Centres program (where about half was directed towards services), and $589 million for </w:t>
            </w:r>
            <w:r w:rsidRPr="004D025B">
              <w:t>Commonwealth Scientific and Industrial Research Organisation</w:t>
            </w:r>
            <w:r>
              <w:t xml:space="preserve"> (CSIRO) research, with most CSIRO assistance going to the agriculture sector ($190 million, of which 40 per cent is allocated to the sheep, beef cattle and grain farming industry) or services sector ($195 million). </w:t>
            </w:r>
          </w:p>
          <w:p w14:paraId="46BE3BF7" w14:textId="77777777" w:rsidR="007D417F" w:rsidRDefault="007D417F" w:rsidP="00E44AEF">
            <w:pPr>
              <w:pStyle w:val="BoxListBullet"/>
            </w:pPr>
            <w:r>
              <w:t>specific industries ($1.1 billion or 9 per cent) — including $310 million for the Offshore Banking Unit Tax Concession (allocated to financial and insurance services), $328 million for the film industry offsets scheme (allocated to arts and recreation services), $41 million for the Automotive Transformation Scheme (allocated to motor vehicles and parts).</w:t>
            </w:r>
          </w:p>
          <w:p w14:paraId="0B0F5EB5" w14:textId="77777777" w:rsidR="007D417F" w:rsidRDefault="007D417F" w:rsidP="00E44AEF">
            <w:pPr>
              <w:pStyle w:val="Box"/>
            </w:pPr>
            <w:r w:rsidRPr="00DE60D6">
              <w:rPr>
                <w:noProof/>
              </w:rPr>
              <w:drawing>
                <wp:inline distT="0" distB="0" distL="0" distR="0" wp14:anchorId="76E8E478" wp14:editId="426C937F">
                  <wp:extent cx="5391150" cy="3495675"/>
                  <wp:effectExtent l="0" t="0" r="0" b="0"/>
                  <wp:docPr id="27" name="Picture 27" descr="This figure shows budgetary assistance allocated to targeted activities, expressed in dollar values. Small business assistance formed the largest category of budgetary assistance and in 2018-19, it received $4.9 billion or 42 per cent of budgetary assistance. The next largest recipient was Research and Development and in 2018_19 it received $3.9 billion or 33 per cent of budgetary assistance." title="Small business assistance forms the largest category of budgetary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391150" cy="3495675"/>
                          </a:xfrm>
                          <a:prstGeom prst="rect">
                            <a:avLst/>
                          </a:prstGeom>
                          <a:noFill/>
                          <a:ln>
                            <a:noFill/>
                          </a:ln>
                        </pic:spPr>
                      </pic:pic>
                    </a:graphicData>
                  </a:graphic>
                </wp:inline>
              </w:drawing>
            </w:r>
          </w:p>
        </w:tc>
      </w:tr>
      <w:tr w:rsidR="007D417F" w14:paraId="13C59B86" w14:textId="77777777" w:rsidTr="00E44AEF">
        <w:tc>
          <w:tcPr>
            <w:tcW w:w="5000" w:type="pct"/>
            <w:tcBorders>
              <w:top w:val="nil"/>
              <w:left w:val="nil"/>
              <w:bottom w:val="nil"/>
              <w:right w:val="nil"/>
            </w:tcBorders>
            <w:shd w:val="clear" w:color="auto" w:fill="F2F2F2"/>
          </w:tcPr>
          <w:p w14:paraId="09DD8F0D" w14:textId="77777777" w:rsidR="007D417F" w:rsidRDefault="007D417F" w:rsidP="00E44AEF">
            <w:pPr>
              <w:pStyle w:val="Box"/>
            </w:pPr>
            <w:r>
              <w:rPr>
                <w:i/>
              </w:rPr>
              <w:t>S</w:t>
            </w:r>
            <w:r w:rsidRPr="00784A05">
              <w:rPr>
                <w:i/>
              </w:rPr>
              <w:t>ource</w:t>
            </w:r>
            <w:r w:rsidRPr="00176D3F">
              <w:t xml:space="preserve">: </w:t>
            </w:r>
            <w:r>
              <w:t>Commission estimates.</w:t>
            </w:r>
          </w:p>
        </w:tc>
      </w:tr>
      <w:tr w:rsidR="007D417F" w14:paraId="64A84F87" w14:textId="77777777" w:rsidTr="00E44AEF">
        <w:tc>
          <w:tcPr>
            <w:tcW w:w="5000" w:type="pct"/>
            <w:tcBorders>
              <w:top w:val="nil"/>
              <w:left w:val="nil"/>
              <w:bottom w:val="single" w:sz="6" w:space="0" w:color="78A22F"/>
              <w:right w:val="nil"/>
            </w:tcBorders>
            <w:shd w:val="clear" w:color="auto" w:fill="F2F2F2"/>
          </w:tcPr>
          <w:p w14:paraId="1EEC2731" w14:textId="77777777" w:rsidR="007D417F" w:rsidRDefault="007D417F">
            <w:pPr>
              <w:pStyle w:val="Box"/>
              <w:spacing w:before="0" w:line="120" w:lineRule="exact"/>
            </w:pPr>
          </w:p>
        </w:tc>
      </w:tr>
    </w:tbl>
    <w:p w14:paraId="27FFC7E2" w14:textId="77777777" w:rsidR="007D417F" w:rsidRDefault="007D417F" w:rsidP="00E44AEF">
      <w:pPr>
        <w:pStyle w:val="BoxSpaceBelow"/>
      </w:pPr>
    </w:p>
    <w:p w14:paraId="1AA3FAC7" w14:textId="77777777" w:rsidR="007D417F" w:rsidRDefault="007D417F" w:rsidP="007D417F">
      <w:pPr>
        <w:sectPr w:rsidR="007D417F" w:rsidSect="00C418AC">
          <w:headerReference w:type="even" r:id="rId43"/>
          <w:headerReference w:type="default" r:id="rId44"/>
          <w:footerReference w:type="even" r:id="rId45"/>
          <w:footerReference w:type="default" r:id="rId46"/>
          <w:type w:val="oddPage"/>
          <w:pgSz w:w="11907" w:h="16840" w:code="9"/>
          <w:pgMar w:top="1985" w:right="1304" w:bottom="1247" w:left="1814" w:header="1701" w:footer="397" w:gutter="0"/>
          <w:pgNumType w:start="1" w:chapSep="period"/>
          <w:cols w:space="720"/>
          <w:docGrid w:linePitch="326"/>
        </w:sectPr>
      </w:pPr>
    </w:p>
    <w:p w14:paraId="1FD85752" w14:textId="77777777" w:rsidR="007D417F" w:rsidRDefault="007D417F" w:rsidP="00E44AEF">
      <w:pPr>
        <w:pStyle w:val="Heading1"/>
        <w:spacing w:before="0"/>
      </w:pPr>
      <w:bookmarkStart w:id="21" w:name="_Toc38382139"/>
      <w:r>
        <w:lastRenderedPageBreak/>
        <w:t>2</w:t>
      </w:r>
      <w:r>
        <w:tab/>
        <w:t>Recent developments in industry assistance</w:t>
      </w:r>
      <w:bookmarkEnd w:id="21"/>
    </w:p>
    <w:p w14:paraId="499AB304" w14:textId="77777777" w:rsidR="007D417F" w:rsidRPr="00462CA4" w:rsidRDefault="007D417F" w:rsidP="00E44AEF">
      <w:pPr>
        <w:pStyle w:val="BodyText"/>
      </w:pPr>
      <w:r w:rsidRPr="00462CA4">
        <w:t xml:space="preserve">The </w:t>
      </w:r>
      <w:r w:rsidRPr="00462CA4">
        <w:rPr>
          <w:i/>
          <w:iCs/>
        </w:rPr>
        <w:t>Trade and Assistance Review</w:t>
      </w:r>
      <w:r>
        <w:rPr>
          <w:i/>
          <w:iCs/>
        </w:rPr>
        <w:t>s</w:t>
      </w:r>
      <w:r w:rsidRPr="00462CA4">
        <w:t xml:space="preserve"> selectively </w:t>
      </w:r>
      <w:r>
        <w:t xml:space="preserve">report </w:t>
      </w:r>
      <w:r w:rsidRPr="00462CA4">
        <w:t>on recent developments in industry assistance, with a focus on announcements of prospective assistance that in time may be included in the Commissions’ measured assistance (chapter</w:t>
      </w:r>
      <w:r>
        <w:t> 1</w:t>
      </w:r>
      <w:r w:rsidRPr="00462CA4">
        <w:t xml:space="preserve">). Notable developments in industry assistance </w:t>
      </w:r>
      <w:r>
        <w:t>over the past</w:t>
      </w:r>
      <w:r w:rsidRPr="00462CA4">
        <w:t xml:space="preserve"> year include: </w:t>
      </w:r>
    </w:p>
    <w:p w14:paraId="4ED26C34" w14:textId="77777777" w:rsidR="007D417F" w:rsidRDefault="007D417F" w:rsidP="00E44AEF">
      <w:pPr>
        <w:pStyle w:val="ListBullet"/>
      </w:pPr>
      <w:r>
        <w:t>the use of Defence procurement as a form of assistance to the manufacturing industry (section 2.1)</w:t>
      </w:r>
    </w:p>
    <w:p w14:paraId="798DF93A" w14:textId="77777777" w:rsidR="007D417F" w:rsidRPr="00462CA4" w:rsidRDefault="007D417F" w:rsidP="00E44AEF">
      <w:pPr>
        <w:pStyle w:val="ListBullet"/>
      </w:pPr>
      <w:r w:rsidRPr="00462CA4">
        <w:t xml:space="preserve">the </w:t>
      </w:r>
      <w:r>
        <w:t>ongoing</w:t>
      </w:r>
      <w:r w:rsidRPr="00462CA4">
        <w:t xml:space="preserve"> response to drought by both the Australian Government and state and territory governments</w:t>
      </w:r>
      <w:r>
        <w:t xml:space="preserve"> (section 2.2)</w:t>
      </w:r>
    </w:p>
    <w:p w14:paraId="569F2D51" w14:textId="77777777" w:rsidR="007D417F" w:rsidRPr="00462CA4" w:rsidRDefault="007D417F" w:rsidP="00E44AEF">
      <w:pPr>
        <w:pStyle w:val="ListBullet"/>
      </w:pPr>
      <w:r w:rsidRPr="00462CA4">
        <w:t xml:space="preserve">the </w:t>
      </w:r>
      <w:r>
        <w:t>continuation</w:t>
      </w:r>
      <w:r w:rsidRPr="00462CA4">
        <w:t xml:space="preserve"> of government financing vehicles, with new schemes for small business and expanded investment mandates for some existing fa</w:t>
      </w:r>
      <w:r>
        <w:t>cilities (section 2.3)</w:t>
      </w:r>
    </w:p>
    <w:p w14:paraId="339A5105" w14:textId="77777777" w:rsidR="007D417F" w:rsidRDefault="007D417F" w:rsidP="00E44AEF">
      <w:pPr>
        <w:pStyle w:val="ListBullet"/>
      </w:pPr>
      <w:r>
        <w:t>the expansion of alcohol tax concessions and rebates, specifically the extension of the draught beer concession and the increase in the e</w:t>
      </w:r>
      <w:r w:rsidRPr="00462CA4">
        <w:t>xcise refund for craft brewers and distillers</w:t>
      </w:r>
      <w:r>
        <w:t xml:space="preserve"> (section 2.4).</w:t>
      </w:r>
    </w:p>
    <w:p w14:paraId="4223096E" w14:textId="77777777" w:rsidR="007D417F" w:rsidRDefault="007D417F" w:rsidP="00E44AEF">
      <w:pPr>
        <w:pStyle w:val="Heading2"/>
      </w:pPr>
      <w:bookmarkStart w:id="22" w:name="_Toc38382140"/>
      <w:r>
        <w:t>2.</w:t>
      </w:r>
      <w:r>
        <w:rPr>
          <w:noProof/>
        </w:rPr>
        <w:t>1</w:t>
      </w:r>
      <w:r>
        <w:tab/>
        <w:t>Defence procurement</w:t>
      </w:r>
      <w:bookmarkEnd w:id="22"/>
    </w:p>
    <w:p w14:paraId="552D87EB" w14:textId="77777777" w:rsidR="007D417F" w:rsidRDefault="007D417F" w:rsidP="00E44AEF">
      <w:pPr>
        <w:pStyle w:val="BodyText"/>
      </w:pPr>
      <w:r>
        <w:t xml:space="preserve">The Australian Defence Force relies on a vast array of expensive machinery and equipment to defend Australia and contribute to global security. To acquire the next generation of this equipment, Defence’s current pipeline of major projects is worth over $200 billion up to the late 2020s </w:t>
      </w:r>
      <w:r w:rsidRPr="0009050C">
        <w:rPr>
          <w:szCs w:val="24"/>
        </w:rPr>
        <w:t>(ANAO 2019; Australian Government 2017)</w:t>
      </w:r>
      <w:r>
        <w:t>.</w:t>
      </w:r>
    </w:p>
    <w:p w14:paraId="4EC41CBC" w14:textId="77777777" w:rsidR="007D417F" w:rsidRDefault="007D417F" w:rsidP="00E44AEF">
      <w:pPr>
        <w:pStyle w:val="BodyText"/>
      </w:pPr>
      <w:r>
        <w:t xml:space="preserve">Australian governments have demonstrated a strong preference for procuring from domestic manufacturers and suppliers. Since April 2018, this preference has been codified in the Australian Government’s </w:t>
      </w:r>
      <w:r w:rsidRPr="00AC43BC">
        <w:rPr>
          <w:i/>
        </w:rPr>
        <w:t>Defence Industrial Capability Plan</w:t>
      </w:r>
      <w:r>
        <w:t xml:space="preserve">, which seeks to build a strong defence industry with ‘the ability to operate, sustain and upgrade our defence capabilities with the maximum degree of defence and industrial sovereignty’, including requirements that ‘international companies and partners wanting to do business with Defence … invest in our country and our industrial capability’ </w:t>
      </w:r>
      <w:r w:rsidRPr="00DB1BCF">
        <w:rPr>
          <w:szCs w:val="24"/>
        </w:rPr>
        <w:t>(</w:t>
      </w:r>
      <w:proofErr w:type="spellStart"/>
      <w:r w:rsidRPr="00DB1BCF">
        <w:rPr>
          <w:szCs w:val="24"/>
        </w:rPr>
        <w:t>DoD</w:t>
      </w:r>
      <w:proofErr w:type="spellEnd"/>
      <w:r w:rsidRPr="00DB1BCF">
        <w:rPr>
          <w:szCs w:val="24"/>
        </w:rPr>
        <w:t> 2018, pp. 13, 16)</w:t>
      </w:r>
      <w:r>
        <w:t>.</w:t>
      </w:r>
      <w:r w:rsidRPr="007546CA">
        <w:t xml:space="preserve"> </w:t>
      </w:r>
    </w:p>
    <w:p w14:paraId="548F3462" w14:textId="77777777" w:rsidR="007D417F" w:rsidRDefault="007D417F" w:rsidP="00E44AEF">
      <w:pPr>
        <w:pStyle w:val="BodyText"/>
      </w:pPr>
      <w:r>
        <w:t>Aside from providing support for employment and economic activity</w:t>
      </w:r>
      <w:r w:rsidRPr="00FD589D">
        <w:t xml:space="preserve"> </w:t>
      </w:r>
      <w:r>
        <w:t xml:space="preserve">in manufacturing hubs (including those affected by factory closures, such as northern Adelaide), there are two other justifications given for this preference — defence preparedness and technological </w:t>
      </w:r>
      <w:proofErr w:type="spellStart"/>
      <w:r>
        <w:t>spillovers</w:t>
      </w:r>
      <w:proofErr w:type="spellEnd"/>
      <w:r>
        <w:t xml:space="preserve"> (box 2.1).</w:t>
      </w:r>
    </w:p>
    <w:p w14:paraId="14D97683" w14:textId="77777777" w:rsidR="007D417F" w:rsidRPr="00EB18B7" w:rsidRDefault="007D417F" w:rsidP="00E44AE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417F" w14:paraId="35EEF45E" w14:textId="77777777" w:rsidTr="00E44AEF">
        <w:trPr>
          <w:tblHeader/>
        </w:trPr>
        <w:tc>
          <w:tcPr>
            <w:tcW w:w="5000" w:type="pct"/>
            <w:tcBorders>
              <w:top w:val="single" w:sz="6" w:space="0" w:color="78A22F"/>
              <w:left w:val="nil"/>
              <w:bottom w:val="nil"/>
              <w:right w:val="nil"/>
            </w:tcBorders>
            <w:shd w:val="clear" w:color="auto" w:fill="F2F2F2"/>
          </w:tcPr>
          <w:p w14:paraId="75A42A12" w14:textId="77777777" w:rsidR="007D417F" w:rsidRDefault="007D417F" w:rsidP="00E44AEF">
            <w:pPr>
              <w:pStyle w:val="BoxTitle"/>
            </w:pPr>
            <w:r>
              <w:rPr>
                <w:b w:val="0"/>
              </w:rPr>
              <w:t>Box 2.</w:t>
            </w:r>
            <w:r>
              <w:rPr>
                <w:b w:val="0"/>
                <w:noProof/>
              </w:rPr>
              <w:t>1</w:t>
            </w:r>
            <w:r>
              <w:tab/>
              <w:t>Buy local? Justifications for domestic defence procurement</w:t>
            </w:r>
          </w:p>
        </w:tc>
      </w:tr>
      <w:tr w:rsidR="007D417F" w14:paraId="7916FB5F" w14:textId="77777777" w:rsidTr="00E44AEF">
        <w:tc>
          <w:tcPr>
            <w:tcW w:w="5000" w:type="pct"/>
            <w:tcBorders>
              <w:top w:val="nil"/>
              <w:left w:val="nil"/>
              <w:bottom w:val="nil"/>
              <w:right w:val="nil"/>
            </w:tcBorders>
            <w:shd w:val="clear" w:color="auto" w:fill="F2F2F2"/>
          </w:tcPr>
          <w:p w14:paraId="2B218F7E" w14:textId="77777777" w:rsidR="007D417F" w:rsidRDefault="007D417F" w:rsidP="00E44AEF">
            <w:pPr>
              <w:pStyle w:val="Box"/>
            </w:pPr>
            <w:r>
              <w:t xml:space="preserve">The preference towards </w:t>
            </w:r>
            <w:r w:rsidRPr="007C07D3">
              <w:t>Australian</w:t>
            </w:r>
            <w:r>
              <w:noBreakHyphen/>
            </w:r>
            <w:r w:rsidRPr="007C07D3">
              <w:t>based manufacturers and suppliers</w:t>
            </w:r>
            <w:r>
              <w:t xml:space="preserve"> in the defence industry sometimes rests on claims </w:t>
            </w:r>
            <w:r w:rsidRPr="00FC7058">
              <w:t>that a lack of domestic industrial capabilit</w:t>
            </w:r>
            <w:r>
              <w:t>y</w:t>
            </w:r>
            <w:r w:rsidRPr="00FC7058">
              <w:t xml:space="preserve"> would undermine defence self</w:t>
            </w:r>
            <w:r w:rsidRPr="00FC7058">
              <w:noBreakHyphen/>
              <w:t>reliance or the Australian Defence Force’s (ADF’s) operational capability</w:t>
            </w:r>
            <w:r>
              <w:t xml:space="preserve"> (for example, if this adversely affected the ability to </w:t>
            </w:r>
            <w:r w:rsidRPr="00FC7058">
              <w:t>repair or replace critical weapons systems</w:t>
            </w:r>
            <w:r>
              <w:t>).</w:t>
            </w:r>
          </w:p>
          <w:p w14:paraId="418AAA57" w14:textId="77777777" w:rsidR="007D417F" w:rsidRPr="00FC7058" w:rsidRDefault="007D417F" w:rsidP="00E44AEF">
            <w:pPr>
              <w:pStyle w:val="Box"/>
            </w:pPr>
            <w:r>
              <w:t xml:space="preserve">The alternative option — purchasing </w:t>
            </w:r>
            <w:r w:rsidRPr="00FC7058">
              <w:t>available equipment ‘off</w:t>
            </w:r>
            <w:r>
              <w:noBreakHyphen/>
            </w:r>
            <w:r w:rsidRPr="00FC7058">
              <w:t>the</w:t>
            </w:r>
            <w:r>
              <w:noBreakHyphen/>
            </w:r>
            <w:r w:rsidRPr="00FC7058">
              <w:t>shelf’ from allied countries</w:t>
            </w:r>
            <w:r>
              <w:t xml:space="preserve"> —</w:t>
            </w:r>
            <w:r w:rsidRPr="00FC7058">
              <w:t xml:space="preserve"> </w:t>
            </w:r>
            <w:r>
              <w:t>is sometimes criticised as in</w:t>
            </w:r>
            <w:r w:rsidRPr="00FC7058">
              <w:t>sufficient to meet the unique Australian context or operational requirements of the ADF</w:t>
            </w:r>
            <w:r>
              <w:t xml:space="preserve">. This was the justification for partly designing and building </w:t>
            </w:r>
            <w:r w:rsidRPr="00FC7058">
              <w:t xml:space="preserve">the new </w:t>
            </w:r>
            <w:r w:rsidRPr="007C07D3">
              <w:rPr>
                <w:i/>
              </w:rPr>
              <w:t>Attack</w:t>
            </w:r>
            <w:r w:rsidRPr="00FC7058">
              <w:noBreakHyphen/>
              <w:t xml:space="preserve">class submarines in Australia, </w:t>
            </w:r>
            <w:r>
              <w:t>reflecting the perception that</w:t>
            </w:r>
            <w:r w:rsidRPr="00FC7058">
              <w:t xml:space="preserve"> our geographical isolation </w:t>
            </w:r>
            <w:r>
              <w:t xml:space="preserve">and unwillingness to operate </w:t>
            </w:r>
            <w:r w:rsidRPr="00FC7058">
              <w:t>nuclear submarines</w:t>
            </w:r>
            <w:r>
              <w:t xml:space="preserve"> requires</w:t>
            </w:r>
            <w:r w:rsidRPr="00FC7058">
              <w:t xml:space="preserve"> longer range </w:t>
            </w:r>
            <w:r>
              <w:t>diesel</w:t>
            </w:r>
            <w:r>
              <w:noBreakHyphen/>
              <w:t>electric</w:t>
            </w:r>
            <w:r w:rsidRPr="00FC7058">
              <w:t xml:space="preserve"> submarines than available elsewhere.</w:t>
            </w:r>
            <w:r>
              <w:t xml:space="preserve"> </w:t>
            </w:r>
          </w:p>
          <w:p w14:paraId="7FB5B613" w14:textId="77777777" w:rsidR="007D417F" w:rsidRDefault="007D417F" w:rsidP="00E44AEF">
            <w:pPr>
              <w:pStyle w:val="Box"/>
            </w:pPr>
            <w:r>
              <w:t>It is sometimes also claimed that</w:t>
            </w:r>
            <w:r w:rsidRPr="00FC7058">
              <w:t xml:space="preserve"> </w:t>
            </w:r>
            <w:r>
              <w:t xml:space="preserve">defence </w:t>
            </w:r>
            <w:r w:rsidRPr="00FC7058">
              <w:t xml:space="preserve">industry assistance </w:t>
            </w:r>
            <w:r>
              <w:t xml:space="preserve">may </w:t>
            </w:r>
            <w:r w:rsidRPr="00FC7058">
              <w:t xml:space="preserve">create technology and skill </w:t>
            </w:r>
            <w:proofErr w:type="spellStart"/>
            <w:r w:rsidRPr="00FC7058">
              <w:t>spillovers</w:t>
            </w:r>
            <w:proofErr w:type="spellEnd"/>
            <w:r w:rsidRPr="00FC7058">
              <w:t xml:space="preserve"> for Australian </w:t>
            </w:r>
            <w:r>
              <w:t xml:space="preserve">research and </w:t>
            </w:r>
            <w:r w:rsidRPr="00FC7058">
              <w:t>manufacturing, particularly when the project develops or adapts new technology or builds skills that are transfer</w:t>
            </w:r>
            <w:r>
              <w:t>able</w:t>
            </w:r>
            <w:r w:rsidRPr="00FC7058">
              <w:t xml:space="preserve"> to industries beyond defence construction.</w:t>
            </w:r>
            <w:r>
              <w:t xml:space="preserve"> However,</w:t>
            </w:r>
            <w:r w:rsidRPr="00FC7058">
              <w:t xml:space="preserve"> </w:t>
            </w:r>
            <w:r>
              <w:t xml:space="preserve">there is little evidence that these </w:t>
            </w:r>
            <w:proofErr w:type="spellStart"/>
            <w:r>
              <w:t>spillovers</w:t>
            </w:r>
            <w:proofErr w:type="spellEnd"/>
            <w:r>
              <w:t xml:space="preserve"> are substantial, relative to the assistance provided to the defence industry sector. In general, t</w:t>
            </w:r>
            <w:r w:rsidRPr="00FC7058">
              <w:t xml:space="preserve">echnology </w:t>
            </w:r>
            <w:proofErr w:type="spellStart"/>
            <w:r w:rsidRPr="00FC7058">
              <w:t>spillovers</w:t>
            </w:r>
            <w:proofErr w:type="spellEnd"/>
            <w:r w:rsidRPr="00FC7058">
              <w:t xml:space="preserve"> are </w:t>
            </w:r>
            <w:r>
              <w:t>less likely when much of the activity of businesses is simply the local assembly of high</w:t>
            </w:r>
            <w:r>
              <w:noBreakHyphen/>
            </w:r>
            <w:r w:rsidRPr="00FC7058">
              <w:t>tech defence components (developed overseas)</w:t>
            </w:r>
            <w:r>
              <w:t>, rather than development of new products based on novel research in Australia.</w:t>
            </w:r>
          </w:p>
        </w:tc>
      </w:tr>
      <w:tr w:rsidR="007D417F" w14:paraId="4F1E13EA" w14:textId="77777777" w:rsidTr="00E44AEF">
        <w:tc>
          <w:tcPr>
            <w:tcW w:w="5000" w:type="pct"/>
            <w:tcBorders>
              <w:top w:val="nil"/>
              <w:left w:val="nil"/>
              <w:bottom w:val="nil"/>
              <w:right w:val="nil"/>
            </w:tcBorders>
            <w:shd w:val="clear" w:color="auto" w:fill="F2F2F2"/>
          </w:tcPr>
          <w:p w14:paraId="01B6711D" w14:textId="77777777" w:rsidR="007D417F" w:rsidRDefault="007D417F" w:rsidP="00AC5385">
            <w:pPr>
              <w:pStyle w:val="BoxSource"/>
            </w:pPr>
            <w:r>
              <w:rPr>
                <w:i/>
              </w:rPr>
              <w:t>Sources</w:t>
            </w:r>
            <w:r w:rsidRPr="00167F06">
              <w:t xml:space="preserve">: </w:t>
            </w:r>
            <w:r>
              <w:t xml:space="preserve">Bourke </w:t>
            </w:r>
            <w:r w:rsidRPr="003116E2">
              <w:rPr>
                <w:rFonts w:cs="Arial"/>
              </w:rPr>
              <w:t>(2019)</w:t>
            </w:r>
            <w:r>
              <w:t xml:space="preserve">, </w:t>
            </w:r>
            <w:r w:rsidRPr="00704E8A">
              <w:t>Davies and Layton</w:t>
            </w:r>
            <w:r>
              <w:t xml:space="preserve"> </w:t>
            </w:r>
            <w:r w:rsidRPr="00704E8A">
              <w:rPr>
                <w:rFonts w:cs="Arial"/>
              </w:rPr>
              <w:t>(2009)</w:t>
            </w:r>
            <w:r>
              <w:t>,</w:t>
            </w:r>
            <w:r w:rsidRPr="00704E8A">
              <w:t xml:space="preserve"> </w:t>
            </w:r>
            <w:r>
              <w:t xml:space="preserve">PC </w:t>
            </w:r>
            <w:r w:rsidR="00AC5385" w:rsidRPr="00AC5385">
              <w:rPr>
                <w:rFonts w:cs="Arial"/>
                <w:szCs w:val="24"/>
              </w:rPr>
              <w:t>(2016b, pp. 36–38)</w:t>
            </w:r>
            <w:r>
              <w:t>.</w:t>
            </w:r>
          </w:p>
        </w:tc>
      </w:tr>
      <w:tr w:rsidR="007D417F" w14:paraId="1A765DAB" w14:textId="77777777" w:rsidTr="00E44AEF">
        <w:tc>
          <w:tcPr>
            <w:tcW w:w="5000" w:type="pct"/>
            <w:tcBorders>
              <w:top w:val="nil"/>
              <w:left w:val="nil"/>
              <w:bottom w:val="single" w:sz="6" w:space="0" w:color="78A22F"/>
              <w:right w:val="nil"/>
            </w:tcBorders>
            <w:shd w:val="clear" w:color="auto" w:fill="F2F2F2"/>
          </w:tcPr>
          <w:p w14:paraId="4FEEE28F" w14:textId="77777777" w:rsidR="007D417F" w:rsidRDefault="007D417F" w:rsidP="00E44AEF">
            <w:pPr>
              <w:pStyle w:val="Box"/>
              <w:spacing w:before="0" w:line="120" w:lineRule="exact"/>
            </w:pPr>
          </w:p>
        </w:tc>
      </w:tr>
      <w:tr w:rsidR="007D417F" w:rsidRPr="000863A5" w14:paraId="398EB67D" w14:textId="77777777" w:rsidTr="00E44AEF">
        <w:tc>
          <w:tcPr>
            <w:tcW w:w="5000" w:type="pct"/>
            <w:tcBorders>
              <w:top w:val="single" w:sz="6" w:space="0" w:color="78A22F"/>
              <w:left w:val="nil"/>
              <w:bottom w:val="nil"/>
              <w:right w:val="nil"/>
            </w:tcBorders>
          </w:tcPr>
          <w:p w14:paraId="49F43B2B" w14:textId="77777777" w:rsidR="007D417F" w:rsidRPr="00626D32" w:rsidRDefault="007D417F" w:rsidP="00E44AEF">
            <w:pPr>
              <w:pStyle w:val="BoxSpaceBelow"/>
            </w:pPr>
          </w:p>
        </w:tc>
      </w:tr>
    </w:tbl>
    <w:p w14:paraId="32FBB965" w14:textId="77777777" w:rsidR="007D417F" w:rsidRDefault="007D417F" w:rsidP="00E44AEF">
      <w:pPr>
        <w:pStyle w:val="BodyText"/>
        <w:rPr>
          <w:szCs w:val="24"/>
        </w:rPr>
      </w:pPr>
      <w:r>
        <w:t>However, Australian defence manufacturing often comes with a substantial ‘local cost premium’. This additional payment — above what is required to source the same quality and quantity of equipment ‘off</w:t>
      </w:r>
      <w:r>
        <w:noBreakHyphen/>
        <w:t>the</w:t>
      </w:r>
      <w:r>
        <w:noBreakHyphen/>
        <w:t>shelf’ from overseas — is a form of industry assistance.</w:t>
      </w:r>
      <w:r w:rsidRPr="00785392">
        <w:t xml:space="preserve"> </w:t>
      </w:r>
      <w:r>
        <w:t>It requires higher taxes (or lower Australian Government spending elsewhere) and diverts</w:t>
      </w:r>
      <w:r w:rsidRPr="00235ABC">
        <w:t xml:space="preserve"> productive resources (</w:t>
      </w:r>
      <w:r>
        <w:t xml:space="preserve">including </w:t>
      </w:r>
      <w:r w:rsidRPr="00235ABC">
        <w:t xml:space="preserve">labour, capital and land) away from </w:t>
      </w:r>
      <w:r>
        <w:t xml:space="preserve">other, </w:t>
      </w:r>
      <w:r w:rsidRPr="00235ABC">
        <w:t>more</w:t>
      </w:r>
      <w:r>
        <w:t xml:space="preserve"> efficient uses, </w:t>
      </w:r>
      <w:r w:rsidRPr="00795ED6">
        <w:t>detract</w:t>
      </w:r>
      <w:r>
        <w:t>ing</w:t>
      </w:r>
      <w:r w:rsidRPr="00795ED6">
        <w:t xml:space="preserve"> from </w:t>
      </w:r>
      <w:r>
        <w:t>Australian incomes.</w:t>
      </w:r>
    </w:p>
    <w:p w14:paraId="7E042550" w14:textId="77777777" w:rsidR="007D417F" w:rsidRDefault="007D417F" w:rsidP="00E44AEF">
      <w:pPr>
        <w:pStyle w:val="BodyText"/>
      </w:pPr>
      <w:r>
        <w:t xml:space="preserve">This industry assistance runs to billions of dollars for major defence projects. For example, the latest estimates suggest that the 12 </w:t>
      </w:r>
      <w:r w:rsidRPr="00524F30">
        <w:rPr>
          <w:i/>
        </w:rPr>
        <w:t>Attack</w:t>
      </w:r>
      <w:r>
        <w:noBreakHyphen/>
        <w:t xml:space="preserve">class submarines under the </w:t>
      </w:r>
      <w:r w:rsidRPr="002C5376">
        <w:rPr>
          <w:i/>
        </w:rPr>
        <w:t>Future Submarine Program</w:t>
      </w:r>
      <w:r>
        <w:t xml:space="preserve"> are expected to cost around $80 billion to construct, the largest Defence procurement in Australia’s history </w:t>
      </w:r>
      <w:r w:rsidRPr="00B85D98">
        <w:rPr>
          <w:szCs w:val="24"/>
        </w:rPr>
        <w:t xml:space="preserve">(ANAO 2020, p. 20; </w:t>
      </w:r>
      <w:proofErr w:type="spellStart"/>
      <w:r w:rsidRPr="00B85D98">
        <w:rPr>
          <w:szCs w:val="24"/>
        </w:rPr>
        <w:t>Hellyer</w:t>
      </w:r>
      <w:proofErr w:type="spellEnd"/>
      <w:r w:rsidRPr="00B85D98">
        <w:rPr>
          <w:szCs w:val="24"/>
        </w:rPr>
        <w:t> 2019)</w:t>
      </w:r>
      <w:r>
        <w:t xml:space="preserve">. A report from the Australian National Audit Office suggests that the local cost premium for the submarines could be around 15 per cent </w:t>
      </w:r>
      <w:r w:rsidRPr="00423893">
        <w:rPr>
          <w:szCs w:val="24"/>
        </w:rPr>
        <w:t>(ANAO 2017, pp. 24–25)</w:t>
      </w:r>
      <w:r>
        <w:t xml:space="preserve"> — equating to over $10 billion of industry assistance to domestic shipbuilding.</w:t>
      </w:r>
      <w:r w:rsidRPr="00B23D07">
        <w:rPr>
          <w:rStyle w:val="FootnoteReference"/>
        </w:rPr>
        <w:footnoteReference w:id="6"/>
      </w:r>
      <w:r>
        <w:t xml:space="preserve"> As an employment assistance measure, this would be equivalent to </w:t>
      </w:r>
      <w:r w:rsidRPr="00FF2D87">
        <w:t>nearly $3.5 million of assistance for each of</w:t>
      </w:r>
      <w:r>
        <w:t xml:space="preserve"> the 2800</w:t>
      </w:r>
      <w:r w:rsidRPr="00B23D07">
        <w:t xml:space="preserve"> </w:t>
      </w:r>
      <w:r>
        <w:t xml:space="preserve">direct and indirect </w:t>
      </w:r>
      <w:r w:rsidRPr="00B23D07">
        <w:t xml:space="preserve">jobs </w:t>
      </w:r>
      <w:r>
        <w:t>supported by</w:t>
      </w:r>
      <w:r w:rsidRPr="00B23D07">
        <w:t xml:space="preserve"> the </w:t>
      </w:r>
      <w:r w:rsidRPr="002C5376">
        <w:rPr>
          <w:i/>
        </w:rPr>
        <w:t>Future Submarine Program</w:t>
      </w:r>
      <w:r>
        <w:t xml:space="preserve"> over the course of the project</w:t>
      </w:r>
      <w:r w:rsidRPr="00B23D07">
        <w:t xml:space="preserve"> </w:t>
      </w:r>
      <w:r w:rsidRPr="005D0232">
        <w:rPr>
          <w:szCs w:val="24"/>
        </w:rPr>
        <w:t>(</w:t>
      </w:r>
      <w:proofErr w:type="spellStart"/>
      <w:r w:rsidRPr="005D0232">
        <w:rPr>
          <w:szCs w:val="24"/>
        </w:rPr>
        <w:t>Hellyer</w:t>
      </w:r>
      <w:proofErr w:type="spellEnd"/>
      <w:r w:rsidRPr="005D0232">
        <w:rPr>
          <w:szCs w:val="24"/>
        </w:rPr>
        <w:t> 2019, p. 79; Turnbull and Payne 2016)</w:t>
      </w:r>
      <w:r w:rsidRPr="00B23D07">
        <w:t>.</w:t>
      </w:r>
      <w:r>
        <w:t xml:space="preserve"> </w:t>
      </w:r>
      <w:r w:rsidDel="00FD589D">
        <w:t xml:space="preserve">As with all government spending (other than during recessionary periods), most of these employees would have held alternative jobs in the absence of the program. </w:t>
      </w:r>
      <w:r>
        <w:t>The costs can also be exacerbated by p</w:t>
      </w:r>
      <w:r w:rsidRPr="00B23D07">
        <w:t>oor economies of scale and limited production</w:t>
      </w:r>
      <w:r>
        <w:t xml:space="preserve">. </w:t>
      </w:r>
      <w:r w:rsidRPr="00A969FF">
        <w:t xml:space="preserve"> </w:t>
      </w:r>
    </w:p>
    <w:p w14:paraId="0018752A" w14:textId="77777777" w:rsidR="007D417F" w:rsidRDefault="007D417F" w:rsidP="00E44AEF">
      <w:pPr>
        <w:pStyle w:val="BodyText"/>
      </w:pPr>
      <w:r>
        <w:lastRenderedPageBreak/>
        <w:t>Although piecemeal estimates of the premium are available for some projects, the overall amount of assistance delivered to the defence industry is often difficult to quantify. Partly, this is because the counterfactual of domestic supply in the absence of assistance</w:t>
      </w:r>
      <w:r w:rsidRPr="004E7F95">
        <w:t xml:space="preserve"> </w:t>
      </w:r>
      <w:r>
        <w:t xml:space="preserve">is often not observable. But another obstacle is that the Government seldom publishes the detailed </w:t>
      </w:r>
      <w:proofErr w:type="spellStart"/>
      <w:r>
        <w:t>costings</w:t>
      </w:r>
      <w:proofErr w:type="spellEnd"/>
      <w:r>
        <w:t xml:space="preserve"> and business cases that would provide sufficient information on the size of the local cost premium. For example, the ANAO was recently prevented </w:t>
      </w:r>
      <w:r w:rsidRPr="003E498B">
        <w:t xml:space="preserve">from publishing </w:t>
      </w:r>
      <w:r>
        <w:t>its</w:t>
      </w:r>
      <w:r w:rsidRPr="003E498B">
        <w:t xml:space="preserve"> conclusions </w:t>
      </w:r>
      <w:r>
        <w:t xml:space="preserve">on the effectiveness and value for money </w:t>
      </w:r>
      <w:r w:rsidRPr="003E498B">
        <w:t xml:space="preserve">of the $2.2 billion acquisition of the </w:t>
      </w:r>
      <w:proofErr w:type="spellStart"/>
      <w:r w:rsidRPr="003E498B">
        <w:t>Hawkei</w:t>
      </w:r>
      <w:proofErr w:type="spellEnd"/>
      <w:r w:rsidRPr="003E498B">
        <w:t xml:space="preserve"> (Protected Mobility Vehicle — Light)</w:t>
      </w:r>
      <w:r>
        <w:t xml:space="preserve"> </w:t>
      </w:r>
      <w:r w:rsidRPr="003E498B">
        <w:rPr>
          <w:szCs w:val="24"/>
        </w:rPr>
        <w:t>(ANAO 2018, p.</w:t>
      </w:r>
      <w:r w:rsidRPr="00BD5971">
        <w:rPr>
          <w:szCs w:val="24"/>
        </w:rPr>
        <w:t> 8; Burgess 2019)</w:t>
      </w:r>
      <w:r>
        <w:t>.</w:t>
      </w:r>
    </w:p>
    <w:p w14:paraId="45536C8D" w14:textId="77777777" w:rsidR="007D417F" w:rsidRDefault="007D417F" w:rsidP="00E44AEF">
      <w:pPr>
        <w:pStyle w:val="BodyText"/>
      </w:pPr>
      <w:r>
        <w:t>As such, local cost premiums on major projects are often unknown, despite their multi</w:t>
      </w:r>
      <w:r>
        <w:noBreakHyphen/>
        <w:t>billion dollar price tags.</w:t>
      </w:r>
      <w:r w:rsidRPr="00AB3021">
        <w:t xml:space="preserve"> </w:t>
      </w:r>
      <w:r>
        <w:t xml:space="preserve">The Commission has previously called for greater transparency of local cost premiums, and pointed to ways to support transparency, while still respecting confidentiality and national security </w:t>
      </w:r>
      <w:r w:rsidR="00AC5385" w:rsidRPr="00AC5385">
        <w:rPr>
          <w:szCs w:val="24"/>
        </w:rPr>
        <w:t>(PC 2014d, pp. 29–31)</w:t>
      </w:r>
      <w:r>
        <w:t>.</w:t>
      </w:r>
    </w:p>
    <w:p w14:paraId="2C784214" w14:textId="77777777" w:rsidR="007D417F" w:rsidRDefault="007D417F" w:rsidP="00E44AEF">
      <w:pPr>
        <w:pStyle w:val="BodyText"/>
      </w:pPr>
      <w:r>
        <w:t>There may be valid policy rationales for maintaining a strong Australian defence industry (particularly for operational or capability reasons). However, there is not a clear policy framework setting out where and when this is worthwhile. Nor is there information published about local cost premiums involved with particular projects. This makes it difficult to have confidence that these benefits outweigh the considerable added cost to taxpayers.</w:t>
      </w:r>
    </w:p>
    <w:p w14:paraId="1C8BCD1D" w14:textId="77777777" w:rsidR="007D417F" w:rsidRDefault="007D417F" w:rsidP="00E44AEF">
      <w:pPr>
        <w:pStyle w:val="Heading2"/>
      </w:pPr>
      <w:bookmarkStart w:id="23" w:name="_Toc38382141"/>
      <w:r>
        <w:t>2.</w:t>
      </w:r>
      <w:r>
        <w:rPr>
          <w:noProof/>
        </w:rPr>
        <w:t>2</w:t>
      </w:r>
      <w:r>
        <w:tab/>
        <w:t>Drought, flood and bushfire assistance for farmers</w:t>
      </w:r>
      <w:bookmarkEnd w:id="23"/>
    </w:p>
    <w:p w14:paraId="3A488ED4" w14:textId="77777777" w:rsidR="007D417F" w:rsidRDefault="007D417F" w:rsidP="00120072">
      <w:pPr>
        <w:pStyle w:val="BodyText"/>
      </w:pPr>
      <w:r>
        <w:t xml:space="preserve">Over the past year, many Australian farmers, rural businesses, families and regional communities have faced a continued period of hardship due to the ongoing impacts of drought, with the added difficulties of severe bushfires and flooding in some areas. Federal and state governments have responded with a range of initiatives to support affected communities, including new assistance for the Townsville region after the </w:t>
      </w:r>
      <w:r w:rsidRPr="00C57951">
        <w:t xml:space="preserve">floods of </w:t>
      </w:r>
      <w:r>
        <w:t xml:space="preserve">January and </w:t>
      </w:r>
      <w:r w:rsidRPr="00C57951">
        <w:t>February 2019</w:t>
      </w:r>
      <w:r>
        <w:t xml:space="preserve"> (box 2.2) and additional supports for drought</w:t>
      </w:r>
      <w:r>
        <w:noBreakHyphen/>
        <w:t xml:space="preserve">affected areas across the country (box 2.3). </w:t>
      </w:r>
    </w:p>
    <w:p w14:paraId="0C9C24D3" w14:textId="77777777" w:rsidR="007D417F" w:rsidRDefault="007D417F" w:rsidP="00E44AEF">
      <w:pPr>
        <w:pStyle w:val="BodyText"/>
      </w:pPr>
      <w:r>
        <w:t xml:space="preserve">Australia’s variable climate results in </w:t>
      </w:r>
      <w:r w:rsidRPr="007450BC">
        <w:rPr>
          <w:spacing w:val="2"/>
        </w:rPr>
        <w:t>periods of drought</w:t>
      </w:r>
      <w:r>
        <w:rPr>
          <w:spacing w:val="2"/>
        </w:rPr>
        <w:t xml:space="preserve">, fire or flood. Governments at all levels respond with </w:t>
      </w:r>
      <w:r w:rsidRPr="007450BC">
        <w:rPr>
          <w:spacing w:val="2"/>
        </w:rPr>
        <w:t xml:space="preserve">support </w:t>
      </w:r>
      <w:r>
        <w:rPr>
          <w:spacing w:val="2"/>
        </w:rPr>
        <w:t>for the affected communities.</w:t>
      </w:r>
      <w:r w:rsidRPr="00731944">
        <w:t xml:space="preserve"> </w:t>
      </w:r>
      <w:r>
        <w:t>Some of this assistance is aimed at local businesses (rather than at affected families and communities), which is a form of industry assistance.</w:t>
      </w:r>
    </w:p>
    <w:p w14:paraId="5D3D62E8" w14:textId="77777777" w:rsidR="007D417F" w:rsidRDefault="007D417F" w:rsidP="00E44AEF">
      <w:pPr>
        <w:pStyle w:val="BodyText"/>
        <w:rPr>
          <w:spacing w:val="2"/>
        </w:rPr>
      </w:pPr>
      <w:r w:rsidRPr="007450BC">
        <w:rPr>
          <w:spacing w:val="2"/>
        </w:rPr>
        <w:t xml:space="preserve">The Commission’s most recent work </w:t>
      </w:r>
      <w:r>
        <w:rPr>
          <w:spacing w:val="2"/>
        </w:rPr>
        <w:t xml:space="preserve">relating to disaster support </w:t>
      </w:r>
      <w:r w:rsidRPr="007450BC">
        <w:rPr>
          <w:spacing w:val="2"/>
        </w:rPr>
        <w:t xml:space="preserve">was </w:t>
      </w:r>
      <w:r>
        <w:rPr>
          <w:spacing w:val="2"/>
        </w:rPr>
        <w:t xml:space="preserve">the </w:t>
      </w:r>
      <w:r w:rsidRPr="00AD0618">
        <w:rPr>
          <w:spacing w:val="2"/>
        </w:rPr>
        <w:t xml:space="preserve">Natural Disaster Funding </w:t>
      </w:r>
      <w:r>
        <w:rPr>
          <w:spacing w:val="2"/>
        </w:rPr>
        <w:t xml:space="preserve">Arrangements </w:t>
      </w:r>
      <w:r w:rsidRPr="00AD0618">
        <w:rPr>
          <w:spacing w:val="2"/>
        </w:rPr>
        <w:t>inquiry</w:t>
      </w:r>
      <w:r>
        <w:rPr>
          <w:spacing w:val="2"/>
        </w:rPr>
        <w:t xml:space="preserve"> </w:t>
      </w:r>
      <w:r w:rsidRPr="006D3651">
        <w:rPr>
          <w:szCs w:val="24"/>
        </w:rPr>
        <w:t>(PC 2014a)</w:t>
      </w:r>
      <w:r>
        <w:rPr>
          <w:spacing w:val="2"/>
        </w:rPr>
        <w:t>.</w:t>
      </w:r>
      <w:r w:rsidRPr="00AD0618">
        <w:t xml:space="preserve"> </w:t>
      </w:r>
      <w:r w:rsidRPr="00AD0618">
        <w:rPr>
          <w:spacing w:val="2"/>
        </w:rPr>
        <w:t>The inquiry was undertaken following the 2009 Victorian fires and a period of flooding and cyclones in Queensland, which significantly increased the Australian Government’s outlays on disaster assistance</w:t>
      </w:r>
      <w:r>
        <w:rPr>
          <w:spacing w:val="2"/>
        </w:rPr>
        <w:t>.</w:t>
      </w:r>
      <w:r w:rsidRPr="00AD0618">
        <w:t xml:space="preserve"> </w:t>
      </w:r>
      <w:r>
        <w:t>T</w:t>
      </w:r>
      <w:r w:rsidRPr="00AD0618">
        <w:rPr>
          <w:spacing w:val="2"/>
        </w:rPr>
        <w:t xml:space="preserve">he </w:t>
      </w:r>
      <w:r>
        <w:rPr>
          <w:spacing w:val="2"/>
        </w:rPr>
        <w:t>Commission</w:t>
      </w:r>
      <w:r w:rsidRPr="00AD0618">
        <w:rPr>
          <w:spacing w:val="2"/>
        </w:rPr>
        <w:t xml:space="preserve"> f</w:t>
      </w:r>
      <w:r>
        <w:rPr>
          <w:spacing w:val="2"/>
        </w:rPr>
        <w:t xml:space="preserve">ound that governments were </w:t>
      </w:r>
      <w:r w:rsidRPr="00AD0618">
        <w:rPr>
          <w:spacing w:val="2"/>
        </w:rPr>
        <w:t>underinvest</w:t>
      </w:r>
      <w:r>
        <w:rPr>
          <w:spacing w:val="2"/>
        </w:rPr>
        <w:t>ing in mitigation and insurance, while over</w:t>
      </w:r>
      <w:r>
        <w:rPr>
          <w:spacing w:val="2"/>
        </w:rPr>
        <w:noBreakHyphen/>
        <w:t>investing in post</w:t>
      </w:r>
      <w:r>
        <w:rPr>
          <w:spacing w:val="2"/>
        </w:rPr>
        <w:noBreakHyphen/>
      </w:r>
      <w:r w:rsidRPr="00AD0618">
        <w:rPr>
          <w:spacing w:val="2"/>
        </w:rPr>
        <w:t>disaster recovery</w:t>
      </w:r>
      <w:r>
        <w:rPr>
          <w:spacing w:val="2"/>
        </w:rPr>
        <w:t>, reducing</w:t>
      </w:r>
      <w:r w:rsidRPr="00504BF2">
        <w:rPr>
          <w:spacing w:val="2"/>
        </w:rPr>
        <w:t xml:space="preserve"> incentives </w:t>
      </w:r>
      <w:r>
        <w:rPr>
          <w:spacing w:val="2"/>
        </w:rPr>
        <w:t xml:space="preserve">for businesses and households </w:t>
      </w:r>
      <w:r w:rsidRPr="00504BF2">
        <w:rPr>
          <w:spacing w:val="2"/>
        </w:rPr>
        <w:t>to manage risks.</w:t>
      </w:r>
    </w:p>
    <w:p w14:paraId="17083739" w14:textId="77777777" w:rsidR="007D417F" w:rsidRDefault="007D417F" w:rsidP="00E44AEF">
      <w:pPr>
        <w:pStyle w:val="BodyText"/>
        <w:rPr>
          <w:spacing w:val="2"/>
        </w:rPr>
      </w:pPr>
      <w:r>
        <w:rPr>
          <w:spacing w:val="2"/>
        </w:rPr>
        <w:lastRenderedPageBreak/>
        <w:t xml:space="preserve">In its </w:t>
      </w:r>
      <w:r w:rsidRPr="007450BC">
        <w:rPr>
          <w:spacing w:val="2"/>
        </w:rPr>
        <w:t xml:space="preserve">Government Drought Support inquiry </w:t>
      </w:r>
      <w:r w:rsidRPr="00BF664D">
        <w:rPr>
          <w:szCs w:val="24"/>
        </w:rPr>
        <w:t>(PC 2009)</w:t>
      </w:r>
      <w:r>
        <w:rPr>
          <w:spacing w:val="2"/>
        </w:rPr>
        <w:t xml:space="preserve">, the Commission found that, while </w:t>
      </w:r>
      <w:r w:rsidRPr="007450BC">
        <w:rPr>
          <w:spacing w:val="2"/>
        </w:rPr>
        <w:t xml:space="preserve">drought assistance programs </w:t>
      </w:r>
      <w:r>
        <w:rPr>
          <w:spacing w:val="2"/>
        </w:rPr>
        <w:t xml:space="preserve">benefited recipients, they </w:t>
      </w:r>
      <w:r w:rsidRPr="007450BC">
        <w:rPr>
          <w:spacing w:val="2"/>
        </w:rPr>
        <w:t xml:space="preserve">did not help farmers improve their self‑reliance, preparedness and climate change management. </w:t>
      </w:r>
      <w:r>
        <w:rPr>
          <w:spacing w:val="2"/>
        </w:rPr>
        <w:t>Rather</w:t>
      </w:r>
      <w:r w:rsidRPr="007450BC">
        <w:rPr>
          <w:spacing w:val="2"/>
        </w:rPr>
        <w:t>, the ex</w:t>
      </w:r>
      <w:r>
        <w:rPr>
          <w:spacing w:val="2"/>
        </w:rPr>
        <w:t>pectation of government support</w:t>
      </w:r>
      <w:r w:rsidRPr="007450BC">
        <w:rPr>
          <w:spacing w:val="2"/>
        </w:rPr>
        <w:t xml:space="preserve"> acted like implicit insurance (without a premium)</w:t>
      </w:r>
      <w:r>
        <w:rPr>
          <w:spacing w:val="2"/>
        </w:rPr>
        <w:t>,</w:t>
      </w:r>
      <w:r w:rsidRPr="007450BC">
        <w:rPr>
          <w:spacing w:val="2"/>
        </w:rPr>
        <w:t xml:space="preserve"> </w:t>
      </w:r>
      <w:r>
        <w:rPr>
          <w:spacing w:val="2"/>
        </w:rPr>
        <w:t>reducing the incentives for farmers to manage the business risks themselves</w:t>
      </w:r>
      <w:r>
        <w:t>.</w:t>
      </w:r>
    </w:p>
    <w:p w14:paraId="313B507D" w14:textId="77777777" w:rsidR="007D417F" w:rsidRPr="007450BC" w:rsidRDefault="007D417F" w:rsidP="00E44AEF">
      <w:pPr>
        <w:pStyle w:val="BodyText"/>
        <w:rPr>
          <w:spacing w:val="2"/>
        </w:rPr>
      </w:pPr>
      <w:r>
        <w:rPr>
          <w:spacing w:val="2"/>
        </w:rPr>
        <w:t>The Commission has not reviewed the design of more recent supports for farmers. Over time, they should receive the</w:t>
      </w:r>
      <w:r w:rsidRPr="00DF5C31">
        <w:rPr>
          <w:spacing w:val="2"/>
        </w:rPr>
        <w:t xml:space="preserve"> same scrutiny as earlier </w:t>
      </w:r>
      <w:r>
        <w:rPr>
          <w:spacing w:val="2"/>
        </w:rPr>
        <w:t>programs</w:t>
      </w:r>
      <w:r w:rsidRPr="00DF5C31">
        <w:rPr>
          <w:spacing w:val="2"/>
        </w:rPr>
        <w:t>, including consider</w:t>
      </w:r>
      <w:r>
        <w:rPr>
          <w:spacing w:val="2"/>
        </w:rPr>
        <w:t xml:space="preserve">ation of how they are </w:t>
      </w:r>
      <w:r w:rsidRPr="00DF5C31">
        <w:rPr>
          <w:spacing w:val="2"/>
        </w:rPr>
        <w:t xml:space="preserve">targeted and whether </w:t>
      </w:r>
      <w:r>
        <w:rPr>
          <w:spacing w:val="2"/>
        </w:rPr>
        <w:t>they support (or undermine)</w:t>
      </w:r>
      <w:r w:rsidRPr="00DF5C31">
        <w:rPr>
          <w:spacing w:val="2"/>
        </w:rPr>
        <w:t xml:space="preserve"> the sustainability of the farming sector</w:t>
      </w:r>
      <w:r>
        <w:rPr>
          <w:spacing w:val="2"/>
        </w:rPr>
        <w:t>.</w:t>
      </w:r>
    </w:p>
    <w:p w14:paraId="4B8B8986" w14:textId="77777777" w:rsidR="007D417F" w:rsidRDefault="007D417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417F" w14:paraId="68748094" w14:textId="77777777" w:rsidTr="00E44AEF">
        <w:trPr>
          <w:tblHeader/>
        </w:trPr>
        <w:tc>
          <w:tcPr>
            <w:tcW w:w="5000" w:type="pct"/>
            <w:tcBorders>
              <w:top w:val="single" w:sz="6" w:space="0" w:color="78A22F"/>
              <w:left w:val="nil"/>
              <w:bottom w:val="nil"/>
              <w:right w:val="nil"/>
            </w:tcBorders>
            <w:shd w:val="clear" w:color="auto" w:fill="F2F2F2"/>
          </w:tcPr>
          <w:p w14:paraId="4327C9C6" w14:textId="77777777" w:rsidR="007D417F" w:rsidRDefault="007D417F" w:rsidP="00E44AEF">
            <w:pPr>
              <w:pStyle w:val="BoxTitle"/>
            </w:pPr>
            <w:r>
              <w:rPr>
                <w:b w:val="0"/>
              </w:rPr>
              <w:t>Box 2.</w:t>
            </w:r>
            <w:r>
              <w:rPr>
                <w:b w:val="0"/>
                <w:noProof/>
              </w:rPr>
              <w:t>2</w:t>
            </w:r>
            <w:r>
              <w:tab/>
              <w:t>Support for North Queensland in the wake of flooding</w:t>
            </w:r>
          </w:p>
        </w:tc>
      </w:tr>
      <w:tr w:rsidR="007D417F" w14:paraId="1A4DCD40" w14:textId="77777777" w:rsidTr="00E44AEF">
        <w:tc>
          <w:tcPr>
            <w:tcW w:w="5000" w:type="pct"/>
            <w:tcBorders>
              <w:top w:val="nil"/>
              <w:left w:val="nil"/>
              <w:bottom w:val="nil"/>
              <w:right w:val="nil"/>
            </w:tcBorders>
            <w:shd w:val="clear" w:color="auto" w:fill="F2F2F2"/>
          </w:tcPr>
          <w:p w14:paraId="58758AD3" w14:textId="77777777" w:rsidR="007D417F" w:rsidRDefault="007D417F" w:rsidP="00E44AEF">
            <w:pPr>
              <w:pStyle w:val="Box"/>
            </w:pPr>
            <w:r>
              <w:t xml:space="preserve">Following the monsoonal floods in North Queensland in early 2019, the Australian Government announced a range of assistance measures worth </w:t>
            </w:r>
            <w:r w:rsidRPr="00FF2D87">
              <w:t>$232 million</w:t>
            </w:r>
            <w:r>
              <w:t xml:space="preserve"> (to be matched by Queensland Government contributions under the Disaster Recovery Funding Arrangements), including:</w:t>
            </w:r>
          </w:p>
          <w:p w14:paraId="305BB16C" w14:textId="77777777" w:rsidR="007D417F" w:rsidRDefault="007D417F" w:rsidP="00E44AEF">
            <w:pPr>
              <w:pStyle w:val="BoxListBullet"/>
            </w:pPr>
            <w:r w:rsidRPr="00D824FB">
              <w:rPr>
                <w:i/>
              </w:rPr>
              <w:t>Special Disaster Assistance Recovery Grants</w:t>
            </w:r>
            <w:r>
              <w:t xml:space="preserve"> for</w:t>
            </w:r>
            <w:r w:rsidRPr="00514C5A">
              <w:t xml:space="preserve"> clean</w:t>
            </w:r>
            <w:r>
              <w:noBreakHyphen/>
            </w:r>
            <w:r w:rsidRPr="00514C5A">
              <w:t>up and reinstatement costs</w:t>
            </w:r>
            <w:r>
              <w:t>, up to $75 000</w:t>
            </w:r>
            <w:r w:rsidRPr="00514C5A">
              <w:t xml:space="preserve"> </w:t>
            </w:r>
            <w:r>
              <w:t>for farmers and $50 000 for small businesses and non</w:t>
            </w:r>
            <w:r>
              <w:noBreakHyphen/>
              <w:t xml:space="preserve">profits </w:t>
            </w:r>
          </w:p>
          <w:p w14:paraId="48B23DDF" w14:textId="77777777" w:rsidR="007D417F" w:rsidRDefault="007D417F" w:rsidP="00E44AEF">
            <w:pPr>
              <w:pStyle w:val="BoxListBullet"/>
            </w:pPr>
            <w:r>
              <w:t>low</w:t>
            </w:r>
            <w:r>
              <w:noBreakHyphen/>
            </w:r>
            <w:r w:rsidRPr="001440C4">
              <w:t xml:space="preserve">interest </w:t>
            </w:r>
            <w:r w:rsidRPr="00D824FB">
              <w:rPr>
                <w:i/>
              </w:rPr>
              <w:t>Disaster Assistance Loans</w:t>
            </w:r>
            <w:r>
              <w:t xml:space="preserve"> of up to $250 </w:t>
            </w:r>
            <w:r w:rsidRPr="001440C4">
              <w:t>000</w:t>
            </w:r>
            <w:r>
              <w:t xml:space="preserve"> for farmers and small businesses ($100 000 for non</w:t>
            </w:r>
            <w:r>
              <w:noBreakHyphen/>
              <w:t>profits) to repair or replace</w:t>
            </w:r>
            <w:r w:rsidRPr="001440C4">
              <w:t xml:space="preserve"> assets </w:t>
            </w:r>
            <w:r>
              <w:t>that have been significantly damaged</w:t>
            </w:r>
          </w:p>
          <w:p w14:paraId="78FC7258" w14:textId="77777777" w:rsidR="007D417F" w:rsidRDefault="007D417F" w:rsidP="00E44AEF">
            <w:pPr>
              <w:pStyle w:val="BoxListBullet"/>
            </w:pPr>
            <w:r>
              <w:t xml:space="preserve">concessional </w:t>
            </w:r>
            <w:r w:rsidRPr="00D824FB">
              <w:rPr>
                <w:i/>
              </w:rPr>
              <w:t>Disaster Assistance (Essential Working Capital) Loans</w:t>
            </w:r>
            <w:r>
              <w:t xml:space="preserve"> of up to $100 000 for farmers, small businesses and non</w:t>
            </w:r>
            <w:r>
              <w:noBreakHyphen/>
              <w:t>profits, to cover expenses such as wages, rent, credit repayments and fuel or fodder purchases</w:t>
            </w:r>
          </w:p>
          <w:p w14:paraId="07BB8E1D" w14:textId="77777777" w:rsidR="007D417F" w:rsidRDefault="007D417F" w:rsidP="00E44AEF">
            <w:pPr>
              <w:pStyle w:val="BoxListBullet"/>
            </w:pPr>
            <w:r>
              <w:t>low</w:t>
            </w:r>
            <w:r>
              <w:noBreakHyphen/>
              <w:t xml:space="preserve">interest </w:t>
            </w:r>
            <w:r w:rsidRPr="00D824FB">
              <w:rPr>
                <w:i/>
              </w:rPr>
              <w:t>Exceptional Disaster Assistance Loans</w:t>
            </w:r>
            <w:r>
              <w:t xml:space="preserve"> of up to $1 million (less any other concessional disaster loans) for farms and small businesses with</w:t>
            </w:r>
            <w:r w:rsidRPr="00D32475">
              <w:t xml:space="preserve"> exceptional damage</w:t>
            </w:r>
            <w:r>
              <w:t>.</w:t>
            </w:r>
          </w:p>
          <w:p w14:paraId="414790A1" w14:textId="77777777" w:rsidR="007D417F" w:rsidRPr="00ED75DF" w:rsidRDefault="007D417F" w:rsidP="00E44AEF">
            <w:pPr>
              <w:pStyle w:val="Box"/>
            </w:pPr>
            <w:r>
              <w:t>Separately, the</w:t>
            </w:r>
            <w:r w:rsidRPr="00ED75DF">
              <w:t xml:space="preserve"> Australian Government </w:t>
            </w:r>
            <w:r>
              <w:t xml:space="preserve">also </w:t>
            </w:r>
            <w:r w:rsidRPr="00ED75DF">
              <w:t xml:space="preserve">announced </w:t>
            </w:r>
            <w:r>
              <w:t>over $3 billion of additional</w:t>
            </w:r>
            <w:r w:rsidRPr="00ED75DF">
              <w:t xml:space="preserve"> </w:t>
            </w:r>
            <w:r>
              <w:t>measures</w:t>
            </w:r>
            <w:r w:rsidRPr="00ED75DF">
              <w:t xml:space="preserve"> </w:t>
            </w:r>
            <w:r>
              <w:t>that</w:t>
            </w:r>
            <w:r w:rsidRPr="00ED75DF">
              <w:t xml:space="preserve"> included:</w:t>
            </w:r>
          </w:p>
          <w:p w14:paraId="71843CC3" w14:textId="77777777" w:rsidR="007D417F" w:rsidRDefault="007D417F" w:rsidP="00E44AEF">
            <w:pPr>
              <w:pStyle w:val="BoxListBullet"/>
            </w:pPr>
            <w:r w:rsidRPr="00ED75DF">
              <w:t>$300</w:t>
            </w:r>
            <w:r>
              <w:t xml:space="preserve"> million for</w:t>
            </w:r>
            <w:r w:rsidRPr="00ED75DF">
              <w:t xml:space="preserve"> </w:t>
            </w:r>
            <w:r w:rsidRPr="00D824FB">
              <w:rPr>
                <w:i/>
              </w:rPr>
              <w:t>North Queensland Restocking, Replanting &amp; On</w:t>
            </w:r>
            <w:r>
              <w:rPr>
                <w:i/>
              </w:rPr>
              <w:noBreakHyphen/>
            </w:r>
            <w:r w:rsidRPr="00D824FB">
              <w:rPr>
                <w:i/>
              </w:rPr>
              <w:t>farm Infrastructure Grants</w:t>
            </w:r>
            <w:r>
              <w:t>, providing</w:t>
            </w:r>
            <w:r w:rsidRPr="00ED75DF">
              <w:t xml:space="preserve"> up to </w:t>
            </w:r>
            <w:r>
              <w:t>$400 </w:t>
            </w:r>
            <w:r w:rsidRPr="00ED75DF">
              <w:t xml:space="preserve">000 to </w:t>
            </w:r>
            <w:r>
              <w:t>farmers (after a 100 per cent co</w:t>
            </w:r>
            <w:r>
              <w:noBreakHyphen/>
              <w:t xml:space="preserve">contribution from the farmer) to </w:t>
            </w:r>
            <w:r w:rsidRPr="00ED75DF">
              <w:t>restock</w:t>
            </w:r>
            <w:r>
              <w:t xml:space="preserve"> or replant, and</w:t>
            </w:r>
            <w:r w:rsidRPr="00ED75DF">
              <w:t xml:space="preserve"> </w:t>
            </w:r>
            <w:r>
              <w:t xml:space="preserve">to repair or </w:t>
            </w:r>
            <w:r w:rsidRPr="00ED75DF">
              <w:t>replac</w:t>
            </w:r>
            <w:r>
              <w:t>e damaged farm infrastructure</w:t>
            </w:r>
          </w:p>
          <w:p w14:paraId="791C0198" w14:textId="77777777" w:rsidR="007D417F" w:rsidRPr="00ED75DF" w:rsidRDefault="007D417F" w:rsidP="00E44AEF">
            <w:pPr>
              <w:pStyle w:val="BoxListBullet"/>
            </w:pPr>
            <w:r w:rsidRPr="00ED75DF">
              <w:t>up to $1.75 billion in loans to authorised deposit</w:t>
            </w:r>
            <w:r>
              <w:noBreakHyphen/>
            </w:r>
            <w:r w:rsidRPr="00ED75DF">
              <w:t xml:space="preserve">taking institutions to support interest rate relief for existing and new business loans to affected </w:t>
            </w:r>
            <w:r>
              <w:t>farmers</w:t>
            </w:r>
          </w:p>
          <w:p w14:paraId="42760EB1" w14:textId="77777777" w:rsidR="007D417F" w:rsidRPr="00ED75DF" w:rsidRDefault="007D417F" w:rsidP="00E44AEF">
            <w:pPr>
              <w:pStyle w:val="BoxListBullet"/>
            </w:pPr>
            <w:r w:rsidRPr="00ED75DF">
              <w:t xml:space="preserve">up to $1 billion </w:t>
            </w:r>
            <w:r>
              <w:t>in</w:t>
            </w:r>
            <w:r w:rsidRPr="00ED75DF">
              <w:t xml:space="preserve"> </w:t>
            </w:r>
            <w:r>
              <w:t xml:space="preserve">concessional </w:t>
            </w:r>
            <w:proofErr w:type="spellStart"/>
            <w:r w:rsidRPr="003847CD">
              <w:rPr>
                <w:i/>
              </w:rPr>
              <w:t>AgRebuild</w:t>
            </w:r>
            <w:proofErr w:type="spellEnd"/>
            <w:r w:rsidRPr="003847CD">
              <w:rPr>
                <w:i/>
              </w:rPr>
              <w:t xml:space="preserve"> Loans</w:t>
            </w:r>
            <w:r>
              <w:t xml:space="preserve"> from</w:t>
            </w:r>
            <w:r w:rsidRPr="00ED75DF">
              <w:t xml:space="preserve"> the Regional Investment Corporation</w:t>
            </w:r>
            <w:r>
              <w:t>,</w:t>
            </w:r>
            <w:r w:rsidRPr="00ED75DF">
              <w:t xml:space="preserve"> to assist farm</w:t>
            </w:r>
            <w:r>
              <w:t>ers through loans of up to $5 million each</w:t>
            </w:r>
          </w:p>
          <w:p w14:paraId="461E7A7C" w14:textId="77777777" w:rsidR="007D417F" w:rsidRDefault="007D417F" w:rsidP="00E44AEF">
            <w:pPr>
              <w:pStyle w:val="BoxListBullet"/>
            </w:pPr>
            <w:r w:rsidRPr="00ED75DF">
              <w:t xml:space="preserve">$32.9 million over five years to establish </w:t>
            </w:r>
            <w:r>
              <w:t>a</w:t>
            </w:r>
            <w:r w:rsidRPr="00ED75DF">
              <w:t xml:space="preserve"> North Queensland Livestock Industry Recovery Agency </w:t>
            </w:r>
            <w:r>
              <w:t>to</w:t>
            </w:r>
            <w:r w:rsidRPr="00ED75DF">
              <w:t xml:space="preserve"> coordinate Commonwealth efforts</w:t>
            </w:r>
            <w:r>
              <w:t>.</w:t>
            </w:r>
          </w:p>
        </w:tc>
      </w:tr>
      <w:tr w:rsidR="007D417F" w14:paraId="5007D610" w14:textId="77777777" w:rsidTr="00E44AEF">
        <w:tc>
          <w:tcPr>
            <w:tcW w:w="5000" w:type="pct"/>
            <w:tcBorders>
              <w:top w:val="nil"/>
              <w:left w:val="nil"/>
              <w:bottom w:val="nil"/>
              <w:right w:val="nil"/>
            </w:tcBorders>
            <w:shd w:val="clear" w:color="auto" w:fill="F2F2F2"/>
          </w:tcPr>
          <w:p w14:paraId="35C7E0CD" w14:textId="77777777" w:rsidR="007D417F" w:rsidRPr="0049377C" w:rsidRDefault="007D417F" w:rsidP="00E44AEF">
            <w:pPr>
              <w:pStyle w:val="BoxSource"/>
              <w:rPr>
                <w:spacing w:val="-4"/>
              </w:rPr>
            </w:pPr>
            <w:r w:rsidRPr="0049377C">
              <w:rPr>
                <w:i/>
                <w:spacing w:val="-4"/>
              </w:rPr>
              <w:t>Sources</w:t>
            </w:r>
            <w:r w:rsidRPr="0049377C">
              <w:rPr>
                <w:spacing w:val="-4"/>
              </w:rPr>
              <w:t xml:space="preserve">: Australian Government </w:t>
            </w:r>
            <w:r w:rsidRPr="0049377C">
              <w:rPr>
                <w:rFonts w:cs="Arial"/>
                <w:spacing w:val="-4"/>
                <w:szCs w:val="24"/>
              </w:rPr>
              <w:t>(2019a, pp. 62–63, 111)</w:t>
            </w:r>
            <w:r w:rsidRPr="0049377C">
              <w:rPr>
                <w:spacing w:val="-4"/>
              </w:rPr>
              <w:t xml:space="preserve">, Morrison </w:t>
            </w:r>
            <w:r w:rsidRPr="0049377C">
              <w:rPr>
                <w:rFonts w:cs="Arial"/>
                <w:spacing w:val="-4"/>
              </w:rPr>
              <w:t>(2019b, 2019a)</w:t>
            </w:r>
            <w:r w:rsidRPr="0049377C">
              <w:rPr>
                <w:spacing w:val="-4"/>
              </w:rPr>
              <w:t xml:space="preserve">, RIC </w:t>
            </w:r>
            <w:r w:rsidRPr="0049377C">
              <w:rPr>
                <w:rFonts w:cs="Arial"/>
                <w:spacing w:val="-4"/>
              </w:rPr>
              <w:t>(2020)</w:t>
            </w:r>
            <w:r w:rsidRPr="0049377C">
              <w:rPr>
                <w:spacing w:val="-4"/>
              </w:rPr>
              <w:t>, QRIDA (2020).</w:t>
            </w:r>
          </w:p>
        </w:tc>
      </w:tr>
      <w:tr w:rsidR="007D417F" w14:paraId="7DF4ECE7" w14:textId="77777777" w:rsidTr="00E44AEF">
        <w:tc>
          <w:tcPr>
            <w:tcW w:w="5000" w:type="pct"/>
            <w:tcBorders>
              <w:top w:val="nil"/>
              <w:left w:val="nil"/>
              <w:bottom w:val="single" w:sz="6" w:space="0" w:color="78A22F"/>
              <w:right w:val="nil"/>
            </w:tcBorders>
            <w:shd w:val="clear" w:color="auto" w:fill="F2F2F2"/>
          </w:tcPr>
          <w:p w14:paraId="57AC097D" w14:textId="77777777" w:rsidR="007D417F" w:rsidRDefault="007D417F">
            <w:pPr>
              <w:pStyle w:val="Box"/>
              <w:spacing w:before="0" w:line="120" w:lineRule="exact"/>
            </w:pPr>
          </w:p>
        </w:tc>
      </w:tr>
      <w:tr w:rsidR="007D417F" w:rsidRPr="000863A5" w14:paraId="587227F9" w14:textId="77777777" w:rsidTr="00E44AEF">
        <w:tc>
          <w:tcPr>
            <w:tcW w:w="5000" w:type="pct"/>
            <w:tcBorders>
              <w:top w:val="single" w:sz="6" w:space="0" w:color="78A22F"/>
              <w:left w:val="nil"/>
              <w:bottom w:val="nil"/>
              <w:right w:val="nil"/>
            </w:tcBorders>
          </w:tcPr>
          <w:p w14:paraId="38315AB8" w14:textId="77777777" w:rsidR="007D417F" w:rsidRPr="00626D32" w:rsidRDefault="007D417F" w:rsidP="00E44AEF">
            <w:pPr>
              <w:pStyle w:val="BoxSpaceBelow"/>
            </w:pPr>
          </w:p>
        </w:tc>
      </w:tr>
    </w:tbl>
    <w:p w14:paraId="2E746136" w14:textId="77777777" w:rsidR="007D417F" w:rsidRDefault="007D417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417F" w14:paraId="4F946629" w14:textId="77777777" w:rsidTr="00E44AEF">
        <w:trPr>
          <w:tblHeader/>
        </w:trPr>
        <w:tc>
          <w:tcPr>
            <w:tcW w:w="5000" w:type="pct"/>
            <w:tcBorders>
              <w:top w:val="single" w:sz="6" w:space="0" w:color="78A22F"/>
              <w:left w:val="nil"/>
              <w:bottom w:val="nil"/>
              <w:right w:val="nil"/>
            </w:tcBorders>
            <w:shd w:val="clear" w:color="auto" w:fill="F2F2F2"/>
          </w:tcPr>
          <w:p w14:paraId="41C221B8" w14:textId="77777777" w:rsidR="007D417F" w:rsidRDefault="007D417F">
            <w:pPr>
              <w:pStyle w:val="BoxTitle"/>
            </w:pPr>
            <w:r>
              <w:rPr>
                <w:b w:val="0"/>
              </w:rPr>
              <w:t>Box 2.</w:t>
            </w:r>
            <w:r>
              <w:rPr>
                <w:b w:val="0"/>
                <w:noProof/>
              </w:rPr>
              <w:t>3</w:t>
            </w:r>
            <w:r>
              <w:tab/>
              <w:t>Drought assistance has continued to grow</w:t>
            </w:r>
          </w:p>
        </w:tc>
      </w:tr>
      <w:tr w:rsidR="007D417F" w14:paraId="3FCB3C56" w14:textId="77777777" w:rsidTr="00E44AEF">
        <w:tc>
          <w:tcPr>
            <w:tcW w:w="5000" w:type="pct"/>
            <w:tcBorders>
              <w:top w:val="nil"/>
              <w:left w:val="nil"/>
              <w:bottom w:val="nil"/>
              <w:right w:val="nil"/>
            </w:tcBorders>
            <w:shd w:val="clear" w:color="auto" w:fill="F2F2F2"/>
          </w:tcPr>
          <w:p w14:paraId="0B201654" w14:textId="77777777" w:rsidR="007D417F" w:rsidRDefault="007D417F" w:rsidP="00E44AEF">
            <w:pPr>
              <w:pStyle w:val="Box"/>
            </w:pPr>
            <w:r>
              <w:t>During 2019, the Australian Government announced over $1 billion of new or additional support for farmers, families and communities affected by drought, including:</w:t>
            </w:r>
          </w:p>
          <w:p w14:paraId="6905496A" w14:textId="77777777" w:rsidR="007D417F" w:rsidRDefault="007D417F" w:rsidP="00E44AEF">
            <w:pPr>
              <w:pStyle w:val="BoxListBullet"/>
            </w:pPr>
            <w:r w:rsidRPr="00E60BFC">
              <w:t xml:space="preserve">$114.5 million </w:t>
            </w:r>
            <w:r>
              <w:t>for</w:t>
            </w:r>
            <w:r w:rsidRPr="00E60BFC">
              <w:t xml:space="preserve"> changes to the </w:t>
            </w:r>
            <w:r w:rsidRPr="001133D7">
              <w:rPr>
                <w:i/>
              </w:rPr>
              <w:t>Farm Household Allowance</w:t>
            </w:r>
            <w:r w:rsidRPr="00E60BFC">
              <w:t xml:space="preserve">, including expanding and simplifying eligibility, providing a single rate of payment, and strengthening case management support </w:t>
            </w:r>
            <w:r>
              <w:t xml:space="preserve">for </w:t>
            </w:r>
            <w:r w:rsidRPr="00E60BFC">
              <w:t xml:space="preserve">farmers. </w:t>
            </w:r>
            <w:r>
              <w:t>Also provides a one</w:t>
            </w:r>
            <w:r>
              <w:noBreakHyphen/>
              <w:t>off relief payment ($7500 for singles, $12 </w:t>
            </w:r>
            <w:r w:rsidRPr="00E60BFC">
              <w:t>000 for couples</w:t>
            </w:r>
            <w:r>
              <w:t>)</w:t>
            </w:r>
            <w:r w:rsidRPr="00E60BFC">
              <w:t xml:space="preserve"> to recipients who have exhausted the four year </w:t>
            </w:r>
            <w:r>
              <w:t>maximum payment</w:t>
            </w:r>
          </w:p>
          <w:p w14:paraId="0ADE4A7E" w14:textId="77777777" w:rsidR="007D417F" w:rsidRDefault="007D417F" w:rsidP="00E44AEF">
            <w:pPr>
              <w:pStyle w:val="BoxListBullet"/>
            </w:pPr>
            <w:r>
              <w:t>increased</w:t>
            </w:r>
            <w:r w:rsidRPr="00E60BFC">
              <w:t xml:space="preserve"> access to concessional loans </w:t>
            </w:r>
            <w:r>
              <w:t xml:space="preserve">from </w:t>
            </w:r>
            <w:r w:rsidRPr="00E60BFC">
              <w:t>the Regional Investment Corporation</w:t>
            </w:r>
            <w:r>
              <w:t xml:space="preserve"> through the</w:t>
            </w:r>
            <w:r w:rsidRPr="007441B1">
              <w:rPr>
                <w:i/>
              </w:rPr>
              <w:t xml:space="preserve"> Drought Loans</w:t>
            </w:r>
            <w:r w:rsidRPr="00E60BFC">
              <w:t xml:space="preserve"> </w:t>
            </w:r>
            <w:r>
              <w:t>(</w:t>
            </w:r>
            <w:r w:rsidRPr="00E60BFC">
              <w:t xml:space="preserve">up to $2 million </w:t>
            </w:r>
            <w:r>
              <w:t>for</w:t>
            </w:r>
            <w:r w:rsidRPr="00E60BFC">
              <w:t xml:space="preserve"> farmers</w:t>
            </w:r>
            <w:r>
              <w:t xml:space="preserve">) and </w:t>
            </w:r>
            <w:r w:rsidRPr="007441B1">
              <w:rPr>
                <w:i/>
              </w:rPr>
              <w:t>Small Business Drought Loans</w:t>
            </w:r>
            <w:r>
              <w:t xml:space="preserve"> (up to $500 000 for farm</w:t>
            </w:r>
            <w:r>
              <w:noBreakHyphen/>
            </w:r>
            <w:r w:rsidRPr="00E60BFC">
              <w:t>dependent small businesses</w:t>
            </w:r>
            <w:r>
              <w:t xml:space="preserve">, now called </w:t>
            </w:r>
            <w:proofErr w:type="spellStart"/>
            <w:r w:rsidRPr="007441B1">
              <w:rPr>
                <w:i/>
              </w:rPr>
              <w:t>AgBiz</w:t>
            </w:r>
            <w:proofErr w:type="spellEnd"/>
            <w:r w:rsidRPr="007441B1">
              <w:rPr>
                <w:i/>
              </w:rPr>
              <w:t xml:space="preserve"> Drought Loans</w:t>
            </w:r>
            <w:r>
              <w:t>) programs</w:t>
            </w:r>
          </w:p>
          <w:p w14:paraId="0CDC753B" w14:textId="77777777" w:rsidR="007D417F" w:rsidRDefault="007D417F" w:rsidP="00E44AEF">
            <w:pPr>
              <w:pStyle w:val="BoxListBullet"/>
            </w:pPr>
            <w:r>
              <w:t xml:space="preserve">nearly $600 million for </w:t>
            </w:r>
            <w:r w:rsidRPr="007441B1">
              <w:t>infrastructure and drought</w:t>
            </w:r>
            <w:r>
              <w:noBreakHyphen/>
            </w:r>
            <w:r w:rsidRPr="007441B1">
              <w:t>relief projects</w:t>
            </w:r>
            <w:r>
              <w:t xml:space="preserve"> in</w:t>
            </w:r>
            <w:r w:rsidRPr="007441B1">
              <w:t xml:space="preserve"> </w:t>
            </w:r>
            <w:r>
              <w:t xml:space="preserve">128 </w:t>
            </w:r>
            <w:r w:rsidRPr="007441B1">
              <w:t>local communities affected by the drought</w:t>
            </w:r>
            <w:r>
              <w:t xml:space="preserve">, through additional funding for the </w:t>
            </w:r>
            <w:r w:rsidRPr="00097D50">
              <w:rPr>
                <w:i/>
              </w:rPr>
              <w:t>Drought Communities Programme</w:t>
            </w:r>
            <w:r w:rsidRPr="00610377">
              <w:t xml:space="preserve"> </w:t>
            </w:r>
          </w:p>
          <w:p w14:paraId="008A076B" w14:textId="77777777" w:rsidR="007D417F" w:rsidRDefault="007D417F" w:rsidP="00E44AEF">
            <w:pPr>
              <w:pStyle w:val="BoxListBullet"/>
            </w:pPr>
            <w:r w:rsidRPr="00610377">
              <w:t>over</w:t>
            </w:r>
            <w:r>
              <w:t xml:space="preserve"> </w:t>
            </w:r>
            <w:r w:rsidRPr="00E60BFC">
              <w:t>$</w:t>
            </w:r>
            <w:r>
              <w:t>300</w:t>
            </w:r>
            <w:r w:rsidRPr="00E60BFC">
              <w:t xml:space="preserve"> million for </w:t>
            </w:r>
            <w:r>
              <w:t>water infrastructure and drought preparedness, in partnership with the state and territory governments</w:t>
            </w:r>
            <w:r w:rsidRPr="007441B1">
              <w:t xml:space="preserve"> </w:t>
            </w:r>
          </w:p>
          <w:p w14:paraId="4A4B4313" w14:textId="77777777" w:rsidR="007D417F" w:rsidRDefault="007D417F" w:rsidP="00E44AEF">
            <w:pPr>
              <w:pStyle w:val="BoxListBullet"/>
            </w:pPr>
            <w:r w:rsidRPr="007441B1">
              <w:t xml:space="preserve">$66.7 million for the </w:t>
            </w:r>
            <w:r w:rsidRPr="007441B1">
              <w:rPr>
                <w:i/>
              </w:rPr>
              <w:t>Drought Community Support Initiative</w:t>
            </w:r>
            <w:r w:rsidRPr="007441B1">
              <w:t xml:space="preserve"> to provide </w:t>
            </w:r>
            <w:r>
              <w:t>up to $3</w:t>
            </w:r>
            <w:r w:rsidRPr="007441B1">
              <w:t>000 per</w:t>
            </w:r>
            <w:r>
              <w:t xml:space="preserve"> household for approximately 20 </w:t>
            </w:r>
            <w:r w:rsidRPr="007441B1">
              <w:t>000</w:t>
            </w:r>
            <w:r>
              <w:t xml:space="preserve"> farming households and workers</w:t>
            </w:r>
            <w:r w:rsidRPr="00E60BFC">
              <w:t xml:space="preserve"> </w:t>
            </w:r>
          </w:p>
          <w:p w14:paraId="44591A60" w14:textId="77777777" w:rsidR="007D417F" w:rsidRDefault="007D417F" w:rsidP="00E44AEF">
            <w:pPr>
              <w:pStyle w:val="BoxListBullet"/>
            </w:pPr>
            <w:r w:rsidRPr="00E60BFC">
              <w:t>$33</w:t>
            </w:r>
            <w:r>
              <w:t> </w:t>
            </w:r>
            <w:r w:rsidRPr="00E60BFC">
              <w:t xml:space="preserve">million </w:t>
            </w:r>
            <w:r>
              <w:t>associated with t</w:t>
            </w:r>
            <w:r w:rsidRPr="00E60BFC">
              <w:t xml:space="preserve">he </w:t>
            </w:r>
            <w:r>
              <w:t xml:space="preserve">creation of the </w:t>
            </w:r>
            <w:r w:rsidRPr="00E60BFC">
              <w:t>National Drought and North Queensland Flood Response and Recovery Agency</w:t>
            </w:r>
            <w:r>
              <w:t xml:space="preserve">, which has a wider remit for support and coordination than its predecessor body (the </w:t>
            </w:r>
            <w:r w:rsidRPr="00E60BFC">
              <w:t>North Queensland Livestock Industry Recovery Agency</w:t>
            </w:r>
            <w:r>
              <w:t xml:space="preserve"> </w:t>
            </w:r>
            <w:r>
              <w:rPr>
                <w:rFonts w:cs="Arial"/>
              </w:rPr>
              <w:t>—</w:t>
            </w:r>
            <w:r>
              <w:t xml:space="preserve"> box 2.2)</w:t>
            </w:r>
          </w:p>
          <w:p w14:paraId="2955BE73" w14:textId="77777777" w:rsidR="007D417F" w:rsidRDefault="007D417F" w:rsidP="00E44AEF">
            <w:pPr>
              <w:pStyle w:val="BoxListBullet"/>
            </w:pPr>
            <w:r>
              <w:t xml:space="preserve">establishing a </w:t>
            </w:r>
            <w:r w:rsidRPr="00506D11">
              <w:rPr>
                <w:i/>
              </w:rPr>
              <w:t>Water for Fodder</w:t>
            </w:r>
            <w:r>
              <w:t xml:space="preserve"> program, providing 100 </w:t>
            </w:r>
            <w:proofErr w:type="spellStart"/>
            <w:r>
              <w:t>gigalitres</w:t>
            </w:r>
            <w:proofErr w:type="spellEnd"/>
            <w:r>
              <w:t xml:space="preserve"> of water (purchased from the South Australian Government </w:t>
            </w:r>
            <w:r w:rsidRPr="00506D11">
              <w:t xml:space="preserve">for </w:t>
            </w:r>
            <w:r>
              <w:t xml:space="preserve">an undisclosed sum) </w:t>
            </w:r>
            <w:r w:rsidRPr="00506D11">
              <w:t>at</w:t>
            </w:r>
            <w:r>
              <w:t xml:space="preserve"> </w:t>
            </w:r>
            <w:r w:rsidRPr="00506D11">
              <w:t xml:space="preserve">a discounted </w:t>
            </w:r>
            <w:r>
              <w:t xml:space="preserve">price for </w:t>
            </w:r>
            <w:r w:rsidRPr="00506D11">
              <w:t xml:space="preserve">farmers in the </w:t>
            </w:r>
            <w:r>
              <w:t>Murray</w:t>
            </w:r>
            <w:r>
              <w:noBreakHyphen/>
              <w:t xml:space="preserve">Darling </w:t>
            </w:r>
            <w:r w:rsidRPr="00506D11">
              <w:t>Basin</w:t>
            </w:r>
            <w:r>
              <w:t xml:space="preserve"> to</w:t>
            </w:r>
            <w:r w:rsidRPr="00506D11">
              <w:t xml:space="preserve"> grow fodder,</w:t>
            </w:r>
            <w:r>
              <w:t xml:space="preserve"> silage and pasture </w:t>
            </w:r>
            <w:r w:rsidRPr="00BF664D">
              <w:rPr>
                <w:rFonts w:cs="Arial"/>
                <w:szCs w:val="24"/>
              </w:rPr>
              <w:t>(A</w:t>
            </w:r>
            <w:r w:rsidRPr="00FF2D87">
              <w:rPr>
                <w:rFonts w:cs="Arial"/>
                <w:szCs w:val="24"/>
              </w:rPr>
              <w:t>ustralian Government 2019</w:t>
            </w:r>
            <w:r w:rsidRPr="00BF664D">
              <w:rPr>
                <w:rFonts w:cs="Arial"/>
                <w:szCs w:val="24"/>
              </w:rPr>
              <w:t xml:space="preserve">a, p. 124, </w:t>
            </w:r>
            <w:r w:rsidRPr="00FF2D87">
              <w:rPr>
                <w:rFonts w:cs="Arial"/>
                <w:szCs w:val="24"/>
              </w:rPr>
              <w:t>2019b,</w:t>
            </w:r>
            <w:r w:rsidRPr="00BF664D">
              <w:rPr>
                <w:rFonts w:cs="Arial"/>
                <w:szCs w:val="24"/>
              </w:rPr>
              <w:t xml:space="preserve"> pp. 192–195; </w:t>
            </w:r>
            <w:proofErr w:type="spellStart"/>
            <w:r w:rsidRPr="00FF2D87">
              <w:rPr>
                <w:rFonts w:cs="Arial"/>
                <w:szCs w:val="24"/>
              </w:rPr>
              <w:t>Littleproud</w:t>
            </w:r>
            <w:proofErr w:type="spellEnd"/>
            <w:r w:rsidRPr="00FF2D87">
              <w:rPr>
                <w:rFonts w:cs="Arial"/>
                <w:szCs w:val="24"/>
              </w:rPr>
              <w:t> 2019</w:t>
            </w:r>
            <w:r w:rsidRPr="00BF664D">
              <w:rPr>
                <w:rFonts w:cs="Arial"/>
                <w:szCs w:val="24"/>
              </w:rPr>
              <w:t>; McKenzie 2019; RIC 2020)</w:t>
            </w:r>
            <w:r>
              <w:t>.</w:t>
            </w:r>
          </w:p>
          <w:p w14:paraId="597818FE" w14:textId="77777777" w:rsidR="007D417F" w:rsidRDefault="007D417F" w:rsidP="00E44AEF">
            <w:pPr>
              <w:pStyle w:val="Box"/>
            </w:pPr>
            <w:r>
              <w:t>State governments have also expanded their drought assistance throughout 2019.</w:t>
            </w:r>
          </w:p>
          <w:p w14:paraId="6F63B298" w14:textId="77777777" w:rsidR="007D417F" w:rsidRDefault="007D417F" w:rsidP="00E44AEF">
            <w:pPr>
              <w:pStyle w:val="BoxListBullet"/>
            </w:pPr>
            <w:r>
              <w:t xml:space="preserve">The New South Wales Government increased the size of the </w:t>
            </w:r>
            <w:r w:rsidRPr="00EE306C">
              <w:rPr>
                <w:i/>
              </w:rPr>
              <w:t>Farm Innovation Fund</w:t>
            </w:r>
            <w:r>
              <w:t xml:space="preserve"> from $650 million to $1 billion and expanded the maximum loan size from $250 000 to $1 million. It also announced $170 million for a </w:t>
            </w:r>
            <w:r w:rsidRPr="00EE306C">
              <w:rPr>
                <w:i/>
              </w:rPr>
              <w:t>Drought Infrastructure Package</w:t>
            </w:r>
            <w:r>
              <w:t xml:space="preserve"> and $185 million for additional on</w:t>
            </w:r>
            <w:r>
              <w:noBreakHyphen/>
              <w:t xml:space="preserve">farm drought support measures </w:t>
            </w:r>
            <w:r w:rsidRPr="00D6457F">
              <w:rPr>
                <w:rFonts w:cs="Arial"/>
                <w:szCs w:val="24"/>
              </w:rPr>
              <w:t>(</w:t>
            </w:r>
            <w:proofErr w:type="spellStart"/>
            <w:r w:rsidRPr="00D6457F">
              <w:rPr>
                <w:rFonts w:cs="Arial"/>
                <w:szCs w:val="24"/>
              </w:rPr>
              <w:t>Berejiklian</w:t>
            </w:r>
            <w:proofErr w:type="spellEnd"/>
            <w:r w:rsidRPr="00D6457F">
              <w:rPr>
                <w:rFonts w:cs="Arial"/>
                <w:szCs w:val="24"/>
              </w:rPr>
              <w:t xml:space="preserve">, </w:t>
            </w:r>
            <w:proofErr w:type="spellStart"/>
            <w:r w:rsidRPr="00D6457F">
              <w:rPr>
                <w:rFonts w:cs="Arial"/>
                <w:szCs w:val="24"/>
              </w:rPr>
              <w:t>Barilaro</w:t>
            </w:r>
            <w:proofErr w:type="spellEnd"/>
            <w:r w:rsidRPr="00D6457F">
              <w:rPr>
                <w:rFonts w:cs="Arial"/>
                <w:szCs w:val="24"/>
              </w:rPr>
              <w:t xml:space="preserve"> and Blair 2019; </w:t>
            </w:r>
            <w:proofErr w:type="spellStart"/>
            <w:r w:rsidRPr="00D6457F">
              <w:rPr>
                <w:rFonts w:cs="Arial"/>
                <w:szCs w:val="24"/>
              </w:rPr>
              <w:t>Berejiklian</w:t>
            </w:r>
            <w:proofErr w:type="spellEnd"/>
            <w:r w:rsidRPr="00D6457F">
              <w:rPr>
                <w:rFonts w:cs="Arial"/>
                <w:szCs w:val="24"/>
              </w:rPr>
              <w:t xml:space="preserve">, </w:t>
            </w:r>
            <w:proofErr w:type="spellStart"/>
            <w:r w:rsidRPr="00D6457F">
              <w:rPr>
                <w:rFonts w:cs="Arial"/>
                <w:szCs w:val="24"/>
              </w:rPr>
              <w:t>Barilaro</w:t>
            </w:r>
            <w:proofErr w:type="spellEnd"/>
            <w:r w:rsidRPr="00D6457F">
              <w:rPr>
                <w:rFonts w:cs="Arial"/>
                <w:szCs w:val="24"/>
              </w:rPr>
              <w:t xml:space="preserve"> and </w:t>
            </w:r>
            <w:proofErr w:type="spellStart"/>
            <w:r w:rsidRPr="00D6457F">
              <w:rPr>
                <w:rFonts w:cs="Arial"/>
                <w:szCs w:val="24"/>
              </w:rPr>
              <w:t>Perrottet</w:t>
            </w:r>
            <w:proofErr w:type="spellEnd"/>
            <w:r w:rsidRPr="00D6457F">
              <w:rPr>
                <w:rFonts w:cs="Arial"/>
                <w:szCs w:val="24"/>
              </w:rPr>
              <w:t> 2019)</w:t>
            </w:r>
            <w:r>
              <w:t>.</w:t>
            </w:r>
          </w:p>
          <w:p w14:paraId="5EC767C1" w14:textId="77777777" w:rsidR="007D417F" w:rsidRDefault="007D417F" w:rsidP="00E44AEF">
            <w:pPr>
              <w:pStyle w:val="BoxListBullet"/>
            </w:pPr>
            <w:r>
              <w:t xml:space="preserve">The Queensland Government announced $74.6 million in additional assistance, providing for </w:t>
            </w:r>
            <w:r w:rsidRPr="00C44045">
              <w:t xml:space="preserve">freight subsidies and emergency water infrastructure rebates under the </w:t>
            </w:r>
            <w:r w:rsidRPr="00A86091">
              <w:rPr>
                <w:i/>
              </w:rPr>
              <w:t>Drought Relief Assistance Scheme</w:t>
            </w:r>
            <w:r>
              <w:t xml:space="preserve">, as well as land rent rebates and water licence waivers </w:t>
            </w:r>
            <w:r w:rsidRPr="00A86091">
              <w:rPr>
                <w:rFonts w:cs="Arial"/>
                <w:szCs w:val="24"/>
              </w:rPr>
              <w:t>(Furner 2019)</w:t>
            </w:r>
            <w:r>
              <w:t>.</w:t>
            </w:r>
          </w:p>
          <w:p w14:paraId="22E43EBE" w14:textId="77777777" w:rsidR="007D417F" w:rsidRDefault="007D417F" w:rsidP="00E44AEF">
            <w:pPr>
              <w:pStyle w:val="BoxListBullet"/>
            </w:pPr>
            <w:r>
              <w:t xml:space="preserve">The Victorian Government announced multiple assistance packages throughout 2019, including a </w:t>
            </w:r>
            <w:r w:rsidRPr="0061764F">
              <w:t xml:space="preserve">$5 million </w:t>
            </w:r>
            <w:r>
              <w:t>extension of</w:t>
            </w:r>
            <w:r w:rsidRPr="0061764F">
              <w:t xml:space="preserve"> the </w:t>
            </w:r>
            <w:r w:rsidRPr="0061764F">
              <w:rPr>
                <w:i/>
              </w:rPr>
              <w:t>On</w:t>
            </w:r>
            <w:r>
              <w:rPr>
                <w:i/>
              </w:rPr>
              <w:noBreakHyphen/>
            </w:r>
            <w:r w:rsidRPr="0061764F">
              <w:rPr>
                <w:i/>
              </w:rPr>
              <w:t>Farm Drought Infrastructure Grants</w:t>
            </w:r>
            <w:r w:rsidRPr="0061764F">
              <w:t xml:space="preserve"> program</w:t>
            </w:r>
            <w:r>
              <w:t>, as well as</w:t>
            </w:r>
            <w:r w:rsidRPr="0061764F">
              <w:t xml:space="preserve"> </w:t>
            </w:r>
            <w:r>
              <w:t xml:space="preserve">the establishment of a $15 million </w:t>
            </w:r>
            <w:r w:rsidRPr="0061764F">
              <w:rPr>
                <w:i/>
              </w:rPr>
              <w:t>Farmers’ Drought Fund</w:t>
            </w:r>
            <w:r>
              <w:t xml:space="preserve"> to provide up to $3000 financial relief for affected households and to </w:t>
            </w:r>
            <w:r w:rsidRPr="0061764F">
              <w:t xml:space="preserve">invest </w:t>
            </w:r>
            <w:r>
              <w:t xml:space="preserve">up to $5000 </w:t>
            </w:r>
            <w:r w:rsidRPr="0061764F">
              <w:t>in on</w:t>
            </w:r>
            <w:r>
              <w:noBreakHyphen/>
            </w:r>
            <w:r w:rsidRPr="0061764F">
              <w:t>farm drought preparedness</w:t>
            </w:r>
            <w:r>
              <w:t xml:space="preserve"> and</w:t>
            </w:r>
            <w:r w:rsidRPr="0061764F">
              <w:t xml:space="preserve"> resilience</w:t>
            </w:r>
            <w:r>
              <w:t xml:space="preserve"> </w:t>
            </w:r>
            <w:r w:rsidRPr="00FF2D87">
              <w:rPr>
                <w:rFonts w:cs="Arial"/>
                <w:szCs w:val="24"/>
              </w:rPr>
              <w:t>(Agriculture Victoria 2020</w:t>
            </w:r>
            <w:r w:rsidRPr="00C41594">
              <w:rPr>
                <w:rFonts w:cs="Arial"/>
                <w:szCs w:val="24"/>
              </w:rPr>
              <w:t xml:space="preserve">; </w:t>
            </w:r>
            <w:proofErr w:type="spellStart"/>
            <w:r w:rsidRPr="00C41594">
              <w:rPr>
                <w:rFonts w:cs="Arial"/>
                <w:szCs w:val="24"/>
              </w:rPr>
              <w:t>Symes</w:t>
            </w:r>
            <w:proofErr w:type="spellEnd"/>
            <w:r w:rsidRPr="00C41594">
              <w:rPr>
                <w:rFonts w:cs="Arial"/>
                <w:szCs w:val="24"/>
              </w:rPr>
              <w:t> 2019a, 2019b)</w:t>
            </w:r>
            <w:r>
              <w:t>.</w:t>
            </w:r>
          </w:p>
          <w:p w14:paraId="2947BA85" w14:textId="77777777" w:rsidR="007D417F" w:rsidRDefault="007D417F" w:rsidP="00E44AEF">
            <w:pPr>
              <w:pStyle w:val="BoxListBullet"/>
            </w:pPr>
            <w:r>
              <w:t xml:space="preserve">In </w:t>
            </w:r>
            <w:r w:rsidRPr="00C41594">
              <w:t>December</w:t>
            </w:r>
            <w:r>
              <w:t xml:space="preserve"> 2019</w:t>
            </w:r>
            <w:r w:rsidRPr="00C41594">
              <w:t xml:space="preserve">, </w:t>
            </w:r>
            <w:r>
              <w:t xml:space="preserve">the South Australian Government announced </w:t>
            </w:r>
            <w:r w:rsidRPr="00C41594">
              <w:t xml:space="preserve">a $21 million </w:t>
            </w:r>
            <w:r w:rsidRPr="00C41594">
              <w:rPr>
                <w:i/>
              </w:rPr>
              <w:t>Drought Support Program</w:t>
            </w:r>
            <w:r w:rsidRPr="00C41594">
              <w:t xml:space="preserve"> to fund rebates on council rates, pastoral lease rent relief, an expansion of </w:t>
            </w:r>
            <w:r>
              <w:t>rural</w:t>
            </w:r>
            <w:r w:rsidRPr="00C41594">
              <w:rPr>
                <w:i/>
              </w:rPr>
              <w:t xml:space="preserve"> </w:t>
            </w:r>
            <w:r>
              <w:t>c</w:t>
            </w:r>
            <w:r w:rsidRPr="00C41594">
              <w:t>ounselling</w:t>
            </w:r>
            <w:r w:rsidRPr="00C41594">
              <w:rPr>
                <w:i/>
              </w:rPr>
              <w:t xml:space="preserve"> </w:t>
            </w:r>
            <w:r>
              <w:t>and</w:t>
            </w:r>
            <w:r w:rsidRPr="00C41594">
              <w:t xml:space="preserve"> rebate</w:t>
            </w:r>
            <w:r>
              <w:t>s</w:t>
            </w:r>
            <w:r w:rsidRPr="00C41594">
              <w:t xml:space="preserve"> </w:t>
            </w:r>
            <w:r>
              <w:t xml:space="preserve">of up to $50 000 </w:t>
            </w:r>
            <w:r w:rsidRPr="00C41594">
              <w:t>for emergency water infrastructure</w:t>
            </w:r>
            <w:r>
              <w:t xml:space="preserve"> </w:t>
            </w:r>
            <w:r w:rsidRPr="00234FFB">
              <w:rPr>
                <w:rFonts w:cs="Arial"/>
                <w:szCs w:val="24"/>
              </w:rPr>
              <w:t>(PIRSA 2019)</w:t>
            </w:r>
          </w:p>
        </w:tc>
      </w:tr>
      <w:tr w:rsidR="007D417F" w14:paraId="286D3DCC" w14:textId="77777777" w:rsidTr="00E44AEF">
        <w:tc>
          <w:tcPr>
            <w:tcW w:w="5000" w:type="pct"/>
            <w:tcBorders>
              <w:top w:val="nil"/>
              <w:left w:val="nil"/>
              <w:bottom w:val="single" w:sz="6" w:space="0" w:color="78A22F"/>
              <w:right w:val="nil"/>
            </w:tcBorders>
            <w:shd w:val="clear" w:color="auto" w:fill="F2F2F2"/>
          </w:tcPr>
          <w:p w14:paraId="72D675AC" w14:textId="77777777" w:rsidR="007D417F" w:rsidRDefault="007D417F">
            <w:pPr>
              <w:pStyle w:val="Box"/>
              <w:spacing w:before="0" w:line="120" w:lineRule="exact"/>
            </w:pPr>
          </w:p>
        </w:tc>
      </w:tr>
      <w:tr w:rsidR="007D417F" w:rsidRPr="000863A5" w14:paraId="51930C5D" w14:textId="77777777" w:rsidTr="00E44AEF">
        <w:tc>
          <w:tcPr>
            <w:tcW w:w="5000" w:type="pct"/>
            <w:tcBorders>
              <w:top w:val="single" w:sz="6" w:space="0" w:color="78A22F"/>
              <w:left w:val="nil"/>
              <w:bottom w:val="nil"/>
              <w:right w:val="nil"/>
            </w:tcBorders>
          </w:tcPr>
          <w:p w14:paraId="01E88DC2" w14:textId="77777777" w:rsidR="007D417F" w:rsidRPr="00626D32" w:rsidRDefault="007D417F" w:rsidP="00E44AEF">
            <w:pPr>
              <w:pStyle w:val="BoxSpaceBelow"/>
            </w:pPr>
          </w:p>
        </w:tc>
      </w:tr>
    </w:tbl>
    <w:p w14:paraId="114E312B" w14:textId="77777777" w:rsidR="007D417F" w:rsidRDefault="007D417F" w:rsidP="00E44AEF">
      <w:pPr>
        <w:pStyle w:val="Heading2"/>
      </w:pPr>
      <w:bookmarkStart w:id="24" w:name="_Toc38382142"/>
      <w:r>
        <w:lastRenderedPageBreak/>
        <w:t>2.</w:t>
      </w:r>
      <w:r>
        <w:rPr>
          <w:noProof/>
        </w:rPr>
        <w:t>3</w:t>
      </w:r>
      <w:r>
        <w:tab/>
        <w:t>Government project financing</w:t>
      </w:r>
      <w:bookmarkEnd w:id="24"/>
    </w:p>
    <w:p w14:paraId="7FC0FFE1" w14:textId="77777777" w:rsidR="007D417F" w:rsidRPr="0049377C" w:rsidRDefault="007D417F" w:rsidP="00E44AEF">
      <w:pPr>
        <w:pStyle w:val="BodyText"/>
        <w:rPr>
          <w:spacing w:val="-2"/>
        </w:rPr>
      </w:pPr>
      <w:r w:rsidRPr="0049377C">
        <w:rPr>
          <w:spacing w:val="-2"/>
        </w:rPr>
        <w:t xml:space="preserve">Previous </w:t>
      </w:r>
      <w:r w:rsidRPr="0049377C">
        <w:rPr>
          <w:i/>
          <w:spacing w:val="-2"/>
        </w:rPr>
        <w:t>Trade and Assistance Reviews</w:t>
      </w:r>
      <w:r w:rsidRPr="0049377C">
        <w:rPr>
          <w:spacing w:val="-2"/>
        </w:rPr>
        <w:t xml:space="preserve"> noted that the Australian Government has moved towards providing project finance as a form of industry assistance. As the 2017</w:t>
      </w:r>
      <w:r w:rsidRPr="0049377C">
        <w:rPr>
          <w:spacing w:val="-2"/>
        </w:rPr>
        <w:noBreakHyphen/>
        <w:t xml:space="preserve">18 </w:t>
      </w:r>
      <w:r w:rsidRPr="0049377C">
        <w:rPr>
          <w:i/>
          <w:spacing w:val="-2"/>
        </w:rPr>
        <w:t>Review</w:t>
      </w:r>
      <w:r w:rsidRPr="0049377C">
        <w:rPr>
          <w:spacing w:val="-2"/>
        </w:rPr>
        <w:t xml:space="preserve"> stated, ‘large</w:t>
      </w:r>
      <w:r w:rsidRPr="0049377C">
        <w:rPr>
          <w:spacing w:val="-2"/>
        </w:rPr>
        <w:noBreakHyphen/>
        <w:t xml:space="preserve">scale finance vehicles have the potential to skew industry assistance to particular firms and projects with minimal public scrutiny until deals are done’ </w:t>
      </w:r>
      <w:r w:rsidRPr="0049377C">
        <w:rPr>
          <w:spacing w:val="-2"/>
          <w:szCs w:val="24"/>
        </w:rPr>
        <w:t>(PC 2019, p. 63)</w:t>
      </w:r>
      <w:r w:rsidRPr="0049377C">
        <w:rPr>
          <w:spacing w:val="-2"/>
        </w:rPr>
        <w:t xml:space="preserve">. </w:t>
      </w:r>
    </w:p>
    <w:p w14:paraId="2A2562F6" w14:textId="77777777" w:rsidR="007D417F" w:rsidRDefault="007D417F" w:rsidP="00E44AEF">
      <w:pPr>
        <w:pStyle w:val="BodyText"/>
      </w:pPr>
      <w:r>
        <w:t>During 2019, the expansion of project financing vehicles has continued, adding to the level of industry assistance (box 2.4). Although the incremental changes are small, the continued growth and development of project financing vehicles has the strong potential to distort the allocation of resources, as well as imposing hidden costs to taxpayers through non</w:t>
      </w:r>
      <w:r>
        <w:noBreakHyphen/>
        <w:t>repayment risks and concessional financing subsidies.</w:t>
      </w:r>
      <w:r w:rsidRPr="0059176B">
        <w:t xml:space="preserve"> </w:t>
      </w:r>
      <w:r>
        <w:t>In part, the effects depend on the different objectives and justifications of financing facilities.</w:t>
      </w:r>
    </w:p>
    <w:p w14:paraId="77523388" w14:textId="77777777" w:rsidR="007D417F" w:rsidRDefault="007D417F" w:rsidP="00E44AEF">
      <w:pPr>
        <w:pStyle w:val="ListBullet"/>
      </w:pPr>
      <w:r>
        <w:t xml:space="preserve">Some funds (such as the </w:t>
      </w:r>
      <w:r w:rsidRPr="00C714A3">
        <w:t>Australian Business Securitisation Fund</w:t>
      </w:r>
      <w:r>
        <w:t>)</w:t>
      </w:r>
      <w:r w:rsidRPr="00C714A3">
        <w:t xml:space="preserve"> </w:t>
      </w:r>
      <w:r>
        <w:t>are intended to fill a perceived ‘market gap’ for financing to new or small businesses, providing more favourable terms than commercially available, with the aim of boosting innovation and new business generation.</w:t>
      </w:r>
    </w:p>
    <w:p w14:paraId="278FE324" w14:textId="77777777" w:rsidR="007D417F" w:rsidRDefault="007D417F" w:rsidP="00E44AEF">
      <w:pPr>
        <w:pStyle w:val="ListBullet"/>
      </w:pPr>
      <w:r>
        <w:t xml:space="preserve">Other financing facilities (such as the </w:t>
      </w:r>
      <w:r w:rsidRPr="00C714A3">
        <w:t>Northern Australia Infrastructure Facility</w:t>
      </w:r>
      <w:r>
        <w:t>)</w:t>
      </w:r>
      <w:r w:rsidRPr="00C714A3">
        <w:t xml:space="preserve"> </w:t>
      </w:r>
      <w:r>
        <w:t xml:space="preserve">are used as an alternate means of infrastructure funding — a core function of government — but need to be subject to the same principles of good project selection and delivery, to ensure value for money for taxpayers </w:t>
      </w:r>
      <w:r w:rsidRPr="00655AEE">
        <w:rPr>
          <w:szCs w:val="24"/>
        </w:rPr>
        <w:t>(PC 2014b)</w:t>
      </w:r>
      <w:r>
        <w:t>.</w:t>
      </w:r>
    </w:p>
    <w:p w14:paraId="5609A3EF" w14:textId="77777777" w:rsidR="007D417F" w:rsidRDefault="007D417F" w:rsidP="00E44AEF">
      <w:pPr>
        <w:pStyle w:val="ListBullet"/>
      </w:pPr>
      <w:r>
        <w:t>And some financing facilities (such as Export Finance Australia) are used by the Government to ‘pick’ winners (and hence losers) in an industry.</w:t>
      </w:r>
    </w:p>
    <w:p w14:paraId="4AE2E915" w14:textId="77777777" w:rsidR="007D417F" w:rsidRDefault="007D417F" w:rsidP="00E44AEF">
      <w:pPr>
        <w:pStyle w:val="BodyText"/>
      </w:pPr>
      <w:r>
        <w:t>There is an onus on proponents of taxpayer</w:t>
      </w:r>
      <w:r>
        <w:noBreakHyphen/>
        <w:t>funded financing of commercial projects to demonstrate how the associated costs are outweighed by the benefits to the public, and that project financing is the best solution to the identified policy problem.</w:t>
      </w:r>
    </w:p>
    <w:p w14:paraId="7E149B9F" w14:textId="77777777" w:rsidR="007D417F" w:rsidRDefault="007D417F" w:rsidP="00E44AE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417F" w14:paraId="4A8977FE" w14:textId="77777777" w:rsidTr="00E44AEF">
        <w:trPr>
          <w:tblHeader/>
        </w:trPr>
        <w:tc>
          <w:tcPr>
            <w:tcW w:w="5000" w:type="pct"/>
            <w:tcBorders>
              <w:top w:val="single" w:sz="6" w:space="0" w:color="78A22F"/>
              <w:left w:val="nil"/>
              <w:bottom w:val="nil"/>
              <w:right w:val="nil"/>
            </w:tcBorders>
            <w:shd w:val="clear" w:color="auto" w:fill="F2F2F2"/>
          </w:tcPr>
          <w:p w14:paraId="77A33086" w14:textId="77777777" w:rsidR="007D417F" w:rsidRDefault="007D417F" w:rsidP="00E44AEF">
            <w:pPr>
              <w:pStyle w:val="BoxTitle"/>
            </w:pPr>
            <w:r>
              <w:rPr>
                <w:b w:val="0"/>
              </w:rPr>
              <w:t>Box 2.</w:t>
            </w:r>
            <w:r>
              <w:rPr>
                <w:b w:val="0"/>
                <w:noProof/>
              </w:rPr>
              <w:t>4</w:t>
            </w:r>
            <w:r>
              <w:tab/>
              <w:t>Project financing changes over the past year</w:t>
            </w:r>
          </w:p>
        </w:tc>
      </w:tr>
      <w:tr w:rsidR="007D417F" w14:paraId="22A51331" w14:textId="77777777" w:rsidTr="00E44AEF">
        <w:tc>
          <w:tcPr>
            <w:tcW w:w="5000" w:type="pct"/>
            <w:tcBorders>
              <w:top w:val="nil"/>
              <w:left w:val="nil"/>
              <w:bottom w:val="nil"/>
              <w:right w:val="nil"/>
            </w:tcBorders>
            <w:shd w:val="clear" w:color="auto" w:fill="F2F2F2"/>
          </w:tcPr>
          <w:p w14:paraId="16CD3A18" w14:textId="77777777" w:rsidR="007D417F" w:rsidRDefault="007D417F" w:rsidP="00E44AEF">
            <w:pPr>
              <w:pStyle w:val="Box"/>
            </w:pPr>
            <w:r w:rsidRPr="0005412A">
              <w:rPr>
                <w:b/>
              </w:rPr>
              <w:t>Australian Business Securitisation Fund</w:t>
            </w:r>
            <w:r>
              <w:t xml:space="preserve"> (ABSF) — </w:t>
            </w:r>
            <w:r w:rsidRPr="009E6495">
              <w:t>provid</w:t>
            </w:r>
            <w:r>
              <w:t>es</w:t>
            </w:r>
            <w:r w:rsidRPr="009E6495">
              <w:t xml:space="preserve"> f</w:t>
            </w:r>
            <w:r>
              <w:t>unding to smaller banks and non</w:t>
            </w:r>
            <w:r>
              <w:noBreakHyphen/>
            </w:r>
            <w:r w:rsidRPr="009E6495">
              <w:t>bank lenders to on</w:t>
            </w:r>
            <w:r>
              <w:noBreakHyphen/>
            </w:r>
            <w:r w:rsidRPr="009E6495">
              <w:t xml:space="preserve">lend to small businesses on </w:t>
            </w:r>
            <w:r>
              <w:t>better</w:t>
            </w:r>
            <w:r w:rsidRPr="009E6495">
              <w:t xml:space="preserve"> terms</w:t>
            </w:r>
            <w:r>
              <w:t xml:space="preserve"> than available commercially.</w:t>
            </w:r>
          </w:p>
          <w:p w14:paraId="5A3A76FF" w14:textId="77777777" w:rsidR="007D417F" w:rsidRDefault="007D417F" w:rsidP="00E44AEF">
            <w:pPr>
              <w:pStyle w:val="BoxListBullet"/>
            </w:pPr>
            <w:r>
              <w:t>Following the enactment of legislation to create the ABSF in April 2019, the first tranche of funds ($250 million) was deposited in July. In December, an investment manager (Challenger Investment Partners) was appointed, and the Australian Office of Financial Management began receiving investment proposals. D</w:t>
            </w:r>
            <w:r w:rsidRPr="001D1470">
              <w:t>ecision</w:t>
            </w:r>
            <w:r>
              <w:t>s on the</w:t>
            </w:r>
            <w:r w:rsidRPr="001D1470">
              <w:t xml:space="preserve"> first round of investments </w:t>
            </w:r>
            <w:r>
              <w:t>are expected to be announced ‘</w:t>
            </w:r>
            <w:r w:rsidRPr="001D1470">
              <w:t>late in the first, or early in the second, quarter of 2020</w:t>
            </w:r>
            <w:r>
              <w:t xml:space="preserve">’ </w:t>
            </w:r>
            <w:r w:rsidRPr="006D0713">
              <w:rPr>
                <w:rFonts w:cs="Arial"/>
                <w:szCs w:val="24"/>
              </w:rPr>
              <w:t>(AOFM 2019c, 2019b, 2019a)</w:t>
            </w:r>
            <w:r>
              <w:t xml:space="preserve">. </w:t>
            </w:r>
          </w:p>
          <w:p w14:paraId="0FF3EB08" w14:textId="77777777" w:rsidR="007D417F" w:rsidRDefault="007D417F" w:rsidP="00E44AEF">
            <w:pPr>
              <w:pStyle w:val="Box"/>
            </w:pPr>
            <w:r w:rsidRPr="0005412A">
              <w:rPr>
                <w:b/>
              </w:rPr>
              <w:t>Business Growth Fund</w:t>
            </w:r>
            <w:r>
              <w:t xml:space="preserve"> (BGF) — makes passive, minority equity investments in small businesses, enabling them to grow without giving up a controlling interest.</w:t>
            </w:r>
          </w:p>
          <w:p w14:paraId="1B8C55F2" w14:textId="77777777" w:rsidR="007D417F" w:rsidRDefault="007D417F" w:rsidP="00E44AEF">
            <w:pPr>
              <w:pStyle w:val="BoxListBullet"/>
            </w:pPr>
            <w:r>
              <w:t>In November 2019, the Government announced that it had agreed terms with six banks (</w:t>
            </w:r>
            <w:r w:rsidRPr="0032473E">
              <w:t>ANZ, CBA, NAB, Westpac</w:t>
            </w:r>
            <w:r>
              <w:t xml:space="preserve">, Macquarie and HSBC) to establish the BGF with $540 million (including $100 million of taxpayer money). The Government introduced enabling legislation to Parliament in December, stating its ‘ambition’ for the BGF to grow to $1 billion as it matures </w:t>
            </w:r>
            <w:r w:rsidRPr="006B32F1">
              <w:rPr>
                <w:rFonts w:cs="Arial"/>
                <w:szCs w:val="24"/>
              </w:rPr>
              <w:t>(</w:t>
            </w:r>
            <w:proofErr w:type="spellStart"/>
            <w:r w:rsidRPr="006B32F1">
              <w:rPr>
                <w:rFonts w:cs="Arial"/>
                <w:szCs w:val="24"/>
              </w:rPr>
              <w:t>Frydenberg</w:t>
            </w:r>
            <w:proofErr w:type="spellEnd"/>
            <w:r w:rsidRPr="006B32F1">
              <w:rPr>
                <w:rFonts w:cs="Arial"/>
                <w:szCs w:val="24"/>
              </w:rPr>
              <w:t xml:space="preserve"> and Cash 2019b, 2019a)</w:t>
            </w:r>
            <w:r>
              <w:t xml:space="preserve">. </w:t>
            </w:r>
          </w:p>
          <w:p w14:paraId="71C9D5B1" w14:textId="77777777" w:rsidR="007D417F" w:rsidRDefault="007D417F" w:rsidP="00E44AEF">
            <w:pPr>
              <w:pStyle w:val="Box"/>
            </w:pPr>
            <w:r w:rsidRPr="0005412A">
              <w:rPr>
                <w:b/>
              </w:rPr>
              <w:t>Northern Australia Infrastructure Facility</w:t>
            </w:r>
            <w:r>
              <w:t xml:space="preserve"> (NAIF) — a </w:t>
            </w:r>
            <w:r w:rsidRPr="00531AD2">
              <w:t>financing facility for infrastructure projects in northern Australia</w:t>
            </w:r>
            <w:r>
              <w:t>.</w:t>
            </w:r>
          </w:p>
          <w:p w14:paraId="6717CAA7" w14:textId="77777777" w:rsidR="007D417F" w:rsidRDefault="007D417F" w:rsidP="00E44AEF">
            <w:pPr>
              <w:pStyle w:val="BoxListBullet"/>
            </w:pPr>
            <w:r>
              <w:t>In November 2019, the Government commenced a review of the future of the NAIF and the operation of its legislation. Among other things, the review will ‘</w:t>
            </w:r>
            <w:r w:rsidRPr="00C07B33">
              <w:t>consider the 30</w:t>
            </w:r>
            <w:r>
              <w:t> </w:t>
            </w:r>
            <w:r w:rsidRPr="00C07B33">
              <w:t>June 2021 deadline for investment decisions and the benefit of extending this</w:t>
            </w:r>
            <w:r>
              <w:t xml:space="preserve">’ </w:t>
            </w:r>
            <w:r w:rsidRPr="006B32F1">
              <w:rPr>
                <w:rFonts w:cs="Arial"/>
                <w:szCs w:val="24"/>
              </w:rPr>
              <w:t>(</w:t>
            </w:r>
            <w:proofErr w:type="spellStart"/>
            <w:r w:rsidRPr="006B32F1">
              <w:rPr>
                <w:rFonts w:cs="Arial"/>
                <w:szCs w:val="24"/>
              </w:rPr>
              <w:t>Canavan</w:t>
            </w:r>
            <w:proofErr w:type="spellEnd"/>
            <w:r w:rsidRPr="006B32F1">
              <w:rPr>
                <w:rFonts w:cs="Arial"/>
                <w:szCs w:val="24"/>
              </w:rPr>
              <w:t> 2019; DIIS 2019)</w:t>
            </w:r>
            <w:r>
              <w:t xml:space="preserve">. </w:t>
            </w:r>
          </w:p>
          <w:p w14:paraId="16C6637A" w14:textId="77777777" w:rsidR="007D417F" w:rsidRDefault="007D417F" w:rsidP="00E44AEF">
            <w:pPr>
              <w:pStyle w:val="Box"/>
            </w:pPr>
            <w:r w:rsidRPr="0005412A">
              <w:rPr>
                <w:b/>
              </w:rPr>
              <w:t>Export Finance Australia</w:t>
            </w:r>
            <w:r>
              <w:t xml:space="preserve"> (EFA, formerly the </w:t>
            </w:r>
            <w:r w:rsidRPr="00BD4C2F">
              <w:t>Export Fi</w:t>
            </w:r>
            <w:r>
              <w:t xml:space="preserve">nance and Insurance Commission, or </w:t>
            </w:r>
            <w:proofErr w:type="spellStart"/>
            <w:r w:rsidRPr="00BD4C2F">
              <w:t>Efic</w:t>
            </w:r>
            <w:proofErr w:type="spellEnd"/>
            <w:r w:rsidRPr="00BD4C2F">
              <w:t>)</w:t>
            </w:r>
            <w:r>
              <w:t xml:space="preserve"> — an </w:t>
            </w:r>
            <w:r w:rsidRPr="0005412A">
              <w:t>export credit agency</w:t>
            </w:r>
            <w:r>
              <w:t>, providing non</w:t>
            </w:r>
            <w:r>
              <w:noBreakHyphen/>
              <w:t>commercial loans, bonds and guarantees to assist Australian exporters.</w:t>
            </w:r>
          </w:p>
          <w:p w14:paraId="53E30DFE" w14:textId="77777777" w:rsidR="007D417F" w:rsidRDefault="007D417F" w:rsidP="00E44AEF">
            <w:pPr>
              <w:pStyle w:val="BoxListBullet"/>
            </w:pPr>
            <w:r>
              <w:t xml:space="preserve">On 1 July 2019, EFA received an extra $1 billion in callable capital and new powers to finance overseas infrastructure investment, particularly in the Pacific </w:t>
            </w:r>
            <w:r w:rsidRPr="00A718D1">
              <w:rPr>
                <w:rFonts w:cs="Arial"/>
                <w:szCs w:val="24"/>
              </w:rPr>
              <w:t>(Birmingham 2019)</w:t>
            </w:r>
            <w:r>
              <w:t xml:space="preserve">. In November, the Government also announced that the EFA (and its Defence Export Facility) would focus on financing and supporting projects to extract and process Australia’s rare earths and critical mineral supplies </w:t>
            </w:r>
            <w:r w:rsidRPr="00A718D1">
              <w:rPr>
                <w:rFonts w:cs="Arial"/>
                <w:szCs w:val="24"/>
              </w:rPr>
              <w:t>(</w:t>
            </w:r>
            <w:proofErr w:type="spellStart"/>
            <w:r w:rsidRPr="00A718D1">
              <w:rPr>
                <w:rFonts w:cs="Arial"/>
                <w:szCs w:val="24"/>
              </w:rPr>
              <w:t>Canavan</w:t>
            </w:r>
            <w:proofErr w:type="spellEnd"/>
            <w:r w:rsidRPr="00A718D1">
              <w:rPr>
                <w:rFonts w:cs="Arial"/>
                <w:szCs w:val="24"/>
              </w:rPr>
              <w:t>, Birmingham and Reynolds 2019)</w:t>
            </w:r>
            <w:r>
              <w:t xml:space="preserve">. </w:t>
            </w:r>
          </w:p>
          <w:p w14:paraId="489CBED6" w14:textId="77777777" w:rsidR="007D417F" w:rsidRDefault="007D417F" w:rsidP="00E44AEF">
            <w:pPr>
              <w:pStyle w:val="Box"/>
            </w:pPr>
            <w:r w:rsidRPr="0005412A">
              <w:rPr>
                <w:b/>
              </w:rPr>
              <w:t>Clean Energy Finance Corporation</w:t>
            </w:r>
            <w:r>
              <w:t xml:space="preserve"> (CEFC) — </w:t>
            </w:r>
            <w:r w:rsidRPr="009E6495">
              <w:t xml:space="preserve">aims to lower carbon emissions by </w:t>
            </w:r>
            <w:r>
              <w:t>making commercial investments</w:t>
            </w:r>
            <w:r w:rsidRPr="009E6495">
              <w:t xml:space="preserve"> in renewable energy, energy efficiency and low emission technologies.</w:t>
            </w:r>
          </w:p>
          <w:p w14:paraId="4051F15B" w14:textId="77777777" w:rsidR="007D417F" w:rsidRDefault="007D417F" w:rsidP="00E44AEF">
            <w:pPr>
              <w:pStyle w:val="BoxListBullet"/>
            </w:pPr>
            <w:r>
              <w:t>In October 2019, the Government announced a $1 billon Grid Reliability Fund to support</w:t>
            </w:r>
            <w:r w:rsidRPr="00AF4D39">
              <w:t xml:space="preserve"> new energy generation, storage and transmission infrastructure</w:t>
            </w:r>
            <w:r>
              <w:t xml:space="preserve"> investment.</w:t>
            </w:r>
            <w:r w:rsidRPr="00AF4D39">
              <w:t xml:space="preserve"> </w:t>
            </w:r>
            <w:r>
              <w:t xml:space="preserve">The Fund will be administered by the CEFC, following an expansion of its mandate in 2018 </w:t>
            </w:r>
            <w:r w:rsidRPr="00AF4D39">
              <w:t xml:space="preserve">to </w:t>
            </w:r>
            <w:r>
              <w:t xml:space="preserve">include energy reliability </w:t>
            </w:r>
            <w:r w:rsidRPr="00A718D1">
              <w:rPr>
                <w:rFonts w:cs="Arial"/>
                <w:szCs w:val="24"/>
              </w:rPr>
              <w:t xml:space="preserve">(CEFC 2019; Morrison, Taylor and </w:t>
            </w:r>
            <w:proofErr w:type="spellStart"/>
            <w:r w:rsidRPr="00A718D1">
              <w:rPr>
                <w:rFonts w:cs="Arial"/>
                <w:szCs w:val="24"/>
              </w:rPr>
              <w:t>Cormann</w:t>
            </w:r>
            <w:proofErr w:type="spellEnd"/>
            <w:r w:rsidRPr="00A718D1">
              <w:rPr>
                <w:rFonts w:cs="Arial"/>
                <w:szCs w:val="24"/>
              </w:rPr>
              <w:t xml:space="preserve"> 2019; Taylor and </w:t>
            </w:r>
            <w:proofErr w:type="spellStart"/>
            <w:r w:rsidRPr="00A718D1">
              <w:rPr>
                <w:rFonts w:cs="Arial"/>
                <w:szCs w:val="24"/>
              </w:rPr>
              <w:t>Cormann</w:t>
            </w:r>
            <w:proofErr w:type="spellEnd"/>
            <w:r w:rsidRPr="00A718D1">
              <w:rPr>
                <w:rFonts w:cs="Arial"/>
                <w:szCs w:val="24"/>
              </w:rPr>
              <w:t> 2019)</w:t>
            </w:r>
            <w:r>
              <w:t xml:space="preserve">. In November, the Government also announced the reallocation of $300 million of CEFC funds to support the development of a hydrogen industry in Australia </w:t>
            </w:r>
            <w:r w:rsidRPr="00A718D1">
              <w:rPr>
                <w:rFonts w:cs="Arial"/>
                <w:szCs w:val="24"/>
              </w:rPr>
              <w:t>(Taylor 2019)</w:t>
            </w:r>
            <w:r>
              <w:t xml:space="preserve">. </w:t>
            </w:r>
          </w:p>
        </w:tc>
      </w:tr>
      <w:tr w:rsidR="007D417F" w14:paraId="2C6D6AE7" w14:textId="77777777" w:rsidTr="00E44AEF">
        <w:tc>
          <w:tcPr>
            <w:tcW w:w="5000" w:type="pct"/>
            <w:tcBorders>
              <w:top w:val="nil"/>
              <w:left w:val="nil"/>
              <w:bottom w:val="single" w:sz="6" w:space="0" w:color="78A22F"/>
              <w:right w:val="nil"/>
            </w:tcBorders>
            <w:shd w:val="clear" w:color="auto" w:fill="F2F2F2"/>
          </w:tcPr>
          <w:p w14:paraId="31DDFE31" w14:textId="77777777" w:rsidR="007D417F" w:rsidRDefault="007D417F" w:rsidP="00E44AEF">
            <w:pPr>
              <w:pStyle w:val="Box"/>
              <w:spacing w:before="0" w:line="120" w:lineRule="exact"/>
            </w:pPr>
          </w:p>
        </w:tc>
      </w:tr>
      <w:tr w:rsidR="007D417F" w:rsidRPr="000863A5" w14:paraId="45B53F3A" w14:textId="77777777" w:rsidTr="00E44AEF">
        <w:tc>
          <w:tcPr>
            <w:tcW w:w="5000" w:type="pct"/>
            <w:tcBorders>
              <w:top w:val="single" w:sz="6" w:space="0" w:color="78A22F"/>
              <w:left w:val="nil"/>
              <w:bottom w:val="nil"/>
              <w:right w:val="nil"/>
            </w:tcBorders>
          </w:tcPr>
          <w:p w14:paraId="7CAAF63B" w14:textId="77777777" w:rsidR="007D417F" w:rsidRPr="00626D32" w:rsidRDefault="007D417F" w:rsidP="00E44AEF">
            <w:pPr>
              <w:pStyle w:val="BoxSpaceBelow"/>
            </w:pPr>
          </w:p>
        </w:tc>
      </w:tr>
    </w:tbl>
    <w:p w14:paraId="55476F68" w14:textId="77777777" w:rsidR="007D417F" w:rsidRDefault="007D417F" w:rsidP="00E44AEF">
      <w:pPr>
        <w:pStyle w:val="BoxSpaceBelow"/>
        <w:spacing w:before="0" w:after="0"/>
      </w:pPr>
    </w:p>
    <w:p w14:paraId="3089D2BB" w14:textId="77777777" w:rsidR="007D417F" w:rsidRDefault="007D417F" w:rsidP="00E44AEF">
      <w:pPr>
        <w:pStyle w:val="Heading2"/>
      </w:pPr>
      <w:bookmarkStart w:id="25" w:name="_Toc38382143"/>
      <w:r>
        <w:t>2.</w:t>
      </w:r>
      <w:r>
        <w:rPr>
          <w:noProof/>
        </w:rPr>
        <w:t>4</w:t>
      </w:r>
      <w:r>
        <w:tab/>
        <w:t>Alcohol tax concessions and rebates</w:t>
      </w:r>
      <w:bookmarkEnd w:id="25"/>
    </w:p>
    <w:p w14:paraId="326623A1" w14:textId="77777777" w:rsidR="007D417F" w:rsidRDefault="007D417F" w:rsidP="00E44AEF">
      <w:pPr>
        <w:pStyle w:val="BodyText"/>
      </w:pPr>
      <w:r>
        <w:t>Alcoholic beverages in Australia are subject to a complex and uneven tax regime (table 2.1). Most drinks, including beer and spirits, fall under the excise duty (or excise</w:t>
      </w:r>
      <w:r>
        <w:noBreakHyphen/>
        <w:t xml:space="preserve">equivalent </w:t>
      </w:r>
      <w:r>
        <w:lastRenderedPageBreak/>
        <w:t>customs duty) regime, with taxes levied on the alcohol content in the beverages (a ‘volumetric’ tax) at one of several different rates, depending on the type and purpose of the drink. Wine, by contrast, is taxed under a separate regime — the Wine Equalisation Tax (WET) — at 29 per cent of the wholesale value, regardless of the alcohol content (a ‘value’ or ‘ad valorem’ tax).</w:t>
      </w:r>
      <w:r>
        <w:rPr>
          <w:rStyle w:val="FootnoteReference"/>
        </w:rPr>
        <w:footnoteReference w:id="7"/>
      </w:r>
    </w:p>
    <w:p w14:paraId="1371AD36" w14:textId="77777777" w:rsidR="007D417F" w:rsidRDefault="007D417F" w:rsidP="00E44AE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7D417F" w14:paraId="6CC61716" w14:textId="77777777" w:rsidTr="00E44AEF">
        <w:trPr>
          <w:tblHeader/>
        </w:trPr>
        <w:tc>
          <w:tcPr>
            <w:tcW w:w="5000" w:type="pct"/>
            <w:tcBorders>
              <w:top w:val="single" w:sz="6" w:space="0" w:color="78A22F"/>
              <w:left w:val="nil"/>
              <w:bottom w:val="nil"/>
              <w:right w:val="nil"/>
            </w:tcBorders>
            <w:shd w:val="clear" w:color="auto" w:fill="auto"/>
          </w:tcPr>
          <w:p w14:paraId="0B0E9C4E" w14:textId="77777777" w:rsidR="007D417F" w:rsidRDefault="007D417F" w:rsidP="00E44AEF">
            <w:pPr>
              <w:pStyle w:val="TableTitle"/>
            </w:pPr>
            <w:r>
              <w:rPr>
                <w:b w:val="0"/>
              </w:rPr>
              <w:t>Table 2.</w:t>
            </w:r>
            <w:r>
              <w:rPr>
                <w:b w:val="0"/>
                <w:noProof/>
              </w:rPr>
              <w:t>1</w:t>
            </w:r>
            <w:r>
              <w:tab/>
              <w:t>The alcohol tax system — pick your poison</w:t>
            </w:r>
          </w:p>
          <w:p w14:paraId="4A8F0BD7" w14:textId="77777777" w:rsidR="007D417F" w:rsidRPr="00784A05" w:rsidRDefault="007D417F" w:rsidP="00E44AEF">
            <w:pPr>
              <w:pStyle w:val="Subtitle"/>
            </w:pPr>
            <w:r>
              <w:t>Non</w:t>
            </w:r>
            <w:r>
              <w:noBreakHyphen/>
              <w:t>GST taxes on alcohol,</w:t>
            </w:r>
            <w:r w:rsidRPr="005E0545">
              <w:t xml:space="preserve"> as at </w:t>
            </w:r>
            <w:r>
              <w:t>3 February 2020</w:t>
            </w:r>
          </w:p>
        </w:tc>
      </w:tr>
      <w:tr w:rsidR="007D417F" w14:paraId="0C0FD80B" w14:textId="77777777" w:rsidTr="00E44AEF">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50"/>
              <w:gridCol w:w="1701"/>
              <w:gridCol w:w="2410"/>
              <w:gridCol w:w="2244"/>
            </w:tblGrid>
            <w:tr w:rsidR="007D417F" w14:paraId="2C68CB60" w14:textId="77777777" w:rsidTr="00E44AEF">
              <w:trPr>
                <w:tblHeader/>
              </w:trPr>
              <w:tc>
                <w:tcPr>
                  <w:tcW w:w="1264" w:type="pct"/>
                  <w:tcBorders>
                    <w:top w:val="single" w:sz="6" w:space="0" w:color="BFBFBF"/>
                    <w:bottom w:val="single" w:sz="6" w:space="0" w:color="BFBFBF"/>
                  </w:tcBorders>
                  <w:shd w:val="clear" w:color="auto" w:fill="auto"/>
                  <w:tcMar>
                    <w:top w:w="28" w:type="dxa"/>
                  </w:tcMar>
                  <w:vAlign w:val="center"/>
                </w:tcPr>
                <w:p w14:paraId="06709AFC" w14:textId="77777777" w:rsidR="007D417F" w:rsidRPr="00CE040B" w:rsidRDefault="007D417F" w:rsidP="00E44AEF">
                  <w:pPr>
                    <w:pStyle w:val="TableColumnHeading"/>
                    <w:jc w:val="left"/>
                  </w:pPr>
                  <w:r w:rsidRPr="00CE040B">
                    <w:t>Classification</w:t>
                  </w:r>
                </w:p>
              </w:tc>
              <w:tc>
                <w:tcPr>
                  <w:tcW w:w="1000" w:type="pct"/>
                  <w:tcBorders>
                    <w:top w:val="single" w:sz="6" w:space="0" w:color="BFBFBF"/>
                    <w:bottom w:val="single" w:sz="6" w:space="0" w:color="BFBFBF"/>
                  </w:tcBorders>
                  <w:shd w:val="clear" w:color="auto" w:fill="auto"/>
                  <w:vAlign w:val="center"/>
                </w:tcPr>
                <w:p w14:paraId="28F66FEB" w14:textId="439EA3B8" w:rsidR="007D417F" w:rsidRPr="00CE040B" w:rsidRDefault="007D417F" w:rsidP="0049377C">
                  <w:pPr>
                    <w:pStyle w:val="TableColumnHeading"/>
                  </w:pPr>
                  <w:r w:rsidRPr="00CE040B">
                    <w:t>Purpose</w:t>
                  </w:r>
                </w:p>
              </w:tc>
              <w:tc>
                <w:tcPr>
                  <w:tcW w:w="1417" w:type="pct"/>
                  <w:tcBorders>
                    <w:top w:val="single" w:sz="6" w:space="0" w:color="BFBFBF"/>
                    <w:bottom w:val="single" w:sz="6" w:space="0" w:color="BFBFBF"/>
                  </w:tcBorders>
                  <w:vAlign w:val="center"/>
                </w:tcPr>
                <w:p w14:paraId="113050F5" w14:textId="77777777" w:rsidR="007D417F" w:rsidRPr="00CE040B" w:rsidRDefault="007D417F" w:rsidP="00E44AEF">
                  <w:pPr>
                    <w:pStyle w:val="TableColumnHeading"/>
                  </w:pPr>
                  <w:r>
                    <w:t>Method</w:t>
                  </w:r>
                </w:p>
              </w:tc>
              <w:tc>
                <w:tcPr>
                  <w:tcW w:w="1319" w:type="pct"/>
                  <w:tcBorders>
                    <w:top w:val="single" w:sz="6" w:space="0" w:color="BFBFBF"/>
                    <w:bottom w:val="single" w:sz="6" w:space="0" w:color="BFBFBF"/>
                  </w:tcBorders>
                  <w:shd w:val="clear" w:color="auto" w:fill="auto"/>
                  <w:tcMar>
                    <w:top w:w="28" w:type="dxa"/>
                  </w:tcMar>
                </w:tcPr>
                <w:p w14:paraId="059E7E88" w14:textId="77777777" w:rsidR="007D417F" w:rsidRDefault="007D417F" w:rsidP="00E44AEF">
                  <w:pPr>
                    <w:pStyle w:val="TableColumnHeading"/>
                  </w:pPr>
                  <w:r w:rsidRPr="00CE040B">
                    <w:t>Current duty rate (</w:t>
                  </w:r>
                  <w:r>
                    <w:t xml:space="preserve">$ </w:t>
                  </w:r>
                  <w:r w:rsidRPr="00CE040B">
                    <w:t xml:space="preserve">per litre of </w:t>
                  </w:r>
                  <w:r>
                    <w:t xml:space="preserve">pure </w:t>
                  </w:r>
                  <w:r w:rsidRPr="00CE040B">
                    <w:t>alcohol)</w:t>
                  </w:r>
                </w:p>
              </w:tc>
            </w:tr>
            <w:tr w:rsidR="007D417F" w14:paraId="1818769A" w14:textId="77777777" w:rsidTr="00E44AEF">
              <w:trPr>
                <w:trHeight w:val="283"/>
              </w:trPr>
              <w:tc>
                <w:tcPr>
                  <w:tcW w:w="1264" w:type="pct"/>
                  <w:vMerge w:val="restart"/>
                  <w:tcBorders>
                    <w:top w:val="single" w:sz="6" w:space="0" w:color="BFBFBF"/>
                  </w:tcBorders>
                  <w:shd w:val="clear" w:color="auto" w:fill="FFFFFF" w:themeFill="background1"/>
                  <w:vAlign w:val="center"/>
                </w:tcPr>
                <w:p w14:paraId="4B4EDC8B" w14:textId="77777777" w:rsidR="007D417F" w:rsidRPr="00CE040B" w:rsidRDefault="007D417F" w:rsidP="00E44AEF">
                  <w:pPr>
                    <w:pStyle w:val="TableBodyText"/>
                    <w:jc w:val="left"/>
                  </w:pPr>
                  <w:r w:rsidRPr="00CE040B">
                    <w:t>Beer: &lt; 3 per cent</w:t>
                  </w:r>
                  <w:r w:rsidRPr="00895747">
                    <w:rPr>
                      <w:rStyle w:val="NoteLabel"/>
                    </w:rPr>
                    <w:t>a</w:t>
                  </w:r>
                </w:p>
              </w:tc>
              <w:tc>
                <w:tcPr>
                  <w:tcW w:w="1000" w:type="pct"/>
                  <w:vMerge w:val="restart"/>
                  <w:tcBorders>
                    <w:top w:val="single" w:sz="6" w:space="0" w:color="BFBFBF"/>
                  </w:tcBorders>
                  <w:shd w:val="clear" w:color="auto" w:fill="D9D9D9" w:themeFill="background1" w:themeFillShade="D9"/>
                  <w:vAlign w:val="center"/>
                </w:tcPr>
                <w:p w14:paraId="2B6FA2F4" w14:textId="77777777" w:rsidR="007D417F" w:rsidRPr="00CE040B" w:rsidRDefault="007D417F" w:rsidP="00E44AEF">
                  <w:pPr>
                    <w:pStyle w:val="TableBodyText"/>
                  </w:pPr>
                  <w:r w:rsidRPr="00CE040B">
                    <w:t>Commercial</w:t>
                  </w:r>
                </w:p>
              </w:tc>
              <w:tc>
                <w:tcPr>
                  <w:tcW w:w="1417" w:type="pct"/>
                  <w:tcBorders>
                    <w:top w:val="single" w:sz="6" w:space="0" w:color="BFBFBF"/>
                  </w:tcBorders>
                  <w:shd w:val="clear" w:color="auto" w:fill="D9D9D9" w:themeFill="background1" w:themeFillShade="D9"/>
                  <w:vAlign w:val="center"/>
                </w:tcPr>
                <w:p w14:paraId="74CB380A" w14:textId="77777777" w:rsidR="007D417F" w:rsidRPr="00CE040B" w:rsidRDefault="007D417F" w:rsidP="00E44AEF">
                  <w:pPr>
                    <w:pStyle w:val="TableBodyText"/>
                  </w:pPr>
                  <w:r>
                    <w:t xml:space="preserve">Container &gt; </w:t>
                  </w:r>
                  <w:r w:rsidRPr="00CE040B">
                    <w:t>8L</w:t>
                  </w:r>
                </w:p>
              </w:tc>
              <w:tc>
                <w:tcPr>
                  <w:tcW w:w="1319" w:type="pct"/>
                  <w:tcBorders>
                    <w:top w:val="single" w:sz="6" w:space="0" w:color="BFBFBF"/>
                  </w:tcBorders>
                  <w:shd w:val="clear" w:color="auto" w:fill="D9D9D9" w:themeFill="background1" w:themeFillShade="D9"/>
                  <w:vAlign w:val="center"/>
                </w:tcPr>
                <w:p w14:paraId="3331C9D3" w14:textId="77777777" w:rsidR="007D417F" w:rsidRPr="00CE040B" w:rsidRDefault="007D417F" w:rsidP="00E44AEF">
                  <w:pPr>
                    <w:pStyle w:val="TableBodyText"/>
                  </w:pPr>
                  <w:r>
                    <w:t>8.81</w:t>
                  </w:r>
                </w:p>
              </w:tc>
            </w:tr>
            <w:tr w:rsidR="007D417F" w14:paraId="5B5B0926" w14:textId="77777777" w:rsidTr="00E44AEF">
              <w:trPr>
                <w:trHeight w:val="283"/>
              </w:trPr>
              <w:tc>
                <w:tcPr>
                  <w:tcW w:w="1264" w:type="pct"/>
                  <w:vMerge/>
                  <w:shd w:val="clear" w:color="auto" w:fill="FFFFFF" w:themeFill="background1"/>
                  <w:vAlign w:val="center"/>
                </w:tcPr>
                <w:p w14:paraId="7D8AA857" w14:textId="77777777" w:rsidR="007D417F" w:rsidRDefault="007D417F" w:rsidP="00E44AEF">
                  <w:pPr>
                    <w:pStyle w:val="TableBodyText"/>
                    <w:jc w:val="left"/>
                  </w:pPr>
                </w:p>
              </w:tc>
              <w:tc>
                <w:tcPr>
                  <w:tcW w:w="1000" w:type="pct"/>
                  <w:vMerge/>
                  <w:tcBorders>
                    <w:bottom w:val="single" w:sz="4" w:space="0" w:color="BFBFBF" w:themeColor="background1" w:themeShade="BF"/>
                  </w:tcBorders>
                  <w:shd w:val="clear" w:color="auto" w:fill="D9D9D9" w:themeFill="background1" w:themeFillShade="D9"/>
                  <w:vAlign w:val="center"/>
                </w:tcPr>
                <w:p w14:paraId="4B690CDD" w14:textId="77777777" w:rsidR="007D417F" w:rsidRDefault="007D417F" w:rsidP="00E44AEF">
                  <w:pPr>
                    <w:pStyle w:val="TableBodyText"/>
                  </w:pPr>
                </w:p>
              </w:tc>
              <w:tc>
                <w:tcPr>
                  <w:tcW w:w="1417" w:type="pct"/>
                  <w:tcBorders>
                    <w:bottom w:val="single" w:sz="4" w:space="0" w:color="BFBFBF" w:themeColor="background1" w:themeShade="BF"/>
                  </w:tcBorders>
                  <w:vAlign w:val="center"/>
                </w:tcPr>
                <w:p w14:paraId="181F4C7C" w14:textId="77777777" w:rsidR="007D417F" w:rsidRPr="00CE040B" w:rsidRDefault="007D417F" w:rsidP="00E44AEF">
                  <w:pPr>
                    <w:pStyle w:val="TableBodyText"/>
                  </w:pPr>
                  <w:r>
                    <w:t xml:space="preserve">Container &lt; </w:t>
                  </w:r>
                  <w:r w:rsidRPr="00CE040B">
                    <w:t>8L</w:t>
                  </w:r>
                  <w:r w:rsidRPr="00BD0641">
                    <w:rPr>
                      <w:rStyle w:val="NoteLabel"/>
                    </w:rPr>
                    <w:t>b</w:t>
                  </w:r>
                </w:p>
              </w:tc>
              <w:tc>
                <w:tcPr>
                  <w:tcW w:w="1319" w:type="pct"/>
                  <w:tcBorders>
                    <w:bottom w:val="single" w:sz="4" w:space="0" w:color="BFBFBF" w:themeColor="background1" w:themeShade="BF"/>
                  </w:tcBorders>
                  <w:vAlign w:val="center"/>
                </w:tcPr>
                <w:p w14:paraId="03C5EE7E" w14:textId="77777777" w:rsidR="007D417F" w:rsidRPr="00CE040B" w:rsidRDefault="007D417F" w:rsidP="00E44AEF">
                  <w:pPr>
                    <w:pStyle w:val="TableBodyText"/>
                  </w:pPr>
                  <w:r>
                    <w:t>44.05</w:t>
                  </w:r>
                </w:p>
              </w:tc>
            </w:tr>
            <w:tr w:rsidR="007D417F" w14:paraId="47390DE0" w14:textId="77777777" w:rsidTr="00E44AEF">
              <w:trPr>
                <w:trHeight w:val="283"/>
              </w:trPr>
              <w:tc>
                <w:tcPr>
                  <w:tcW w:w="1264" w:type="pct"/>
                  <w:vMerge/>
                  <w:shd w:val="clear" w:color="auto" w:fill="FFFFFF" w:themeFill="background1"/>
                  <w:vAlign w:val="center"/>
                </w:tcPr>
                <w:p w14:paraId="4E7AEB8B" w14:textId="77777777" w:rsidR="007D417F" w:rsidRDefault="007D417F" w:rsidP="00E44AEF">
                  <w:pPr>
                    <w:pStyle w:val="TableBodyText"/>
                    <w:jc w:val="left"/>
                  </w:pPr>
                </w:p>
              </w:tc>
              <w:tc>
                <w:tcPr>
                  <w:tcW w:w="1000" w:type="pct"/>
                  <w:vMerge w:val="restart"/>
                  <w:tcBorders>
                    <w:top w:val="single" w:sz="4" w:space="0" w:color="BFBFBF" w:themeColor="background1" w:themeShade="BF"/>
                  </w:tcBorders>
                  <w:vAlign w:val="center"/>
                </w:tcPr>
                <w:p w14:paraId="5CAB0D2F" w14:textId="77777777" w:rsidR="007D417F" w:rsidRPr="00CE040B" w:rsidRDefault="007D417F" w:rsidP="00E44AEF">
                  <w:pPr>
                    <w:pStyle w:val="TableBodyText"/>
                  </w:pPr>
                  <w:r>
                    <w:t>Non</w:t>
                  </w:r>
                  <w:r>
                    <w:noBreakHyphen/>
                    <w:t>c</w:t>
                  </w:r>
                  <w:r w:rsidRPr="00CE040B">
                    <w:t>ommercial</w:t>
                  </w:r>
                </w:p>
              </w:tc>
              <w:tc>
                <w:tcPr>
                  <w:tcW w:w="1417" w:type="pct"/>
                  <w:tcBorders>
                    <w:top w:val="single" w:sz="4" w:space="0" w:color="BFBFBF" w:themeColor="background1" w:themeShade="BF"/>
                  </w:tcBorders>
                  <w:shd w:val="clear" w:color="auto" w:fill="D9D9D9" w:themeFill="background1" w:themeFillShade="D9"/>
                  <w:vAlign w:val="center"/>
                </w:tcPr>
                <w:p w14:paraId="2925AE2D" w14:textId="77777777" w:rsidR="007D417F" w:rsidRPr="00CE040B" w:rsidRDefault="007D417F" w:rsidP="00E44AEF">
                  <w:pPr>
                    <w:pStyle w:val="TableBodyText"/>
                  </w:pPr>
                  <w:r w:rsidRPr="00CE040B">
                    <w:t>Brew</w:t>
                  </w:r>
                  <w:r>
                    <w:noBreakHyphen/>
                  </w:r>
                  <w:r w:rsidRPr="00CE040B">
                    <w:t>on</w:t>
                  </w:r>
                  <w:r>
                    <w:noBreakHyphen/>
                  </w:r>
                  <w:r w:rsidRPr="00CE040B">
                    <w:t>premises</w:t>
                  </w:r>
                  <w:r>
                    <w:rPr>
                      <w:rStyle w:val="NoteLabel"/>
                    </w:rPr>
                    <w:t>c</w:t>
                  </w:r>
                </w:p>
              </w:tc>
              <w:tc>
                <w:tcPr>
                  <w:tcW w:w="1319" w:type="pct"/>
                  <w:tcBorders>
                    <w:top w:val="single" w:sz="4" w:space="0" w:color="BFBFBF" w:themeColor="background1" w:themeShade="BF"/>
                  </w:tcBorders>
                  <w:shd w:val="clear" w:color="auto" w:fill="D9D9D9" w:themeFill="background1" w:themeFillShade="D9"/>
                  <w:vAlign w:val="center"/>
                </w:tcPr>
                <w:p w14:paraId="2597AF9E" w14:textId="77777777" w:rsidR="007D417F" w:rsidRPr="00CE040B" w:rsidRDefault="007D417F" w:rsidP="00E44AEF">
                  <w:pPr>
                    <w:pStyle w:val="TableBodyText"/>
                  </w:pPr>
                  <w:r>
                    <w:t>3.10</w:t>
                  </w:r>
                </w:p>
              </w:tc>
            </w:tr>
            <w:tr w:rsidR="007D417F" w14:paraId="650AEBEA" w14:textId="77777777" w:rsidTr="00E44AEF">
              <w:trPr>
                <w:trHeight w:val="283"/>
              </w:trPr>
              <w:tc>
                <w:tcPr>
                  <w:tcW w:w="1264" w:type="pct"/>
                  <w:vMerge/>
                  <w:tcBorders>
                    <w:bottom w:val="single" w:sz="4" w:space="0" w:color="BFBFBF" w:themeColor="background1" w:themeShade="BF"/>
                  </w:tcBorders>
                  <w:shd w:val="clear" w:color="auto" w:fill="FFFFFF" w:themeFill="background1"/>
                  <w:vAlign w:val="center"/>
                </w:tcPr>
                <w:p w14:paraId="72D61D2B" w14:textId="77777777" w:rsidR="007D417F" w:rsidRDefault="007D417F" w:rsidP="00E44AEF">
                  <w:pPr>
                    <w:pStyle w:val="TableBodyText"/>
                    <w:jc w:val="left"/>
                  </w:pPr>
                </w:p>
              </w:tc>
              <w:tc>
                <w:tcPr>
                  <w:tcW w:w="1000" w:type="pct"/>
                  <w:vMerge/>
                  <w:tcBorders>
                    <w:bottom w:val="single" w:sz="4" w:space="0" w:color="BFBFBF" w:themeColor="background1" w:themeShade="BF"/>
                  </w:tcBorders>
                  <w:vAlign w:val="center"/>
                </w:tcPr>
                <w:p w14:paraId="1B29EFD0" w14:textId="77777777" w:rsidR="007D417F" w:rsidRDefault="007D417F" w:rsidP="00E44AEF">
                  <w:pPr>
                    <w:pStyle w:val="TableBodyText"/>
                  </w:pPr>
                </w:p>
              </w:tc>
              <w:tc>
                <w:tcPr>
                  <w:tcW w:w="1417" w:type="pct"/>
                  <w:tcBorders>
                    <w:bottom w:val="single" w:sz="4" w:space="0" w:color="BFBFBF" w:themeColor="background1" w:themeShade="BF"/>
                  </w:tcBorders>
                  <w:shd w:val="clear" w:color="auto" w:fill="auto"/>
                  <w:vAlign w:val="center"/>
                </w:tcPr>
                <w:p w14:paraId="32E1B556" w14:textId="77777777" w:rsidR="007D417F" w:rsidRPr="00CE040B" w:rsidRDefault="007D417F" w:rsidP="00E44AEF">
                  <w:pPr>
                    <w:pStyle w:val="TableBodyText"/>
                  </w:pPr>
                  <w:r w:rsidRPr="00CE040B">
                    <w:t>Home</w:t>
                  </w:r>
                  <w:r w:rsidRPr="00CE040B">
                    <w:noBreakHyphen/>
                    <w:t>brewed</w:t>
                  </w:r>
                  <w:r w:rsidRPr="003C48B8">
                    <w:rPr>
                      <w:rStyle w:val="NoteLabel"/>
                    </w:rPr>
                    <w:t>d</w:t>
                  </w:r>
                </w:p>
              </w:tc>
              <w:tc>
                <w:tcPr>
                  <w:tcW w:w="1319" w:type="pct"/>
                  <w:tcBorders>
                    <w:bottom w:val="single" w:sz="4" w:space="0" w:color="BFBFBF" w:themeColor="background1" w:themeShade="BF"/>
                  </w:tcBorders>
                  <w:shd w:val="clear" w:color="auto" w:fill="auto"/>
                  <w:vAlign w:val="center"/>
                </w:tcPr>
                <w:p w14:paraId="17F6759E" w14:textId="77777777" w:rsidR="007D417F" w:rsidRPr="00CE040B" w:rsidRDefault="007D417F" w:rsidP="00E44AEF">
                  <w:pPr>
                    <w:pStyle w:val="TableBodyText"/>
                  </w:pPr>
                  <w:r w:rsidRPr="00CE040B">
                    <w:t>Nil</w:t>
                  </w:r>
                </w:p>
              </w:tc>
            </w:tr>
            <w:tr w:rsidR="007D417F" w14:paraId="205D00BC" w14:textId="77777777" w:rsidTr="00E44AEF">
              <w:trPr>
                <w:trHeight w:val="283"/>
              </w:trPr>
              <w:tc>
                <w:tcPr>
                  <w:tcW w:w="1264" w:type="pct"/>
                  <w:vMerge w:val="restart"/>
                  <w:tcBorders>
                    <w:top w:val="single" w:sz="4" w:space="0" w:color="BFBFBF" w:themeColor="background1" w:themeShade="BF"/>
                  </w:tcBorders>
                  <w:shd w:val="clear" w:color="auto" w:fill="D9D9D9" w:themeFill="background1" w:themeFillShade="D9"/>
                  <w:vAlign w:val="center"/>
                </w:tcPr>
                <w:p w14:paraId="6F094EB7" w14:textId="77777777" w:rsidR="007D417F" w:rsidRPr="00CE040B" w:rsidRDefault="007D417F" w:rsidP="00E44AEF">
                  <w:pPr>
                    <w:pStyle w:val="TableBodyText"/>
                    <w:jc w:val="left"/>
                  </w:pPr>
                  <w:r w:rsidRPr="00CE040B">
                    <w:t xml:space="preserve">Beer: 3 </w:t>
                  </w:r>
                  <w:r>
                    <w:t>–</w:t>
                  </w:r>
                  <w:r w:rsidRPr="00CE040B">
                    <w:t xml:space="preserve"> 3.5 per cent</w:t>
                  </w:r>
                  <w:r w:rsidRPr="00895747">
                    <w:rPr>
                      <w:rStyle w:val="NoteLabel"/>
                    </w:rPr>
                    <w:t>a</w:t>
                  </w:r>
                </w:p>
              </w:tc>
              <w:tc>
                <w:tcPr>
                  <w:tcW w:w="1000" w:type="pct"/>
                  <w:vMerge w:val="restart"/>
                  <w:tcBorders>
                    <w:top w:val="single" w:sz="4" w:space="0" w:color="BFBFBF" w:themeColor="background1" w:themeShade="BF"/>
                  </w:tcBorders>
                  <w:shd w:val="clear" w:color="auto" w:fill="D9D9D9" w:themeFill="background1" w:themeFillShade="D9"/>
                  <w:vAlign w:val="center"/>
                </w:tcPr>
                <w:p w14:paraId="531DB319" w14:textId="77777777" w:rsidR="007D417F" w:rsidRPr="00CE040B" w:rsidRDefault="007D417F" w:rsidP="00E44AEF">
                  <w:pPr>
                    <w:pStyle w:val="TableBodyText"/>
                  </w:pPr>
                  <w:r w:rsidRPr="00CE040B">
                    <w:t>Commercial</w:t>
                  </w:r>
                </w:p>
              </w:tc>
              <w:tc>
                <w:tcPr>
                  <w:tcW w:w="1417" w:type="pct"/>
                  <w:tcBorders>
                    <w:top w:val="single" w:sz="4" w:space="0" w:color="BFBFBF" w:themeColor="background1" w:themeShade="BF"/>
                  </w:tcBorders>
                  <w:shd w:val="clear" w:color="auto" w:fill="D9D9D9" w:themeFill="background1" w:themeFillShade="D9"/>
                  <w:vAlign w:val="center"/>
                </w:tcPr>
                <w:p w14:paraId="356CA039" w14:textId="77777777" w:rsidR="007D417F" w:rsidRPr="00CE040B" w:rsidRDefault="007D417F" w:rsidP="00E44AEF">
                  <w:pPr>
                    <w:pStyle w:val="TableBodyText"/>
                  </w:pPr>
                  <w:r>
                    <w:t xml:space="preserve">Container &gt; </w:t>
                  </w:r>
                  <w:r w:rsidRPr="00CE040B">
                    <w:t>8L</w:t>
                  </w:r>
                </w:p>
              </w:tc>
              <w:tc>
                <w:tcPr>
                  <w:tcW w:w="1319" w:type="pct"/>
                  <w:tcBorders>
                    <w:top w:val="single" w:sz="4" w:space="0" w:color="BFBFBF" w:themeColor="background1" w:themeShade="BF"/>
                  </w:tcBorders>
                  <w:shd w:val="clear" w:color="auto" w:fill="D9D9D9" w:themeFill="background1" w:themeFillShade="D9"/>
                  <w:vAlign w:val="center"/>
                </w:tcPr>
                <w:p w14:paraId="234B71E4" w14:textId="77777777" w:rsidR="007D417F" w:rsidRPr="00CE040B" w:rsidRDefault="007D417F" w:rsidP="00E44AEF">
                  <w:pPr>
                    <w:pStyle w:val="TableBodyText"/>
                  </w:pPr>
                  <w:r>
                    <w:t>27.59</w:t>
                  </w:r>
                </w:p>
              </w:tc>
            </w:tr>
            <w:tr w:rsidR="007D417F" w14:paraId="2F71D375" w14:textId="77777777" w:rsidTr="00E44AEF">
              <w:trPr>
                <w:trHeight w:val="283"/>
              </w:trPr>
              <w:tc>
                <w:tcPr>
                  <w:tcW w:w="1264" w:type="pct"/>
                  <w:vMerge/>
                  <w:shd w:val="clear" w:color="auto" w:fill="D9D9D9" w:themeFill="background1" w:themeFillShade="D9"/>
                  <w:vAlign w:val="center"/>
                </w:tcPr>
                <w:p w14:paraId="2AF1FC06" w14:textId="77777777" w:rsidR="007D417F" w:rsidRDefault="007D417F" w:rsidP="00E44AEF">
                  <w:pPr>
                    <w:pStyle w:val="TableBodyText"/>
                    <w:jc w:val="left"/>
                  </w:pPr>
                </w:p>
              </w:tc>
              <w:tc>
                <w:tcPr>
                  <w:tcW w:w="1000" w:type="pct"/>
                  <w:vMerge/>
                  <w:tcBorders>
                    <w:bottom w:val="single" w:sz="4" w:space="0" w:color="BFBFBF" w:themeColor="background1" w:themeShade="BF"/>
                  </w:tcBorders>
                  <w:shd w:val="clear" w:color="auto" w:fill="D9D9D9" w:themeFill="background1" w:themeFillShade="D9"/>
                  <w:vAlign w:val="center"/>
                </w:tcPr>
                <w:p w14:paraId="205E2FD9" w14:textId="77777777" w:rsidR="007D417F" w:rsidRDefault="007D417F" w:rsidP="00E44AEF">
                  <w:pPr>
                    <w:pStyle w:val="TableBodyText"/>
                  </w:pPr>
                </w:p>
              </w:tc>
              <w:tc>
                <w:tcPr>
                  <w:tcW w:w="1417" w:type="pct"/>
                  <w:tcBorders>
                    <w:bottom w:val="single" w:sz="4" w:space="0" w:color="BFBFBF" w:themeColor="background1" w:themeShade="BF"/>
                  </w:tcBorders>
                  <w:shd w:val="clear" w:color="auto" w:fill="auto"/>
                  <w:vAlign w:val="center"/>
                </w:tcPr>
                <w:p w14:paraId="585E5E1D" w14:textId="77777777" w:rsidR="007D417F" w:rsidRPr="00CE040B" w:rsidRDefault="007D417F" w:rsidP="00E44AEF">
                  <w:pPr>
                    <w:pStyle w:val="TableBodyText"/>
                  </w:pPr>
                  <w:r>
                    <w:t xml:space="preserve">Container &lt; </w:t>
                  </w:r>
                  <w:r w:rsidRPr="00CE040B">
                    <w:t>8L</w:t>
                  </w:r>
                  <w:r w:rsidRPr="00BD0641">
                    <w:rPr>
                      <w:rStyle w:val="NoteLabel"/>
                    </w:rPr>
                    <w:t>b</w:t>
                  </w:r>
                </w:p>
              </w:tc>
              <w:tc>
                <w:tcPr>
                  <w:tcW w:w="1319" w:type="pct"/>
                  <w:tcBorders>
                    <w:bottom w:val="single" w:sz="4" w:space="0" w:color="BFBFBF" w:themeColor="background1" w:themeShade="BF"/>
                  </w:tcBorders>
                  <w:shd w:val="clear" w:color="auto" w:fill="auto"/>
                  <w:vAlign w:val="center"/>
                </w:tcPr>
                <w:p w14:paraId="374D66E9" w14:textId="77777777" w:rsidR="007D417F" w:rsidRPr="00CE040B" w:rsidRDefault="007D417F" w:rsidP="00E44AEF">
                  <w:pPr>
                    <w:pStyle w:val="TableBodyText"/>
                  </w:pPr>
                  <w:r>
                    <w:t>51.31</w:t>
                  </w:r>
                </w:p>
              </w:tc>
            </w:tr>
            <w:tr w:rsidR="007D417F" w14:paraId="19C84797" w14:textId="77777777" w:rsidTr="00E44AEF">
              <w:trPr>
                <w:trHeight w:val="283"/>
              </w:trPr>
              <w:tc>
                <w:tcPr>
                  <w:tcW w:w="1264" w:type="pct"/>
                  <w:vMerge/>
                  <w:shd w:val="clear" w:color="auto" w:fill="D9D9D9" w:themeFill="background1" w:themeFillShade="D9"/>
                  <w:vAlign w:val="center"/>
                </w:tcPr>
                <w:p w14:paraId="3CCA0F0A" w14:textId="77777777" w:rsidR="007D417F" w:rsidRDefault="007D417F" w:rsidP="00E44AEF">
                  <w:pPr>
                    <w:pStyle w:val="TableBodyText"/>
                    <w:jc w:val="left"/>
                  </w:pPr>
                </w:p>
              </w:tc>
              <w:tc>
                <w:tcPr>
                  <w:tcW w:w="1000" w:type="pct"/>
                  <w:vMerge w:val="restart"/>
                  <w:tcBorders>
                    <w:top w:val="single" w:sz="4" w:space="0" w:color="BFBFBF" w:themeColor="background1" w:themeShade="BF"/>
                  </w:tcBorders>
                  <w:vAlign w:val="center"/>
                </w:tcPr>
                <w:p w14:paraId="2EAFBCD0" w14:textId="77777777" w:rsidR="007D417F" w:rsidRPr="00CE040B" w:rsidRDefault="007D417F" w:rsidP="00E44AEF">
                  <w:pPr>
                    <w:pStyle w:val="TableBodyText"/>
                  </w:pPr>
                  <w:r>
                    <w:t>Non</w:t>
                  </w:r>
                  <w:r>
                    <w:noBreakHyphen/>
                    <w:t>c</w:t>
                  </w:r>
                  <w:r w:rsidRPr="00CE040B">
                    <w:t>ommercial</w:t>
                  </w:r>
                </w:p>
              </w:tc>
              <w:tc>
                <w:tcPr>
                  <w:tcW w:w="1417" w:type="pct"/>
                  <w:tcBorders>
                    <w:top w:val="single" w:sz="4" w:space="0" w:color="BFBFBF" w:themeColor="background1" w:themeShade="BF"/>
                  </w:tcBorders>
                  <w:shd w:val="clear" w:color="auto" w:fill="D9D9D9" w:themeFill="background1" w:themeFillShade="D9"/>
                  <w:vAlign w:val="center"/>
                </w:tcPr>
                <w:p w14:paraId="26EB4AA9" w14:textId="77777777" w:rsidR="007D417F" w:rsidRPr="00CE040B" w:rsidRDefault="007D417F" w:rsidP="00E44AEF">
                  <w:pPr>
                    <w:pStyle w:val="TableBodyText"/>
                  </w:pPr>
                  <w:r w:rsidRPr="00CE040B">
                    <w:t>Brew</w:t>
                  </w:r>
                  <w:r>
                    <w:noBreakHyphen/>
                  </w:r>
                  <w:r w:rsidRPr="00CE040B">
                    <w:t>on</w:t>
                  </w:r>
                  <w:r>
                    <w:noBreakHyphen/>
                  </w:r>
                  <w:r w:rsidRPr="00CE040B">
                    <w:t>premises</w:t>
                  </w:r>
                  <w:r>
                    <w:rPr>
                      <w:rStyle w:val="NoteLabel"/>
                    </w:rPr>
                    <w:t>c</w:t>
                  </w:r>
                </w:p>
              </w:tc>
              <w:tc>
                <w:tcPr>
                  <w:tcW w:w="1319" w:type="pct"/>
                  <w:tcBorders>
                    <w:top w:val="single" w:sz="4" w:space="0" w:color="BFBFBF" w:themeColor="background1" w:themeShade="BF"/>
                  </w:tcBorders>
                  <w:shd w:val="clear" w:color="auto" w:fill="D9D9D9" w:themeFill="background1" w:themeFillShade="D9"/>
                  <w:vAlign w:val="center"/>
                </w:tcPr>
                <w:p w14:paraId="2B9BF9BB" w14:textId="77777777" w:rsidR="007D417F" w:rsidRPr="00CE040B" w:rsidRDefault="007D417F" w:rsidP="00E44AEF">
                  <w:pPr>
                    <w:pStyle w:val="TableBodyText"/>
                  </w:pPr>
                  <w:r>
                    <w:t>3.57</w:t>
                  </w:r>
                </w:p>
              </w:tc>
            </w:tr>
            <w:tr w:rsidR="007D417F" w14:paraId="7859D8C6" w14:textId="77777777" w:rsidTr="00E44AEF">
              <w:trPr>
                <w:trHeight w:val="283"/>
              </w:trPr>
              <w:tc>
                <w:tcPr>
                  <w:tcW w:w="1264" w:type="pct"/>
                  <w:vMerge/>
                  <w:tcBorders>
                    <w:bottom w:val="single" w:sz="4" w:space="0" w:color="BFBFBF" w:themeColor="background1" w:themeShade="BF"/>
                  </w:tcBorders>
                  <w:shd w:val="clear" w:color="auto" w:fill="D9D9D9" w:themeFill="background1" w:themeFillShade="D9"/>
                  <w:vAlign w:val="center"/>
                </w:tcPr>
                <w:p w14:paraId="336F185D" w14:textId="77777777" w:rsidR="007D417F" w:rsidRDefault="007D417F" w:rsidP="00E44AEF">
                  <w:pPr>
                    <w:pStyle w:val="TableBodyText"/>
                    <w:jc w:val="left"/>
                  </w:pPr>
                </w:p>
              </w:tc>
              <w:tc>
                <w:tcPr>
                  <w:tcW w:w="1000" w:type="pct"/>
                  <w:vMerge/>
                  <w:tcBorders>
                    <w:bottom w:val="single" w:sz="4" w:space="0" w:color="BFBFBF" w:themeColor="background1" w:themeShade="BF"/>
                  </w:tcBorders>
                  <w:vAlign w:val="center"/>
                </w:tcPr>
                <w:p w14:paraId="48067D94" w14:textId="77777777" w:rsidR="007D417F" w:rsidRDefault="007D417F" w:rsidP="00E44AEF">
                  <w:pPr>
                    <w:pStyle w:val="TableBodyText"/>
                  </w:pPr>
                </w:p>
              </w:tc>
              <w:tc>
                <w:tcPr>
                  <w:tcW w:w="1417" w:type="pct"/>
                  <w:tcBorders>
                    <w:bottom w:val="single" w:sz="4" w:space="0" w:color="BFBFBF" w:themeColor="background1" w:themeShade="BF"/>
                  </w:tcBorders>
                  <w:shd w:val="clear" w:color="auto" w:fill="auto"/>
                  <w:vAlign w:val="center"/>
                </w:tcPr>
                <w:p w14:paraId="3C0C6FC8" w14:textId="77777777" w:rsidR="007D417F" w:rsidRPr="00CE040B" w:rsidRDefault="007D417F" w:rsidP="00E44AEF">
                  <w:pPr>
                    <w:pStyle w:val="TableBodyText"/>
                  </w:pPr>
                  <w:r w:rsidRPr="00CE040B">
                    <w:t>Home</w:t>
                  </w:r>
                  <w:r w:rsidRPr="00CE040B">
                    <w:noBreakHyphen/>
                    <w:t>brewed</w:t>
                  </w:r>
                  <w:r w:rsidRPr="003C48B8">
                    <w:rPr>
                      <w:rStyle w:val="NoteLabel"/>
                    </w:rPr>
                    <w:t>d</w:t>
                  </w:r>
                </w:p>
              </w:tc>
              <w:tc>
                <w:tcPr>
                  <w:tcW w:w="1319" w:type="pct"/>
                  <w:tcBorders>
                    <w:bottom w:val="single" w:sz="4" w:space="0" w:color="BFBFBF" w:themeColor="background1" w:themeShade="BF"/>
                  </w:tcBorders>
                  <w:shd w:val="clear" w:color="auto" w:fill="auto"/>
                  <w:vAlign w:val="center"/>
                </w:tcPr>
                <w:p w14:paraId="44291D67" w14:textId="77777777" w:rsidR="007D417F" w:rsidRPr="00CE040B" w:rsidRDefault="007D417F" w:rsidP="00E44AEF">
                  <w:pPr>
                    <w:pStyle w:val="TableBodyText"/>
                  </w:pPr>
                  <w:r w:rsidRPr="00CE040B">
                    <w:t>Nil</w:t>
                  </w:r>
                </w:p>
              </w:tc>
            </w:tr>
            <w:tr w:rsidR="007D417F" w14:paraId="07D5212C" w14:textId="77777777" w:rsidTr="00E44AEF">
              <w:trPr>
                <w:trHeight w:val="283"/>
              </w:trPr>
              <w:tc>
                <w:tcPr>
                  <w:tcW w:w="1264" w:type="pct"/>
                  <w:vMerge w:val="restart"/>
                  <w:tcBorders>
                    <w:top w:val="single" w:sz="4" w:space="0" w:color="BFBFBF" w:themeColor="background1" w:themeShade="BF"/>
                  </w:tcBorders>
                  <w:shd w:val="clear" w:color="auto" w:fill="FFFFFF" w:themeFill="background1"/>
                  <w:vAlign w:val="center"/>
                </w:tcPr>
                <w:p w14:paraId="29DE1466" w14:textId="77777777" w:rsidR="007D417F" w:rsidRPr="00CE040B" w:rsidRDefault="007D417F" w:rsidP="00E44AEF">
                  <w:pPr>
                    <w:pStyle w:val="TableBodyText"/>
                    <w:jc w:val="left"/>
                  </w:pPr>
                  <w:r w:rsidRPr="00CE040B">
                    <w:t>Beer: &gt; 3.5 per cent</w:t>
                  </w:r>
                  <w:r w:rsidRPr="00895747">
                    <w:rPr>
                      <w:rStyle w:val="NoteLabel"/>
                    </w:rPr>
                    <w:t>a</w:t>
                  </w:r>
                </w:p>
              </w:tc>
              <w:tc>
                <w:tcPr>
                  <w:tcW w:w="1000" w:type="pct"/>
                  <w:vMerge w:val="restart"/>
                  <w:tcBorders>
                    <w:top w:val="single" w:sz="4" w:space="0" w:color="BFBFBF" w:themeColor="background1" w:themeShade="BF"/>
                  </w:tcBorders>
                  <w:shd w:val="clear" w:color="auto" w:fill="D9D9D9" w:themeFill="background1" w:themeFillShade="D9"/>
                  <w:vAlign w:val="center"/>
                </w:tcPr>
                <w:p w14:paraId="47C15942" w14:textId="77777777" w:rsidR="007D417F" w:rsidRPr="00CE040B" w:rsidRDefault="007D417F" w:rsidP="00E44AEF">
                  <w:pPr>
                    <w:pStyle w:val="TableBodyText"/>
                  </w:pPr>
                  <w:r w:rsidRPr="00CE040B">
                    <w:t>Commercial</w:t>
                  </w:r>
                </w:p>
              </w:tc>
              <w:tc>
                <w:tcPr>
                  <w:tcW w:w="1417" w:type="pct"/>
                  <w:tcBorders>
                    <w:top w:val="single" w:sz="4" w:space="0" w:color="BFBFBF" w:themeColor="background1" w:themeShade="BF"/>
                  </w:tcBorders>
                  <w:shd w:val="clear" w:color="auto" w:fill="D9D9D9" w:themeFill="background1" w:themeFillShade="D9"/>
                  <w:vAlign w:val="center"/>
                </w:tcPr>
                <w:p w14:paraId="5F8A0866" w14:textId="77777777" w:rsidR="007D417F" w:rsidRPr="00CE040B" w:rsidRDefault="007D417F" w:rsidP="00E44AEF">
                  <w:pPr>
                    <w:pStyle w:val="TableBodyText"/>
                  </w:pPr>
                  <w:r>
                    <w:t xml:space="preserve">Container &gt; </w:t>
                  </w:r>
                  <w:r w:rsidRPr="00CE040B">
                    <w:t>8L</w:t>
                  </w:r>
                </w:p>
              </w:tc>
              <w:tc>
                <w:tcPr>
                  <w:tcW w:w="1319" w:type="pct"/>
                  <w:tcBorders>
                    <w:top w:val="single" w:sz="4" w:space="0" w:color="BFBFBF" w:themeColor="background1" w:themeShade="BF"/>
                  </w:tcBorders>
                  <w:shd w:val="clear" w:color="auto" w:fill="D9D9D9" w:themeFill="background1" w:themeFillShade="D9"/>
                  <w:vAlign w:val="center"/>
                </w:tcPr>
                <w:p w14:paraId="4D711F93" w14:textId="77777777" w:rsidR="007D417F" w:rsidRPr="00CE040B" w:rsidRDefault="007D417F" w:rsidP="00E44AEF">
                  <w:pPr>
                    <w:pStyle w:val="TableBodyText"/>
                  </w:pPr>
                  <w:r>
                    <w:t>36.14</w:t>
                  </w:r>
                </w:p>
              </w:tc>
            </w:tr>
            <w:tr w:rsidR="007D417F" w14:paraId="6C12331B" w14:textId="77777777" w:rsidTr="00E44AEF">
              <w:trPr>
                <w:trHeight w:val="283"/>
              </w:trPr>
              <w:tc>
                <w:tcPr>
                  <w:tcW w:w="1264" w:type="pct"/>
                  <w:vMerge/>
                  <w:shd w:val="clear" w:color="auto" w:fill="FFFFFF" w:themeFill="background1"/>
                  <w:vAlign w:val="center"/>
                </w:tcPr>
                <w:p w14:paraId="16665580" w14:textId="77777777" w:rsidR="007D417F" w:rsidRDefault="007D417F" w:rsidP="00E44AEF">
                  <w:pPr>
                    <w:pStyle w:val="TableBodyText"/>
                  </w:pPr>
                </w:p>
              </w:tc>
              <w:tc>
                <w:tcPr>
                  <w:tcW w:w="1000" w:type="pct"/>
                  <w:vMerge/>
                  <w:tcBorders>
                    <w:bottom w:val="single" w:sz="4" w:space="0" w:color="BFBFBF" w:themeColor="background1" w:themeShade="BF"/>
                  </w:tcBorders>
                  <w:shd w:val="clear" w:color="auto" w:fill="D9D9D9" w:themeFill="background1" w:themeFillShade="D9"/>
                  <w:vAlign w:val="center"/>
                </w:tcPr>
                <w:p w14:paraId="6EEAD209" w14:textId="77777777" w:rsidR="007D417F" w:rsidRDefault="007D417F" w:rsidP="00E44AEF">
                  <w:pPr>
                    <w:pStyle w:val="TableBodyText"/>
                  </w:pPr>
                </w:p>
              </w:tc>
              <w:tc>
                <w:tcPr>
                  <w:tcW w:w="1417" w:type="pct"/>
                  <w:tcBorders>
                    <w:bottom w:val="single" w:sz="4" w:space="0" w:color="BFBFBF" w:themeColor="background1" w:themeShade="BF"/>
                  </w:tcBorders>
                  <w:shd w:val="clear" w:color="auto" w:fill="auto"/>
                  <w:vAlign w:val="center"/>
                </w:tcPr>
                <w:p w14:paraId="4188887F" w14:textId="77777777" w:rsidR="007D417F" w:rsidRPr="00CE040B" w:rsidRDefault="007D417F" w:rsidP="00E44AEF">
                  <w:pPr>
                    <w:pStyle w:val="TableBodyText"/>
                  </w:pPr>
                  <w:r>
                    <w:t xml:space="preserve">Container &lt; </w:t>
                  </w:r>
                  <w:r w:rsidRPr="00CE040B">
                    <w:t>8L</w:t>
                  </w:r>
                  <w:r w:rsidRPr="00BD0641">
                    <w:rPr>
                      <w:rStyle w:val="NoteLabel"/>
                    </w:rPr>
                    <w:t>b</w:t>
                  </w:r>
                </w:p>
              </w:tc>
              <w:tc>
                <w:tcPr>
                  <w:tcW w:w="1319" w:type="pct"/>
                  <w:tcBorders>
                    <w:bottom w:val="single" w:sz="4" w:space="0" w:color="BFBFBF" w:themeColor="background1" w:themeShade="BF"/>
                  </w:tcBorders>
                  <w:shd w:val="clear" w:color="auto" w:fill="auto"/>
                  <w:vAlign w:val="center"/>
                </w:tcPr>
                <w:p w14:paraId="2DE95943" w14:textId="77777777" w:rsidR="007D417F" w:rsidRPr="00CE040B" w:rsidRDefault="007D417F" w:rsidP="00E44AEF">
                  <w:pPr>
                    <w:pStyle w:val="TableBodyText"/>
                  </w:pPr>
                  <w:r>
                    <w:t>51.31</w:t>
                  </w:r>
                </w:p>
              </w:tc>
            </w:tr>
            <w:tr w:rsidR="007D417F" w14:paraId="726DD172" w14:textId="77777777" w:rsidTr="00E44AEF">
              <w:trPr>
                <w:trHeight w:val="283"/>
              </w:trPr>
              <w:tc>
                <w:tcPr>
                  <w:tcW w:w="1264" w:type="pct"/>
                  <w:vMerge/>
                  <w:shd w:val="clear" w:color="auto" w:fill="FFFFFF" w:themeFill="background1"/>
                  <w:vAlign w:val="center"/>
                </w:tcPr>
                <w:p w14:paraId="113F95DD" w14:textId="77777777" w:rsidR="007D417F" w:rsidRDefault="007D417F" w:rsidP="00E44AEF">
                  <w:pPr>
                    <w:pStyle w:val="TableBodyText"/>
                  </w:pPr>
                </w:p>
              </w:tc>
              <w:tc>
                <w:tcPr>
                  <w:tcW w:w="1000" w:type="pct"/>
                  <w:vMerge w:val="restart"/>
                  <w:tcBorders>
                    <w:top w:val="single" w:sz="4" w:space="0" w:color="BFBFBF" w:themeColor="background1" w:themeShade="BF"/>
                  </w:tcBorders>
                  <w:vAlign w:val="center"/>
                </w:tcPr>
                <w:p w14:paraId="4F64E6EC" w14:textId="77777777" w:rsidR="007D417F" w:rsidRPr="00CE040B" w:rsidRDefault="007D417F" w:rsidP="00E44AEF">
                  <w:pPr>
                    <w:pStyle w:val="TableBodyText"/>
                  </w:pPr>
                  <w:r>
                    <w:t>Non</w:t>
                  </w:r>
                  <w:r>
                    <w:noBreakHyphen/>
                    <w:t>c</w:t>
                  </w:r>
                  <w:r w:rsidRPr="00CE040B">
                    <w:t>ommercial</w:t>
                  </w:r>
                </w:p>
              </w:tc>
              <w:tc>
                <w:tcPr>
                  <w:tcW w:w="1417" w:type="pct"/>
                  <w:tcBorders>
                    <w:top w:val="single" w:sz="4" w:space="0" w:color="BFBFBF" w:themeColor="background1" w:themeShade="BF"/>
                  </w:tcBorders>
                  <w:shd w:val="clear" w:color="auto" w:fill="D9D9D9" w:themeFill="background1" w:themeFillShade="D9"/>
                  <w:vAlign w:val="center"/>
                </w:tcPr>
                <w:p w14:paraId="6CFBC8F1" w14:textId="77777777" w:rsidR="007D417F" w:rsidRPr="00CE040B" w:rsidRDefault="007D417F" w:rsidP="00E44AEF">
                  <w:pPr>
                    <w:pStyle w:val="TableBodyText"/>
                  </w:pPr>
                  <w:r w:rsidRPr="00CE040B">
                    <w:t>Brew</w:t>
                  </w:r>
                  <w:r>
                    <w:noBreakHyphen/>
                  </w:r>
                  <w:r w:rsidRPr="00CE040B">
                    <w:t>on</w:t>
                  </w:r>
                  <w:r>
                    <w:noBreakHyphen/>
                  </w:r>
                  <w:r w:rsidRPr="00CE040B">
                    <w:t>premises</w:t>
                  </w:r>
                  <w:r>
                    <w:rPr>
                      <w:rStyle w:val="NoteLabel"/>
                    </w:rPr>
                    <w:t>c</w:t>
                  </w:r>
                </w:p>
              </w:tc>
              <w:tc>
                <w:tcPr>
                  <w:tcW w:w="1319" w:type="pct"/>
                  <w:tcBorders>
                    <w:top w:val="single" w:sz="4" w:space="0" w:color="BFBFBF" w:themeColor="background1" w:themeShade="BF"/>
                  </w:tcBorders>
                  <w:shd w:val="clear" w:color="auto" w:fill="D9D9D9" w:themeFill="background1" w:themeFillShade="D9"/>
                  <w:vAlign w:val="center"/>
                </w:tcPr>
                <w:p w14:paraId="1258C442" w14:textId="77777777" w:rsidR="007D417F" w:rsidRPr="00CE040B" w:rsidRDefault="007D417F" w:rsidP="00E44AEF">
                  <w:pPr>
                    <w:pStyle w:val="TableBodyText"/>
                  </w:pPr>
                  <w:r>
                    <w:t>3.57</w:t>
                  </w:r>
                </w:p>
              </w:tc>
            </w:tr>
            <w:tr w:rsidR="007D417F" w14:paraId="40167236" w14:textId="77777777" w:rsidTr="00E44AEF">
              <w:trPr>
                <w:trHeight w:val="283"/>
              </w:trPr>
              <w:tc>
                <w:tcPr>
                  <w:tcW w:w="1264" w:type="pct"/>
                  <w:vMerge/>
                  <w:tcBorders>
                    <w:bottom w:val="single" w:sz="4" w:space="0" w:color="BFBFBF" w:themeColor="background1" w:themeShade="BF"/>
                  </w:tcBorders>
                  <w:shd w:val="clear" w:color="auto" w:fill="FFFFFF" w:themeFill="background1"/>
                  <w:vAlign w:val="center"/>
                </w:tcPr>
                <w:p w14:paraId="7A08E877" w14:textId="77777777" w:rsidR="007D417F" w:rsidRDefault="007D417F" w:rsidP="00E44AEF">
                  <w:pPr>
                    <w:pStyle w:val="TableBodyText"/>
                  </w:pPr>
                </w:p>
              </w:tc>
              <w:tc>
                <w:tcPr>
                  <w:tcW w:w="1000" w:type="pct"/>
                  <w:vMerge/>
                  <w:tcBorders>
                    <w:bottom w:val="single" w:sz="4" w:space="0" w:color="BFBFBF" w:themeColor="background1" w:themeShade="BF"/>
                  </w:tcBorders>
                  <w:vAlign w:val="center"/>
                </w:tcPr>
                <w:p w14:paraId="42CB065B" w14:textId="77777777" w:rsidR="007D417F" w:rsidRDefault="007D417F" w:rsidP="00E44AEF">
                  <w:pPr>
                    <w:pStyle w:val="TableBodyText"/>
                  </w:pPr>
                </w:p>
              </w:tc>
              <w:tc>
                <w:tcPr>
                  <w:tcW w:w="1417" w:type="pct"/>
                  <w:tcBorders>
                    <w:bottom w:val="single" w:sz="4" w:space="0" w:color="BFBFBF" w:themeColor="background1" w:themeShade="BF"/>
                  </w:tcBorders>
                  <w:shd w:val="clear" w:color="auto" w:fill="auto"/>
                  <w:vAlign w:val="center"/>
                </w:tcPr>
                <w:p w14:paraId="01BFA4E8" w14:textId="77777777" w:rsidR="007D417F" w:rsidRPr="00CE040B" w:rsidRDefault="007D417F" w:rsidP="00E44AEF">
                  <w:pPr>
                    <w:pStyle w:val="TableBodyText"/>
                  </w:pPr>
                  <w:r w:rsidRPr="00CE040B">
                    <w:t>Home</w:t>
                  </w:r>
                  <w:r w:rsidRPr="00CE040B">
                    <w:noBreakHyphen/>
                    <w:t>brewed</w:t>
                  </w:r>
                  <w:r w:rsidRPr="003C48B8">
                    <w:rPr>
                      <w:rStyle w:val="NoteLabel"/>
                    </w:rPr>
                    <w:t>d</w:t>
                  </w:r>
                </w:p>
              </w:tc>
              <w:tc>
                <w:tcPr>
                  <w:tcW w:w="1319" w:type="pct"/>
                  <w:tcBorders>
                    <w:bottom w:val="single" w:sz="4" w:space="0" w:color="BFBFBF" w:themeColor="background1" w:themeShade="BF"/>
                  </w:tcBorders>
                  <w:shd w:val="clear" w:color="auto" w:fill="auto"/>
                  <w:vAlign w:val="center"/>
                </w:tcPr>
                <w:p w14:paraId="30261593" w14:textId="77777777" w:rsidR="007D417F" w:rsidRPr="00CE040B" w:rsidRDefault="007D417F" w:rsidP="00E44AEF">
                  <w:pPr>
                    <w:pStyle w:val="TableBodyText"/>
                  </w:pPr>
                  <w:r w:rsidRPr="00CE040B">
                    <w:t>Nil</w:t>
                  </w:r>
                </w:p>
              </w:tc>
            </w:tr>
            <w:tr w:rsidR="007D417F" w14:paraId="21EBBAAD" w14:textId="77777777" w:rsidTr="00E44AEF">
              <w:tc>
                <w:tcPr>
                  <w:tcW w:w="2264" w:type="pct"/>
                  <w:gridSpan w:val="2"/>
                  <w:tcBorders>
                    <w:top w:val="single" w:sz="4" w:space="0" w:color="BFBFBF" w:themeColor="background1" w:themeShade="BF"/>
                  </w:tcBorders>
                  <w:shd w:val="clear" w:color="auto" w:fill="D9D9D9" w:themeFill="background1" w:themeFillShade="D9"/>
                  <w:vAlign w:val="center"/>
                </w:tcPr>
                <w:p w14:paraId="382848E0" w14:textId="77777777" w:rsidR="007D417F" w:rsidRDefault="007D417F" w:rsidP="00E44AEF">
                  <w:pPr>
                    <w:pStyle w:val="TableBodyText"/>
                    <w:jc w:val="left"/>
                  </w:pPr>
                  <w:r w:rsidRPr="00CE040B">
                    <w:t>Brandy</w:t>
                  </w:r>
                </w:p>
              </w:tc>
              <w:tc>
                <w:tcPr>
                  <w:tcW w:w="1417" w:type="pct"/>
                  <w:tcBorders>
                    <w:top w:val="single" w:sz="4" w:space="0" w:color="BFBFBF" w:themeColor="background1" w:themeShade="BF"/>
                  </w:tcBorders>
                  <w:shd w:val="clear" w:color="auto" w:fill="D9D9D9" w:themeFill="background1" w:themeFillShade="D9"/>
                  <w:vAlign w:val="center"/>
                </w:tcPr>
                <w:p w14:paraId="7C80893F" w14:textId="77777777" w:rsidR="007D417F" w:rsidRDefault="007D417F" w:rsidP="00E44AEF">
                  <w:pPr>
                    <w:pStyle w:val="TableBodyText"/>
                  </w:pPr>
                </w:p>
              </w:tc>
              <w:tc>
                <w:tcPr>
                  <w:tcW w:w="1319" w:type="pct"/>
                  <w:tcBorders>
                    <w:top w:val="single" w:sz="4" w:space="0" w:color="BFBFBF" w:themeColor="background1" w:themeShade="BF"/>
                  </w:tcBorders>
                  <w:shd w:val="clear" w:color="auto" w:fill="D9D9D9" w:themeFill="background1" w:themeFillShade="D9"/>
                  <w:vAlign w:val="center"/>
                </w:tcPr>
                <w:p w14:paraId="6A1E27DA" w14:textId="77777777" w:rsidR="007D417F" w:rsidRPr="00CE040B" w:rsidRDefault="007D417F" w:rsidP="00E44AEF">
                  <w:pPr>
                    <w:pStyle w:val="TableBodyText"/>
                  </w:pPr>
                  <w:r>
                    <w:t>81.16</w:t>
                  </w:r>
                </w:p>
              </w:tc>
            </w:tr>
            <w:tr w:rsidR="007D417F" w14:paraId="306CFB51" w14:textId="77777777" w:rsidTr="00E44AEF">
              <w:tc>
                <w:tcPr>
                  <w:tcW w:w="2264" w:type="pct"/>
                  <w:gridSpan w:val="2"/>
                  <w:shd w:val="clear" w:color="auto" w:fill="FFFFFF" w:themeFill="background1"/>
                  <w:vAlign w:val="center"/>
                </w:tcPr>
                <w:p w14:paraId="6B654893" w14:textId="77777777" w:rsidR="007D417F" w:rsidRDefault="007D417F" w:rsidP="00E44AEF">
                  <w:pPr>
                    <w:pStyle w:val="TableBodyText"/>
                    <w:jc w:val="left"/>
                  </w:pPr>
                  <w:r>
                    <w:t>Sprits</w:t>
                  </w:r>
                </w:p>
              </w:tc>
              <w:tc>
                <w:tcPr>
                  <w:tcW w:w="1417" w:type="pct"/>
                  <w:shd w:val="clear" w:color="auto" w:fill="auto"/>
                  <w:vAlign w:val="center"/>
                </w:tcPr>
                <w:p w14:paraId="279E256B" w14:textId="77777777" w:rsidR="007D417F" w:rsidRDefault="007D417F" w:rsidP="00E44AEF">
                  <w:pPr>
                    <w:pStyle w:val="TableBodyText"/>
                  </w:pPr>
                </w:p>
              </w:tc>
              <w:tc>
                <w:tcPr>
                  <w:tcW w:w="1319" w:type="pct"/>
                  <w:shd w:val="clear" w:color="auto" w:fill="auto"/>
                  <w:vAlign w:val="center"/>
                </w:tcPr>
                <w:p w14:paraId="790E30A4" w14:textId="77777777" w:rsidR="007D417F" w:rsidRPr="00CE040B" w:rsidRDefault="007D417F" w:rsidP="00E44AEF">
                  <w:pPr>
                    <w:pStyle w:val="TableBodyText"/>
                  </w:pPr>
                  <w:r>
                    <w:t>86.90</w:t>
                  </w:r>
                </w:p>
              </w:tc>
            </w:tr>
            <w:tr w:rsidR="007D417F" w14:paraId="3C736CB0" w14:textId="77777777" w:rsidTr="00E44AEF">
              <w:tc>
                <w:tcPr>
                  <w:tcW w:w="2264" w:type="pct"/>
                  <w:gridSpan w:val="2"/>
                  <w:shd w:val="clear" w:color="auto" w:fill="D9D9D9" w:themeFill="background1" w:themeFillShade="D9"/>
                  <w:vAlign w:val="center"/>
                </w:tcPr>
                <w:p w14:paraId="5FF21017" w14:textId="77777777" w:rsidR="007D417F" w:rsidRDefault="007D417F" w:rsidP="00E44AEF">
                  <w:pPr>
                    <w:pStyle w:val="TableBodyText"/>
                    <w:jc w:val="left"/>
                  </w:pPr>
                  <w:r w:rsidRPr="00CE040B">
                    <w:t>R</w:t>
                  </w:r>
                  <w:r>
                    <w:t>eady</w:t>
                  </w:r>
                  <w:r>
                    <w:noBreakHyphen/>
                    <w:t>to</w:t>
                  </w:r>
                  <w:r>
                    <w:noBreakHyphen/>
                    <w:t>drink</w:t>
                  </w:r>
                  <w:r w:rsidRPr="00CE040B">
                    <w:t xml:space="preserve"> (alcopops)</w:t>
                  </w:r>
                </w:p>
              </w:tc>
              <w:tc>
                <w:tcPr>
                  <w:tcW w:w="1417" w:type="pct"/>
                  <w:shd w:val="clear" w:color="auto" w:fill="D9D9D9" w:themeFill="background1" w:themeFillShade="D9"/>
                  <w:vAlign w:val="center"/>
                </w:tcPr>
                <w:p w14:paraId="64602F00" w14:textId="77777777" w:rsidR="007D417F" w:rsidRDefault="007D417F" w:rsidP="00E44AEF">
                  <w:pPr>
                    <w:pStyle w:val="TableBodyText"/>
                  </w:pPr>
                </w:p>
              </w:tc>
              <w:tc>
                <w:tcPr>
                  <w:tcW w:w="1319" w:type="pct"/>
                  <w:shd w:val="clear" w:color="auto" w:fill="D9D9D9" w:themeFill="background1" w:themeFillShade="D9"/>
                  <w:vAlign w:val="center"/>
                </w:tcPr>
                <w:p w14:paraId="58F7FB60" w14:textId="77777777" w:rsidR="007D417F" w:rsidRPr="00CE040B" w:rsidRDefault="007D417F" w:rsidP="00E44AEF">
                  <w:pPr>
                    <w:pStyle w:val="TableBodyText"/>
                  </w:pPr>
                  <w:r>
                    <w:t>86.90</w:t>
                  </w:r>
                </w:p>
              </w:tc>
            </w:tr>
            <w:tr w:rsidR="007D417F" w14:paraId="3B70CFE6" w14:textId="77777777" w:rsidTr="00E44AEF">
              <w:tc>
                <w:tcPr>
                  <w:tcW w:w="2264" w:type="pct"/>
                  <w:gridSpan w:val="2"/>
                  <w:shd w:val="clear" w:color="auto" w:fill="FFFFFF" w:themeFill="background1"/>
                  <w:vAlign w:val="center"/>
                </w:tcPr>
                <w:p w14:paraId="331D7B79" w14:textId="77777777" w:rsidR="007D417F" w:rsidRDefault="007D417F" w:rsidP="00E44AEF">
                  <w:pPr>
                    <w:pStyle w:val="TableBodyText"/>
                    <w:jc w:val="left"/>
                  </w:pPr>
                  <w:r w:rsidRPr="00CE040B">
                    <w:t>Cider (with additives)</w:t>
                  </w:r>
                </w:p>
              </w:tc>
              <w:tc>
                <w:tcPr>
                  <w:tcW w:w="1417" w:type="pct"/>
                  <w:shd w:val="clear" w:color="auto" w:fill="auto"/>
                  <w:vAlign w:val="center"/>
                </w:tcPr>
                <w:p w14:paraId="0D169B24" w14:textId="77777777" w:rsidR="007D417F" w:rsidRDefault="007D417F" w:rsidP="00E44AEF">
                  <w:pPr>
                    <w:pStyle w:val="TableBodyText"/>
                  </w:pPr>
                </w:p>
              </w:tc>
              <w:tc>
                <w:tcPr>
                  <w:tcW w:w="1319" w:type="pct"/>
                  <w:shd w:val="clear" w:color="auto" w:fill="auto"/>
                  <w:vAlign w:val="center"/>
                </w:tcPr>
                <w:p w14:paraId="374A60D0" w14:textId="77777777" w:rsidR="007D417F" w:rsidRPr="00CE040B" w:rsidRDefault="007D417F" w:rsidP="00E44AEF">
                  <w:pPr>
                    <w:pStyle w:val="TableBodyText"/>
                  </w:pPr>
                  <w:r>
                    <w:t>86.90</w:t>
                  </w:r>
                </w:p>
              </w:tc>
            </w:tr>
            <w:tr w:rsidR="007D417F" w14:paraId="67F14491" w14:textId="77777777" w:rsidTr="00E44AEF">
              <w:tc>
                <w:tcPr>
                  <w:tcW w:w="2264" w:type="pct"/>
                  <w:gridSpan w:val="2"/>
                  <w:shd w:val="clear" w:color="auto" w:fill="D9D9D9" w:themeFill="background1" w:themeFillShade="D9"/>
                  <w:vAlign w:val="center"/>
                </w:tcPr>
                <w:p w14:paraId="71E47734" w14:textId="77777777" w:rsidR="007D417F" w:rsidRPr="00CE040B" w:rsidRDefault="007D417F" w:rsidP="00E44AEF">
                  <w:pPr>
                    <w:pStyle w:val="TableBodyText"/>
                    <w:jc w:val="left"/>
                  </w:pPr>
                  <w:r w:rsidRPr="00CE040B">
                    <w:t>Cider (traditional)</w:t>
                  </w:r>
                </w:p>
              </w:tc>
              <w:tc>
                <w:tcPr>
                  <w:tcW w:w="2736" w:type="pct"/>
                  <w:gridSpan w:val="2"/>
                  <w:shd w:val="clear" w:color="auto" w:fill="D9D9D9" w:themeFill="background1" w:themeFillShade="D9"/>
                  <w:vAlign w:val="center"/>
                </w:tcPr>
                <w:p w14:paraId="64BDFF1F" w14:textId="77777777" w:rsidR="007D417F" w:rsidRPr="00CE040B" w:rsidRDefault="007D417F" w:rsidP="00E44AEF">
                  <w:pPr>
                    <w:pStyle w:val="TableBodyText"/>
                  </w:pPr>
                  <w:r>
                    <w:t>29 per cent of wholesale</w:t>
                  </w:r>
                  <w:r w:rsidRPr="00CE040B">
                    <w:t xml:space="preserve"> value</w:t>
                  </w:r>
                </w:p>
              </w:tc>
            </w:tr>
            <w:tr w:rsidR="007D417F" w14:paraId="01155362" w14:textId="77777777" w:rsidTr="00E44AEF">
              <w:tc>
                <w:tcPr>
                  <w:tcW w:w="2264" w:type="pct"/>
                  <w:gridSpan w:val="2"/>
                  <w:tcBorders>
                    <w:bottom w:val="single" w:sz="6" w:space="0" w:color="BFBFBF"/>
                  </w:tcBorders>
                  <w:shd w:val="clear" w:color="auto" w:fill="FFFFFF" w:themeFill="background1"/>
                  <w:vAlign w:val="center"/>
                </w:tcPr>
                <w:p w14:paraId="2DE055A1" w14:textId="77777777" w:rsidR="007D417F" w:rsidRPr="00CE040B" w:rsidRDefault="007D417F" w:rsidP="00E44AEF">
                  <w:pPr>
                    <w:pStyle w:val="TableBodyText"/>
                    <w:jc w:val="left"/>
                  </w:pPr>
                  <w:r w:rsidRPr="00CE040B">
                    <w:t>Wine</w:t>
                  </w:r>
                </w:p>
              </w:tc>
              <w:tc>
                <w:tcPr>
                  <w:tcW w:w="2736" w:type="pct"/>
                  <w:gridSpan w:val="2"/>
                  <w:tcBorders>
                    <w:bottom w:val="single" w:sz="6" w:space="0" w:color="BFBFBF"/>
                  </w:tcBorders>
                  <w:shd w:val="clear" w:color="auto" w:fill="auto"/>
                  <w:vAlign w:val="center"/>
                </w:tcPr>
                <w:p w14:paraId="1241CAFF" w14:textId="77777777" w:rsidR="007D417F" w:rsidRPr="00CE040B" w:rsidRDefault="007D417F" w:rsidP="00E44AEF">
                  <w:pPr>
                    <w:pStyle w:val="TableBodyText"/>
                  </w:pPr>
                  <w:r>
                    <w:t>29 per cent of wholesale</w:t>
                  </w:r>
                  <w:r w:rsidRPr="00CE040B">
                    <w:t xml:space="preserve"> value</w:t>
                  </w:r>
                </w:p>
              </w:tc>
            </w:tr>
          </w:tbl>
          <w:p w14:paraId="2A2C99AA" w14:textId="77777777" w:rsidR="007D417F" w:rsidRDefault="007D417F" w:rsidP="00E44AEF">
            <w:pPr>
              <w:pStyle w:val="BoxSpaceBelow"/>
            </w:pPr>
          </w:p>
        </w:tc>
      </w:tr>
      <w:tr w:rsidR="007D417F" w14:paraId="6321F450" w14:textId="77777777" w:rsidTr="00E44AEF">
        <w:tc>
          <w:tcPr>
            <w:tcW w:w="5000" w:type="pct"/>
            <w:tcBorders>
              <w:top w:val="nil"/>
              <w:left w:val="nil"/>
              <w:bottom w:val="nil"/>
              <w:right w:val="nil"/>
            </w:tcBorders>
            <w:shd w:val="clear" w:color="auto" w:fill="auto"/>
          </w:tcPr>
          <w:p w14:paraId="56DFCF56" w14:textId="77777777" w:rsidR="007D417F" w:rsidRDefault="007D417F" w:rsidP="00E44AEF">
            <w:pPr>
              <w:pStyle w:val="Note"/>
              <w:rPr>
                <w:i/>
              </w:rPr>
            </w:pPr>
            <w:r w:rsidRPr="008E77FE">
              <w:rPr>
                <w:rStyle w:val="NoteLabel"/>
              </w:rPr>
              <w:t>a</w:t>
            </w:r>
            <w:r>
              <w:t xml:space="preserve"> Beer excise</w:t>
            </w:r>
            <w:r w:rsidRPr="00895747">
              <w:t xml:space="preserve"> is only applied on alcohol content above a concentration of 1.15 per cent</w:t>
            </w:r>
            <w:r>
              <w:t xml:space="preserve">. </w:t>
            </w:r>
            <w:r>
              <w:rPr>
                <w:rStyle w:val="NoteLabel"/>
              </w:rPr>
              <w:t>b</w:t>
            </w:r>
            <w:r>
              <w:t xml:space="preserve"> Small container rates also apply to alcohol in individual containers of 8 to </w:t>
            </w:r>
            <w:r w:rsidRPr="003C48B8">
              <w:t xml:space="preserve">48 litres </w:t>
            </w:r>
            <w:r>
              <w:t>that are</w:t>
            </w:r>
            <w:r w:rsidRPr="003C48B8">
              <w:t xml:space="preserve"> </w:t>
            </w:r>
            <w:r w:rsidRPr="006C17F0">
              <w:rPr>
                <w:i/>
              </w:rPr>
              <w:t>not</w:t>
            </w:r>
            <w:r w:rsidRPr="003C48B8">
              <w:t xml:space="preserve"> designed to connect to a pressurised gas or pump delivery system</w:t>
            </w:r>
            <w:r>
              <w:t xml:space="preserve">. </w:t>
            </w:r>
            <w:r w:rsidRPr="00895747">
              <w:rPr>
                <w:rStyle w:val="NoteLabel"/>
              </w:rPr>
              <w:t>c</w:t>
            </w:r>
            <w:r w:rsidRPr="00895747">
              <w:t xml:space="preserve"> </w:t>
            </w:r>
            <w:r>
              <w:t>‘</w:t>
            </w:r>
            <w:r w:rsidRPr="00895747">
              <w:t>Brew</w:t>
            </w:r>
            <w:r>
              <w:noBreakHyphen/>
            </w:r>
            <w:r w:rsidRPr="00895747">
              <w:t>on</w:t>
            </w:r>
            <w:r>
              <w:noBreakHyphen/>
            </w:r>
            <w:r w:rsidRPr="00895747">
              <w:t>premises</w:t>
            </w:r>
            <w:r>
              <w:t>’</w:t>
            </w:r>
            <w:r w:rsidRPr="00895747">
              <w:t xml:space="preserve"> is beer produced for non</w:t>
            </w:r>
            <w:r w:rsidRPr="00895747">
              <w:noBreakHyphen/>
              <w:t xml:space="preserve">commercial purposes using commercial equipment (such as </w:t>
            </w:r>
            <w:r>
              <w:t>renting</w:t>
            </w:r>
            <w:r w:rsidRPr="00895747">
              <w:t xml:space="preserve"> out industrial brewing facilities for own consumption)</w:t>
            </w:r>
            <w:r>
              <w:t xml:space="preserve">. </w:t>
            </w:r>
            <w:r w:rsidRPr="003C48B8">
              <w:rPr>
                <w:rStyle w:val="NoteLabel"/>
              </w:rPr>
              <w:t>d</w:t>
            </w:r>
            <w:r>
              <w:t xml:space="preserve"> ‘</w:t>
            </w:r>
            <w:r w:rsidRPr="00895747">
              <w:t>Home</w:t>
            </w:r>
            <w:r w:rsidRPr="00895747">
              <w:noBreakHyphen/>
              <w:t>brew</w:t>
            </w:r>
            <w:r>
              <w:t>’</w:t>
            </w:r>
            <w:r w:rsidRPr="00895747">
              <w:t xml:space="preserve"> is beer produced for non</w:t>
            </w:r>
            <w:r w:rsidRPr="00895747">
              <w:noBreakHyphen/>
              <w:t>commercial purposes</w:t>
            </w:r>
            <w:r>
              <w:t xml:space="preserve"> in non</w:t>
            </w:r>
            <w:r>
              <w:noBreakHyphen/>
              <w:t>commercial facilities.</w:t>
            </w:r>
          </w:p>
        </w:tc>
      </w:tr>
      <w:tr w:rsidR="007D417F" w14:paraId="18ED7D40" w14:textId="77777777" w:rsidTr="00E44AEF">
        <w:tc>
          <w:tcPr>
            <w:tcW w:w="5000" w:type="pct"/>
            <w:tcBorders>
              <w:top w:val="nil"/>
              <w:left w:val="nil"/>
              <w:bottom w:val="nil"/>
              <w:right w:val="nil"/>
            </w:tcBorders>
            <w:shd w:val="clear" w:color="auto" w:fill="auto"/>
          </w:tcPr>
          <w:p w14:paraId="28A68FF5" w14:textId="77777777" w:rsidR="007D417F" w:rsidRDefault="007D417F" w:rsidP="00E44AEF">
            <w:pPr>
              <w:pStyle w:val="Source"/>
            </w:pPr>
            <w:r>
              <w:rPr>
                <w:i/>
              </w:rPr>
              <w:t>Sources</w:t>
            </w:r>
            <w:r w:rsidRPr="00167F06">
              <w:t xml:space="preserve">: </w:t>
            </w:r>
            <w:r>
              <w:t xml:space="preserve">ATO </w:t>
            </w:r>
            <w:r w:rsidRPr="00BD0641">
              <w:rPr>
                <w:rFonts w:cs="Arial"/>
              </w:rPr>
              <w:t>(2020)</w:t>
            </w:r>
            <w:r>
              <w:t xml:space="preserve"> and </w:t>
            </w:r>
            <w:r w:rsidRPr="0006593E">
              <w:rPr>
                <w:i/>
              </w:rPr>
              <w:t>Excise Tariff Act 1921</w:t>
            </w:r>
            <w:r>
              <w:t>.</w:t>
            </w:r>
          </w:p>
        </w:tc>
      </w:tr>
      <w:tr w:rsidR="007D417F" w14:paraId="709B2316" w14:textId="77777777" w:rsidTr="00E44AEF">
        <w:tc>
          <w:tcPr>
            <w:tcW w:w="5000" w:type="pct"/>
            <w:tcBorders>
              <w:top w:val="nil"/>
              <w:left w:val="nil"/>
              <w:bottom w:val="single" w:sz="6" w:space="0" w:color="78A22F"/>
              <w:right w:val="nil"/>
            </w:tcBorders>
            <w:shd w:val="clear" w:color="auto" w:fill="auto"/>
          </w:tcPr>
          <w:p w14:paraId="69EAD285" w14:textId="77777777" w:rsidR="007D417F" w:rsidRDefault="007D417F" w:rsidP="00E44AEF">
            <w:pPr>
              <w:pStyle w:val="Box"/>
              <w:spacing w:before="0" w:line="120" w:lineRule="exact"/>
            </w:pPr>
          </w:p>
        </w:tc>
      </w:tr>
      <w:tr w:rsidR="007D417F" w:rsidRPr="000863A5" w14:paraId="69FED191" w14:textId="77777777" w:rsidTr="00E44AEF">
        <w:tc>
          <w:tcPr>
            <w:tcW w:w="5000" w:type="pct"/>
            <w:tcBorders>
              <w:top w:val="single" w:sz="6" w:space="0" w:color="78A22F"/>
              <w:left w:val="nil"/>
              <w:bottom w:val="nil"/>
              <w:right w:val="nil"/>
            </w:tcBorders>
          </w:tcPr>
          <w:p w14:paraId="0A9DFCFB" w14:textId="77777777" w:rsidR="007D417F" w:rsidRPr="00626D32" w:rsidRDefault="007D417F" w:rsidP="00E44AEF">
            <w:pPr>
              <w:pStyle w:val="BoxSpaceBelow"/>
            </w:pPr>
          </w:p>
        </w:tc>
      </w:tr>
    </w:tbl>
    <w:p w14:paraId="6FBAA434" w14:textId="77777777" w:rsidR="007D417F" w:rsidRDefault="007D417F" w:rsidP="00E44AEF">
      <w:pPr>
        <w:pStyle w:val="BodyText"/>
      </w:pPr>
      <w:r>
        <w:t xml:space="preserve">The current system includes a range of concessions to the main rates of alcohol excise, resulting in 10 different rates of duty, applied across 16 different excise categories. There are also WET rebates available to some winemakers, as well as excise refunds for select brewers and distillers. The stated purpose of many of these tax concessions and rebates is to provide industry assistance to winemakers, brewers and distillers, and to the hospitality </w:t>
      </w:r>
      <w:r>
        <w:lastRenderedPageBreak/>
        <w:t>industry serving alcoholic beverages (box 2.5). Taken together, the four assistance measures equated to nearly $2 billion of forgone tax revenue over the past four fiscal years (table 2.2).</w:t>
      </w:r>
    </w:p>
    <w:p w14:paraId="663A5ABF" w14:textId="77777777" w:rsidR="007D417F" w:rsidRDefault="007D417F" w:rsidP="00E44AEF">
      <w:pPr>
        <w:pStyle w:val="BodyText"/>
      </w:pPr>
      <w:r>
        <w:t>The level of industry assistance grew from 1 July 2019 as the Australian Government implemented changes that:</w:t>
      </w:r>
    </w:p>
    <w:p w14:paraId="67B834F7" w14:textId="77777777" w:rsidR="007D417F" w:rsidRDefault="007D417F" w:rsidP="00E44AEF">
      <w:pPr>
        <w:pStyle w:val="ListBullet"/>
      </w:pPr>
      <w:r>
        <w:t>extended the draught beer concession to cover smaller kegs of 8 litres or more</w:t>
      </w:r>
      <w:r>
        <w:rPr>
          <w:rStyle w:val="FootnoteReference"/>
        </w:rPr>
        <w:footnoteReference w:id="8"/>
      </w:r>
      <w:r>
        <w:t xml:space="preserve"> </w:t>
      </w:r>
    </w:p>
    <w:p w14:paraId="20D4D0EF" w14:textId="77777777" w:rsidR="007D417F" w:rsidRDefault="007D417F" w:rsidP="00E44AEF">
      <w:pPr>
        <w:pStyle w:val="ListBullet"/>
      </w:pPr>
      <w:r>
        <w:t>increased the maximum excise refund from $30 000 to $100 000 per annum.</w:t>
      </w:r>
    </w:p>
    <w:p w14:paraId="1F601534" w14:textId="77777777" w:rsidR="007D417F" w:rsidRDefault="007D417F" w:rsidP="00E44AEF">
      <w:pPr>
        <w:pStyle w:val="BodyText"/>
      </w:pPr>
      <w:r>
        <w:t xml:space="preserve">Together, the two changes were expected to cost $85 million in foregone revenue over the first three years </w:t>
      </w:r>
      <w:r w:rsidRPr="004166BE">
        <w:rPr>
          <w:szCs w:val="24"/>
        </w:rPr>
        <w:t>(Australian Government 2018, pp. 19–20)</w:t>
      </w:r>
      <w:r>
        <w:t>.</w:t>
      </w:r>
    </w:p>
    <w:p w14:paraId="441A1E18" w14:textId="77777777" w:rsidR="007D417F" w:rsidRDefault="007D417F" w:rsidP="00E44AEF">
      <w:pPr>
        <w:pStyle w:val="BodyText"/>
      </w:pPr>
      <w:r>
        <w:t>The added support in 2019 was introduced</w:t>
      </w:r>
      <w:r w:rsidRPr="004166BE">
        <w:t xml:space="preserve"> </w:t>
      </w:r>
      <w:r>
        <w:t>‘</w:t>
      </w:r>
      <w:r w:rsidRPr="00C643B9">
        <w:t>to assist the thriving craft brewing sector</w:t>
      </w:r>
      <w:r>
        <w:t xml:space="preserve">’ </w:t>
      </w:r>
      <w:r w:rsidRPr="00C643B9">
        <w:rPr>
          <w:szCs w:val="24"/>
        </w:rPr>
        <w:t>(Robert 2019)</w:t>
      </w:r>
      <w:r>
        <w:t xml:space="preserve">. Craft brewers had argued that </w:t>
      </w:r>
      <w:r w:rsidRPr="004166BE">
        <w:t xml:space="preserve">the </w:t>
      </w:r>
      <w:r>
        <w:t>draught beer</w:t>
      </w:r>
      <w:r w:rsidRPr="004166BE">
        <w:t xml:space="preserve"> concession was inequitable, as it discriminated against </w:t>
      </w:r>
      <w:r>
        <w:t xml:space="preserve">their </w:t>
      </w:r>
      <w:r w:rsidRPr="004166BE">
        <w:t>smaller</w:t>
      </w:r>
      <w:r>
        <w:noBreakHyphen/>
        <w:t>scale un</w:t>
      </w:r>
      <w:r>
        <w:noBreakHyphen/>
        <w:t xml:space="preserve">mechanised operations and </w:t>
      </w:r>
      <w:r w:rsidRPr="004166BE">
        <w:t xml:space="preserve">greater use of </w:t>
      </w:r>
      <w:r>
        <w:t>non</w:t>
      </w:r>
      <w:r>
        <w:noBreakHyphen/>
        <w:t>concessional</w:t>
      </w:r>
      <w:r w:rsidRPr="004166BE">
        <w:t xml:space="preserve"> 20 </w:t>
      </w:r>
      <w:r>
        <w:t>or 30 litre kegs for</w:t>
      </w:r>
      <w:r w:rsidRPr="004166BE">
        <w:t xml:space="preserve"> smaller</w:t>
      </w:r>
      <w:r>
        <w:noBreakHyphen/>
        <w:t>sized brewing</w:t>
      </w:r>
      <w:r w:rsidRPr="004166BE">
        <w:t xml:space="preserve"> batches</w:t>
      </w:r>
      <w:r>
        <w:t>, which also appeal</w:t>
      </w:r>
      <w:r w:rsidRPr="004166BE">
        <w:t xml:space="preserve"> to smaller venues (such as cafés) (Robert 2019; </w:t>
      </w:r>
      <w:proofErr w:type="spellStart"/>
      <w:r w:rsidRPr="004166BE">
        <w:t>Sammartino</w:t>
      </w:r>
      <w:proofErr w:type="spellEnd"/>
      <w:r w:rsidRPr="004166BE">
        <w:t> 2017).</w:t>
      </w:r>
    </w:p>
    <w:p w14:paraId="39014D05" w14:textId="77777777" w:rsidR="007D417F" w:rsidRDefault="007D417F" w:rsidP="00E44AEF">
      <w:pPr>
        <w:pStyle w:val="BodyText"/>
      </w:pPr>
      <w:r>
        <w:t>The steady expansion of industry assistance through the alcohol tax system has increased the complexity of that system, which may lead to further calls for assistance to compensate for the growing complexity or for other introduced anomalies or inequities. T</w:t>
      </w:r>
      <w:r w:rsidRPr="00181027">
        <w:t xml:space="preserve">he Commission has previously </w:t>
      </w:r>
      <w:r>
        <w:t xml:space="preserve">flagged the need for broader reform of </w:t>
      </w:r>
      <w:r w:rsidRPr="00181027">
        <w:t>Australia’s alcohol tax system</w:t>
      </w:r>
      <w:r>
        <w:t>,</w:t>
      </w:r>
      <w:r w:rsidRPr="00181027">
        <w:t xml:space="preserve"> </w:t>
      </w:r>
      <w:r>
        <w:t xml:space="preserve">describing it </w:t>
      </w:r>
      <w:r w:rsidRPr="00181027">
        <w:t xml:space="preserve">as ‘a mess, with alcohol content taxed at multiple rates, with no rhyme or reason for the variations, bar history and vested interests’ </w:t>
      </w:r>
      <w:r w:rsidR="00AC5385" w:rsidRPr="00AC5385">
        <w:rPr>
          <w:szCs w:val="24"/>
        </w:rPr>
        <w:t>(PC 2017b, p. 74)</w:t>
      </w:r>
      <w:r w:rsidRPr="00181027">
        <w:t>.</w:t>
      </w:r>
      <w:r>
        <w:t xml:space="preserve"> </w:t>
      </w:r>
    </w:p>
    <w:p w14:paraId="01F48B8B" w14:textId="77777777" w:rsidR="007D417F" w:rsidRDefault="007D417F" w:rsidP="00E44AE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7D417F" w14:paraId="79ADAC9E" w14:textId="77777777" w:rsidTr="00E44AEF">
        <w:trPr>
          <w:tblHeader/>
        </w:trPr>
        <w:tc>
          <w:tcPr>
            <w:tcW w:w="5000" w:type="pct"/>
            <w:tcBorders>
              <w:top w:val="single" w:sz="6" w:space="0" w:color="78A22F"/>
              <w:left w:val="nil"/>
              <w:bottom w:val="nil"/>
              <w:right w:val="nil"/>
            </w:tcBorders>
            <w:shd w:val="clear" w:color="auto" w:fill="auto"/>
          </w:tcPr>
          <w:p w14:paraId="1D99F4FE" w14:textId="77777777" w:rsidR="007D417F" w:rsidRDefault="007D417F" w:rsidP="00E44AEF">
            <w:pPr>
              <w:pStyle w:val="TableTitle"/>
            </w:pPr>
            <w:r>
              <w:rPr>
                <w:b w:val="0"/>
              </w:rPr>
              <w:t>Table 2.</w:t>
            </w:r>
            <w:r>
              <w:rPr>
                <w:b w:val="0"/>
                <w:noProof/>
              </w:rPr>
              <w:t>2</w:t>
            </w:r>
            <w:r>
              <w:tab/>
              <w:t>Revenue forgone is not small beer</w:t>
            </w:r>
          </w:p>
          <w:p w14:paraId="36586F2C" w14:textId="77777777" w:rsidR="007D417F" w:rsidRPr="00784A05" w:rsidRDefault="007D417F" w:rsidP="00E44AEF">
            <w:pPr>
              <w:pStyle w:val="Subtitle"/>
            </w:pPr>
            <w:r>
              <w:t>Alcohol tax revenue forgone, 2016</w:t>
            </w:r>
            <w:r>
              <w:noBreakHyphen/>
              <w:t>17 to 2019</w:t>
            </w:r>
            <w:r>
              <w:noBreakHyphen/>
              <w:t>20 ($ millions)</w:t>
            </w:r>
          </w:p>
        </w:tc>
      </w:tr>
      <w:tr w:rsidR="007D417F" w14:paraId="73336373" w14:textId="77777777" w:rsidTr="00E44AEF">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544"/>
              <w:gridCol w:w="992"/>
              <w:gridCol w:w="992"/>
              <w:gridCol w:w="993"/>
              <w:gridCol w:w="992"/>
              <w:gridCol w:w="992"/>
            </w:tblGrid>
            <w:tr w:rsidR="007D417F" w14:paraId="31EC8EC2" w14:textId="77777777" w:rsidTr="0049377C">
              <w:trPr>
                <w:tblHeader/>
              </w:trPr>
              <w:tc>
                <w:tcPr>
                  <w:tcW w:w="2083" w:type="pct"/>
                  <w:tcBorders>
                    <w:top w:val="single" w:sz="6" w:space="0" w:color="BFBFBF"/>
                    <w:bottom w:val="single" w:sz="6" w:space="0" w:color="BFBFBF"/>
                  </w:tcBorders>
                  <w:shd w:val="clear" w:color="auto" w:fill="auto"/>
                  <w:tcMar>
                    <w:top w:w="28" w:type="dxa"/>
                  </w:tcMar>
                </w:tcPr>
                <w:p w14:paraId="16C42E19" w14:textId="77777777" w:rsidR="007D417F" w:rsidRDefault="007D417F" w:rsidP="00E44AEF">
                  <w:pPr>
                    <w:pStyle w:val="TableColumnHeading"/>
                    <w:jc w:val="left"/>
                  </w:pPr>
                  <w:r>
                    <w:t>Assistance measure</w:t>
                  </w:r>
                </w:p>
              </w:tc>
              <w:tc>
                <w:tcPr>
                  <w:tcW w:w="583" w:type="pct"/>
                  <w:tcBorders>
                    <w:top w:val="single" w:sz="6" w:space="0" w:color="BFBFBF"/>
                    <w:bottom w:val="single" w:sz="6" w:space="0" w:color="BFBFBF"/>
                  </w:tcBorders>
                </w:tcPr>
                <w:p w14:paraId="7F2942EE" w14:textId="77777777" w:rsidR="007D417F" w:rsidRDefault="007D417F" w:rsidP="00E44AEF">
                  <w:pPr>
                    <w:pStyle w:val="TableColumnHeading"/>
                  </w:pPr>
                  <w:r>
                    <w:t>2016</w:t>
                  </w:r>
                  <w:r>
                    <w:noBreakHyphen/>
                    <w:t>17</w:t>
                  </w:r>
                </w:p>
              </w:tc>
              <w:tc>
                <w:tcPr>
                  <w:tcW w:w="583" w:type="pct"/>
                  <w:tcBorders>
                    <w:top w:val="single" w:sz="6" w:space="0" w:color="BFBFBF"/>
                    <w:bottom w:val="single" w:sz="6" w:space="0" w:color="BFBFBF"/>
                  </w:tcBorders>
                  <w:shd w:val="clear" w:color="auto" w:fill="auto"/>
                  <w:tcMar>
                    <w:top w:w="28" w:type="dxa"/>
                  </w:tcMar>
                </w:tcPr>
                <w:p w14:paraId="6CF99A19" w14:textId="77777777" w:rsidR="007D417F" w:rsidRDefault="007D417F" w:rsidP="00E44AEF">
                  <w:pPr>
                    <w:pStyle w:val="TableColumnHeading"/>
                  </w:pPr>
                  <w:r>
                    <w:t>2017</w:t>
                  </w:r>
                  <w:r>
                    <w:noBreakHyphen/>
                    <w:t>18</w:t>
                  </w:r>
                </w:p>
              </w:tc>
              <w:tc>
                <w:tcPr>
                  <w:tcW w:w="584" w:type="pct"/>
                  <w:tcBorders>
                    <w:top w:val="single" w:sz="6" w:space="0" w:color="BFBFBF"/>
                    <w:bottom w:val="single" w:sz="6" w:space="0" w:color="BFBFBF"/>
                  </w:tcBorders>
                </w:tcPr>
                <w:p w14:paraId="3E9991D1" w14:textId="77777777" w:rsidR="007D417F" w:rsidRDefault="007D417F" w:rsidP="00E44AEF">
                  <w:pPr>
                    <w:pStyle w:val="TableColumnHeading"/>
                    <w:ind w:right="28"/>
                  </w:pPr>
                  <w:r>
                    <w:t>2018</w:t>
                  </w:r>
                  <w:r>
                    <w:noBreakHyphen/>
                    <w:t>19</w:t>
                  </w:r>
                </w:p>
              </w:tc>
              <w:tc>
                <w:tcPr>
                  <w:tcW w:w="583" w:type="pct"/>
                  <w:tcBorders>
                    <w:top w:val="single" w:sz="6" w:space="0" w:color="BFBFBF"/>
                    <w:bottom w:val="single" w:sz="6" w:space="0" w:color="BFBFBF"/>
                  </w:tcBorders>
                </w:tcPr>
                <w:p w14:paraId="247BC596" w14:textId="77777777" w:rsidR="007D417F" w:rsidRDefault="007D417F" w:rsidP="00E44AEF">
                  <w:pPr>
                    <w:pStyle w:val="TableColumnHeading"/>
                    <w:ind w:right="28"/>
                  </w:pPr>
                  <w:r>
                    <w:t>2019</w:t>
                  </w:r>
                  <w:r>
                    <w:noBreakHyphen/>
                    <w:t>20</w:t>
                  </w:r>
                </w:p>
              </w:tc>
              <w:tc>
                <w:tcPr>
                  <w:tcW w:w="583" w:type="pct"/>
                  <w:tcBorders>
                    <w:top w:val="single" w:sz="6" w:space="0" w:color="BFBFBF"/>
                    <w:bottom w:val="single" w:sz="6" w:space="0" w:color="BFBFBF"/>
                  </w:tcBorders>
                  <w:shd w:val="clear" w:color="auto" w:fill="auto"/>
                  <w:tcMar>
                    <w:top w:w="28" w:type="dxa"/>
                  </w:tcMar>
                </w:tcPr>
                <w:p w14:paraId="3B57C9FC" w14:textId="77777777" w:rsidR="007D417F" w:rsidRDefault="007D417F" w:rsidP="00E44AEF">
                  <w:pPr>
                    <w:pStyle w:val="TableColumnHeading"/>
                    <w:ind w:right="28"/>
                  </w:pPr>
                  <w:r>
                    <w:t>Total</w:t>
                  </w:r>
                </w:p>
              </w:tc>
            </w:tr>
            <w:tr w:rsidR="007D417F" w14:paraId="3983B315" w14:textId="77777777" w:rsidTr="00E44AEF">
              <w:tc>
                <w:tcPr>
                  <w:tcW w:w="2083" w:type="pct"/>
                  <w:tcBorders>
                    <w:top w:val="single" w:sz="6" w:space="0" w:color="BFBFBF"/>
                  </w:tcBorders>
                </w:tcPr>
                <w:p w14:paraId="5B2D6385" w14:textId="77777777" w:rsidR="007D417F" w:rsidRDefault="007D417F" w:rsidP="00E44AEF">
                  <w:pPr>
                    <w:pStyle w:val="TableUnitsRow"/>
                    <w:jc w:val="left"/>
                  </w:pPr>
                  <w:r>
                    <w:t>Draught beer concession</w:t>
                  </w:r>
                </w:p>
              </w:tc>
              <w:tc>
                <w:tcPr>
                  <w:tcW w:w="583" w:type="pct"/>
                  <w:tcBorders>
                    <w:top w:val="single" w:sz="6" w:space="0" w:color="BFBFBF"/>
                  </w:tcBorders>
                </w:tcPr>
                <w:p w14:paraId="774FC43F" w14:textId="77777777" w:rsidR="007D417F" w:rsidRDefault="007D417F" w:rsidP="00E44AEF">
                  <w:pPr>
                    <w:pStyle w:val="TableUnitsRow"/>
                  </w:pPr>
                  <w:r>
                    <w:t>165</w:t>
                  </w:r>
                </w:p>
              </w:tc>
              <w:tc>
                <w:tcPr>
                  <w:tcW w:w="583" w:type="pct"/>
                  <w:tcBorders>
                    <w:top w:val="single" w:sz="6" w:space="0" w:color="BFBFBF"/>
                  </w:tcBorders>
                </w:tcPr>
                <w:p w14:paraId="4A28AA69" w14:textId="77777777" w:rsidR="007D417F" w:rsidRDefault="007D417F" w:rsidP="00E44AEF">
                  <w:pPr>
                    <w:pStyle w:val="TableUnitsRow"/>
                  </w:pPr>
                  <w:r>
                    <w:t>165</w:t>
                  </w:r>
                </w:p>
              </w:tc>
              <w:tc>
                <w:tcPr>
                  <w:tcW w:w="584" w:type="pct"/>
                  <w:tcBorders>
                    <w:top w:val="single" w:sz="6" w:space="0" w:color="BFBFBF"/>
                  </w:tcBorders>
                </w:tcPr>
                <w:p w14:paraId="151E4BFF" w14:textId="77777777" w:rsidR="007D417F" w:rsidRDefault="007D417F" w:rsidP="00E44AEF">
                  <w:pPr>
                    <w:pStyle w:val="TableUnitsRow"/>
                    <w:ind w:right="28"/>
                  </w:pPr>
                  <w:r>
                    <w:t>170</w:t>
                  </w:r>
                </w:p>
              </w:tc>
              <w:tc>
                <w:tcPr>
                  <w:tcW w:w="583" w:type="pct"/>
                  <w:tcBorders>
                    <w:top w:val="single" w:sz="6" w:space="0" w:color="BFBFBF"/>
                  </w:tcBorders>
                </w:tcPr>
                <w:p w14:paraId="465644E9" w14:textId="77777777" w:rsidR="007D417F" w:rsidRPr="00190D50" w:rsidRDefault="007D417F" w:rsidP="00E44AEF">
                  <w:pPr>
                    <w:pStyle w:val="TableUnitsRow"/>
                    <w:ind w:right="28"/>
                  </w:pPr>
                  <w:r w:rsidRPr="00190D50">
                    <w:t>170</w:t>
                  </w:r>
                </w:p>
              </w:tc>
              <w:tc>
                <w:tcPr>
                  <w:tcW w:w="583" w:type="pct"/>
                  <w:tcBorders>
                    <w:top w:val="single" w:sz="6" w:space="0" w:color="BFBFBF"/>
                  </w:tcBorders>
                </w:tcPr>
                <w:p w14:paraId="769E7F39" w14:textId="77777777" w:rsidR="007D417F" w:rsidRPr="00D61311" w:rsidRDefault="007D417F" w:rsidP="00E44AEF">
                  <w:pPr>
                    <w:pStyle w:val="TableUnitsRow"/>
                    <w:ind w:right="28"/>
                    <w:rPr>
                      <w:i/>
                    </w:rPr>
                  </w:pPr>
                  <w:r w:rsidRPr="00D61311">
                    <w:rPr>
                      <w:i/>
                    </w:rPr>
                    <w:t>6</w:t>
                  </w:r>
                  <w:r>
                    <w:rPr>
                      <w:i/>
                    </w:rPr>
                    <w:t>70</w:t>
                  </w:r>
                </w:p>
              </w:tc>
            </w:tr>
            <w:tr w:rsidR="007D417F" w14:paraId="3521F437" w14:textId="77777777" w:rsidTr="00E44AEF">
              <w:tc>
                <w:tcPr>
                  <w:tcW w:w="2083" w:type="pct"/>
                </w:tcPr>
                <w:p w14:paraId="0C79EC65" w14:textId="77777777" w:rsidR="007D417F" w:rsidRDefault="007D417F" w:rsidP="00E44AEF">
                  <w:pPr>
                    <w:pStyle w:val="TableBodyText"/>
                    <w:jc w:val="left"/>
                  </w:pPr>
                  <w:r>
                    <w:t>Brandy concession</w:t>
                  </w:r>
                </w:p>
              </w:tc>
              <w:tc>
                <w:tcPr>
                  <w:tcW w:w="583" w:type="pct"/>
                </w:tcPr>
                <w:p w14:paraId="3C6EA846" w14:textId="77777777" w:rsidR="007D417F" w:rsidRDefault="007D417F" w:rsidP="00E44AEF">
                  <w:pPr>
                    <w:pStyle w:val="TableBodyText"/>
                  </w:pPr>
                  <w:r>
                    <w:t>4</w:t>
                  </w:r>
                </w:p>
              </w:tc>
              <w:tc>
                <w:tcPr>
                  <w:tcW w:w="583" w:type="pct"/>
                </w:tcPr>
                <w:p w14:paraId="7C3A4723" w14:textId="77777777" w:rsidR="007D417F" w:rsidRDefault="007D417F" w:rsidP="00E44AEF">
                  <w:pPr>
                    <w:pStyle w:val="TableBodyText"/>
                  </w:pPr>
                  <w:r>
                    <w:t>5</w:t>
                  </w:r>
                </w:p>
              </w:tc>
              <w:tc>
                <w:tcPr>
                  <w:tcW w:w="584" w:type="pct"/>
                </w:tcPr>
                <w:p w14:paraId="62C81561" w14:textId="77777777" w:rsidR="007D417F" w:rsidRDefault="007D417F" w:rsidP="00E44AEF">
                  <w:pPr>
                    <w:pStyle w:val="TableBodyText"/>
                    <w:ind w:right="28"/>
                  </w:pPr>
                  <w:r>
                    <w:t>5</w:t>
                  </w:r>
                </w:p>
              </w:tc>
              <w:tc>
                <w:tcPr>
                  <w:tcW w:w="583" w:type="pct"/>
                </w:tcPr>
                <w:p w14:paraId="30E91A42" w14:textId="77777777" w:rsidR="007D417F" w:rsidRPr="00190D50" w:rsidRDefault="007D417F" w:rsidP="00E44AEF">
                  <w:pPr>
                    <w:pStyle w:val="TableBodyText"/>
                    <w:ind w:right="28"/>
                  </w:pPr>
                  <w:r w:rsidRPr="00190D50">
                    <w:t>5</w:t>
                  </w:r>
                </w:p>
              </w:tc>
              <w:tc>
                <w:tcPr>
                  <w:tcW w:w="583" w:type="pct"/>
                </w:tcPr>
                <w:p w14:paraId="79A11EA7" w14:textId="77777777" w:rsidR="007D417F" w:rsidRPr="00D61311" w:rsidRDefault="007D417F" w:rsidP="00E44AEF">
                  <w:pPr>
                    <w:pStyle w:val="TableBodyText"/>
                    <w:ind w:right="28"/>
                    <w:rPr>
                      <w:i/>
                    </w:rPr>
                  </w:pPr>
                  <w:r w:rsidRPr="00D61311">
                    <w:rPr>
                      <w:i/>
                    </w:rPr>
                    <w:t>19</w:t>
                  </w:r>
                </w:p>
              </w:tc>
            </w:tr>
            <w:tr w:rsidR="007D417F" w14:paraId="0B665F52" w14:textId="77777777" w:rsidTr="00E44AEF">
              <w:tc>
                <w:tcPr>
                  <w:tcW w:w="2083" w:type="pct"/>
                  <w:shd w:val="clear" w:color="auto" w:fill="auto"/>
                </w:tcPr>
                <w:p w14:paraId="72A2AC15" w14:textId="77777777" w:rsidR="007D417F" w:rsidRDefault="007D417F" w:rsidP="00E44AEF">
                  <w:pPr>
                    <w:pStyle w:val="TableBodyText"/>
                    <w:jc w:val="left"/>
                  </w:pPr>
                  <w:r>
                    <w:t>Brewer and distiller refund</w:t>
                  </w:r>
                </w:p>
              </w:tc>
              <w:tc>
                <w:tcPr>
                  <w:tcW w:w="583" w:type="pct"/>
                </w:tcPr>
                <w:p w14:paraId="65B0941E" w14:textId="77777777" w:rsidR="007D417F" w:rsidRDefault="007D417F" w:rsidP="00E44AEF">
                  <w:pPr>
                    <w:pStyle w:val="TableBodyText"/>
                  </w:pPr>
                  <w:r>
                    <w:t>6</w:t>
                  </w:r>
                </w:p>
              </w:tc>
              <w:tc>
                <w:tcPr>
                  <w:tcW w:w="583" w:type="pct"/>
                  <w:shd w:val="clear" w:color="auto" w:fill="auto"/>
                </w:tcPr>
                <w:p w14:paraId="422F31B8" w14:textId="77777777" w:rsidR="007D417F" w:rsidRDefault="007D417F" w:rsidP="00E44AEF">
                  <w:pPr>
                    <w:pStyle w:val="TableBodyText"/>
                  </w:pPr>
                  <w:r>
                    <w:t>10</w:t>
                  </w:r>
                </w:p>
              </w:tc>
              <w:tc>
                <w:tcPr>
                  <w:tcW w:w="584" w:type="pct"/>
                </w:tcPr>
                <w:p w14:paraId="27932C1F" w14:textId="77777777" w:rsidR="007D417F" w:rsidRDefault="007D417F" w:rsidP="00E44AEF">
                  <w:pPr>
                    <w:pStyle w:val="TableBodyText"/>
                    <w:ind w:right="28"/>
                  </w:pPr>
                  <w:r>
                    <w:t>10</w:t>
                  </w:r>
                </w:p>
              </w:tc>
              <w:tc>
                <w:tcPr>
                  <w:tcW w:w="583" w:type="pct"/>
                </w:tcPr>
                <w:p w14:paraId="541077A7" w14:textId="77777777" w:rsidR="007D417F" w:rsidRPr="00190D50" w:rsidRDefault="007D417F" w:rsidP="00E44AEF">
                  <w:pPr>
                    <w:pStyle w:val="TableBodyText"/>
                    <w:ind w:right="28"/>
                  </w:pPr>
                  <w:r w:rsidRPr="00190D50">
                    <w:t>35</w:t>
                  </w:r>
                </w:p>
              </w:tc>
              <w:tc>
                <w:tcPr>
                  <w:tcW w:w="583" w:type="pct"/>
                  <w:shd w:val="clear" w:color="auto" w:fill="auto"/>
                </w:tcPr>
                <w:p w14:paraId="16CB2C12" w14:textId="77777777" w:rsidR="007D417F" w:rsidRPr="00D61311" w:rsidRDefault="007D417F" w:rsidP="00E44AEF">
                  <w:pPr>
                    <w:pStyle w:val="TableBodyText"/>
                    <w:ind w:right="28"/>
                    <w:rPr>
                      <w:i/>
                    </w:rPr>
                  </w:pPr>
                  <w:r>
                    <w:rPr>
                      <w:i/>
                    </w:rPr>
                    <w:t>61</w:t>
                  </w:r>
                </w:p>
              </w:tc>
            </w:tr>
            <w:tr w:rsidR="007D417F" w14:paraId="0001FA06" w14:textId="77777777" w:rsidTr="00E44AEF">
              <w:tc>
                <w:tcPr>
                  <w:tcW w:w="2083" w:type="pct"/>
                  <w:tcBorders>
                    <w:bottom w:val="single" w:sz="6" w:space="0" w:color="BFBFBF"/>
                  </w:tcBorders>
                  <w:shd w:val="clear" w:color="auto" w:fill="auto"/>
                </w:tcPr>
                <w:p w14:paraId="716389C7" w14:textId="77777777" w:rsidR="007D417F" w:rsidRDefault="007D417F" w:rsidP="00E44AEF">
                  <w:pPr>
                    <w:pStyle w:val="TableBodyText"/>
                    <w:jc w:val="left"/>
                  </w:pPr>
                  <w:r>
                    <w:t>Wine tax rebate</w:t>
                  </w:r>
                </w:p>
              </w:tc>
              <w:tc>
                <w:tcPr>
                  <w:tcW w:w="583" w:type="pct"/>
                  <w:tcBorders>
                    <w:bottom w:val="single" w:sz="6" w:space="0" w:color="BFBFBF"/>
                  </w:tcBorders>
                </w:tcPr>
                <w:p w14:paraId="12A991F4" w14:textId="77777777" w:rsidR="007D417F" w:rsidRDefault="007D417F" w:rsidP="00E44AEF">
                  <w:pPr>
                    <w:pStyle w:val="TableBodyText"/>
                  </w:pPr>
                  <w:r>
                    <w:t>340</w:t>
                  </w:r>
                </w:p>
              </w:tc>
              <w:tc>
                <w:tcPr>
                  <w:tcW w:w="583" w:type="pct"/>
                  <w:tcBorders>
                    <w:bottom w:val="single" w:sz="6" w:space="0" w:color="BFBFBF"/>
                  </w:tcBorders>
                  <w:shd w:val="clear" w:color="auto" w:fill="auto"/>
                </w:tcPr>
                <w:p w14:paraId="0E50FE75" w14:textId="77777777" w:rsidR="007D417F" w:rsidRDefault="007D417F" w:rsidP="00E44AEF">
                  <w:pPr>
                    <w:pStyle w:val="TableBodyText"/>
                  </w:pPr>
                  <w:r>
                    <w:t>330</w:t>
                  </w:r>
                </w:p>
              </w:tc>
              <w:tc>
                <w:tcPr>
                  <w:tcW w:w="584" w:type="pct"/>
                  <w:tcBorders>
                    <w:bottom w:val="single" w:sz="6" w:space="0" w:color="BFBFBF"/>
                  </w:tcBorders>
                </w:tcPr>
                <w:p w14:paraId="543E868D" w14:textId="77777777" w:rsidR="007D417F" w:rsidRDefault="007D417F" w:rsidP="00E44AEF">
                  <w:pPr>
                    <w:pStyle w:val="TableBodyText"/>
                    <w:ind w:right="28"/>
                  </w:pPr>
                  <w:r>
                    <w:t>290</w:t>
                  </w:r>
                </w:p>
              </w:tc>
              <w:tc>
                <w:tcPr>
                  <w:tcW w:w="583" w:type="pct"/>
                  <w:tcBorders>
                    <w:bottom w:val="single" w:sz="6" w:space="0" w:color="BFBFBF"/>
                  </w:tcBorders>
                </w:tcPr>
                <w:p w14:paraId="7DBCA3F7" w14:textId="77777777" w:rsidR="007D417F" w:rsidRPr="00190D50" w:rsidRDefault="007D417F" w:rsidP="00E44AEF">
                  <w:pPr>
                    <w:pStyle w:val="TableBodyText"/>
                    <w:ind w:right="28"/>
                  </w:pPr>
                  <w:r w:rsidRPr="00190D50">
                    <w:t>280</w:t>
                  </w:r>
                </w:p>
              </w:tc>
              <w:tc>
                <w:tcPr>
                  <w:tcW w:w="583" w:type="pct"/>
                  <w:tcBorders>
                    <w:bottom w:val="single" w:sz="6" w:space="0" w:color="BFBFBF"/>
                  </w:tcBorders>
                  <w:shd w:val="clear" w:color="auto" w:fill="auto"/>
                </w:tcPr>
                <w:p w14:paraId="48EB2547" w14:textId="77777777" w:rsidR="007D417F" w:rsidRPr="00D61311" w:rsidRDefault="007D417F" w:rsidP="00E44AEF">
                  <w:pPr>
                    <w:pStyle w:val="TableBodyText"/>
                    <w:ind w:right="28"/>
                    <w:rPr>
                      <w:i/>
                    </w:rPr>
                  </w:pPr>
                  <w:r>
                    <w:rPr>
                      <w:i/>
                    </w:rPr>
                    <w:t>1 24</w:t>
                  </w:r>
                  <w:r w:rsidRPr="00D61311">
                    <w:rPr>
                      <w:i/>
                    </w:rPr>
                    <w:t>0</w:t>
                  </w:r>
                </w:p>
              </w:tc>
            </w:tr>
          </w:tbl>
          <w:p w14:paraId="66E17ADD" w14:textId="77777777" w:rsidR="007D417F" w:rsidRDefault="007D417F" w:rsidP="00E44AEF">
            <w:pPr>
              <w:pStyle w:val="Box"/>
            </w:pPr>
          </w:p>
        </w:tc>
      </w:tr>
      <w:tr w:rsidR="007D417F" w14:paraId="2FBEF732" w14:textId="77777777" w:rsidTr="00E44AEF">
        <w:tc>
          <w:tcPr>
            <w:tcW w:w="5000" w:type="pct"/>
            <w:tcBorders>
              <w:top w:val="nil"/>
              <w:left w:val="nil"/>
              <w:bottom w:val="nil"/>
              <w:right w:val="nil"/>
            </w:tcBorders>
            <w:shd w:val="clear" w:color="auto" w:fill="auto"/>
          </w:tcPr>
          <w:p w14:paraId="157B2173" w14:textId="77777777" w:rsidR="007D417F" w:rsidRDefault="007D417F" w:rsidP="00E44AEF">
            <w:pPr>
              <w:pStyle w:val="Source"/>
            </w:pPr>
            <w:r>
              <w:rPr>
                <w:i/>
              </w:rPr>
              <w:t>Source</w:t>
            </w:r>
            <w:r w:rsidRPr="00167F06">
              <w:t xml:space="preserve">: </w:t>
            </w:r>
            <w:r>
              <w:t xml:space="preserve">Treasury </w:t>
            </w:r>
            <w:r w:rsidRPr="00190D50">
              <w:rPr>
                <w:rFonts w:cs="Arial"/>
              </w:rPr>
              <w:t>(2020)</w:t>
            </w:r>
            <w:r>
              <w:t>.</w:t>
            </w:r>
          </w:p>
        </w:tc>
      </w:tr>
      <w:tr w:rsidR="007D417F" w14:paraId="34CF6CF2" w14:textId="77777777" w:rsidTr="00E44AEF">
        <w:tc>
          <w:tcPr>
            <w:tcW w:w="5000" w:type="pct"/>
            <w:tcBorders>
              <w:top w:val="nil"/>
              <w:left w:val="nil"/>
              <w:bottom w:val="single" w:sz="6" w:space="0" w:color="78A22F"/>
              <w:right w:val="nil"/>
            </w:tcBorders>
            <w:shd w:val="clear" w:color="auto" w:fill="auto"/>
          </w:tcPr>
          <w:p w14:paraId="4C1DF867" w14:textId="77777777" w:rsidR="007D417F" w:rsidRDefault="007D417F" w:rsidP="00E44AEF">
            <w:pPr>
              <w:pStyle w:val="Box"/>
              <w:spacing w:before="0" w:line="120" w:lineRule="exact"/>
            </w:pPr>
          </w:p>
        </w:tc>
      </w:tr>
      <w:tr w:rsidR="007D417F" w:rsidRPr="000863A5" w14:paraId="749C2AA2" w14:textId="77777777" w:rsidTr="00E44AEF">
        <w:tc>
          <w:tcPr>
            <w:tcW w:w="5000" w:type="pct"/>
            <w:tcBorders>
              <w:top w:val="single" w:sz="6" w:space="0" w:color="78A22F"/>
              <w:left w:val="nil"/>
              <w:bottom w:val="nil"/>
              <w:right w:val="nil"/>
            </w:tcBorders>
          </w:tcPr>
          <w:p w14:paraId="14935E7A" w14:textId="77777777" w:rsidR="007D417F" w:rsidRPr="00626D32" w:rsidRDefault="007D417F" w:rsidP="00E44AEF">
            <w:pPr>
              <w:pStyle w:val="BoxSpaceBelow"/>
            </w:pPr>
          </w:p>
        </w:tc>
      </w:tr>
    </w:tbl>
    <w:p w14:paraId="261C9186" w14:textId="77777777" w:rsidR="007D417F" w:rsidRDefault="007D417F" w:rsidP="00E44AE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417F" w14:paraId="07F23C84" w14:textId="77777777" w:rsidTr="00E44AEF">
        <w:trPr>
          <w:tblHeader/>
        </w:trPr>
        <w:tc>
          <w:tcPr>
            <w:tcW w:w="5000" w:type="pct"/>
            <w:tcBorders>
              <w:top w:val="single" w:sz="6" w:space="0" w:color="78A22F"/>
              <w:left w:val="nil"/>
              <w:bottom w:val="nil"/>
              <w:right w:val="nil"/>
            </w:tcBorders>
            <w:shd w:val="clear" w:color="auto" w:fill="F2F2F2"/>
          </w:tcPr>
          <w:p w14:paraId="31078125" w14:textId="77777777" w:rsidR="007D417F" w:rsidRDefault="007D417F" w:rsidP="00E44AEF">
            <w:pPr>
              <w:pStyle w:val="BoxTitle"/>
            </w:pPr>
            <w:r>
              <w:rPr>
                <w:b w:val="0"/>
              </w:rPr>
              <w:t>Box 2.</w:t>
            </w:r>
            <w:r>
              <w:rPr>
                <w:b w:val="0"/>
                <w:noProof/>
              </w:rPr>
              <w:t>5</w:t>
            </w:r>
            <w:r>
              <w:tab/>
              <w:t>A cocktail of concessions</w:t>
            </w:r>
          </w:p>
        </w:tc>
      </w:tr>
      <w:tr w:rsidR="007D417F" w14:paraId="34BEF13A" w14:textId="77777777" w:rsidTr="00E44AEF">
        <w:tc>
          <w:tcPr>
            <w:tcW w:w="5000" w:type="pct"/>
            <w:tcBorders>
              <w:top w:val="nil"/>
              <w:left w:val="nil"/>
              <w:bottom w:val="nil"/>
              <w:right w:val="nil"/>
            </w:tcBorders>
            <w:shd w:val="clear" w:color="auto" w:fill="F2F2F2"/>
          </w:tcPr>
          <w:p w14:paraId="73083FC9" w14:textId="77777777" w:rsidR="007D417F" w:rsidRPr="00181027" w:rsidRDefault="007D417F" w:rsidP="00E44AEF">
            <w:pPr>
              <w:pStyle w:val="BoxHeading1"/>
            </w:pPr>
            <w:r w:rsidRPr="00181027">
              <w:t>Draught beer concession</w:t>
            </w:r>
          </w:p>
          <w:p w14:paraId="1E83E5D4" w14:textId="77777777" w:rsidR="007D417F" w:rsidRPr="00181027" w:rsidRDefault="007D417F" w:rsidP="00E44AEF">
            <w:pPr>
              <w:pStyle w:val="Box"/>
            </w:pPr>
            <w:r w:rsidRPr="00181027">
              <w:t>Introduced on 4</w:t>
            </w:r>
            <w:r>
              <w:t> </w:t>
            </w:r>
            <w:r w:rsidRPr="00181027">
              <w:t xml:space="preserve">April 2001, the ‘draught beer’ concession applied a lower rate of excise to beer packaged in large containers (kegs) of over 48 litres (Webb 2006, p. 28). The concession </w:t>
            </w:r>
            <w:r>
              <w:t>is supported by</w:t>
            </w:r>
            <w:r w:rsidRPr="00181027">
              <w:t xml:space="preserve"> the hospitality industry</w:t>
            </w:r>
            <w:r>
              <w:t>. T</w:t>
            </w:r>
            <w:r w:rsidRPr="00181027">
              <w:t>he Australian Hotels Association argu</w:t>
            </w:r>
            <w:r>
              <w:t>es</w:t>
            </w:r>
            <w:r w:rsidRPr="00181027">
              <w:t xml:space="preserve"> that the draught beer concession </w:t>
            </w:r>
            <w:r>
              <w:t>assists</w:t>
            </w:r>
            <w:r w:rsidRPr="00181027">
              <w:t xml:space="preserve"> employment in the hospitality industry and </w:t>
            </w:r>
            <w:r>
              <w:t>delivers</w:t>
            </w:r>
            <w:r w:rsidRPr="00181027">
              <w:t xml:space="preserve"> soci</w:t>
            </w:r>
            <w:r>
              <w:t>al</w:t>
            </w:r>
            <w:r w:rsidRPr="00181027">
              <w:t xml:space="preserve"> benefits through improved public safety from consumption in licensed venues, rather than ‘unregulated’ environments (AHA 2013, 2017). </w:t>
            </w:r>
          </w:p>
          <w:p w14:paraId="4514A765" w14:textId="77777777" w:rsidR="007D417F" w:rsidRPr="00181027" w:rsidRDefault="007D417F" w:rsidP="00E44AEF">
            <w:pPr>
              <w:pStyle w:val="BoxHeading1"/>
            </w:pPr>
            <w:r w:rsidRPr="00181027">
              <w:t>Brandy concession</w:t>
            </w:r>
          </w:p>
          <w:p w14:paraId="44669C11" w14:textId="77777777" w:rsidR="007D417F" w:rsidRDefault="007D417F" w:rsidP="00E44AEF">
            <w:pPr>
              <w:pStyle w:val="Box"/>
            </w:pPr>
            <w:r w:rsidRPr="00181027">
              <w:t xml:space="preserve">Brandy has been subject to excise since </w:t>
            </w:r>
            <w:r>
              <w:t>F</w:t>
            </w:r>
            <w:r w:rsidRPr="00181027">
              <w:t xml:space="preserve">ederation, generally at a concessional rate </w:t>
            </w:r>
            <w:r>
              <w:t>compared</w:t>
            </w:r>
            <w:r w:rsidRPr="00181027">
              <w:t xml:space="preserve"> to </w:t>
            </w:r>
            <w:r>
              <w:t xml:space="preserve">that on </w:t>
            </w:r>
            <w:r w:rsidRPr="00181027">
              <w:t xml:space="preserve">other spirits. </w:t>
            </w:r>
            <w:r>
              <w:t xml:space="preserve">Since 1979, the concession has been explicitly intended as </w:t>
            </w:r>
            <w:r w:rsidRPr="00181027">
              <w:t>industry assistance for grape</w:t>
            </w:r>
            <w:r>
              <w:t xml:space="preserve"> growers in regional areas</w:t>
            </w:r>
            <w:r w:rsidRPr="00181027">
              <w:t xml:space="preserve">. Currently, the concession is equivalent to a 6.6 per cent discount on the excise rate </w:t>
            </w:r>
            <w:r>
              <w:t xml:space="preserve">applied to other spirits </w:t>
            </w:r>
            <w:r w:rsidRPr="00181027">
              <w:t>(IC 1995, p. 257; Webb 2006, p. 28)</w:t>
            </w:r>
            <w:r>
              <w:t>.</w:t>
            </w:r>
          </w:p>
          <w:p w14:paraId="2F7E11DE" w14:textId="77777777" w:rsidR="007D417F" w:rsidRDefault="007D417F" w:rsidP="00E44AEF">
            <w:pPr>
              <w:pStyle w:val="BoxHeading1"/>
            </w:pPr>
            <w:r w:rsidRPr="00181027">
              <w:t>Excise refund for craft brewers and distillers</w:t>
            </w:r>
          </w:p>
          <w:p w14:paraId="12803563" w14:textId="77777777" w:rsidR="007D417F" w:rsidRDefault="007D417F" w:rsidP="00E44AEF">
            <w:pPr>
              <w:pStyle w:val="Box"/>
            </w:pPr>
            <w:r>
              <w:t>Breweries and distilleries can access a</w:t>
            </w:r>
            <w:r w:rsidRPr="00181027">
              <w:t xml:space="preserve"> refund </w:t>
            </w:r>
            <w:r>
              <w:t>of</w:t>
            </w:r>
            <w:r w:rsidRPr="00181027">
              <w:t xml:space="preserve"> 60 per cent </w:t>
            </w:r>
            <w:r>
              <w:t xml:space="preserve">of the </w:t>
            </w:r>
            <w:r w:rsidRPr="00181027">
              <w:t xml:space="preserve">excise </w:t>
            </w:r>
            <w:r>
              <w:t xml:space="preserve">paid on alcoholic beverages, </w:t>
            </w:r>
            <w:r w:rsidRPr="00181027">
              <w:t>up to a maximum of $30</w:t>
            </w:r>
            <w:r>
              <w:t> </w:t>
            </w:r>
            <w:r w:rsidRPr="00181027">
              <w:t>000 per year</w:t>
            </w:r>
            <w:r>
              <w:t>.</w:t>
            </w:r>
            <w:r w:rsidRPr="00383CF9">
              <w:t xml:space="preserve"> To be eligible</w:t>
            </w:r>
            <w:r>
              <w:t>,</w:t>
            </w:r>
            <w:r w:rsidRPr="00383CF9">
              <w:t xml:space="preserve"> </w:t>
            </w:r>
            <w:r>
              <w:t>the brewery or distillery</w:t>
            </w:r>
            <w:r w:rsidRPr="00383CF9">
              <w:t xml:space="preserve"> must be independent of any other alcohol manufacturer that has received a refund</w:t>
            </w:r>
            <w:r>
              <w:t xml:space="preserve"> </w:t>
            </w:r>
            <w:r w:rsidRPr="00A45A57">
              <w:rPr>
                <w:rFonts w:cs="Arial"/>
                <w:szCs w:val="24"/>
              </w:rPr>
              <w:t>(ATO 2019b)</w:t>
            </w:r>
            <w:r>
              <w:t>. On 1 July 2017, eligibility for the refund was extended from sales of</w:t>
            </w:r>
            <w:r w:rsidRPr="00181027">
              <w:t xml:space="preserve"> beer directly from </w:t>
            </w:r>
            <w:r>
              <w:t>a</w:t>
            </w:r>
            <w:r w:rsidRPr="00181027">
              <w:t xml:space="preserve"> brewery</w:t>
            </w:r>
            <w:r>
              <w:t>,</w:t>
            </w:r>
            <w:r w:rsidRPr="00181027">
              <w:t xml:space="preserve"> </w:t>
            </w:r>
            <w:r>
              <w:t>to cover all sales, and was also extended to independent distillers to cover sale of spirits. The stated purpose was to ‘</w:t>
            </w:r>
            <w:r w:rsidRPr="00A45A57">
              <w:t>assist the domestic distillery industry to innovate and grow</w:t>
            </w:r>
            <w:r>
              <w:t xml:space="preserve">’ and ‘create a more even playing field’ </w:t>
            </w:r>
            <w:r w:rsidRPr="006A40FF">
              <w:rPr>
                <w:rFonts w:cs="Arial"/>
                <w:szCs w:val="24"/>
              </w:rPr>
              <w:t xml:space="preserve">(McCormack and </w:t>
            </w:r>
            <w:proofErr w:type="spellStart"/>
            <w:r w:rsidRPr="006A40FF">
              <w:rPr>
                <w:rFonts w:cs="Arial"/>
                <w:szCs w:val="24"/>
              </w:rPr>
              <w:t>O’Dwyer</w:t>
            </w:r>
            <w:proofErr w:type="spellEnd"/>
            <w:r w:rsidRPr="006A40FF">
              <w:rPr>
                <w:rFonts w:cs="Arial"/>
                <w:szCs w:val="24"/>
              </w:rPr>
              <w:t xml:space="preserve"> 2017; </w:t>
            </w:r>
            <w:proofErr w:type="spellStart"/>
            <w:r w:rsidRPr="006A40FF">
              <w:rPr>
                <w:rFonts w:cs="Arial"/>
                <w:szCs w:val="24"/>
              </w:rPr>
              <w:t>O’Dwyer</w:t>
            </w:r>
            <w:proofErr w:type="spellEnd"/>
            <w:r w:rsidRPr="006A40FF">
              <w:rPr>
                <w:rFonts w:cs="Arial"/>
                <w:szCs w:val="24"/>
              </w:rPr>
              <w:t> 2017)</w:t>
            </w:r>
            <w:r>
              <w:t>.</w:t>
            </w:r>
          </w:p>
          <w:p w14:paraId="5B8CD23B" w14:textId="77777777" w:rsidR="007D417F" w:rsidRPr="00181027" w:rsidRDefault="007D417F" w:rsidP="00E44AEF">
            <w:pPr>
              <w:pStyle w:val="BoxHeading1"/>
            </w:pPr>
            <w:r w:rsidRPr="00181027">
              <w:t xml:space="preserve">Wine </w:t>
            </w:r>
            <w:r>
              <w:t xml:space="preserve">equalisation </w:t>
            </w:r>
            <w:r w:rsidRPr="00181027">
              <w:t xml:space="preserve">tax </w:t>
            </w:r>
            <w:r>
              <w:t xml:space="preserve">(WET) </w:t>
            </w:r>
            <w:r w:rsidRPr="00181027">
              <w:t>rebate</w:t>
            </w:r>
          </w:p>
          <w:p w14:paraId="446A1546" w14:textId="77777777" w:rsidR="007D417F" w:rsidRDefault="007D417F" w:rsidP="00E44AEF">
            <w:pPr>
              <w:pStyle w:val="Box"/>
            </w:pPr>
            <w:r w:rsidRPr="00CD79C8">
              <w:t xml:space="preserve">The WET producer rebate was introduced in 2004 to replace </w:t>
            </w:r>
            <w:r>
              <w:t>an administratively burdensome</w:t>
            </w:r>
            <w:r w:rsidRPr="00CD79C8">
              <w:t xml:space="preserve"> cellar door rebate an</w:t>
            </w:r>
            <w:r>
              <w:t>d provide broader</w:t>
            </w:r>
            <w:r w:rsidRPr="00CD79C8">
              <w:t xml:space="preserve"> relief to small regional wineries. The rebate entitle</w:t>
            </w:r>
            <w:r>
              <w:t>d</w:t>
            </w:r>
            <w:r w:rsidRPr="00CD79C8">
              <w:t xml:space="preserve"> wine producers to claim 29 per cent of the wholesale value of eligible Australian sales</w:t>
            </w:r>
            <w:r>
              <w:t>, up to a maximum of $500 000. After allegations of improper access to the scheme by non</w:t>
            </w:r>
            <w:r>
              <w:noBreakHyphen/>
              <w:t xml:space="preserve">winemakers, eligibility as a ‘producer’ was tightened from 1 July 2018 and the maximum cap reduced to $350 000 </w:t>
            </w:r>
            <w:r w:rsidRPr="00A45A57">
              <w:rPr>
                <w:rFonts w:cs="Arial"/>
                <w:szCs w:val="24"/>
              </w:rPr>
              <w:t xml:space="preserve">(ATO 2019a; </w:t>
            </w:r>
            <w:proofErr w:type="spellStart"/>
            <w:r w:rsidRPr="00A45A57">
              <w:rPr>
                <w:rFonts w:cs="Arial"/>
                <w:szCs w:val="24"/>
              </w:rPr>
              <w:t>Cormann</w:t>
            </w:r>
            <w:proofErr w:type="spellEnd"/>
            <w:r w:rsidRPr="00A45A57">
              <w:rPr>
                <w:rFonts w:cs="Arial"/>
                <w:szCs w:val="24"/>
              </w:rPr>
              <w:t> 2017; Treasury 2015)</w:t>
            </w:r>
            <w:r>
              <w:t>.</w:t>
            </w:r>
          </w:p>
        </w:tc>
      </w:tr>
      <w:tr w:rsidR="007D417F" w14:paraId="53B08A54" w14:textId="77777777" w:rsidTr="00E44AEF">
        <w:tc>
          <w:tcPr>
            <w:tcW w:w="5000" w:type="pct"/>
            <w:tcBorders>
              <w:top w:val="nil"/>
              <w:left w:val="nil"/>
              <w:bottom w:val="single" w:sz="6" w:space="0" w:color="78A22F"/>
              <w:right w:val="nil"/>
            </w:tcBorders>
            <w:shd w:val="clear" w:color="auto" w:fill="F2F2F2"/>
          </w:tcPr>
          <w:p w14:paraId="1C390CE6" w14:textId="77777777" w:rsidR="007D417F" w:rsidRDefault="007D417F" w:rsidP="00E44AEF">
            <w:pPr>
              <w:pStyle w:val="Box"/>
              <w:spacing w:before="0" w:line="120" w:lineRule="exact"/>
            </w:pPr>
          </w:p>
        </w:tc>
      </w:tr>
      <w:tr w:rsidR="007D417F" w:rsidRPr="000863A5" w14:paraId="3A31AD58" w14:textId="77777777" w:rsidTr="00E44AEF">
        <w:tc>
          <w:tcPr>
            <w:tcW w:w="5000" w:type="pct"/>
            <w:tcBorders>
              <w:top w:val="single" w:sz="6" w:space="0" w:color="78A22F"/>
              <w:left w:val="nil"/>
              <w:bottom w:val="nil"/>
              <w:right w:val="nil"/>
            </w:tcBorders>
          </w:tcPr>
          <w:p w14:paraId="36B789E3" w14:textId="77777777" w:rsidR="007D417F" w:rsidRPr="00626D32" w:rsidRDefault="007D417F" w:rsidP="00E44AEF">
            <w:pPr>
              <w:pStyle w:val="BoxSpaceBelow"/>
            </w:pPr>
          </w:p>
        </w:tc>
      </w:tr>
    </w:tbl>
    <w:p w14:paraId="1ED3E7AE" w14:textId="77777777" w:rsidR="007D417F" w:rsidRDefault="007D417F" w:rsidP="0049377C">
      <w:pPr>
        <w:pStyle w:val="BodyText"/>
      </w:pPr>
    </w:p>
    <w:p w14:paraId="426BC877" w14:textId="77777777" w:rsidR="007D417F" w:rsidRDefault="007D417F" w:rsidP="0049377C">
      <w:pPr>
        <w:pStyle w:val="BodyText"/>
        <w:sectPr w:rsidR="007D417F" w:rsidSect="007D417F">
          <w:headerReference w:type="even" r:id="rId47"/>
          <w:headerReference w:type="default" r:id="rId48"/>
          <w:footerReference w:type="even" r:id="rId49"/>
          <w:footerReference w:type="default" r:id="rId50"/>
          <w:type w:val="oddPage"/>
          <w:pgSz w:w="11907" w:h="16840" w:code="9"/>
          <w:pgMar w:top="1985" w:right="1304" w:bottom="1247" w:left="1814" w:header="1701" w:footer="397" w:gutter="0"/>
          <w:pgNumType w:chapSep="period"/>
          <w:cols w:space="720"/>
          <w:docGrid w:linePitch="326"/>
        </w:sectPr>
      </w:pPr>
    </w:p>
    <w:p w14:paraId="3BF6574B" w14:textId="77777777" w:rsidR="007D417F" w:rsidRDefault="007D417F" w:rsidP="00573E92">
      <w:pPr>
        <w:pStyle w:val="Heading1"/>
      </w:pPr>
      <w:bookmarkStart w:id="26" w:name="_Toc38382144"/>
      <w:r>
        <w:lastRenderedPageBreak/>
        <w:t>3</w:t>
      </w:r>
      <w:r>
        <w:tab/>
        <w:t>Trade policy developments</w:t>
      </w:r>
      <w:bookmarkEnd w:id="26"/>
    </w:p>
    <w:p w14:paraId="747FBED2" w14:textId="77777777" w:rsidR="007D417F" w:rsidRDefault="007D417F" w:rsidP="00120072">
      <w:pPr>
        <w:pStyle w:val="BodyText"/>
      </w:pPr>
      <w:r>
        <w:t xml:space="preserve">This chapter reports on trade policy developments since the </w:t>
      </w:r>
      <w:r w:rsidRPr="00A77133">
        <w:rPr>
          <w:i/>
        </w:rPr>
        <w:t>2017</w:t>
      </w:r>
      <w:r>
        <w:rPr>
          <w:i/>
        </w:rPr>
        <w:noBreakHyphen/>
      </w:r>
      <w:r w:rsidRPr="00A77133">
        <w:rPr>
          <w:i/>
        </w:rPr>
        <w:t>18</w:t>
      </w:r>
      <w:r>
        <w:t xml:space="preserve"> </w:t>
      </w:r>
      <w:r w:rsidRPr="00A77133">
        <w:rPr>
          <w:i/>
        </w:rPr>
        <w:t>T</w:t>
      </w:r>
      <w:r w:rsidRPr="007F74D2">
        <w:rPr>
          <w:i/>
        </w:rPr>
        <w:t xml:space="preserve">rade and Assistance Review </w:t>
      </w:r>
      <w:r>
        <w:t>(published in June 2019).</w:t>
      </w:r>
    </w:p>
    <w:p w14:paraId="63C871AD" w14:textId="77777777" w:rsidR="007D417F" w:rsidRDefault="007D417F" w:rsidP="00E44AEF">
      <w:pPr>
        <w:pStyle w:val="BodyText"/>
      </w:pPr>
      <w:r w:rsidRPr="005B0D1C">
        <w:t>While it is widely acknowledged that the benefits of trade liberalisation are greatest when undertaken on a multilateral, ‘Most Favoured Nation’ basis, progress on multilat</w:t>
      </w:r>
      <w:r>
        <w:t>eral negotiations at the World Trade Organization (WTO) have</w:t>
      </w:r>
      <w:r w:rsidRPr="005B0D1C">
        <w:t xml:space="preserve"> proved difficult</w:t>
      </w:r>
      <w:r>
        <w:t xml:space="preserve"> and slow</w:t>
      </w:r>
      <w:r w:rsidRPr="005B0D1C">
        <w:t xml:space="preserve">. </w:t>
      </w:r>
      <w:r>
        <w:t xml:space="preserve">Indeed, strained trade relations between China, the United States and Europe, and the complexities associated with </w:t>
      </w:r>
      <w:proofErr w:type="spellStart"/>
      <w:r>
        <w:t>Brexit</w:t>
      </w:r>
      <w:proofErr w:type="spellEnd"/>
      <w:r>
        <w:t xml:space="preserve"> have disrupted the world trading system. Since the </w:t>
      </w:r>
      <w:r w:rsidRPr="00A308FD">
        <w:rPr>
          <w:i/>
        </w:rPr>
        <w:t>2017</w:t>
      </w:r>
      <w:r w:rsidRPr="00A308FD">
        <w:rPr>
          <w:i/>
        </w:rPr>
        <w:noBreakHyphen/>
        <w:t>18</w:t>
      </w:r>
      <w:r>
        <w:t xml:space="preserve"> </w:t>
      </w:r>
      <w:r w:rsidRPr="00A308FD">
        <w:rPr>
          <w:i/>
          <w:iCs/>
        </w:rPr>
        <w:t>Review</w:t>
      </w:r>
      <w:r>
        <w:t>, the institutional foundations for a rules</w:t>
      </w:r>
      <w:r>
        <w:noBreakHyphen/>
        <w:t xml:space="preserve">based trading system have come under further pressure. The blocking of judge appointments to the Appellate Body means that the WTO is unable to offer binding resolutions to trade disputes, severely compromising the WTO’s role. </w:t>
      </w:r>
    </w:p>
    <w:p w14:paraId="1BBDEF90" w14:textId="77777777" w:rsidR="007D417F" w:rsidRDefault="007D417F" w:rsidP="00E44AEF">
      <w:pPr>
        <w:pStyle w:val="BodyText"/>
      </w:pPr>
      <w:r>
        <w:t xml:space="preserve">Although the WTO system is under strain, there are still comprehensive agreements in progress (section 3.1). </w:t>
      </w:r>
      <w:r w:rsidRPr="005B0D1C">
        <w:t xml:space="preserve">The Commission has previously indicated </w:t>
      </w:r>
      <w:r>
        <w:t xml:space="preserve">that </w:t>
      </w:r>
      <w:r w:rsidRPr="005B0D1C">
        <w:t>there is value in Australia (and other like</w:t>
      </w:r>
      <w:r>
        <w:noBreakHyphen/>
      </w:r>
      <w:r w:rsidRPr="005B0D1C">
        <w:t>minded countries) continuing to intensify trade liberalisation eff</w:t>
      </w:r>
      <w:r>
        <w:t>orts, with an emphasis on large</w:t>
      </w:r>
      <w:r>
        <w:noBreakHyphen/>
      </w:r>
      <w:r w:rsidRPr="005B0D1C">
        <w:t>scale ‘</w:t>
      </w:r>
      <w:proofErr w:type="spellStart"/>
      <w:r w:rsidRPr="005B0D1C">
        <w:t>plurilateral</w:t>
      </w:r>
      <w:proofErr w:type="spellEnd"/>
      <w:r w:rsidRPr="005B0D1C">
        <w:t xml:space="preserve"> agreements’ covering particular trade topics </w:t>
      </w:r>
      <w:r w:rsidR="00AC5385" w:rsidRPr="00AC5385">
        <w:rPr>
          <w:szCs w:val="24"/>
        </w:rPr>
        <w:t>(PC 2017a)</w:t>
      </w:r>
      <w:r w:rsidRPr="005B0D1C">
        <w:t xml:space="preserve">. </w:t>
      </w:r>
      <w:r>
        <w:t>Agreements in the works include:</w:t>
      </w:r>
    </w:p>
    <w:p w14:paraId="609C2880" w14:textId="77777777" w:rsidR="007D417F" w:rsidRDefault="007D417F" w:rsidP="00E44AEF">
      <w:pPr>
        <w:pStyle w:val="ListBullet"/>
      </w:pPr>
      <w:r>
        <w:t>the Trade in Services Agreement (</w:t>
      </w:r>
      <w:proofErr w:type="spellStart"/>
      <w:r>
        <w:t>TiSA</w:t>
      </w:r>
      <w:proofErr w:type="spellEnd"/>
      <w:r>
        <w:t>)</w:t>
      </w:r>
    </w:p>
    <w:p w14:paraId="61CA9163" w14:textId="77777777" w:rsidR="007D417F" w:rsidRDefault="007D417F" w:rsidP="00E44AEF">
      <w:pPr>
        <w:pStyle w:val="ListBullet"/>
      </w:pPr>
      <w:r>
        <w:t xml:space="preserve">the Environmental Goods Agreement (EGA) </w:t>
      </w:r>
      <w:r w:rsidRPr="00AB2D96">
        <w:rPr>
          <w:szCs w:val="24"/>
        </w:rPr>
        <w:t>(DFAT 2020a)</w:t>
      </w:r>
      <w:r>
        <w:t>.</w:t>
      </w:r>
    </w:p>
    <w:p w14:paraId="33386978" w14:textId="77777777" w:rsidR="007D417F" w:rsidRDefault="007D417F" w:rsidP="00120072">
      <w:pPr>
        <w:pStyle w:val="BodyText"/>
      </w:pPr>
      <w:r w:rsidRPr="005B0D1C">
        <w:t>Progress on these negotiations continues</w:t>
      </w:r>
      <w:r>
        <w:t>, but at a slow pace</w:t>
      </w:r>
      <w:r w:rsidRPr="005B0D1C">
        <w:t>.</w:t>
      </w:r>
    </w:p>
    <w:p w14:paraId="1632E6A8" w14:textId="77777777" w:rsidR="007D417F" w:rsidRDefault="007D417F" w:rsidP="00E44AEF">
      <w:pPr>
        <w:pStyle w:val="BodyText"/>
      </w:pPr>
      <w:r>
        <w:t xml:space="preserve">While </w:t>
      </w:r>
      <w:proofErr w:type="spellStart"/>
      <w:r>
        <w:t>plurilateral</w:t>
      </w:r>
      <w:proofErr w:type="spellEnd"/>
      <w:r>
        <w:t xml:space="preserve"> negotiations provide the greatest prospect to reduce trade costs over time, regional and bilateral agreements provide a second</w:t>
      </w:r>
      <w:r>
        <w:noBreakHyphen/>
        <w:t>best alternative (section 3.2). Major developments in the last year include:</w:t>
      </w:r>
    </w:p>
    <w:p w14:paraId="39C76824" w14:textId="77777777" w:rsidR="007D417F" w:rsidRDefault="007D417F" w:rsidP="00E44AEF">
      <w:pPr>
        <w:pStyle w:val="ListBullet"/>
      </w:pPr>
      <w:r>
        <w:t>Australia and the European Union launched negotiations for a free trade agreement on 18 June 2019</w:t>
      </w:r>
    </w:p>
    <w:p w14:paraId="31F2EDE4" w14:textId="77777777" w:rsidR="007D417F" w:rsidRDefault="007D417F" w:rsidP="00E44AEF">
      <w:pPr>
        <w:pStyle w:val="ListBullet"/>
      </w:pPr>
      <w:r>
        <w:t>the Pacific Alliance Free Trade Agreement commenced negotiations on 30 June 2019</w:t>
      </w:r>
    </w:p>
    <w:p w14:paraId="4F9D223D" w14:textId="77777777" w:rsidR="007D417F" w:rsidRDefault="007D417F" w:rsidP="00E44AEF">
      <w:pPr>
        <w:pStyle w:val="ListBullet"/>
      </w:pPr>
      <w:r>
        <w:t>the Regional Comprehensive Economic Partnership (RCEP) countries announced the conclusion of all 20 chapters on 4 November 2019 and is now ready for signature, although India remains a holdout</w:t>
      </w:r>
    </w:p>
    <w:p w14:paraId="5A3752E7" w14:textId="77777777" w:rsidR="007D417F" w:rsidRDefault="007D417F" w:rsidP="00E44AEF">
      <w:pPr>
        <w:pStyle w:val="ListBullet"/>
      </w:pPr>
      <w:r>
        <w:t>t</w:t>
      </w:r>
      <w:r w:rsidRPr="005D06BF">
        <w:t>he United Kingdom and Australia are set to start negotiations on a post</w:t>
      </w:r>
      <w:r>
        <w:noBreakHyphen/>
      </w:r>
      <w:proofErr w:type="spellStart"/>
      <w:r w:rsidRPr="005D06BF">
        <w:t>Brexit</w:t>
      </w:r>
      <w:proofErr w:type="spellEnd"/>
      <w:r w:rsidRPr="005D06BF">
        <w:t xml:space="preserve"> free trade agreement</w:t>
      </w:r>
      <w:r>
        <w:t xml:space="preserve"> </w:t>
      </w:r>
      <w:r w:rsidRPr="00AB2D96">
        <w:rPr>
          <w:szCs w:val="24"/>
        </w:rPr>
        <w:t>(DFAT 2020a)</w:t>
      </w:r>
      <w:r w:rsidRPr="005D06BF">
        <w:t>.</w:t>
      </w:r>
    </w:p>
    <w:p w14:paraId="17745278" w14:textId="77777777" w:rsidR="007D417F" w:rsidRPr="005D06BF" w:rsidRDefault="007D417F" w:rsidP="00E44AEF">
      <w:pPr>
        <w:pStyle w:val="BodyText"/>
      </w:pPr>
      <w:r>
        <w:t xml:space="preserve">Since 1995, Australia has also been the complainant in and respondent to a number of different trade disputes at the WTO (section 3.3), while </w:t>
      </w:r>
      <w:r w:rsidRPr="00EC64DC">
        <w:t>Australia’s anti</w:t>
      </w:r>
      <w:r>
        <w:noBreakHyphen/>
      </w:r>
      <w:r w:rsidRPr="00EC64DC">
        <w:t xml:space="preserve">dumping and </w:t>
      </w:r>
      <w:r w:rsidRPr="00EC64DC">
        <w:lastRenderedPageBreak/>
        <w:t>countervailing activity</w:t>
      </w:r>
      <w:r>
        <w:t xml:space="preserve"> measures have been the subject of a recent dispute with Indonesia that may result in wider implications (section 3.4).</w:t>
      </w:r>
    </w:p>
    <w:p w14:paraId="648C844F" w14:textId="77777777" w:rsidR="007D417F" w:rsidRDefault="007D417F" w:rsidP="00E44AEF">
      <w:pPr>
        <w:pStyle w:val="Heading2"/>
      </w:pPr>
      <w:bookmarkStart w:id="27" w:name="_Toc38382145"/>
      <w:r>
        <w:t>3.</w:t>
      </w:r>
      <w:r>
        <w:rPr>
          <w:noProof/>
        </w:rPr>
        <w:t>1</w:t>
      </w:r>
      <w:r>
        <w:tab/>
        <w:t xml:space="preserve">Multilateral and </w:t>
      </w:r>
      <w:proofErr w:type="spellStart"/>
      <w:r>
        <w:t>plurilateral</w:t>
      </w:r>
      <w:proofErr w:type="spellEnd"/>
      <w:r>
        <w:t xml:space="preserve"> agreements</w:t>
      </w:r>
      <w:bookmarkEnd w:id="27"/>
    </w:p>
    <w:p w14:paraId="7DBCA5CF" w14:textId="77777777" w:rsidR="007D417F" w:rsidRPr="00193B68" w:rsidRDefault="007D417F" w:rsidP="00E44AEF">
      <w:pPr>
        <w:pStyle w:val="BodyText"/>
      </w:pPr>
      <w:r>
        <w:t>The rules</w:t>
      </w:r>
      <w:r>
        <w:noBreakHyphen/>
        <w:t xml:space="preserve">based system that operates through multilateral and </w:t>
      </w:r>
      <w:proofErr w:type="spellStart"/>
      <w:r>
        <w:t>plurilateral</w:t>
      </w:r>
      <w:proofErr w:type="spellEnd"/>
      <w:r>
        <w:t xml:space="preserve"> agreements at the WTO has recently come under threat, which has left the system under the greatest strain since the 1930s </w:t>
      </w:r>
      <w:r w:rsidRPr="00DB0607">
        <w:rPr>
          <w:szCs w:val="24"/>
        </w:rPr>
        <w:t>(PC 2019)</w:t>
      </w:r>
      <w:r>
        <w:t>. This trend has continued since the 2017</w:t>
      </w:r>
      <w:r>
        <w:noBreakHyphen/>
        <w:t xml:space="preserve">18 </w:t>
      </w:r>
      <w:r>
        <w:rPr>
          <w:i/>
        </w:rPr>
        <w:t>Review</w:t>
      </w:r>
      <w:r>
        <w:t>, with the dispute settlement body left paralysed after the blocking of new appointments to the WTO’s Appellate Body.</w:t>
      </w:r>
    </w:p>
    <w:p w14:paraId="4931F19B" w14:textId="77777777" w:rsidR="007D417F" w:rsidRPr="007846EA" w:rsidRDefault="007D417F" w:rsidP="00E44AEF">
      <w:pPr>
        <w:pStyle w:val="BodyText"/>
        <w:rPr>
          <w:i/>
        </w:rPr>
      </w:pPr>
      <w:r>
        <w:t xml:space="preserve">There has been limited progress on multilateral and </w:t>
      </w:r>
      <w:proofErr w:type="spellStart"/>
      <w:r>
        <w:t>plurilateral</w:t>
      </w:r>
      <w:proofErr w:type="spellEnd"/>
      <w:r>
        <w:t xml:space="preserve"> agreements in recent years. The Trade Facilitation Agreement (agreed in 2013 and came into force in early 2017) was a substantial exception. </w:t>
      </w:r>
    </w:p>
    <w:p w14:paraId="1C0EA772" w14:textId="77777777" w:rsidR="007D417F" w:rsidRDefault="007D417F" w:rsidP="00E44AEF">
      <w:pPr>
        <w:pStyle w:val="Heading3"/>
      </w:pPr>
      <w:r>
        <w:t>The WTO’s dispute body loses its teeth</w:t>
      </w:r>
    </w:p>
    <w:p w14:paraId="793A759C" w14:textId="77777777" w:rsidR="007D417F" w:rsidRDefault="007D417F" w:rsidP="00E44AEF">
      <w:pPr>
        <w:pStyle w:val="BodyText"/>
      </w:pPr>
      <w:r>
        <w:t>The US Government has blocked appointments of new judges to the WTO’s Appellate Body since 2017. This came to a head on 10 December 2019 when the terms ended for two of the last three judges on the Appellate Body,</w:t>
      </w:r>
      <w:r w:rsidRPr="005D06BF">
        <w:t xml:space="preserve"> </w:t>
      </w:r>
      <w:r>
        <w:t>leaving it effectively non</w:t>
      </w:r>
      <w:r>
        <w:noBreakHyphen/>
        <w:t xml:space="preserve">functional as it is unable to rule on new dispute cases. The WTO’s lower court is still able to hear cases, but if a party appeals to the higher court then there is no body to make a ruling on the appeal </w:t>
      </w:r>
      <w:r w:rsidRPr="00860EFF">
        <w:rPr>
          <w:szCs w:val="24"/>
        </w:rPr>
        <w:t>(Beattie 2019)</w:t>
      </w:r>
      <w:r>
        <w:t xml:space="preserve">. </w:t>
      </w:r>
    </w:p>
    <w:p w14:paraId="52BEE086" w14:textId="77777777" w:rsidR="007D417F" w:rsidRDefault="007D417F" w:rsidP="00E44AEF">
      <w:pPr>
        <w:pStyle w:val="BodyText"/>
      </w:pPr>
      <w:r>
        <w:t>The blocking of new appointments reflected disenchantment by the US Government with the rulings and processes of the WTO. This emanated from concerns that cases were taking too long to resolve, the panel was overreaching in its rulings, the WTO did not effectively protect against Chinese trade practices, the United States was taking on a disproportionate burden due to the many challenges of US law, and countries could obtain concessional treatment by self</w:t>
      </w:r>
      <w:r>
        <w:noBreakHyphen/>
        <w:t xml:space="preserve">declaring as a ‘developing’ country </w:t>
      </w:r>
      <w:r w:rsidRPr="00860EFF">
        <w:rPr>
          <w:szCs w:val="24"/>
        </w:rPr>
        <w:t>(USTR 2020)</w:t>
      </w:r>
      <w:r>
        <w:t xml:space="preserve">. </w:t>
      </w:r>
    </w:p>
    <w:p w14:paraId="7FB86272" w14:textId="77777777" w:rsidR="007D417F" w:rsidRPr="0068765B" w:rsidRDefault="007D417F" w:rsidP="00E44AEF">
      <w:pPr>
        <w:pStyle w:val="BodyText"/>
      </w:pPr>
      <w:r>
        <w:t xml:space="preserve">In response to the effective shutdown of the WTO’s dispute body, 17 countries including the European Union, China and Australia have agreed to establish a temporary dispute settlement body to bypass the blockage at the WTO </w:t>
      </w:r>
      <w:r w:rsidRPr="00860EFF">
        <w:rPr>
          <w:szCs w:val="24"/>
        </w:rPr>
        <w:t>(</w:t>
      </w:r>
      <w:proofErr w:type="spellStart"/>
      <w:r w:rsidRPr="00860EFF">
        <w:rPr>
          <w:szCs w:val="24"/>
        </w:rPr>
        <w:t>Brunsden</w:t>
      </w:r>
      <w:proofErr w:type="spellEnd"/>
      <w:r w:rsidRPr="00860EFF">
        <w:rPr>
          <w:szCs w:val="24"/>
        </w:rPr>
        <w:t> 2020)</w:t>
      </w:r>
      <w:r>
        <w:t xml:space="preserve">. </w:t>
      </w:r>
    </w:p>
    <w:p w14:paraId="5FA5B396" w14:textId="77777777" w:rsidR="007D417F" w:rsidRDefault="007D417F" w:rsidP="00E44AEF">
      <w:pPr>
        <w:pStyle w:val="Heading3"/>
      </w:pPr>
      <w:r>
        <w:t>Trade in Services Agreement (</w:t>
      </w:r>
      <w:proofErr w:type="spellStart"/>
      <w:r>
        <w:t>TiSA</w:t>
      </w:r>
      <w:proofErr w:type="spellEnd"/>
      <w:r>
        <w:t>) negotiations bogged down</w:t>
      </w:r>
    </w:p>
    <w:p w14:paraId="72E76B37" w14:textId="77777777" w:rsidR="007D417F" w:rsidRPr="0049377C" w:rsidRDefault="007D417F" w:rsidP="00E44AEF">
      <w:pPr>
        <w:pStyle w:val="BodyText"/>
        <w:rPr>
          <w:spacing w:val="-2"/>
        </w:rPr>
      </w:pPr>
      <w:r w:rsidRPr="0049377C">
        <w:rPr>
          <w:spacing w:val="-2"/>
        </w:rPr>
        <w:t>Australia has taken a lead role in the negotiation of this services</w:t>
      </w:r>
      <w:r w:rsidRPr="0049377C">
        <w:rPr>
          <w:spacing w:val="-2"/>
        </w:rPr>
        <w:noBreakHyphen/>
        <w:t xml:space="preserve">only trade agreement between a subset of 23 WTO members. The agreement is aimed at building upon the General Agreement on Trade in Services (GATS), while also incorporating elements from free trade agreements. The most recent negotiation round was held in 2016 and no future rounds have been scheduled — the negotiations remain stalled following the 2016 US election </w:t>
      </w:r>
      <w:r w:rsidRPr="0049377C">
        <w:rPr>
          <w:spacing w:val="-2"/>
          <w:szCs w:val="24"/>
        </w:rPr>
        <w:t>(DFAT 2020d)</w:t>
      </w:r>
      <w:r w:rsidRPr="0049377C">
        <w:rPr>
          <w:spacing w:val="-2"/>
        </w:rPr>
        <w:t xml:space="preserve">. </w:t>
      </w:r>
    </w:p>
    <w:p w14:paraId="33090223" w14:textId="77777777" w:rsidR="007D417F" w:rsidRDefault="007D417F" w:rsidP="00E44AEF">
      <w:pPr>
        <w:pStyle w:val="Heading3"/>
      </w:pPr>
      <w:r>
        <w:lastRenderedPageBreak/>
        <w:t>Environmental Goods Agreement (EGA) is progressing slowly</w:t>
      </w:r>
    </w:p>
    <w:p w14:paraId="7BA3B494" w14:textId="77777777" w:rsidR="007D417F" w:rsidRPr="00EC01F2" w:rsidRDefault="007D417F" w:rsidP="00E44AEF">
      <w:pPr>
        <w:pStyle w:val="BodyText"/>
      </w:pPr>
      <w:r w:rsidRPr="00EC01F2">
        <w:t xml:space="preserve">The </w:t>
      </w:r>
      <w:r>
        <w:t>EGA</w:t>
      </w:r>
      <w:r w:rsidRPr="00EC01F2">
        <w:t xml:space="preserve"> is </w:t>
      </w:r>
      <w:r>
        <w:t>being negotiated</w:t>
      </w:r>
      <w:r w:rsidRPr="00EC01F2">
        <w:t xml:space="preserve"> by </w:t>
      </w:r>
      <w:r>
        <w:t xml:space="preserve">46 </w:t>
      </w:r>
      <w:r w:rsidRPr="00EC01F2">
        <w:t xml:space="preserve">WTO </w:t>
      </w:r>
      <w:r>
        <w:t>m</w:t>
      </w:r>
      <w:r w:rsidRPr="00EC01F2">
        <w:t>embers to reduce tariffs on goods that benefit the environment. The agreement aims to build on the list of</w:t>
      </w:r>
      <w:r>
        <w:t xml:space="preserve"> 54 environmental goods </w:t>
      </w:r>
      <w:r w:rsidRPr="00EC01F2">
        <w:t>that APEC leaders agreed for tariff reduction in 2012.</w:t>
      </w:r>
      <w:r>
        <w:t xml:space="preserve"> It is the largest agreement currently being negotiated at the WTO. </w:t>
      </w:r>
    </w:p>
    <w:p w14:paraId="525396FD" w14:textId="77777777" w:rsidR="007D417F" w:rsidRPr="00EC01F2" w:rsidRDefault="007D417F" w:rsidP="00E44AEF">
      <w:pPr>
        <w:pStyle w:val="BodyText"/>
      </w:pPr>
      <w:r w:rsidRPr="00EC01F2">
        <w:t xml:space="preserve">Australia chairs the EGA negotiations. </w:t>
      </w:r>
      <w:r>
        <w:t>Other participating WTO m</w:t>
      </w:r>
      <w:r w:rsidRPr="00EC01F2">
        <w:t xml:space="preserve">embers include Canada, China, Costa Rica, the </w:t>
      </w:r>
      <w:r>
        <w:t>European Union</w:t>
      </w:r>
      <w:r w:rsidRPr="00EC01F2">
        <w:t xml:space="preserve"> and its 28 member states, Hong Kong, Iceland, Israel, Japan, </w:t>
      </w:r>
      <w:r>
        <w:t xml:space="preserve">Republic of </w:t>
      </w:r>
      <w:r w:rsidRPr="00EC01F2">
        <w:t xml:space="preserve">Korea, New Zealand, Norway, Singapore, Switzerland, Chinese Taipei, Turkey and the </w:t>
      </w:r>
      <w:r>
        <w:t>United States</w:t>
      </w:r>
      <w:r w:rsidRPr="00EC01F2">
        <w:t>.</w:t>
      </w:r>
      <w:r>
        <w:t xml:space="preserve"> The last negotiation meeting was in 2016, with no further negotiations scheduled </w:t>
      </w:r>
      <w:r w:rsidRPr="001B1998">
        <w:rPr>
          <w:szCs w:val="24"/>
        </w:rPr>
        <w:t>(DFAT 2020b)</w:t>
      </w:r>
      <w:r>
        <w:t xml:space="preserve">. </w:t>
      </w:r>
    </w:p>
    <w:p w14:paraId="6BD44040" w14:textId="77777777" w:rsidR="007D417F" w:rsidRDefault="007D417F" w:rsidP="00E44AEF">
      <w:pPr>
        <w:pStyle w:val="Heading2"/>
      </w:pPr>
      <w:bookmarkStart w:id="28" w:name="_Toc38382146"/>
      <w:r>
        <w:t>3.</w:t>
      </w:r>
      <w:r>
        <w:rPr>
          <w:noProof/>
        </w:rPr>
        <w:t>2</w:t>
      </w:r>
      <w:r>
        <w:tab/>
        <w:t>Bilateral and regional agreements</w:t>
      </w:r>
      <w:bookmarkEnd w:id="28"/>
    </w:p>
    <w:p w14:paraId="48B1B702" w14:textId="77777777" w:rsidR="007D417F" w:rsidRDefault="007D417F" w:rsidP="00E44AEF">
      <w:pPr>
        <w:pStyle w:val="BodyText"/>
      </w:pPr>
      <w:r>
        <w:t>Australia has signed 15 bilateral and regional preference agreements, 13 of which are in force, with the remaining two proceeding through the ratification process (figure 3.1). Since the 2017</w:t>
      </w:r>
      <w:r>
        <w:noBreakHyphen/>
        <w:t xml:space="preserve">18 </w:t>
      </w:r>
      <w:r>
        <w:rPr>
          <w:i/>
        </w:rPr>
        <w:t>R</w:t>
      </w:r>
      <w:r w:rsidRPr="00314A99">
        <w:rPr>
          <w:i/>
        </w:rPr>
        <w:t>eview</w:t>
      </w:r>
      <w:r>
        <w:rPr>
          <w:i/>
        </w:rPr>
        <w:t xml:space="preserve">, </w:t>
      </w:r>
      <w:r>
        <w:t xml:space="preserve">Australia has not concluded any new agreements, but has had two previously concluded agreements come into force. </w:t>
      </w:r>
    </w:p>
    <w:p w14:paraId="64C6A6F5" w14:textId="77777777" w:rsidR="007D417F" w:rsidRDefault="007D417F" w:rsidP="00E44AEF">
      <w:pPr>
        <w:pStyle w:val="ListBullet"/>
      </w:pPr>
      <w:r>
        <w:t>The Australia</w:t>
      </w:r>
      <w:r>
        <w:noBreakHyphen/>
        <w:t xml:space="preserve">Hong Kong Free Trade Agreement was signed on 15 November 2018 and entered into force on 17 January 2020. </w:t>
      </w:r>
      <w:r w:rsidRPr="00BC6B8C">
        <w:t>The agreement provides certainty for Australian businesses</w:t>
      </w:r>
      <w:r>
        <w:t>,</w:t>
      </w:r>
      <w:r w:rsidRPr="00BC6B8C">
        <w:t xml:space="preserve"> rather than immediate changes in costs. Hong Kong agreed to bind all tariffs at zero, which eliminates the risk that Hong Kong could otherwise increase tariffs to their current WTO non</w:t>
      </w:r>
      <w:r>
        <w:noBreakHyphen/>
      </w:r>
      <w:r w:rsidRPr="00BC6B8C">
        <w:t>zero bound rates</w:t>
      </w:r>
      <w:r w:rsidRPr="001B1998">
        <w:t xml:space="preserve"> </w:t>
      </w:r>
      <w:r w:rsidRPr="00BC6B8C">
        <w:t>in the future.</w:t>
      </w:r>
    </w:p>
    <w:p w14:paraId="3400000A" w14:textId="77777777" w:rsidR="007D417F" w:rsidRPr="0049377C" w:rsidRDefault="007D417F" w:rsidP="00E44AEF">
      <w:pPr>
        <w:pStyle w:val="ListBullet"/>
        <w:rPr>
          <w:spacing w:val="-2"/>
        </w:rPr>
      </w:pPr>
      <w:r w:rsidRPr="0049377C">
        <w:rPr>
          <w:spacing w:val="-2"/>
        </w:rPr>
        <w:t>The Peru</w:t>
      </w:r>
      <w:r w:rsidRPr="0049377C">
        <w:rPr>
          <w:spacing w:val="-2"/>
        </w:rPr>
        <w:noBreakHyphen/>
        <w:t>Australia Free Trade Agreement entered into force on 11 February 2020. The agreement is aimed at complementing the Comprehensive and Progressive Agreement for Trans</w:t>
      </w:r>
      <w:r w:rsidRPr="0049377C">
        <w:rPr>
          <w:spacing w:val="-2"/>
        </w:rPr>
        <w:noBreakHyphen/>
        <w:t>Pacific Partnership (CPTPP), of which both parties are participants, and includes elimination of some tariffs, encouraging foreign investment and services liberalisation, such as minimising non</w:t>
      </w:r>
      <w:r w:rsidRPr="0049377C">
        <w:rPr>
          <w:spacing w:val="-2"/>
        </w:rPr>
        <w:noBreakHyphen/>
        <w:t xml:space="preserve">tariff barriers and recognition of Australian degree qualifications. </w:t>
      </w:r>
    </w:p>
    <w:p w14:paraId="7F0E3CD9" w14:textId="77777777" w:rsidR="007D417F" w:rsidRDefault="007D417F" w:rsidP="00E44AEF">
      <w:pPr>
        <w:pStyle w:val="ListBullet"/>
      </w:pPr>
      <w:r>
        <w:t>The Indonesia</w:t>
      </w:r>
      <w:r>
        <w:noBreakHyphen/>
        <w:t xml:space="preserve">Australia Comprehensive Economic Partnership Agreement was signed on 4 March 2019 and is expected to enter into force shortly. </w:t>
      </w:r>
      <w:r w:rsidRPr="008A2523">
        <w:t>The Agreement will allow 99 per cent of Australia</w:t>
      </w:r>
      <w:r>
        <w:t>’</w:t>
      </w:r>
      <w:r w:rsidRPr="008A2523">
        <w:t>s goods exports to enter Indonesia either duty free or with significantly improved preferential arrangements and streamline issuance of import permits for products such as live cattle, frozen beef, sheep meat, feed grains, rolled steel coil, citrus products, carrots and potatoes</w:t>
      </w:r>
      <w:r>
        <w:t>. Import licenc</w:t>
      </w:r>
      <w:r w:rsidRPr="008A2523">
        <w:t xml:space="preserve">es are a major irritant for many Australian exporters into Indonesia. All </w:t>
      </w:r>
      <w:r>
        <w:t xml:space="preserve">of </w:t>
      </w:r>
      <w:r w:rsidRPr="008A2523">
        <w:t>Indonesia</w:t>
      </w:r>
      <w:r>
        <w:t>’</w:t>
      </w:r>
      <w:r w:rsidRPr="008A2523">
        <w:t>s goods exports will enter Australia duty free.</w:t>
      </w:r>
    </w:p>
    <w:p w14:paraId="60413A08" w14:textId="61488981" w:rsidR="007D417F" w:rsidRDefault="007D417F" w:rsidP="00E44AEF">
      <w:pPr>
        <w:pStyle w:val="ListBullet"/>
      </w:pPr>
      <w:r>
        <w:t>Australia and the United Kingdom are set to begin negotiations for a post</w:t>
      </w:r>
      <w:r>
        <w:noBreakHyphen/>
      </w:r>
      <w:proofErr w:type="spellStart"/>
      <w:r>
        <w:t>Brexit</w:t>
      </w:r>
      <w:proofErr w:type="spellEnd"/>
      <w:r>
        <w:t xml:space="preserve"> free trade agreement </w:t>
      </w:r>
      <w:r w:rsidRPr="001B1998">
        <w:rPr>
          <w:szCs w:val="24"/>
        </w:rPr>
        <w:t>(DFAT 2020a)</w:t>
      </w:r>
      <w:r w:rsidR="0049377C">
        <w:t>.</w:t>
      </w:r>
    </w:p>
    <w:p w14:paraId="415C1FA5" w14:textId="77777777" w:rsidR="007D417F" w:rsidRDefault="007D417F" w:rsidP="00E44AEF">
      <w:pPr>
        <w:pStyle w:val="BodyText"/>
      </w:pPr>
      <w:r>
        <w:lastRenderedPageBreak/>
        <w:t>There are also a bilateral agreements under negotiation with India and the EU. In addition, regional agreements such as the RCEP, Australia</w:t>
      </w:r>
      <w:r>
        <w:noBreakHyphen/>
        <w:t xml:space="preserve">Gulf Cooperation Council (GCC) Free Trade Agreement are currently under negotiation. </w:t>
      </w:r>
    </w:p>
    <w:p w14:paraId="0636D583" w14:textId="77777777" w:rsidR="007D417F" w:rsidRDefault="007D417F" w:rsidP="00E44AE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417F" w14:paraId="7BD25A0F" w14:textId="77777777" w:rsidTr="00E44AEF">
        <w:trPr>
          <w:tblHeader/>
        </w:trPr>
        <w:tc>
          <w:tcPr>
            <w:tcW w:w="5000" w:type="pct"/>
            <w:tcBorders>
              <w:top w:val="single" w:sz="6" w:space="0" w:color="78A22F"/>
              <w:left w:val="nil"/>
              <w:bottom w:val="nil"/>
              <w:right w:val="nil"/>
            </w:tcBorders>
            <w:shd w:val="clear" w:color="auto" w:fill="auto"/>
          </w:tcPr>
          <w:p w14:paraId="00A9AA88" w14:textId="77777777" w:rsidR="007D417F" w:rsidRDefault="007D417F" w:rsidP="00E44AEF">
            <w:pPr>
              <w:pStyle w:val="FigureTitle"/>
            </w:pPr>
            <w:r w:rsidRPr="00784A05">
              <w:rPr>
                <w:b w:val="0"/>
              </w:rPr>
              <w:t xml:space="preserve">Figure </w:t>
            </w:r>
            <w:r>
              <w:rPr>
                <w:b w:val="0"/>
              </w:rPr>
              <w:t>3.</w:t>
            </w:r>
            <w:r>
              <w:rPr>
                <w:b w:val="0"/>
                <w:noProof/>
              </w:rPr>
              <w:t>1</w:t>
            </w:r>
            <w:r>
              <w:tab/>
              <w:t>Australia’s bilateral and regional trade agreements</w:t>
            </w:r>
          </w:p>
          <w:p w14:paraId="07FFCFC4" w14:textId="77777777" w:rsidR="007D417F" w:rsidRPr="004E112C" w:rsidRDefault="007D417F" w:rsidP="00E44AEF">
            <w:pPr>
              <w:pStyle w:val="Subtitle"/>
            </w:pPr>
            <w:r>
              <w:t>By year entered into force</w:t>
            </w:r>
          </w:p>
        </w:tc>
      </w:tr>
      <w:tr w:rsidR="007D417F" w14:paraId="2A125431" w14:textId="77777777" w:rsidTr="00E44AE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D417F" w:rsidRPr="00B1465D" w14:paraId="5ABA76F0" w14:textId="77777777" w:rsidTr="00E44AEF">
              <w:trPr>
                <w:tblHeader/>
                <w:jc w:val="center"/>
              </w:trPr>
              <w:tc>
                <w:tcPr>
                  <w:tcW w:w="5000" w:type="pct"/>
                  <w:tcBorders>
                    <w:top w:val="nil"/>
                    <w:bottom w:val="nil"/>
                  </w:tcBorders>
                </w:tcPr>
                <w:p w14:paraId="4FD5DE35" w14:textId="77777777" w:rsidR="007D417F" w:rsidRPr="00B1465D" w:rsidRDefault="007D417F" w:rsidP="00E44AEF">
                  <w:pPr>
                    <w:pStyle w:val="Figure"/>
                    <w:spacing w:before="60" w:after="60"/>
                    <w:rPr>
                      <w:rFonts w:ascii="Arial" w:hAnsi="Arial" w:cs="Arial"/>
                      <w:sz w:val="18"/>
                      <w:szCs w:val="18"/>
                    </w:rPr>
                  </w:pPr>
                  <w:r w:rsidRPr="0059506C">
                    <w:rPr>
                      <w:rFonts w:ascii="Arial" w:hAnsi="Arial" w:cs="Arial"/>
                      <w:noProof/>
                      <w:sz w:val="18"/>
                      <w:szCs w:val="18"/>
                    </w:rPr>
                    <w:drawing>
                      <wp:inline distT="0" distB="0" distL="0" distR="0" wp14:anchorId="74991C6A" wp14:editId="30E3F1DD">
                        <wp:extent cx="3619500" cy="5915025"/>
                        <wp:effectExtent l="0" t="0" r="0" b="9525"/>
                        <wp:docPr id="1" name="Picture 1" descr="A timeline of trade agreements by year os entering into force. From New Zealnd 1983, Singapore, Thailand, United States, Chile, ASEAN &amp; NZ, Malaysia, Korea, China, Japan, PACER Plus (signed, not yet in force), CPTPP, Indonesia (signed, not yet in force), Hong Kong, Peru 2020. " title="Australia’s bilateral and regional trade agre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19500" cy="5915025"/>
                                </a:xfrm>
                                <a:prstGeom prst="rect">
                                  <a:avLst/>
                                </a:prstGeom>
                                <a:noFill/>
                                <a:ln>
                                  <a:noFill/>
                                </a:ln>
                              </pic:spPr>
                            </pic:pic>
                          </a:graphicData>
                        </a:graphic>
                      </wp:inline>
                    </w:drawing>
                  </w:r>
                  <w:r w:rsidRPr="0059506C" w:rsidDel="0059506C">
                    <w:rPr>
                      <w:rFonts w:ascii="Arial" w:hAnsi="Arial" w:cs="Arial"/>
                      <w:sz w:val="18"/>
                      <w:szCs w:val="18"/>
                    </w:rPr>
                    <w:t xml:space="preserve"> </w:t>
                  </w:r>
                </w:p>
              </w:tc>
            </w:tr>
          </w:tbl>
          <w:p w14:paraId="3E71AD4E" w14:textId="77777777" w:rsidR="007D417F" w:rsidRDefault="007D417F" w:rsidP="00E44AEF">
            <w:pPr>
              <w:pStyle w:val="Figure"/>
            </w:pPr>
          </w:p>
        </w:tc>
      </w:tr>
      <w:tr w:rsidR="007D417F" w:rsidRPr="00176D3F" w14:paraId="2A0CEA13" w14:textId="77777777" w:rsidTr="00E44AEF">
        <w:tc>
          <w:tcPr>
            <w:tcW w:w="5000" w:type="pct"/>
            <w:tcBorders>
              <w:top w:val="nil"/>
              <w:left w:val="nil"/>
              <w:bottom w:val="nil"/>
              <w:right w:val="nil"/>
            </w:tcBorders>
            <w:shd w:val="clear" w:color="auto" w:fill="auto"/>
          </w:tcPr>
          <w:p w14:paraId="1C34A0E3" w14:textId="77777777" w:rsidR="007D417F" w:rsidRPr="00176D3F" w:rsidRDefault="007D417F" w:rsidP="00E44AEF">
            <w:pPr>
              <w:pStyle w:val="Note"/>
            </w:pPr>
            <w:r>
              <w:rPr>
                <w:rStyle w:val="NoteLabel"/>
              </w:rPr>
              <w:t>a</w:t>
            </w:r>
            <w:r>
              <w:t xml:space="preserve"> Concluded but not yet in force </w:t>
            </w:r>
            <w:r>
              <w:rPr>
                <w:rFonts w:cs="Arial"/>
              </w:rPr>
              <w:t>(</w:t>
            </w:r>
            <w:r>
              <w:t>date refers to year the agreement was signed).</w:t>
            </w:r>
          </w:p>
        </w:tc>
      </w:tr>
      <w:tr w:rsidR="007D417F" w:rsidRPr="00176D3F" w14:paraId="65B61FA3" w14:textId="77777777" w:rsidTr="00E44AEF">
        <w:tc>
          <w:tcPr>
            <w:tcW w:w="5000" w:type="pct"/>
            <w:tcBorders>
              <w:top w:val="nil"/>
              <w:left w:val="nil"/>
              <w:bottom w:val="nil"/>
              <w:right w:val="nil"/>
            </w:tcBorders>
            <w:shd w:val="clear" w:color="auto" w:fill="auto"/>
          </w:tcPr>
          <w:p w14:paraId="4C7CAAED" w14:textId="77777777" w:rsidR="007D417F" w:rsidRPr="00176D3F" w:rsidRDefault="007D417F" w:rsidP="00E44AEF">
            <w:pPr>
              <w:pStyle w:val="Source"/>
            </w:pPr>
            <w:r>
              <w:rPr>
                <w:i/>
              </w:rPr>
              <w:t>S</w:t>
            </w:r>
            <w:r w:rsidRPr="00784A05">
              <w:rPr>
                <w:i/>
              </w:rPr>
              <w:t>ource</w:t>
            </w:r>
            <w:r w:rsidRPr="00176D3F">
              <w:t xml:space="preserve">: </w:t>
            </w:r>
            <w:r>
              <w:t xml:space="preserve">DFAT </w:t>
            </w:r>
            <w:r w:rsidRPr="00AB2D96">
              <w:rPr>
                <w:rFonts w:cs="Arial"/>
              </w:rPr>
              <w:t>(2020a)</w:t>
            </w:r>
            <w:r>
              <w:t>.</w:t>
            </w:r>
          </w:p>
        </w:tc>
      </w:tr>
      <w:tr w:rsidR="007D417F" w14:paraId="725E28BF" w14:textId="77777777" w:rsidTr="00E44AEF">
        <w:tc>
          <w:tcPr>
            <w:tcW w:w="5000" w:type="pct"/>
            <w:tcBorders>
              <w:top w:val="nil"/>
              <w:left w:val="nil"/>
              <w:bottom w:val="single" w:sz="6" w:space="0" w:color="78A22F"/>
              <w:right w:val="nil"/>
            </w:tcBorders>
            <w:shd w:val="clear" w:color="auto" w:fill="auto"/>
          </w:tcPr>
          <w:p w14:paraId="16E88C61" w14:textId="77777777" w:rsidR="007D417F" w:rsidRDefault="007D417F" w:rsidP="00E44AEF">
            <w:pPr>
              <w:pStyle w:val="Figurespace"/>
            </w:pPr>
          </w:p>
        </w:tc>
      </w:tr>
      <w:tr w:rsidR="007D417F" w:rsidRPr="000863A5" w14:paraId="4C5A9429" w14:textId="77777777" w:rsidTr="00E44AEF">
        <w:tc>
          <w:tcPr>
            <w:tcW w:w="5000" w:type="pct"/>
            <w:tcBorders>
              <w:top w:val="single" w:sz="6" w:space="0" w:color="78A22F"/>
              <w:left w:val="nil"/>
              <w:bottom w:val="nil"/>
              <w:right w:val="nil"/>
            </w:tcBorders>
          </w:tcPr>
          <w:p w14:paraId="214E1A7B" w14:textId="77777777" w:rsidR="007D417F" w:rsidRPr="00626D32" w:rsidRDefault="007D417F" w:rsidP="00E44AEF">
            <w:pPr>
              <w:pStyle w:val="BoxSpaceBelow"/>
            </w:pPr>
          </w:p>
        </w:tc>
      </w:tr>
    </w:tbl>
    <w:p w14:paraId="49F2BA91" w14:textId="77777777" w:rsidR="007D417F" w:rsidRDefault="007D417F" w:rsidP="00E44AEF">
      <w:pPr>
        <w:pStyle w:val="Heading3"/>
      </w:pPr>
      <w:r>
        <w:lastRenderedPageBreak/>
        <w:t>The Regional Comprehensive Economic Partnership (RCEP) countries agree on all chapters, but lose India</w:t>
      </w:r>
    </w:p>
    <w:p w14:paraId="7FEC2610" w14:textId="77777777" w:rsidR="007D417F" w:rsidRDefault="007D417F" w:rsidP="00E44AEF">
      <w:pPr>
        <w:pStyle w:val="BodyText"/>
      </w:pPr>
      <w:r w:rsidRPr="000D2113">
        <w:t xml:space="preserve">The </w:t>
      </w:r>
      <w:r>
        <w:t xml:space="preserve">RCEP </w:t>
      </w:r>
      <w:r w:rsidRPr="000D2113">
        <w:t>is an ASEAN</w:t>
      </w:r>
      <w:r>
        <w:noBreakHyphen/>
      </w:r>
      <w:r w:rsidRPr="000D2113">
        <w:t>centred proposal for a regional free trade area, which would initially include the ten ASEAN member states and those</w:t>
      </w:r>
      <w:r>
        <w:t xml:space="preserve"> countries which have existing free trade agreement</w:t>
      </w:r>
      <w:r w:rsidRPr="000D2113">
        <w:t xml:space="preserve">s with ASEAN </w:t>
      </w:r>
      <w:r>
        <w:t>—</w:t>
      </w:r>
      <w:r w:rsidRPr="000D2113">
        <w:t xml:space="preserve"> Australia, China, India, Japan, Republic of Korea and New Zealand</w:t>
      </w:r>
      <w:r>
        <w:t xml:space="preserve">. RCEP </w:t>
      </w:r>
      <w:r w:rsidRPr="000D2113">
        <w:t>negotiations were launched</w:t>
      </w:r>
      <w:r>
        <w:t xml:space="preserve"> </w:t>
      </w:r>
      <w:r w:rsidRPr="000D2113">
        <w:t>in November</w:t>
      </w:r>
      <w:r>
        <w:t> </w:t>
      </w:r>
      <w:r w:rsidRPr="000D2113">
        <w:t xml:space="preserve">2012. </w:t>
      </w:r>
      <w:r>
        <w:t xml:space="preserve">The 16 participating countries account for almost half of the world’s population, almost 30 per cent of global GDP and over a quarter of world exports </w:t>
      </w:r>
      <w:r w:rsidRPr="007B5A2E">
        <w:rPr>
          <w:szCs w:val="24"/>
        </w:rPr>
        <w:t>(DFAT 2020c)</w:t>
      </w:r>
      <w:r>
        <w:t>.</w:t>
      </w:r>
    </w:p>
    <w:p w14:paraId="217D2867" w14:textId="77777777" w:rsidR="007D417F" w:rsidRDefault="007D417F" w:rsidP="00E44AEF">
      <w:pPr>
        <w:pStyle w:val="BodyText"/>
      </w:pPr>
      <w:r>
        <w:t>At the 3</w:t>
      </w:r>
      <w:r w:rsidRPr="00400543">
        <w:rPr>
          <w:vertAlign w:val="superscript"/>
        </w:rPr>
        <w:t>rd</w:t>
      </w:r>
      <w:r>
        <w:t xml:space="preserve"> RCEP Summit in Bangkok on 3 November 2019, 15 of the 16 participating countries concluded all 20 chapters of the RCEP agreement and essentially all market access commitments on goods, services and investment </w:t>
      </w:r>
      <w:r w:rsidRPr="00B2529E">
        <w:t>—</w:t>
      </w:r>
      <w:r>
        <w:t xml:space="preserve"> Australia will work towards a signature in 2020. India remains the major stumbling block in negotiations and pulled out of the agreement in November 2019 with a number of issues outstanding (details are unknown due to the closed nature of the negotiations). </w:t>
      </w:r>
    </w:p>
    <w:p w14:paraId="5983C32B" w14:textId="77777777" w:rsidR="007D417F" w:rsidRDefault="007D417F" w:rsidP="00E44AEF">
      <w:pPr>
        <w:pStyle w:val="Heading2"/>
      </w:pPr>
      <w:bookmarkStart w:id="29" w:name="_Toc38382147"/>
      <w:r>
        <w:t>3.</w:t>
      </w:r>
      <w:r>
        <w:rPr>
          <w:noProof/>
        </w:rPr>
        <w:t>3</w:t>
      </w:r>
      <w:r>
        <w:tab/>
        <w:t>Australia’s WTO disputes</w:t>
      </w:r>
      <w:bookmarkEnd w:id="29"/>
    </w:p>
    <w:p w14:paraId="2EE33AF7" w14:textId="77777777" w:rsidR="007D417F" w:rsidRDefault="007D417F" w:rsidP="00E44AEF">
      <w:pPr>
        <w:pStyle w:val="BodyText"/>
        <w:spacing w:before="200"/>
        <w:rPr>
          <w:spacing w:val="-2"/>
        </w:rPr>
      </w:pPr>
      <w:r w:rsidRPr="006E0FD6">
        <w:rPr>
          <w:spacing w:val="-2"/>
        </w:rPr>
        <w:t>Dispute settlement is a central element of the WTO</w:t>
      </w:r>
      <w:r>
        <w:rPr>
          <w:spacing w:val="-2"/>
        </w:rPr>
        <w:t>, which</w:t>
      </w:r>
      <w:r w:rsidRPr="006E0FD6">
        <w:rPr>
          <w:spacing w:val="-2"/>
        </w:rPr>
        <w:t xml:space="preserve"> help</w:t>
      </w:r>
      <w:r>
        <w:rPr>
          <w:spacing w:val="-2"/>
        </w:rPr>
        <w:t>s</w:t>
      </w:r>
      <w:r w:rsidRPr="006E0FD6">
        <w:rPr>
          <w:spacing w:val="-2"/>
        </w:rPr>
        <w:t xml:space="preserve"> make the global trading system more secure and predictable. The arrangements are the responsibility of the Dispute Settlement Body (DSB) and are based on clearly</w:t>
      </w:r>
      <w:r>
        <w:rPr>
          <w:spacing w:val="-2"/>
        </w:rPr>
        <w:t xml:space="preserve"> </w:t>
      </w:r>
      <w:r w:rsidRPr="006E0FD6">
        <w:rPr>
          <w:spacing w:val="-2"/>
        </w:rPr>
        <w:t xml:space="preserve">defined rules. Since 1995, </w:t>
      </w:r>
      <w:r>
        <w:rPr>
          <w:spacing w:val="-2"/>
        </w:rPr>
        <w:t>there have been 595</w:t>
      </w:r>
      <w:r w:rsidRPr="006E0FD6">
        <w:rPr>
          <w:spacing w:val="-2"/>
        </w:rPr>
        <w:t xml:space="preserve"> disputes </w:t>
      </w:r>
      <w:r>
        <w:rPr>
          <w:spacing w:val="-2"/>
        </w:rPr>
        <w:t>lodged by WTO m</w:t>
      </w:r>
      <w:r w:rsidRPr="006E0FD6">
        <w:rPr>
          <w:spacing w:val="-2"/>
        </w:rPr>
        <w:t>embers</w:t>
      </w:r>
      <w:r>
        <w:rPr>
          <w:spacing w:val="-2"/>
        </w:rPr>
        <w:t xml:space="preserve"> </w:t>
      </w:r>
      <w:r w:rsidRPr="0012228A">
        <w:rPr>
          <w:szCs w:val="24"/>
        </w:rPr>
        <w:t>(WTO 2020b)</w:t>
      </w:r>
      <w:r w:rsidRPr="006E0FD6">
        <w:rPr>
          <w:spacing w:val="-2"/>
        </w:rPr>
        <w:t>. Not all proceed</w:t>
      </w:r>
      <w:r>
        <w:rPr>
          <w:spacing w:val="-2"/>
        </w:rPr>
        <w:t>ed</w:t>
      </w:r>
      <w:r w:rsidRPr="006E0FD6">
        <w:rPr>
          <w:spacing w:val="-2"/>
        </w:rPr>
        <w:t xml:space="preserve"> past the formal ‘requests for consultations’ to</w:t>
      </w:r>
      <w:r>
        <w:rPr>
          <w:spacing w:val="-2"/>
        </w:rPr>
        <w:t xml:space="preserve"> the</w:t>
      </w:r>
      <w:r w:rsidRPr="006E0FD6">
        <w:rPr>
          <w:spacing w:val="-2"/>
        </w:rPr>
        <w:t xml:space="preserve"> establishment of a dispute panel. Austr</w:t>
      </w:r>
      <w:r>
        <w:rPr>
          <w:spacing w:val="-2"/>
        </w:rPr>
        <w:t>alia has been a complainant in nine</w:t>
      </w:r>
      <w:r w:rsidRPr="006E0FD6">
        <w:rPr>
          <w:spacing w:val="-2"/>
        </w:rPr>
        <w:t> cases, and a respondent to 16 complaints (tables </w:t>
      </w:r>
      <w:r>
        <w:rPr>
          <w:spacing w:val="-2"/>
        </w:rPr>
        <w:t>3</w:t>
      </w:r>
      <w:r w:rsidRPr="006E0FD6">
        <w:rPr>
          <w:spacing w:val="-2"/>
        </w:rPr>
        <w:t>.</w:t>
      </w:r>
      <w:r>
        <w:rPr>
          <w:spacing w:val="-2"/>
        </w:rPr>
        <w:t>1</w:t>
      </w:r>
      <w:r w:rsidRPr="006E0FD6">
        <w:rPr>
          <w:spacing w:val="-2"/>
        </w:rPr>
        <w:t xml:space="preserve"> and </w:t>
      </w:r>
      <w:r>
        <w:rPr>
          <w:spacing w:val="-2"/>
        </w:rPr>
        <w:t>3</w:t>
      </w:r>
      <w:r w:rsidRPr="006E0FD6">
        <w:rPr>
          <w:spacing w:val="-2"/>
        </w:rPr>
        <w:t>.</w:t>
      </w:r>
      <w:r>
        <w:rPr>
          <w:spacing w:val="-2"/>
        </w:rPr>
        <w:t>2</w:t>
      </w:r>
      <w:r w:rsidRPr="006E0FD6">
        <w:rPr>
          <w:spacing w:val="-2"/>
        </w:rPr>
        <w:t xml:space="preserve">). It currently has two cases as </w:t>
      </w:r>
      <w:r>
        <w:rPr>
          <w:spacing w:val="-2"/>
        </w:rPr>
        <w:t xml:space="preserve">a </w:t>
      </w:r>
      <w:r w:rsidRPr="006E0FD6">
        <w:rPr>
          <w:spacing w:val="-2"/>
        </w:rPr>
        <w:t>complainant in progress</w:t>
      </w:r>
      <w:r>
        <w:rPr>
          <w:spacing w:val="-2"/>
        </w:rPr>
        <w:t xml:space="preserve"> </w:t>
      </w:r>
      <w:r>
        <w:rPr>
          <w:rFonts w:ascii="Arial" w:hAnsi="Arial" w:cs="Arial"/>
          <w:color w:val="222222"/>
          <w:shd w:val="clear" w:color="auto" w:fill="FFFFFF"/>
        </w:rPr>
        <w:t>— </w:t>
      </w:r>
      <w:r w:rsidRPr="006E0FD6">
        <w:rPr>
          <w:spacing w:val="-2"/>
        </w:rPr>
        <w:t>against Canadian restrictions on the sale of imported wine and agai</w:t>
      </w:r>
      <w:r>
        <w:rPr>
          <w:spacing w:val="-2"/>
        </w:rPr>
        <w:t xml:space="preserve">nst Indian sugar subsidies </w:t>
      </w:r>
      <w:r>
        <w:rPr>
          <w:rFonts w:ascii="Arial" w:hAnsi="Arial" w:cs="Arial"/>
          <w:color w:val="222222"/>
          <w:shd w:val="clear" w:color="auto" w:fill="FFFFFF"/>
        </w:rPr>
        <w:t>—</w:t>
      </w:r>
      <w:r>
        <w:rPr>
          <w:spacing w:val="-2"/>
        </w:rPr>
        <w:t xml:space="preserve"> with no outstanding cases as a respondent. </w:t>
      </w:r>
    </w:p>
    <w:p w14:paraId="5E59D03F" w14:textId="77777777" w:rsidR="007D417F" w:rsidRDefault="007D417F" w:rsidP="00E44AE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7D417F" w14:paraId="5BD404B2" w14:textId="77777777" w:rsidTr="00E44AEF">
        <w:trPr>
          <w:tblHeader/>
        </w:trPr>
        <w:tc>
          <w:tcPr>
            <w:tcW w:w="5000" w:type="pct"/>
            <w:tcBorders>
              <w:top w:val="single" w:sz="6" w:space="0" w:color="78A22F"/>
              <w:left w:val="nil"/>
              <w:bottom w:val="nil"/>
              <w:right w:val="nil"/>
            </w:tcBorders>
            <w:shd w:val="clear" w:color="auto" w:fill="auto"/>
          </w:tcPr>
          <w:p w14:paraId="3696FBC5" w14:textId="77777777" w:rsidR="007D417F" w:rsidRDefault="007D417F" w:rsidP="00E44AEF">
            <w:pPr>
              <w:pStyle w:val="TableTitle"/>
            </w:pPr>
            <w:r>
              <w:rPr>
                <w:b w:val="0"/>
              </w:rPr>
              <w:t>Table 3.</w:t>
            </w:r>
            <w:r>
              <w:rPr>
                <w:b w:val="0"/>
                <w:noProof/>
              </w:rPr>
              <w:t>1</w:t>
            </w:r>
            <w:r>
              <w:tab/>
              <w:t>Australia as the complainant</w:t>
            </w:r>
          </w:p>
          <w:p w14:paraId="59458A35" w14:textId="77777777" w:rsidR="007D417F" w:rsidRPr="00784A05" w:rsidRDefault="007D417F" w:rsidP="00E44AEF">
            <w:pPr>
              <w:pStyle w:val="Subtitle"/>
            </w:pPr>
            <w:r>
              <w:t>The nine cases Australia has brought as a complainant</w:t>
            </w:r>
          </w:p>
        </w:tc>
      </w:tr>
      <w:tr w:rsidR="007D417F" w14:paraId="0BB7ABCB" w14:textId="77777777" w:rsidTr="00E44AEF">
        <w:tc>
          <w:tcPr>
            <w:tcW w:w="5000" w:type="pct"/>
            <w:tcBorders>
              <w:top w:val="nil"/>
              <w:left w:val="nil"/>
              <w:bottom w:val="nil"/>
              <w:right w:val="nil"/>
            </w:tcBorders>
            <w:shd w:val="clear" w:color="auto" w:fill="auto"/>
          </w:tcPr>
          <w:tbl>
            <w:tblPr>
              <w:tblW w:w="8391" w:type="dxa"/>
              <w:tblCellMar>
                <w:top w:w="28" w:type="dxa"/>
                <w:left w:w="0" w:type="dxa"/>
                <w:right w:w="0" w:type="dxa"/>
              </w:tblCellMar>
              <w:tblLook w:val="0000" w:firstRow="0" w:lastRow="0" w:firstColumn="0" w:lastColumn="0" w:noHBand="0" w:noVBand="0"/>
            </w:tblPr>
            <w:tblGrid>
              <w:gridCol w:w="1157"/>
              <w:gridCol w:w="1420"/>
              <w:gridCol w:w="2553"/>
              <w:gridCol w:w="3261"/>
            </w:tblGrid>
            <w:tr w:rsidR="007D417F" w14:paraId="56D3479F" w14:textId="77777777" w:rsidTr="00E44AEF">
              <w:trPr>
                <w:tblHeader/>
              </w:trPr>
              <w:tc>
                <w:tcPr>
                  <w:tcW w:w="689" w:type="pct"/>
                  <w:tcBorders>
                    <w:top w:val="single" w:sz="6" w:space="0" w:color="BFBFBF"/>
                    <w:bottom w:val="single" w:sz="6" w:space="0" w:color="BFBFBF"/>
                  </w:tcBorders>
                </w:tcPr>
                <w:p w14:paraId="6FC4FAA6" w14:textId="77777777" w:rsidR="007D417F" w:rsidRDefault="007D417F" w:rsidP="00E44AEF">
                  <w:pPr>
                    <w:pStyle w:val="TableColumnHeading"/>
                    <w:jc w:val="left"/>
                  </w:pPr>
                  <w:r>
                    <w:t>Year</w:t>
                  </w:r>
                </w:p>
              </w:tc>
              <w:tc>
                <w:tcPr>
                  <w:tcW w:w="846" w:type="pct"/>
                  <w:tcBorders>
                    <w:top w:val="single" w:sz="6" w:space="0" w:color="BFBFBF"/>
                    <w:bottom w:val="single" w:sz="6" w:space="0" w:color="BFBFBF"/>
                  </w:tcBorders>
                </w:tcPr>
                <w:p w14:paraId="72D0B846" w14:textId="77777777" w:rsidR="007D417F" w:rsidRDefault="007D417F" w:rsidP="00E44AEF">
                  <w:pPr>
                    <w:pStyle w:val="TableColumnHeading"/>
                    <w:jc w:val="left"/>
                  </w:pPr>
                  <w:r>
                    <w:t>Country</w:t>
                  </w:r>
                </w:p>
              </w:tc>
              <w:tc>
                <w:tcPr>
                  <w:tcW w:w="1521" w:type="pct"/>
                  <w:tcBorders>
                    <w:top w:val="single" w:sz="6" w:space="0" w:color="BFBFBF"/>
                    <w:bottom w:val="single" w:sz="6" w:space="0" w:color="BFBFBF"/>
                  </w:tcBorders>
                </w:tcPr>
                <w:p w14:paraId="4C3A4CF1" w14:textId="77777777" w:rsidR="007D417F" w:rsidRDefault="007D417F" w:rsidP="00E44AEF">
                  <w:pPr>
                    <w:pStyle w:val="TableColumnHeading"/>
                    <w:jc w:val="left"/>
                  </w:pPr>
                  <w:r>
                    <w:t>Issue</w:t>
                  </w:r>
                </w:p>
              </w:tc>
              <w:tc>
                <w:tcPr>
                  <w:tcW w:w="1943" w:type="pct"/>
                  <w:tcBorders>
                    <w:top w:val="single" w:sz="6" w:space="0" w:color="BFBFBF"/>
                    <w:bottom w:val="single" w:sz="6" w:space="0" w:color="BFBFBF"/>
                  </w:tcBorders>
                </w:tcPr>
                <w:p w14:paraId="73A68899" w14:textId="77777777" w:rsidR="007D417F" w:rsidRDefault="007D417F" w:rsidP="00E44AEF">
                  <w:pPr>
                    <w:pStyle w:val="TableColumnHeading"/>
                    <w:jc w:val="left"/>
                  </w:pPr>
                  <w:r>
                    <w:t>Outcome</w:t>
                  </w:r>
                </w:p>
              </w:tc>
            </w:tr>
            <w:tr w:rsidR="007D417F" w14:paraId="66D461D4" w14:textId="77777777" w:rsidTr="00E44AEF">
              <w:tc>
                <w:tcPr>
                  <w:tcW w:w="689" w:type="pct"/>
                </w:tcPr>
                <w:p w14:paraId="026F8A4A" w14:textId="77777777" w:rsidR="007D417F" w:rsidRDefault="007D417F" w:rsidP="00E44AEF">
                  <w:pPr>
                    <w:pStyle w:val="TableUnitsRow"/>
                    <w:jc w:val="left"/>
                  </w:pPr>
                  <w:r>
                    <w:t>2019</w:t>
                  </w:r>
                </w:p>
              </w:tc>
              <w:tc>
                <w:tcPr>
                  <w:tcW w:w="846" w:type="pct"/>
                </w:tcPr>
                <w:p w14:paraId="0C18DF1A" w14:textId="77777777" w:rsidR="007D417F" w:rsidRDefault="007D417F" w:rsidP="00E44AEF">
                  <w:pPr>
                    <w:pStyle w:val="TableUnitsRow"/>
                    <w:jc w:val="left"/>
                  </w:pPr>
                  <w:r>
                    <w:t>India</w:t>
                  </w:r>
                </w:p>
              </w:tc>
              <w:tc>
                <w:tcPr>
                  <w:tcW w:w="1521" w:type="pct"/>
                </w:tcPr>
                <w:p w14:paraId="31338DFD" w14:textId="77777777" w:rsidR="007D417F" w:rsidRDefault="007D417F" w:rsidP="00E44AEF">
                  <w:pPr>
                    <w:pStyle w:val="TableUnitsRow"/>
                    <w:jc w:val="left"/>
                  </w:pPr>
                  <w:r>
                    <w:t>Measures Concerning Sugar and Sugarcane.</w:t>
                  </w:r>
                </w:p>
              </w:tc>
              <w:tc>
                <w:tcPr>
                  <w:tcW w:w="1943" w:type="pct"/>
                </w:tcPr>
                <w:p w14:paraId="21DAED75" w14:textId="77777777" w:rsidR="007D417F" w:rsidRDefault="007D417F" w:rsidP="00E44AEF">
                  <w:pPr>
                    <w:pStyle w:val="TableUnitsRow"/>
                    <w:jc w:val="left"/>
                  </w:pPr>
                  <w:r>
                    <w:t>Panel composed.</w:t>
                  </w:r>
                </w:p>
              </w:tc>
            </w:tr>
            <w:tr w:rsidR="007D417F" w14:paraId="3ACC9FE1" w14:textId="77777777" w:rsidTr="00E44AEF">
              <w:tc>
                <w:tcPr>
                  <w:tcW w:w="689" w:type="pct"/>
                  <w:shd w:val="clear" w:color="auto" w:fill="F2F2F2" w:themeFill="background1" w:themeFillShade="F2"/>
                </w:tcPr>
                <w:p w14:paraId="7CB9ECAC" w14:textId="77777777" w:rsidR="007D417F" w:rsidRDefault="007D417F" w:rsidP="00E44AEF">
                  <w:pPr>
                    <w:pStyle w:val="TableBodyText"/>
                    <w:jc w:val="left"/>
                  </w:pPr>
                  <w:r>
                    <w:t>2018</w:t>
                  </w:r>
                </w:p>
              </w:tc>
              <w:tc>
                <w:tcPr>
                  <w:tcW w:w="846" w:type="pct"/>
                  <w:shd w:val="clear" w:color="auto" w:fill="F2F2F2" w:themeFill="background1" w:themeFillShade="F2"/>
                </w:tcPr>
                <w:p w14:paraId="03B9852A" w14:textId="77777777" w:rsidR="007D417F" w:rsidRDefault="007D417F" w:rsidP="00E44AEF">
                  <w:pPr>
                    <w:pStyle w:val="TableBodyText"/>
                    <w:jc w:val="left"/>
                  </w:pPr>
                  <w:r>
                    <w:t>Canada</w:t>
                  </w:r>
                </w:p>
              </w:tc>
              <w:tc>
                <w:tcPr>
                  <w:tcW w:w="1521" w:type="pct"/>
                  <w:shd w:val="clear" w:color="auto" w:fill="F2F2F2" w:themeFill="background1" w:themeFillShade="F2"/>
                </w:tcPr>
                <w:p w14:paraId="7F364757" w14:textId="77777777" w:rsidR="007D417F" w:rsidRDefault="007D417F" w:rsidP="00E44AEF">
                  <w:pPr>
                    <w:pStyle w:val="TableBodyText"/>
                    <w:jc w:val="left"/>
                  </w:pPr>
                  <w:r w:rsidRPr="00DF5A07">
                    <w:t>Measures Governing the Sale of Wine</w:t>
                  </w:r>
                  <w:r>
                    <w:t>.</w:t>
                  </w:r>
                </w:p>
              </w:tc>
              <w:tc>
                <w:tcPr>
                  <w:tcW w:w="1943" w:type="pct"/>
                  <w:shd w:val="clear" w:color="auto" w:fill="F2F2F2" w:themeFill="background1" w:themeFillShade="F2"/>
                </w:tcPr>
                <w:p w14:paraId="605BBF74" w14:textId="77777777" w:rsidR="007D417F" w:rsidRDefault="007D417F" w:rsidP="00E44AEF">
                  <w:pPr>
                    <w:pStyle w:val="TableBodyText"/>
                    <w:jc w:val="left"/>
                  </w:pPr>
                  <w:r>
                    <w:t>Panel composed.</w:t>
                  </w:r>
                </w:p>
              </w:tc>
            </w:tr>
            <w:tr w:rsidR="007D417F" w14:paraId="3FF09A41" w14:textId="77777777" w:rsidTr="00E44AEF">
              <w:tc>
                <w:tcPr>
                  <w:tcW w:w="689" w:type="pct"/>
                </w:tcPr>
                <w:p w14:paraId="571E534D" w14:textId="77777777" w:rsidR="007D417F" w:rsidRDefault="007D417F" w:rsidP="00E44AEF">
                  <w:pPr>
                    <w:pStyle w:val="TableBodyText"/>
                    <w:jc w:val="left"/>
                  </w:pPr>
                  <w:r w:rsidRPr="00CA586B">
                    <w:t>2003</w:t>
                  </w:r>
                </w:p>
              </w:tc>
              <w:tc>
                <w:tcPr>
                  <w:tcW w:w="846" w:type="pct"/>
                </w:tcPr>
                <w:p w14:paraId="416EA5A3" w14:textId="77777777" w:rsidR="007D417F" w:rsidRDefault="007D417F" w:rsidP="00E44AEF">
                  <w:pPr>
                    <w:pStyle w:val="TableBodyText"/>
                    <w:jc w:val="left"/>
                  </w:pPr>
                  <w:r w:rsidRPr="00CA586B">
                    <w:t>European Communities</w:t>
                  </w:r>
                  <w:r>
                    <w:t xml:space="preserve"> (EC)</w:t>
                  </w:r>
                </w:p>
              </w:tc>
              <w:tc>
                <w:tcPr>
                  <w:tcW w:w="1521" w:type="pct"/>
                </w:tcPr>
                <w:p w14:paraId="4CD530EF" w14:textId="77777777" w:rsidR="007D417F" w:rsidRDefault="007D417F" w:rsidP="00E44AEF">
                  <w:pPr>
                    <w:pStyle w:val="TableBodyText"/>
                    <w:jc w:val="left"/>
                  </w:pPr>
                  <w:r w:rsidRPr="00CA586B">
                    <w:t>Protection of Trademarks and Geographical Indications for Agricultural Products and Foodstuffs</w:t>
                  </w:r>
                  <w:r>
                    <w:t>.</w:t>
                  </w:r>
                </w:p>
              </w:tc>
              <w:tc>
                <w:tcPr>
                  <w:tcW w:w="1943" w:type="pct"/>
                </w:tcPr>
                <w:p w14:paraId="29C32F0C" w14:textId="77777777" w:rsidR="007D417F" w:rsidRDefault="007D417F" w:rsidP="00E44AEF">
                  <w:pPr>
                    <w:pStyle w:val="TableBodyText"/>
                    <w:jc w:val="left"/>
                  </w:pPr>
                  <w:r>
                    <w:t>The EC changed its regulations in March 2006. Australia informed the WTO that it did not consider that the DSBs recommendations had been fully implemented.</w:t>
                  </w:r>
                </w:p>
              </w:tc>
            </w:tr>
            <w:tr w:rsidR="007D417F" w14:paraId="5DE8ECDC" w14:textId="77777777" w:rsidTr="00E44AEF">
              <w:tc>
                <w:tcPr>
                  <w:tcW w:w="689" w:type="pct"/>
                  <w:shd w:val="clear" w:color="auto" w:fill="F2F2F2" w:themeFill="background1" w:themeFillShade="F2"/>
                </w:tcPr>
                <w:p w14:paraId="0C5A809D" w14:textId="77777777" w:rsidR="007D417F" w:rsidRDefault="007D417F" w:rsidP="00E44AEF">
                  <w:pPr>
                    <w:pStyle w:val="TableBodyText"/>
                    <w:jc w:val="left"/>
                  </w:pPr>
                  <w:r>
                    <w:t>2002</w:t>
                  </w:r>
                </w:p>
              </w:tc>
              <w:tc>
                <w:tcPr>
                  <w:tcW w:w="846" w:type="pct"/>
                  <w:shd w:val="clear" w:color="auto" w:fill="F2F2F2" w:themeFill="background1" w:themeFillShade="F2"/>
                </w:tcPr>
                <w:p w14:paraId="0704C814" w14:textId="77777777" w:rsidR="007D417F" w:rsidRDefault="007D417F" w:rsidP="00E44AEF">
                  <w:pPr>
                    <w:pStyle w:val="TableBodyText"/>
                    <w:jc w:val="left"/>
                  </w:pPr>
                  <w:r>
                    <w:t>EC</w:t>
                  </w:r>
                </w:p>
              </w:tc>
              <w:tc>
                <w:tcPr>
                  <w:tcW w:w="1521" w:type="pct"/>
                  <w:shd w:val="clear" w:color="auto" w:fill="F2F2F2" w:themeFill="background1" w:themeFillShade="F2"/>
                </w:tcPr>
                <w:p w14:paraId="5D7C4DDA" w14:textId="77777777" w:rsidR="007D417F" w:rsidRPr="00865F71" w:rsidRDefault="007D417F" w:rsidP="00E44AEF">
                  <w:pPr>
                    <w:pStyle w:val="TableBodyText"/>
                    <w:jc w:val="left"/>
                  </w:pPr>
                  <w:r w:rsidRPr="00865F71">
                    <w:t>Export Subsidies on Sugar</w:t>
                  </w:r>
                  <w:r>
                    <w:t>.</w:t>
                  </w:r>
                </w:p>
              </w:tc>
              <w:tc>
                <w:tcPr>
                  <w:tcW w:w="1943" w:type="pct"/>
                  <w:shd w:val="clear" w:color="auto" w:fill="F2F2F2" w:themeFill="background1" w:themeFillShade="F2"/>
                </w:tcPr>
                <w:p w14:paraId="04C392F1" w14:textId="77777777" w:rsidR="007D417F" w:rsidRDefault="007D417F" w:rsidP="00E44AEF">
                  <w:pPr>
                    <w:pStyle w:val="TableBodyText"/>
                    <w:jc w:val="left"/>
                  </w:pPr>
                  <w:r>
                    <w:t xml:space="preserve">In favour of Australia. </w:t>
                  </w:r>
                </w:p>
              </w:tc>
            </w:tr>
            <w:tr w:rsidR="007D417F" w14:paraId="439C1238" w14:textId="77777777" w:rsidTr="00E44AEF">
              <w:tc>
                <w:tcPr>
                  <w:tcW w:w="689" w:type="pct"/>
                </w:tcPr>
                <w:p w14:paraId="4BD38E6F" w14:textId="77777777" w:rsidR="007D417F" w:rsidRDefault="007D417F" w:rsidP="00E44AEF">
                  <w:pPr>
                    <w:pStyle w:val="TableBodyText"/>
                    <w:jc w:val="left"/>
                  </w:pPr>
                  <w:r>
                    <w:t>2000</w:t>
                  </w:r>
                </w:p>
              </w:tc>
              <w:tc>
                <w:tcPr>
                  <w:tcW w:w="846" w:type="pct"/>
                </w:tcPr>
                <w:p w14:paraId="0E0C225A" w14:textId="77777777" w:rsidR="007D417F" w:rsidRDefault="007D417F" w:rsidP="00E44AEF">
                  <w:pPr>
                    <w:pStyle w:val="TableBodyText"/>
                    <w:jc w:val="left"/>
                  </w:pPr>
                  <w:r>
                    <w:t>United States</w:t>
                  </w:r>
                  <w:r w:rsidRPr="008E77FE">
                    <w:rPr>
                      <w:rStyle w:val="NoteLabel"/>
                    </w:rPr>
                    <w:t>a</w:t>
                  </w:r>
                </w:p>
              </w:tc>
              <w:tc>
                <w:tcPr>
                  <w:tcW w:w="1521" w:type="pct"/>
                </w:tcPr>
                <w:p w14:paraId="028E8B00" w14:textId="77777777" w:rsidR="007D417F" w:rsidRPr="00865F71" w:rsidRDefault="007D417F" w:rsidP="00E44AEF">
                  <w:pPr>
                    <w:pStyle w:val="TableBodyText"/>
                    <w:jc w:val="left"/>
                  </w:pPr>
                  <w:r w:rsidRPr="001E76CA">
                    <w:t>Continued Dumping and Subsidy Offset Act of 2000</w:t>
                  </w:r>
                  <w:r>
                    <w:t>.</w:t>
                  </w:r>
                </w:p>
              </w:tc>
              <w:tc>
                <w:tcPr>
                  <w:tcW w:w="1943" w:type="pct"/>
                </w:tcPr>
                <w:p w14:paraId="31772A3C" w14:textId="77777777" w:rsidR="007D417F" w:rsidRDefault="007D417F" w:rsidP="00E44AEF">
                  <w:pPr>
                    <w:pStyle w:val="TableBodyText"/>
                    <w:jc w:val="left"/>
                  </w:pPr>
                  <w:r>
                    <w:t>In favour of Australia. In December 2004 Australia reached an understanding with the United States with respect to the dispute.</w:t>
                  </w:r>
                </w:p>
              </w:tc>
            </w:tr>
            <w:tr w:rsidR="007D417F" w14:paraId="5AD3CB73" w14:textId="77777777" w:rsidTr="00E44AEF">
              <w:tc>
                <w:tcPr>
                  <w:tcW w:w="689" w:type="pct"/>
                  <w:shd w:val="clear" w:color="auto" w:fill="F2F2F2" w:themeFill="background1" w:themeFillShade="F2"/>
                </w:tcPr>
                <w:p w14:paraId="5573D7B1" w14:textId="77777777" w:rsidR="007D417F" w:rsidRDefault="007D417F" w:rsidP="00E44AEF">
                  <w:pPr>
                    <w:pStyle w:val="TableBodyText"/>
                    <w:jc w:val="left"/>
                  </w:pPr>
                  <w:r>
                    <w:t>1999</w:t>
                  </w:r>
                </w:p>
              </w:tc>
              <w:tc>
                <w:tcPr>
                  <w:tcW w:w="846" w:type="pct"/>
                  <w:shd w:val="clear" w:color="auto" w:fill="F2F2F2" w:themeFill="background1" w:themeFillShade="F2"/>
                </w:tcPr>
                <w:p w14:paraId="582689F9" w14:textId="77777777" w:rsidR="007D417F" w:rsidRDefault="007D417F" w:rsidP="00E44AEF">
                  <w:pPr>
                    <w:pStyle w:val="TableBodyText"/>
                    <w:jc w:val="left"/>
                  </w:pPr>
                  <w:r>
                    <w:t>United States</w:t>
                  </w:r>
                </w:p>
              </w:tc>
              <w:tc>
                <w:tcPr>
                  <w:tcW w:w="1521" w:type="pct"/>
                  <w:shd w:val="clear" w:color="auto" w:fill="F2F2F2" w:themeFill="background1" w:themeFillShade="F2"/>
                </w:tcPr>
                <w:p w14:paraId="59880C24" w14:textId="77777777" w:rsidR="007D417F" w:rsidRPr="00865F71" w:rsidRDefault="007D417F" w:rsidP="00E44AEF">
                  <w:pPr>
                    <w:pStyle w:val="TableBodyText"/>
                    <w:jc w:val="left"/>
                  </w:pPr>
                  <w:r w:rsidRPr="001E76CA">
                    <w:t>Safeguard Measure on Imports of Fresh, Chilled or Frozen Lamb from Australia</w:t>
                  </w:r>
                  <w:r>
                    <w:t>.</w:t>
                  </w:r>
                </w:p>
              </w:tc>
              <w:tc>
                <w:tcPr>
                  <w:tcW w:w="1943" w:type="pct"/>
                  <w:shd w:val="clear" w:color="auto" w:fill="F2F2F2" w:themeFill="background1" w:themeFillShade="F2"/>
                </w:tcPr>
                <w:p w14:paraId="5346B67D" w14:textId="77777777" w:rsidR="007D417F" w:rsidRDefault="007D417F" w:rsidP="00E44AEF">
                  <w:pPr>
                    <w:pStyle w:val="TableBodyText"/>
                    <w:jc w:val="left"/>
                  </w:pPr>
                  <w:r>
                    <w:t>In favour of Australia. Implementation notified in November 2001.</w:t>
                  </w:r>
                </w:p>
              </w:tc>
            </w:tr>
            <w:tr w:rsidR="007D417F" w14:paraId="59825209" w14:textId="77777777" w:rsidTr="00E44AEF">
              <w:tc>
                <w:tcPr>
                  <w:tcW w:w="689" w:type="pct"/>
                </w:tcPr>
                <w:p w14:paraId="0A30E627" w14:textId="77777777" w:rsidR="007D417F" w:rsidRPr="00CA586B" w:rsidRDefault="007D417F" w:rsidP="00E44AEF">
                  <w:pPr>
                    <w:pStyle w:val="TableBodyText"/>
                    <w:jc w:val="left"/>
                  </w:pPr>
                  <w:r>
                    <w:t>1999</w:t>
                  </w:r>
                </w:p>
              </w:tc>
              <w:tc>
                <w:tcPr>
                  <w:tcW w:w="846" w:type="pct"/>
                </w:tcPr>
                <w:p w14:paraId="10FA24D0" w14:textId="77777777" w:rsidR="007D417F" w:rsidRPr="00CA586B" w:rsidRDefault="007D417F" w:rsidP="00E44AEF">
                  <w:pPr>
                    <w:pStyle w:val="TableBodyText"/>
                    <w:jc w:val="left"/>
                  </w:pPr>
                  <w:r>
                    <w:t>Republic of Korea</w:t>
                  </w:r>
                </w:p>
              </w:tc>
              <w:tc>
                <w:tcPr>
                  <w:tcW w:w="1521" w:type="pct"/>
                </w:tcPr>
                <w:p w14:paraId="6762ED57" w14:textId="77777777" w:rsidR="007D417F" w:rsidRPr="00CA586B" w:rsidRDefault="007D417F" w:rsidP="00E44AEF">
                  <w:pPr>
                    <w:pStyle w:val="TableBodyText"/>
                    <w:jc w:val="left"/>
                  </w:pPr>
                  <w:r w:rsidRPr="001E76CA">
                    <w:t>Measures Affecting Imports of Fresh, Chilled and Frozen Beef</w:t>
                  </w:r>
                  <w:r>
                    <w:t>.</w:t>
                  </w:r>
                </w:p>
              </w:tc>
              <w:tc>
                <w:tcPr>
                  <w:tcW w:w="1943" w:type="pct"/>
                </w:tcPr>
                <w:p w14:paraId="59382222" w14:textId="77777777" w:rsidR="007D417F" w:rsidRDefault="007D417F" w:rsidP="00E44AEF">
                  <w:pPr>
                    <w:pStyle w:val="TableBodyText"/>
                    <w:jc w:val="left"/>
                  </w:pPr>
                  <w:r>
                    <w:t>In favour of Australia. Implementation completed by September 2001.</w:t>
                  </w:r>
                </w:p>
              </w:tc>
            </w:tr>
            <w:tr w:rsidR="007D417F" w14:paraId="22AD471D" w14:textId="77777777" w:rsidTr="00E44AEF">
              <w:tc>
                <w:tcPr>
                  <w:tcW w:w="689" w:type="pct"/>
                  <w:shd w:val="clear" w:color="auto" w:fill="F2F2F2" w:themeFill="background1" w:themeFillShade="F2"/>
                </w:tcPr>
                <w:p w14:paraId="7791FB62" w14:textId="77777777" w:rsidR="007D417F" w:rsidRDefault="007D417F" w:rsidP="00E44AEF">
                  <w:pPr>
                    <w:pStyle w:val="TableBodyText"/>
                    <w:jc w:val="left"/>
                  </w:pPr>
                  <w:r>
                    <w:t>1997</w:t>
                  </w:r>
                </w:p>
              </w:tc>
              <w:tc>
                <w:tcPr>
                  <w:tcW w:w="846" w:type="pct"/>
                  <w:shd w:val="clear" w:color="auto" w:fill="F2F2F2" w:themeFill="background1" w:themeFillShade="F2"/>
                </w:tcPr>
                <w:p w14:paraId="3665CFD2" w14:textId="77777777" w:rsidR="007D417F" w:rsidRDefault="007D417F" w:rsidP="00E44AEF">
                  <w:pPr>
                    <w:pStyle w:val="TableBodyText"/>
                    <w:jc w:val="left"/>
                  </w:pPr>
                  <w:r>
                    <w:t>India</w:t>
                  </w:r>
                </w:p>
              </w:tc>
              <w:tc>
                <w:tcPr>
                  <w:tcW w:w="1521" w:type="pct"/>
                  <w:shd w:val="clear" w:color="auto" w:fill="F2F2F2" w:themeFill="background1" w:themeFillShade="F2"/>
                </w:tcPr>
                <w:p w14:paraId="7AE27072" w14:textId="77777777" w:rsidR="007D417F" w:rsidRPr="00865F71" w:rsidRDefault="007D417F" w:rsidP="00E44AEF">
                  <w:pPr>
                    <w:pStyle w:val="TableBodyText"/>
                    <w:jc w:val="left"/>
                  </w:pPr>
                  <w:r w:rsidRPr="00C35AB8">
                    <w:t>Quantitative Restrictions on Imports of Agricultural, Textile and Industrial Products</w:t>
                  </w:r>
                  <w:r>
                    <w:t>.</w:t>
                  </w:r>
                </w:p>
              </w:tc>
              <w:tc>
                <w:tcPr>
                  <w:tcW w:w="1943" w:type="pct"/>
                  <w:shd w:val="clear" w:color="auto" w:fill="F2F2F2" w:themeFill="background1" w:themeFillShade="F2"/>
                </w:tcPr>
                <w:p w14:paraId="5C00B85A" w14:textId="77777777" w:rsidR="007D417F" w:rsidRDefault="007D417F" w:rsidP="00E44AEF">
                  <w:pPr>
                    <w:pStyle w:val="TableBodyText"/>
                    <w:jc w:val="left"/>
                  </w:pPr>
                  <w:r>
                    <w:t>Mutually agreed solution before request for a panel.</w:t>
                  </w:r>
                </w:p>
              </w:tc>
            </w:tr>
            <w:tr w:rsidR="007D417F" w14:paraId="4146C90A" w14:textId="77777777" w:rsidTr="00E44AEF">
              <w:tc>
                <w:tcPr>
                  <w:tcW w:w="689" w:type="pct"/>
                  <w:tcBorders>
                    <w:bottom w:val="single" w:sz="6" w:space="0" w:color="BFBFBF"/>
                  </w:tcBorders>
                </w:tcPr>
                <w:p w14:paraId="6C8DE505" w14:textId="77777777" w:rsidR="007D417F" w:rsidRDefault="007D417F" w:rsidP="00E44AEF">
                  <w:pPr>
                    <w:pStyle w:val="TableBodyText"/>
                    <w:jc w:val="left"/>
                  </w:pPr>
                  <w:r>
                    <w:t>1996</w:t>
                  </w:r>
                </w:p>
              </w:tc>
              <w:tc>
                <w:tcPr>
                  <w:tcW w:w="846" w:type="pct"/>
                  <w:tcBorders>
                    <w:bottom w:val="single" w:sz="6" w:space="0" w:color="BFBFBF"/>
                  </w:tcBorders>
                </w:tcPr>
                <w:p w14:paraId="1A97E795" w14:textId="77777777" w:rsidR="007D417F" w:rsidRDefault="007D417F" w:rsidP="00E44AEF">
                  <w:pPr>
                    <w:pStyle w:val="TableBodyText"/>
                    <w:jc w:val="left"/>
                  </w:pPr>
                  <w:r>
                    <w:t>Hungary</w:t>
                  </w:r>
                  <w:r>
                    <w:rPr>
                      <w:rStyle w:val="NoteLabel"/>
                    </w:rPr>
                    <w:t>b</w:t>
                  </w:r>
                </w:p>
              </w:tc>
              <w:tc>
                <w:tcPr>
                  <w:tcW w:w="1521" w:type="pct"/>
                  <w:tcBorders>
                    <w:bottom w:val="single" w:sz="6" w:space="0" w:color="BFBFBF"/>
                  </w:tcBorders>
                </w:tcPr>
                <w:p w14:paraId="509BEEDC" w14:textId="77777777" w:rsidR="007D417F" w:rsidRPr="001E76CA" w:rsidRDefault="007D417F" w:rsidP="00E44AEF">
                  <w:pPr>
                    <w:pStyle w:val="TableBodyText"/>
                    <w:jc w:val="left"/>
                  </w:pPr>
                  <w:r w:rsidRPr="00202103">
                    <w:t>Export Subsidies in respect of Agricultural Products</w:t>
                  </w:r>
                  <w:r>
                    <w:t>.</w:t>
                  </w:r>
                </w:p>
              </w:tc>
              <w:tc>
                <w:tcPr>
                  <w:tcW w:w="1943" w:type="pct"/>
                  <w:tcBorders>
                    <w:bottom w:val="single" w:sz="6" w:space="0" w:color="BFBFBF"/>
                  </w:tcBorders>
                </w:tcPr>
                <w:p w14:paraId="09273C73" w14:textId="77777777" w:rsidR="007D417F" w:rsidRDefault="007D417F" w:rsidP="00E44AEF">
                  <w:pPr>
                    <w:pStyle w:val="TableBodyText"/>
                    <w:jc w:val="left"/>
                  </w:pPr>
                  <w:r>
                    <w:t>Mutually agreed solution in 1997 after a panel was established. Hungary was required to seek a waiver of certain WTO obligations.</w:t>
                  </w:r>
                </w:p>
              </w:tc>
            </w:tr>
          </w:tbl>
          <w:p w14:paraId="539B667D" w14:textId="77777777" w:rsidR="007D417F" w:rsidRDefault="007D417F" w:rsidP="00E44AEF">
            <w:pPr>
              <w:pStyle w:val="Box"/>
            </w:pPr>
          </w:p>
        </w:tc>
      </w:tr>
      <w:tr w:rsidR="007D417F" w14:paraId="44A521A9" w14:textId="77777777" w:rsidTr="00E44AEF">
        <w:tc>
          <w:tcPr>
            <w:tcW w:w="5000" w:type="pct"/>
            <w:tcBorders>
              <w:top w:val="nil"/>
              <w:left w:val="nil"/>
              <w:bottom w:val="nil"/>
              <w:right w:val="nil"/>
            </w:tcBorders>
            <w:shd w:val="clear" w:color="auto" w:fill="auto"/>
          </w:tcPr>
          <w:p w14:paraId="2046512E" w14:textId="77777777" w:rsidR="007D417F" w:rsidRDefault="007D417F" w:rsidP="00E44AEF">
            <w:pPr>
              <w:pStyle w:val="Note"/>
              <w:rPr>
                <w:i/>
              </w:rPr>
            </w:pPr>
            <w:r w:rsidRPr="008E77FE">
              <w:rPr>
                <w:rStyle w:val="NoteLabel"/>
              </w:rPr>
              <w:t>a</w:t>
            </w:r>
            <w:r>
              <w:t xml:space="preserve"> J</w:t>
            </w:r>
            <w:r w:rsidRPr="0089597D">
              <w:t>oint complainant with Brazil, China, European Communities, India, Indonesia, Japan,</w:t>
            </w:r>
            <w:r>
              <w:t xml:space="preserve"> Republic of</w:t>
            </w:r>
            <w:r w:rsidRPr="0089597D">
              <w:t xml:space="preserve"> Korea and Thailand</w:t>
            </w:r>
            <w:r>
              <w:t xml:space="preserve">. </w:t>
            </w:r>
            <w:r>
              <w:rPr>
                <w:rStyle w:val="NoteLabel"/>
              </w:rPr>
              <w:t>b</w:t>
            </w:r>
            <w:r>
              <w:t xml:space="preserve"> J</w:t>
            </w:r>
            <w:r w:rsidRPr="0089597D">
              <w:t>oint complainant with Argentina</w:t>
            </w:r>
            <w:r>
              <w:t>, Canada, New Zealand, Thailand and the</w:t>
            </w:r>
            <w:r w:rsidRPr="0089597D">
              <w:t xml:space="preserve"> United States</w:t>
            </w:r>
            <w:r>
              <w:t>.</w:t>
            </w:r>
          </w:p>
        </w:tc>
      </w:tr>
      <w:tr w:rsidR="007D417F" w14:paraId="0F8F3E04" w14:textId="77777777" w:rsidTr="00E44AEF">
        <w:tc>
          <w:tcPr>
            <w:tcW w:w="5000" w:type="pct"/>
            <w:tcBorders>
              <w:top w:val="nil"/>
              <w:left w:val="nil"/>
              <w:bottom w:val="nil"/>
              <w:right w:val="nil"/>
            </w:tcBorders>
            <w:shd w:val="clear" w:color="auto" w:fill="auto"/>
          </w:tcPr>
          <w:p w14:paraId="0E0922F8" w14:textId="77777777" w:rsidR="007D417F" w:rsidRDefault="007D417F" w:rsidP="00E44AEF">
            <w:pPr>
              <w:pStyle w:val="Source"/>
            </w:pPr>
            <w:r>
              <w:rPr>
                <w:i/>
              </w:rPr>
              <w:t>Source</w:t>
            </w:r>
            <w:r w:rsidRPr="00167F06">
              <w:t xml:space="preserve">: </w:t>
            </w:r>
            <w:r>
              <w:t xml:space="preserve">WTO </w:t>
            </w:r>
            <w:r w:rsidRPr="005E25E7">
              <w:rPr>
                <w:rFonts w:cs="Arial"/>
              </w:rPr>
              <w:t>(2020a)</w:t>
            </w:r>
            <w:r>
              <w:t>.</w:t>
            </w:r>
          </w:p>
        </w:tc>
      </w:tr>
      <w:tr w:rsidR="007D417F" w14:paraId="24E38B1B" w14:textId="77777777" w:rsidTr="00E44AEF">
        <w:tc>
          <w:tcPr>
            <w:tcW w:w="5000" w:type="pct"/>
            <w:tcBorders>
              <w:top w:val="nil"/>
              <w:left w:val="nil"/>
              <w:bottom w:val="single" w:sz="6" w:space="0" w:color="78A22F"/>
              <w:right w:val="nil"/>
            </w:tcBorders>
            <w:shd w:val="clear" w:color="auto" w:fill="auto"/>
          </w:tcPr>
          <w:p w14:paraId="054AE298" w14:textId="77777777" w:rsidR="007D417F" w:rsidRDefault="007D417F" w:rsidP="00E44AEF">
            <w:pPr>
              <w:pStyle w:val="Box"/>
              <w:spacing w:before="0" w:line="120" w:lineRule="exact"/>
            </w:pPr>
          </w:p>
        </w:tc>
      </w:tr>
      <w:tr w:rsidR="007D417F" w:rsidRPr="000863A5" w14:paraId="18E4C4A1" w14:textId="77777777" w:rsidTr="00E44AEF">
        <w:tc>
          <w:tcPr>
            <w:tcW w:w="5000" w:type="pct"/>
            <w:tcBorders>
              <w:top w:val="single" w:sz="6" w:space="0" w:color="78A22F"/>
              <w:left w:val="nil"/>
              <w:bottom w:val="nil"/>
              <w:right w:val="nil"/>
            </w:tcBorders>
          </w:tcPr>
          <w:p w14:paraId="485C52E4" w14:textId="77777777" w:rsidR="007D417F" w:rsidRPr="00626D32" w:rsidRDefault="007D417F" w:rsidP="00E44AEF">
            <w:pPr>
              <w:pStyle w:val="BoxSpaceBelow"/>
            </w:pPr>
          </w:p>
        </w:tc>
      </w:tr>
    </w:tbl>
    <w:p w14:paraId="1B581920" w14:textId="77777777" w:rsidR="007D417F" w:rsidRDefault="007D417F" w:rsidP="00E44AEF">
      <w:pPr>
        <w:pStyle w:val="BodyText"/>
        <w:spacing w:before="200"/>
        <w:rPr>
          <w:spacing w:val="-2"/>
        </w:rPr>
      </w:pPr>
      <w:r>
        <w:rPr>
          <w:spacing w:val="-2"/>
        </w:rPr>
        <w:t xml:space="preserve">In the last year, the cases as a respondent </w:t>
      </w:r>
      <w:r w:rsidRPr="006E0FD6">
        <w:rPr>
          <w:spacing w:val="-2"/>
        </w:rPr>
        <w:t>against anti</w:t>
      </w:r>
      <w:r>
        <w:rPr>
          <w:spacing w:val="-2"/>
        </w:rPr>
        <w:noBreakHyphen/>
      </w:r>
      <w:r w:rsidRPr="006E0FD6">
        <w:rPr>
          <w:spacing w:val="-2"/>
        </w:rPr>
        <w:t xml:space="preserve">dumping duties on Indonesian paper and </w:t>
      </w:r>
      <w:r>
        <w:rPr>
          <w:spacing w:val="-2"/>
        </w:rPr>
        <w:t>tobacco packaging</w:t>
      </w:r>
      <w:r w:rsidRPr="006E0FD6">
        <w:rPr>
          <w:spacing w:val="-2"/>
        </w:rPr>
        <w:t xml:space="preserve"> involving the Dominican Republic and Honduras</w:t>
      </w:r>
      <w:r>
        <w:rPr>
          <w:spacing w:val="-2"/>
        </w:rPr>
        <w:t xml:space="preserve"> have been finalised. </w:t>
      </w:r>
    </w:p>
    <w:p w14:paraId="1DC8A2CA" w14:textId="77777777" w:rsidR="007D417F" w:rsidRDefault="007D417F" w:rsidP="00E44AEF">
      <w:pPr>
        <w:pStyle w:val="ListBullet"/>
      </w:pPr>
      <w:r>
        <w:t>The panel found in favour of Indonesia that Australia’s anti</w:t>
      </w:r>
      <w:r>
        <w:noBreakHyphen/>
        <w:t xml:space="preserve">dumping actions were inconsistent with WTO commitments and should be brought into conformity. The consequences of this decision extend beyond this case, discussed in section 3.4. </w:t>
      </w:r>
    </w:p>
    <w:p w14:paraId="3519E1C5" w14:textId="77777777" w:rsidR="007D417F" w:rsidRDefault="007D417F" w:rsidP="00E44AEF">
      <w:pPr>
        <w:pStyle w:val="ListBullet"/>
      </w:pPr>
      <w:r>
        <w:t>The panel on tobacco product labelling was found in favour of Australia, with no further action required.</w:t>
      </w: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7D417F" w14:paraId="4E5F2882" w14:textId="77777777" w:rsidTr="00E44AEF">
        <w:trPr>
          <w:tblHeader/>
        </w:trPr>
        <w:tc>
          <w:tcPr>
            <w:tcW w:w="5000" w:type="pct"/>
            <w:tcBorders>
              <w:top w:val="single" w:sz="6" w:space="0" w:color="78A22F"/>
              <w:left w:val="nil"/>
              <w:bottom w:val="nil"/>
              <w:right w:val="nil"/>
            </w:tcBorders>
            <w:shd w:val="clear" w:color="auto" w:fill="auto"/>
          </w:tcPr>
          <w:p w14:paraId="6EC762CF" w14:textId="77777777" w:rsidR="007D417F" w:rsidRDefault="007D417F" w:rsidP="00E44AEF">
            <w:pPr>
              <w:pStyle w:val="TableTitle"/>
            </w:pPr>
            <w:r>
              <w:rPr>
                <w:b w:val="0"/>
              </w:rPr>
              <w:lastRenderedPageBreak/>
              <w:t>Table 3.</w:t>
            </w:r>
            <w:r>
              <w:rPr>
                <w:b w:val="0"/>
                <w:noProof/>
              </w:rPr>
              <w:t>2</w:t>
            </w:r>
            <w:r>
              <w:tab/>
              <w:t>Australia as the respondent</w:t>
            </w:r>
          </w:p>
          <w:p w14:paraId="72269CED" w14:textId="77777777" w:rsidR="007D417F" w:rsidRPr="00784A05" w:rsidRDefault="007D417F" w:rsidP="00E44AEF">
            <w:pPr>
              <w:pStyle w:val="Subtitle"/>
            </w:pPr>
            <w:r>
              <w:t>The 16 cases where Australia has been subject to dispute settlement action</w:t>
            </w:r>
          </w:p>
        </w:tc>
      </w:tr>
      <w:tr w:rsidR="007D417F" w14:paraId="387792D4" w14:textId="77777777" w:rsidTr="00E44AEF">
        <w:tc>
          <w:tcPr>
            <w:tcW w:w="5000" w:type="pct"/>
            <w:tcBorders>
              <w:top w:val="nil"/>
              <w:left w:val="nil"/>
              <w:bottom w:val="nil"/>
              <w:right w:val="nil"/>
            </w:tcBorders>
            <w:shd w:val="clear" w:color="auto" w:fill="auto"/>
          </w:tcPr>
          <w:tbl>
            <w:tblPr>
              <w:tblW w:w="8653" w:type="dxa"/>
              <w:tblLayout w:type="fixed"/>
              <w:tblCellMar>
                <w:top w:w="28" w:type="dxa"/>
                <w:left w:w="0" w:type="dxa"/>
                <w:right w:w="0" w:type="dxa"/>
              </w:tblCellMar>
              <w:tblLook w:val="0000" w:firstRow="0" w:lastRow="0" w:firstColumn="0" w:lastColumn="0" w:noHBand="0" w:noVBand="0"/>
            </w:tblPr>
            <w:tblGrid>
              <w:gridCol w:w="986"/>
              <w:gridCol w:w="1489"/>
              <w:gridCol w:w="3148"/>
              <w:gridCol w:w="3030"/>
            </w:tblGrid>
            <w:tr w:rsidR="007D417F" w14:paraId="515FE163" w14:textId="77777777" w:rsidTr="0049377C">
              <w:trPr>
                <w:trHeight w:val="268"/>
                <w:tblHeader/>
              </w:trPr>
              <w:tc>
                <w:tcPr>
                  <w:tcW w:w="986" w:type="dxa"/>
                  <w:tcBorders>
                    <w:top w:val="single" w:sz="6" w:space="0" w:color="BFBFBF"/>
                    <w:bottom w:val="single" w:sz="4" w:space="0" w:color="BFBFBF" w:themeColor="background1" w:themeShade="BF"/>
                  </w:tcBorders>
                  <w:shd w:val="clear" w:color="auto" w:fill="auto"/>
                </w:tcPr>
                <w:p w14:paraId="33A1D92C" w14:textId="77777777" w:rsidR="007D417F" w:rsidRDefault="007D417F" w:rsidP="00E44AEF">
                  <w:pPr>
                    <w:pStyle w:val="TableColumnHeading"/>
                    <w:jc w:val="left"/>
                  </w:pPr>
                  <w:r>
                    <w:t>Year</w:t>
                  </w:r>
                </w:p>
              </w:tc>
              <w:tc>
                <w:tcPr>
                  <w:tcW w:w="1489" w:type="dxa"/>
                  <w:tcBorders>
                    <w:top w:val="single" w:sz="6" w:space="0" w:color="BFBFBF"/>
                    <w:bottom w:val="single" w:sz="4" w:space="0" w:color="BFBFBF" w:themeColor="background1" w:themeShade="BF"/>
                  </w:tcBorders>
                  <w:shd w:val="clear" w:color="auto" w:fill="auto"/>
                </w:tcPr>
                <w:p w14:paraId="63152D92" w14:textId="77777777" w:rsidR="007D417F" w:rsidRDefault="007D417F" w:rsidP="0049377C">
                  <w:pPr>
                    <w:pStyle w:val="TableColumnHeading"/>
                    <w:jc w:val="left"/>
                  </w:pPr>
                  <w:r>
                    <w:t>Country</w:t>
                  </w:r>
                </w:p>
              </w:tc>
              <w:tc>
                <w:tcPr>
                  <w:tcW w:w="3148" w:type="dxa"/>
                  <w:tcBorders>
                    <w:top w:val="single" w:sz="6" w:space="0" w:color="BFBFBF"/>
                    <w:bottom w:val="single" w:sz="4" w:space="0" w:color="BFBFBF" w:themeColor="background1" w:themeShade="BF"/>
                  </w:tcBorders>
                  <w:shd w:val="clear" w:color="auto" w:fill="auto"/>
                  <w:tcMar>
                    <w:top w:w="28" w:type="dxa"/>
                  </w:tcMar>
                </w:tcPr>
                <w:p w14:paraId="3E8229E8" w14:textId="77777777" w:rsidR="007D417F" w:rsidRDefault="007D417F" w:rsidP="0049377C">
                  <w:pPr>
                    <w:pStyle w:val="TableColumnHeading"/>
                    <w:jc w:val="left"/>
                  </w:pPr>
                  <w:r>
                    <w:t>Issue</w:t>
                  </w:r>
                </w:p>
              </w:tc>
              <w:tc>
                <w:tcPr>
                  <w:tcW w:w="3030" w:type="dxa"/>
                  <w:tcBorders>
                    <w:top w:val="single" w:sz="6" w:space="0" w:color="BFBFBF"/>
                    <w:bottom w:val="single" w:sz="4" w:space="0" w:color="BFBFBF" w:themeColor="background1" w:themeShade="BF"/>
                  </w:tcBorders>
                  <w:shd w:val="clear" w:color="auto" w:fill="auto"/>
                </w:tcPr>
                <w:p w14:paraId="228E8A64" w14:textId="77777777" w:rsidR="007D417F" w:rsidRDefault="007D417F" w:rsidP="0049377C">
                  <w:pPr>
                    <w:pStyle w:val="TableColumnHeading"/>
                    <w:jc w:val="left"/>
                  </w:pPr>
                  <w:r>
                    <w:t>Outcome</w:t>
                  </w:r>
                </w:p>
              </w:tc>
            </w:tr>
            <w:tr w:rsidR="007D417F" w14:paraId="4C3ED541" w14:textId="77777777" w:rsidTr="0049377C">
              <w:trPr>
                <w:trHeight w:val="268"/>
                <w:tblHeader/>
              </w:trPr>
              <w:tc>
                <w:tcPr>
                  <w:tcW w:w="986" w:type="dxa"/>
                  <w:tcBorders>
                    <w:top w:val="single" w:sz="4" w:space="0" w:color="BFBFBF" w:themeColor="background1" w:themeShade="BF"/>
                  </w:tcBorders>
                  <w:shd w:val="clear" w:color="auto" w:fill="auto"/>
                </w:tcPr>
                <w:p w14:paraId="6656829B" w14:textId="77777777" w:rsidR="007D417F" w:rsidRDefault="007D417F" w:rsidP="00E44AEF">
                  <w:pPr>
                    <w:pStyle w:val="TableBodyText"/>
                    <w:jc w:val="left"/>
                  </w:pPr>
                  <w:r>
                    <w:t>2017</w:t>
                  </w:r>
                </w:p>
              </w:tc>
              <w:tc>
                <w:tcPr>
                  <w:tcW w:w="1489" w:type="dxa"/>
                  <w:tcBorders>
                    <w:top w:val="single" w:sz="4" w:space="0" w:color="BFBFBF" w:themeColor="background1" w:themeShade="BF"/>
                  </w:tcBorders>
                  <w:shd w:val="clear" w:color="auto" w:fill="auto"/>
                </w:tcPr>
                <w:p w14:paraId="1FDD66E0" w14:textId="77777777" w:rsidR="007D417F" w:rsidRDefault="007D417F" w:rsidP="0049377C">
                  <w:pPr>
                    <w:pStyle w:val="TableBodyText"/>
                    <w:jc w:val="left"/>
                  </w:pPr>
                  <w:r>
                    <w:t>Indonesia</w:t>
                  </w:r>
                </w:p>
              </w:tc>
              <w:tc>
                <w:tcPr>
                  <w:tcW w:w="3148" w:type="dxa"/>
                  <w:tcBorders>
                    <w:top w:val="single" w:sz="4" w:space="0" w:color="BFBFBF" w:themeColor="background1" w:themeShade="BF"/>
                  </w:tcBorders>
                  <w:shd w:val="clear" w:color="auto" w:fill="auto"/>
                  <w:tcMar>
                    <w:top w:w="28" w:type="dxa"/>
                  </w:tcMar>
                </w:tcPr>
                <w:p w14:paraId="0BC06ECD" w14:textId="77777777" w:rsidR="007D417F" w:rsidRDefault="007D417F" w:rsidP="0049377C">
                  <w:pPr>
                    <w:pStyle w:val="TableBodyText"/>
                    <w:jc w:val="left"/>
                  </w:pPr>
                  <w:r w:rsidRPr="00DF5A07">
                    <w:t>Anti</w:t>
                  </w:r>
                  <w:r>
                    <w:noBreakHyphen/>
                  </w:r>
                  <w:r w:rsidRPr="00DF5A07">
                    <w:t>Dumping Measures on A4 Copy Paper</w:t>
                  </w:r>
                </w:p>
              </w:tc>
              <w:tc>
                <w:tcPr>
                  <w:tcW w:w="3030" w:type="dxa"/>
                  <w:tcBorders>
                    <w:top w:val="single" w:sz="4" w:space="0" w:color="BFBFBF" w:themeColor="background1" w:themeShade="BF"/>
                  </w:tcBorders>
                  <w:shd w:val="clear" w:color="auto" w:fill="auto"/>
                </w:tcPr>
                <w:p w14:paraId="706776A0" w14:textId="77777777" w:rsidR="007D417F" w:rsidRDefault="007D417F" w:rsidP="0049377C">
                  <w:pPr>
                    <w:pStyle w:val="TableBodyText"/>
                    <w:jc w:val="left"/>
                  </w:pPr>
                  <w:r>
                    <w:t>Indonesia was successful in its appeal and the Panel recommended Australia bring its obligations into conformity with the WTO rules.</w:t>
                  </w:r>
                </w:p>
              </w:tc>
            </w:tr>
            <w:tr w:rsidR="007D417F" w14:paraId="6C63C24A" w14:textId="77777777" w:rsidTr="0049377C">
              <w:trPr>
                <w:trHeight w:val="268"/>
                <w:tblHeader/>
              </w:trPr>
              <w:tc>
                <w:tcPr>
                  <w:tcW w:w="986" w:type="dxa"/>
                  <w:shd w:val="clear" w:color="auto" w:fill="F2F2F2" w:themeFill="background1" w:themeFillShade="F2"/>
                </w:tcPr>
                <w:p w14:paraId="218805A4" w14:textId="77777777" w:rsidR="007D417F" w:rsidRDefault="007D417F" w:rsidP="00E44AEF">
                  <w:pPr>
                    <w:pStyle w:val="TableBodyText"/>
                    <w:jc w:val="left"/>
                  </w:pPr>
                  <w:r>
                    <w:t>2012/2013</w:t>
                  </w:r>
                </w:p>
              </w:tc>
              <w:tc>
                <w:tcPr>
                  <w:tcW w:w="1489" w:type="dxa"/>
                  <w:shd w:val="clear" w:color="auto" w:fill="F2F2F2" w:themeFill="background1" w:themeFillShade="F2"/>
                </w:tcPr>
                <w:p w14:paraId="7A4D350C" w14:textId="77777777" w:rsidR="007D417F" w:rsidRDefault="007D417F" w:rsidP="0049377C">
                  <w:pPr>
                    <w:pStyle w:val="TableBodyText"/>
                    <w:jc w:val="left"/>
                  </w:pPr>
                  <w:r>
                    <w:t>Indonesia, Cuba, Dominican Republic, Honduras, Ukraine</w:t>
                  </w:r>
                  <w:r w:rsidRPr="008E77FE">
                    <w:rPr>
                      <w:rStyle w:val="NoteLabel"/>
                    </w:rPr>
                    <w:t>a</w:t>
                  </w:r>
                </w:p>
              </w:tc>
              <w:tc>
                <w:tcPr>
                  <w:tcW w:w="3148" w:type="dxa"/>
                  <w:shd w:val="clear" w:color="auto" w:fill="F2F2F2" w:themeFill="background1" w:themeFillShade="F2"/>
                  <w:tcMar>
                    <w:top w:w="28" w:type="dxa"/>
                  </w:tcMar>
                </w:tcPr>
                <w:p w14:paraId="7EF910B5" w14:textId="77777777" w:rsidR="007D417F" w:rsidRDefault="007D417F" w:rsidP="0049377C">
                  <w:pPr>
                    <w:pStyle w:val="TableBodyText"/>
                    <w:jc w:val="left"/>
                  </w:pPr>
                  <w:r w:rsidRPr="00DF5A07">
                    <w:t>Certain Measures Concerning Trademarks, Geographical Indications and Other Plain Packaging Requirements Applicable to Tobacco Products and Packaging</w:t>
                  </w:r>
                </w:p>
              </w:tc>
              <w:tc>
                <w:tcPr>
                  <w:tcW w:w="3030" w:type="dxa"/>
                  <w:shd w:val="clear" w:color="auto" w:fill="F2F2F2" w:themeFill="background1" w:themeFillShade="F2"/>
                </w:tcPr>
                <w:p w14:paraId="3402D9A1" w14:textId="77777777" w:rsidR="007D417F" w:rsidRDefault="007D417F" w:rsidP="0049377C">
                  <w:pPr>
                    <w:pStyle w:val="TableBodyText"/>
                    <w:jc w:val="left"/>
                  </w:pPr>
                  <w:r>
                    <w:t>Panel report in favour of Australia. The Dominican Republic and Honduras appealed the Panel’s decision. The Panel reports in the disputes initiated by Cuba and Indonesia were adopted by the DSB on 27 August 2018.</w:t>
                  </w:r>
                </w:p>
              </w:tc>
            </w:tr>
            <w:tr w:rsidR="007D417F" w14:paraId="0B9B29B5" w14:textId="77777777" w:rsidTr="0049377C">
              <w:trPr>
                <w:trHeight w:val="268"/>
                <w:tblHeader/>
              </w:trPr>
              <w:tc>
                <w:tcPr>
                  <w:tcW w:w="986" w:type="dxa"/>
                  <w:shd w:val="clear" w:color="auto" w:fill="auto"/>
                </w:tcPr>
                <w:p w14:paraId="4A2171B1" w14:textId="77777777" w:rsidR="007D417F" w:rsidRDefault="007D417F" w:rsidP="00E44AEF">
                  <w:pPr>
                    <w:pStyle w:val="TableBodyText"/>
                    <w:jc w:val="left"/>
                  </w:pPr>
                  <w:r>
                    <w:t>2007</w:t>
                  </w:r>
                </w:p>
              </w:tc>
              <w:tc>
                <w:tcPr>
                  <w:tcW w:w="1489" w:type="dxa"/>
                  <w:shd w:val="clear" w:color="auto" w:fill="auto"/>
                </w:tcPr>
                <w:p w14:paraId="001360DB" w14:textId="77777777" w:rsidR="007D417F" w:rsidRDefault="007D417F" w:rsidP="0049377C">
                  <w:pPr>
                    <w:pStyle w:val="TableBodyText"/>
                    <w:jc w:val="left"/>
                  </w:pPr>
                  <w:r>
                    <w:t>New Zealand</w:t>
                  </w:r>
                </w:p>
              </w:tc>
              <w:tc>
                <w:tcPr>
                  <w:tcW w:w="3148" w:type="dxa"/>
                  <w:shd w:val="clear" w:color="auto" w:fill="auto"/>
                  <w:tcMar>
                    <w:top w:w="28" w:type="dxa"/>
                  </w:tcMar>
                </w:tcPr>
                <w:p w14:paraId="027764F7" w14:textId="77777777" w:rsidR="007D417F" w:rsidRDefault="007D417F" w:rsidP="0049377C">
                  <w:pPr>
                    <w:pStyle w:val="TableBodyText"/>
                    <w:jc w:val="left"/>
                  </w:pPr>
                  <w:r w:rsidRPr="00DF5A07">
                    <w:t>Measures Affecting the Importation of Apples from New Zealand</w:t>
                  </w:r>
                </w:p>
              </w:tc>
              <w:tc>
                <w:tcPr>
                  <w:tcW w:w="3030" w:type="dxa"/>
                  <w:shd w:val="clear" w:color="auto" w:fill="auto"/>
                </w:tcPr>
                <w:p w14:paraId="3968FC13" w14:textId="77777777" w:rsidR="007D417F" w:rsidRDefault="007D417F" w:rsidP="0049377C">
                  <w:pPr>
                    <w:pStyle w:val="TableBodyText"/>
                    <w:jc w:val="left"/>
                  </w:pPr>
                  <w:r>
                    <w:t>Panel report and Appellate Body report in favour of New Zealand. Implementations notified 2011.</w:t>
                  </w:r>
                </w:p>
              </w:tc>
            </w:tr>
            <w:tr w:rsidR="007D417F" w14:paraId="197E7D15" w14:textId="77777777" w:rsidTr="0049377C">
              <w:trPr>
                <w:trHeight w:val="268"/>
                <w:tblHeader/>
              </w:trPr>
              <w:tc>
                <w:tcPr>
                  <w:tcW w:w="986" w:type="dxa"/>
                  <w:shd w:val="clear" w:color="auto" w:fill="F2F2F2" w:themeFill="background1" w:themeFillShade="F2"/>
                </w:tcPr>
                <w:p w14:paraId="5A9BCCFC" w14:textId="77777777" w:rsidR="007D417F" w:rsidRDefault="007D417F" w:rsidP="00E44AEF">
                  <w:pPr>
                    <w:pStyle w:val="TableBodyText"/>
                    <w:jc w:val="left"/>
                  </w:pPr>
                  <w:r>
                    <w:t>2003</w:t>
                  </w:r>
                </w:p>
              </w:tc>
              <w:tc>
                <w:tcPr>
                  <w:tcW w:w="1489" w:type="dxa"/>
                  <w:shd w:val="clear" w:color="auto" w:fill="F2F2F2" w:themeFill="background1" w:themeFillShade="F2"/>
                </w:tcPr>
                <w:p w14:paraId="2613BD49" w14:textId="77777777" w:rsidR="007D417F" w:rsidRDefault="007D417F" w:rsidP="0049377C">
                  <w:pPr>
                    <w:pStyle w:val="TableBodyText"/>
                    <w:jc w:val="left"/>
                  </w:pPr>
                  <w:r>
                    <w:t>European Communities</w:t>
                  </w:r>
                </w:p>
              </w:tc>
              <w:tc>
                <w:tcPr>
                  <w:tcW w:w="3148" w:type="dxa"/>
                  <w:shd w:val="clear" w:color="auto" w:fill="F2F2F2" w:themeFill="background1" w:themeFillShade="F2"/>
                  <w:tcMar>
                    <w:top w:w="28" w:type="dxa"/>
                  </w:tcMar>
                </w:tcPr>
                <w:p w14:paraId="5E5155E9" w14:textId="77777777" w:rsidR="007D417F" w:rsidRDefault="007D417F" w:rsidP="0049377C">
                  <w:pPr>
                    <w:pStyle w:val="TableBodyText"/>
                    <w:jc w:val="left"/>
                  </w:pPr>
                  <w:r w:rsidRPr="00DF5A07">
                    <w:t>Quarantine Regime for Imports</w:t>
                  </w:r>
                </w:p>
              </w:tc>
              <w:tc>
                <w:tcPr>
                  <w:tcW w:w="3030" w:type="dxa"/>
                  <w:shd w:val="clear" w:color="auto" w:fill="F2F2F2" w:themeFill="background1" w:themeFillShade="F2"/>
                </w:tcPr>
                <w:p w14:paraId="7159B4EB" w14:textId="77777777" w:rsidR="007D417F" w:rsidRDefault="007D417F" w:rsidP="0049377C">
                  <w:pPr>
                    <w:pStyle w:val="TableBodyText"/>
                    <w:jc w:val="left"/>
                  </w:pPr>
                  <w:r>
                    <w:t xml:space="preserve">Panel established in 2003 but did not proceed. Mutually agreed solution notified in 2007. </w:t>
                  </w:r>
                </w:p>
              </w:tc>
            </w:tr>
            <w:tr w:rsidR="007D417F" w14:paraId="682A710B" w14:textId="77777777" w:rsidTr="0049377C">
              <w:trPr>
                <w:trHeight w:val="268"/>
                <w:tblHeader/>
              </w:trPr>
              <w:tc>
                <w:tcPr>
                  <w:tcW w:w="986" w:type="dxa"/>
                  <w:shd w:val="clear" w:color="auto" w:fill="auto"/>
                </w:tcPr>
                <w:p w14:paraId="24913CB6" w14:textId="77777777" w:rsidR="007D417F" w:rsidRDefault="007D417F" w:rsidP="00E44AEF">
                  <w:pPr>
                    <w:pStyle w:val="TableBodyText"/>
                    <w:jc w:val="left"/>
                  </w:pPr>
                  <w:r>
                    <w:t>2002</w:t>
                  </w:r>
                </w:p>
              </w:tc>
              <w:tc>
                <w:tcPr>
                  <w:tcW w:w="1489" w:type="dxa"/>
                  <w:shd w:val="clear" w:color="auto" w:fill="auto"/>
                </w:tcPr>
                <w:p w14:paraId="72D2E0CA" w14:textId="77777777" w:rsidR="007D417F" w:rsidRDefault="007D417F" w:rsidP="0049377C">
                  <w:pPr>
                    <w:pStyle w:val="TableBodyText"/>
                    <w:jc w:val="left"/>
                  </w:pPr>
                  <w:r>
                    <w:t>Philippines</w:t>
                  </w:r>
                </w:p>
              </w:tc>
              <w:tc>
                <w:tcPr>
                  <w:tcW w:w="3148" w:type="dxa"/>
                  <w:shd w:val="clear" w:color="auto" w:fill="auto"/>
                  <w:tcMar>
                    <w:top w:w="28" w:type="dxa"/>
                  </w:tcMar>
                </w:tcPr>
                <w:p w14:paraId="1F069AF3" w14:textId="77777777" w:rsidR="007D417F" w:rsidRDefault="007D417F" w:rsidP="0049377C">
                  <w:pPr>
                    <w:pStyle w:val="TableBodyText"/>
                    <w:jc w:val="left"/>
                  </w:pPr>
                  <w:r w:rsidRPr="00DF5A07">
                    <w:t>Certain Measures Affecting the Importation of Fresh Pineapple</w:t>
                  </w:r>
                </w:p>
              </w:tc>
              <w:tc>
                <w:tcPr>
                  <w:tcW w:w="3030" w:type="dxa"/>
                  <w:shd w:val="clear" w:color="auto" w:fill="auto"/>
                </w:tcPr>
                <w:p w14:paraId="5B730F9A" w14:textId="77777777" w:rsidR="007D417F" w:rsidRDefault="007D417F" w:rsidP="0049377C">
                  <w:pPr>
                    <w:pStyle w:val="TableBodyText"/>
                    <w:jc w:val="left"/>
                  </w:pPr>
                  <w:r>
                    <w:t>Philippines did not pursue beyond consultations.</w:t>
                  </w:r>
                </w:p>
              </w:tc>
            </w:tr>
            <w:tr w:rsidR="007D417F" w14:paraId="1BF7E1C9" w14:textId="77777777" w:rsidTr="0049377C">
              <w:trPr>
                <w:trHeight w:val="268"/>
                <w:tblHeader/>
              </w:trPr>
              <w:tc>
                <w:tcPr>
                  <w:tcW w:w="986" w:type="dxa"/>
                  <w:shd w:val="clear" w:color="auto" w:fill="F2F2F2" w:themeFill="background1" w:themeFillShade="F2"/>
                </w:tcPr>
                <w:p w14:paraId="3F3F94A1" w14:textId="77777777" w:rsidR="007D417F" w:rsidRDefault="007D417F" w:rsidP="00E44AEF">
                  <w:pPr>
                    <w:pStyle w:val="TableBodyText"/>
                    <w:jc w:val="left"/>
                  </w:pPr>
                  <w:r>
                    <w:t>2002</w:t>
                  </w:r>
                </w:p>
              </w:tc>
              <w:tc>
                <w:tcPr>
                  <w:tcW w:w="1489" w:type="dxa"/>
                  <w:shd w:val="clear" w:color="auto" w:fill="F2F2F2" w:themeFill="background1" w:themeFillShade="F2"/>
                </w:tcPr>
                <w:p w14:paraId="0535B1F8" w14:textId="77777777" w:rsidR="007D417F" w:rsidRDefault="007D417F" w:rsidP="0049377C">
                  <w:pPr>
                    <w:pStyle w:val="TableBodyText"/>
                    <w:jc w:val="left"/>
                  </w:pPr>
                  <w:r>
                    <w:t>Philippines</w:t>
                  </w:r>
                </w:p>
              </w:tc>
              <w:tc>
                <w:tcPr>
                  <w:tcW w:w="3148" w:type="dxa"/>
                  <w:shd w:val="clear" w:color="auto" w:fill="F2F2F2" w:themeFill="background1" w:themeFillShade="F2"/>
                  <w:tcMar>
                    <w:top w:w="28" w:type="dxa"/>
                  </w:tcMar>
                </w:tcPr>
                <w:p w14:paraId="77F92386" w14:textId="77777777" w:rsidR="007D417F" w:rsidRDefault="007D417F" w:rsidP="0049377C">
                  <w:pPr>
                    <w:pStyle w:val="TableBodyText"/>
                    <w:jc w:val="left"/>
                  </w:pPr>
                  <w:r w:rsidRPr="00B45947">
                    <w:t>Certain Measures Affecting the Importation of Fresh Fruit and Vegetables</w:t>
                  </w:r>
                </w:p>
              </w:tc>
              <w:tc>
                <w:tcPr>
                  <w:tcW w:w="3030" w:type="dxa"/>
                  <w:shd w:val="clear" w:color="auto" w:fill="F2F2F2" w:themeFill="background1" w:themeFillShade="F2"/>
                </w:tcPr>
                <w:p w14:paraId="2BD4C0DE" w14:textId="77777777" w:rsidR="007D417F" w:rsidRPr="000B7FE2" w:rsidRDefault="007D417F" w:rsidP="0049377C">
                  <w:pPr>
                    <w:pStyle w:val="TableBodyText"/>
                    <w:jc w:val="left"/>
                    <w:rPr>
                      <w:spacing w:val="-4"/>
                    </w:rPr>
                  </w:pPr>
                  <w:r w:rsidRPr="000B7FE2">
                    <w:rPr>
                      <w:spacing w:val="-4"/>
                    </w:rPr>
                    <w:t>Panel established in 2003, but not composed. Philippines did not pursue dispute beyond panel request.</w:t>
                  </w:r>
                </w:p>
              </w:tc>
            </w:tr>
            <w:tr w:rsidR="007D417F" w14:paraId="30C23A9D" w14:textId="77777777" w:rsidTr="0049377C">
              <w:trPr>
                <w:trHeight w:val="268"/>
                <w:tblHeader/>
              </w:trPr>
              <w:tc>
                <w:tcPr>
                  <w:tcW w:w="986" w:type="dxa"/>
                  <w:shd w:val="clear" w:color="auto" w:fill="auto"/>
                </w:tcPr>
                <w:p w14:paraId="0F9DAD65" w14:textId="77777777" w:rsidR="007D417F" w:rsidRDefault="007D417F" w:rsidP="00E44AEF">
                  <w:pPr>
                    <w:pStyle w:val="TableBodyText"/>
                    <w:jc w:val="left"/>
                  </w:pPr>
                  <w:r>
                    <w:t>1998</w:t>
                  </w:r>
                </w:p>
              </w:tc>
              <w:tc>
                <w:tcPr>
                  <w:tcW w:w="1489" w:type="dxa"/>
                  <w:shd w:val="clear" w:color="auto" w:fill="auto"/>
                </w:tcPr>
                <w:p w14:paraId="2F11B935" w14:textId="77777777" w:rsidR="007D417F" w:rsidRDefault="007D417F" w:rsidP="0049377C">
                  <w:pPr>
                    <w:pStyle w:val="TableBodyText"/>
                    <w:jc w:val="left"/>
                  </w:pPr>
                  <w:r>
                    <w:t>United States</w:t>
                  </w:r>
                </w:p>
              </w:tc>
              <w:tc>
                <w:tcPr>
                  <w:tcW w:w="3148" w:type="dxa"/>
                  <w:shd w:val="clear" w:color="auto" w:fill="auto"/>
                  <w:tcMar>
                    <w:top w:w="28" w:type="dxa"/>
                  </w:tcMar>
                </w:tcPr>
                <w:p w14:paraId="55FB04F6" w14:textId="77777777" w:rsidR="007D417F" w:rsidRDefault="007D417F" w:rsidP="0049377C">
                  <w:pPr>
                    <w:pStyle w:val="TableBodyText"/>
                    <w:jc w:val="left"/>
                  </w:pPr>
                  <w:r w:rsidRPr="00C35AB8">
                    <w:t>Subsidies Provided to Producers and Exporters of Automotive Leather</w:t>
                  </w:r>
                </w:p>
              </w:tc>
              <w:tc>
                <w:tcPr>
                  <w:tcW w:w="3030" w:type="dxa"/>
                  <w:shd w:val="clear" w:color="auto" w:fill="auto"/>
                </w:tcPr>
                <w:p w14:paraId="19FA41FD" w14:textId="77777777" w:rsidR="007D417F" w:rsidRDefault="007D417F" w:rsidP="0049377C">
                  <w:pPr>
                    <w:pStyle w:val="TableBodyText"/>
                    <w:jc w:val="left"/>
                  </w:pPr>
                  <w:r>
                    <w:t>Panel report in favour of the United States. Mutually agreed solution reached in 2000.</w:t>
                  </w:r>
                </w:p>
              </w:tc>
            </w:tr>
            <w:tr w:rsidR="007D417F" w14:paraId="4F897F60" w14:textId="77777777" w:rsidTr="0049377C">
              <w:trPr>
                <w:trHeight w:val="268"/>
                <w:tblHeader/>
              </w:trPr>
              <w:tc>
                <w:tcPr>
                  <w:tcW w:w="986" w:type="dxa"/>
                  <w:shd w:val="clear" w:color="auto" w:fill="F2F2F2" w:themeFill="background1" w:themeFillShade="F2"/>
                </w:tcPr>
                <w:p w14:paraId="264F5940" w14:textId="77777777" w:rsidR="007D417F" w:rsidRDefault="007D417F" w:rsidP="00E44AEF">
                  <w:pPr>
                    <w:pStyle w:val="TableBodyText"/>
                    <w:jc w:val="left"/>
                  </w:pPr>
                  <w:r>
                    <w:t>1998</w:t>
                  </w:r>
                </w:p>
              </w:tc>
              <w:tc>
                <w:tcPr>
                  <w:tcW w:w="1489" w:type="dxa"/>
                  <w:shd w:val="clear" w:color="auto" w:fill="F2F2F2" w:themeFill="background1" w:themeFillShade="F2"/>
                </w:tcPr>
                <w:p w14:paraId="4D1FB947" w14:textId="77777777" w:rsidR="007D417F" w:rsidRDefault="007D417F" w:rsidP="0049377C">
                  <w:pPr>
                    <w:pStyle w:val="TableBodyText"/>
                    <w:jc w:val="left"/>
                  </w:pPr>
                  <w:r>
                    <w:t>Switzerland</w:t>
                  </w:r>
                </w:p>
              </w:tc>
              <w:tc>
                <w:tcPr>
                  <w:tcW w:w="3148" w:type="dxa"/>
                  <w:shd w:val="clear" w:color="auto" w:fill="F2F2F2" w:themeFill="background1" w:themeFillShade="F2"/>
                  <w:tcMar>
                    <w:top w:w="28" w:type="dxa"/>
                  </w:tcMar>
                </w:tcPr>
                <w:p w14:paraId="5513A824" w14:textId="77777777" w:rsidR="007D417F" w:rsidRDefault="007D417F" w:rsidP="0049377C">
                  <w:pPr>
                    <w:pStyle w:val="TableBodyText"/>
                    <w:jc w:val="left"/>
                  </w:pPr>
                  <w:r w:rsidRPr="00C35AB8">
                    <w:t>Anti</w:t>
                  </w:r>
                  <w:r>
                    <w:noBreakHyphen/>
                  </w:r>
                  <w:r w:rsidRPr="00C35AB8">
                    <w:t>Dumping Measures on Imports of Coated Woodfree Paper Sheets</w:t>
                  </w:r>
                </w:p>
              </w:tc>
              <w:tc>
                <w:tcPr>
                  <w:tcW w:w="3030" w:type="dxa"/>
                  <w:shd w:val="clear" w:color="auto" w:fill="F2F2F2" w:themeFill="background1" w:themeFillShade="F2"/>
                </w:tcPr>
                <w:p w14:paraId="6E2654A0" w14:textId="77777777" w:rsidR="007D417F" w:rsidRDefault="007D417F" w:rsidP="0049377C">
                  <w:pPr>
                    <w:pStyle w:val="TableBodyText"/>
                    <w:jc w:val="left"/>
                  </w:pPr>
                  <w:r>
                    <w:t>Mutually agreed solution notified in 1998, after Australia terminated the measures in dispute.</w:t>
                  </w:r>
                </w:p>
              </w:tc>
            </w:tr>
            <w:tr w:rsidR="007D417F" w14:paraId="25BC18FB" w14:textId="77777777" w:rsidTr="0049377C">
              <w:trPr>
                <w:trHeight w:val="268"/>
                <w:tblHeader/>
              </w:trPr>
              <w:tc>
                <w:tcPr>
                  <w:tcW w:w="986" w:type="dxa"/>
                  <w:shd w:val="clear" w:color="auto" w:fill="auto"/>
                </w:tcPr>
                <w:p w14:paraId="68E86C73" w14:textId="77777777" w:rsidR="007D417F" w:rsidRDefault="007D417F" w:rsidP="00E44AEF">
                  <w:pPr>
                    <w:pStyle w:val="TableBodyText"/>
                    <w:jc w:val="left"/>
                  </w:pPr>
                  <w:r>
                    <w:t>1997</w:t>
                  </w:r>
                </w:p>
              </w:tc>
              <w:tc>
                <w:tcPr>
                  <w:tcW w:w="1489" w:type="dxa"/>
                  <w:shd w:val="clear" w:color="auto" w:fill="auto"/>
                </w:tcPr>
                <w:p w14:paraId="37956B2B" w14:textId="77777777" w:rsidR="007D417F" w:rsidRDefault="007D417F" w:rsidP="0049377C">
                  <w:pPr>
                    <w:pStyle w:val="TableBodyText"/>
                    <w:jc w:val="left"/>
                  </w:pPr>
                  <w:r>
                    <w:t>United States</w:t>
                  </w:r>
                </w:p>
              </w:tc>
              <w:tc>
                <w:tcPr>
                  <w:tcW w:w="3148" w:type="dxa"/>
                  <w:shd w:val="clear" w:color="auto" w:fill="auto"/>
                  <w:tcMar>
                    <w:top w:w="28" w:type="dxa"/>
                  </w:tcMar>
                </w:tcPr>
                <w:p w14:paraId="7A3D1FF8" w14:textId="77777777" w:rsidR="007D417F" w:rsidRDefault="007D417F" w:rsidP="0049377C">
                  <w:pPr>
                    <w:pStyle w:val="TableBodyText"/>
                    <w:jc w:val="left"/>
                  </w:pPr>
                  <w:r w:rsidRPr="00C35AB8">
                    <w:t>Subsidies Provided to Producers and Exporters of Automotive Leather</w:t>
                  </w:r>
                </w:p>
              </w:tc>
              <w:tc>
                <w:tcPr>
                  <w:tcW w:w="3030" w:type="dxa"/>
                  <w:shd w:val="clear" w:color="auto" w:fill="auto"/>
                </w:tcPr>
                <w:p w14:paraId="160054A6" w14:textId="77777777" w:rsidR="007D417F" w:rsidRDefault="007D417F" w:rsidP="0049377C">
                  <w:pPr>
                    <w:pStyle w:val="TableBodyText"/>
                    <w:jc w:val="left"/>
                  </w:pPr>
                  <w:r>
                    <w:t>Panel established in 1998, but US request withdrawn to pursue parallel complaint (above).</w:t>
                  </w:r>
                </w:p>
              </w:tc>
            </w:tr>
            <w:tr w:rsidR="007D417F" w14:paraId="664907A9" w14:textId="77777777" w:rsidTr="0049377C">
              <w:trPr>
                <w:trHeight w:val="268"/>
                <w:tblHeader/>
              </w:trPr>
              <w:tc>
                <w:tcPr>
                  <w:tcW w:w="986" w:type="dxa"/>
                  <w:shd w:val="clear" w:color="auto" w:fill="F2F2F2" w:themeFill="background1" w:themeFillShade="F2"/>
                </w:tcPr>
                <w:p w14:paraId="3C172342" w14:textId="77777777" w:rsidR="007D417F" w:rsidRDefault="007D417F" w:rsidP="00E44AEF">
                  <w:pPr>
                    <w:pStyle w:val="TableBodyText"/>
                    <w:jc w:val="left"/>
                  </w:pPr>
                  <w:r>
                    <w:t>1996</w:t>
                  </w:r>
                </w:p>
              </w:tc>
              <w:tc>
                <w:tcPr>
                  <w:tcW w:w="1489" w:type="dxa"/>
                  <w:shd w:val="clear" w:color="auto" w:fill="F2F2F2" w:themeFill="background1" w:themeFillShade="F2"/>
                </w:tcPr>
                <w:p w14:paraId="5EB07F27" w14:textId="77777777" w:rsidR="007D417F" w:rsidRDefault="007D417F" w:rsidP="0049377C">
                  <w:pPr>
                    <w:pStyle w:val="TableBodyText"/>
                    <w:jc w:val="left"/>
                  </w:pPr>
                  <w:r>
                    <w:t>United States</w:t>
                  </w:r>
                </w:p>
              </w:tc>
              <w:tc>
                <w:tcPr>
                  <w:tcW w:w="3148" w:type="dxa"/>
                  <w:shd w:val="clear" w:color="auto" w:fill="F2F2F2" w:themeFill="background1" w:themeFillShade="F2"/>
                  <w:tcMar>
                    <w:top w:w="28" w:type="dxa"/>
                  </w:tcMar>
                </w:tcPr>
                <w:p w14:paraId="340AF5C0" w14:textId="77777777" w:rsidR="007D417F" w:rsidRDefault="007D417F" w:rsidP="0049377C">
                  <w:pPr>
                    <w:pStyle w:val="TableBodyText"/>
                    <w:jc w:val="left"/>
                  </w:pPr>
                  <w:r w:rsidRPr="00C35AB8">
                    <w:t>Textile, Clothing and Footwear Import Credit Scheme</w:t>
                  </w:r>
                </w:p>
              </w:tc>
              <w:tc>
                <w:tcPr>
                  <w:tcW w:w="3030" w:type="dxa"/>
                  <w:shd w:val="clear" w:color="auto" w:fill="F2F2F2" w:themeFill="background1" w:themeFillShade="F2"/>
                </w:tcPr>
                <w:p w14:paraId="2382A6E3" w14:textId="77777777" w:rsidR="007D417F" w:rsidRDefault="007D417F" w:rsidP="0049377C">
                  <w:pPr>
                    <w:pStyle w:val="TableBodyText"/>
                    <w:jc w:val="left"/>
                  </w:pPr>
                  <w:r>
                    <w:t>Not pursued beyond the 1996 request for consultations.</w:t>
                  </w:r>
                </w:p>
              </w:tc>
            </w:tr>
            <w:tr w:rsidR="007D417F" w14:paraId="6B5173F7" w14:textId="77777777" w:rsidTr="0049377C">
              <w:trPr>
                <w:trHeight w:val="268"/>
                <w:tblHeader/>
              </w:trPr>
              <w:tc>
                <w:tcPr>
                  <w:tcW w:w="986" w:type="dxa"/>
                  <w:shd w:val="clear" w:color="auto" w:fill="auto"/>
                </w:tcPr>
                <w:p w14:paraId="1AB7DD40" w14:textId="77777777" w:rsidR="007D417F" w:rsidRDefault="007D417F" w:rsidP="00E44AEF">
                  <w:pPr>
                    <w:pStyle w:val="TableBodyText"/>
                    <w:jc w:val="left"/>
                  </w:pPr>
                  <w:r>
                    <w:t>1995</w:t>
                  </w:r>
                </w:p>
              </w:tc>
              <w:tc>
                <w:tcPr>
                  <w:tcW w:w="1489" w:type="dxa"/>
                  <w:shd w:val="clear" w:color="auto" w:fill="auto"/>
                </w:tcPr>
                <w:p w14:paraId="1AAFA796" w14:textId="77777777" w:rsidR="007D417F" w:rsidRDefault="007D417F" w:rsidP="0049377C">
                  <w:pPr>
                    <w:pStyle w:val="TableBodyText"/>
                    <w:jc w:val="left"/>
                  </w:pPr>
                  <w:r>
                    <w:t>United States</w:t>
                  </w:r>
                </w:p>
              </w:tc>
              <w:tc>
                <w:tcPr>
                  <w:tcW w:w="3148" w:type="dxa"/>
                  <w:shd w:val="clear" w:color="auto" w:fill="auto"/>
                  <w:tcMar>
                    <w:top w:w="28" w:type="dxa"/>
                  </w:tcMar>
                </w:tcPr>
                <w:p w14:paraId="5FBCD5F8" w14:textId="77777777" w:rsidR="007D417F" w:rsidRDefault="007D417F" w:rsidP="0049377C">
                  <w:pPr>
                    <w:pStyle w:val="TableBodyText"/>
                    <w:jc w:val="left"/>
                  </w:pPr>
                  <w:r w:rsidRPr="00202103">
                    <w:t xml:space="preserve">Measures Affecting the Importation of </w:t>
                  </w:r>
                  <w:proofErr w:type="spellStart"/>
                  <w:r w:rsidRPr="00202103">
                    <w:t>Salmonids</w:t>
                  </w:r>
                  <w:proofErr w:type="spellEnd"/>
                </w:p>
              </w:tc>
              <w:tc>
                <w:tcPr>
                  <w:tcW w:w="3030" w:type="dxa"/>
                  <w:shd w:val="clear" w:color="auto" w:fill="auto"/>
                </w:tcPr>
                <w:p w14:paraId="6A6978F0" w14:textId="77777777" w:rsidR="007D417F" w:rsidRDefault="007D417F" w:rsidP="0049377C">
                  <w:pPr>
                    <w:pStyle w:val="TableBodyText"/>
                    <w:jc w:val="left"/>
                  </w:pPr>
                  <w:r>
                    <w:t>Panel established and then suspended after amendments to the measures in dispute. Mutually agreed solution notified in 2000.</w:t>
                  </w:r>
                </w:p>
              </w:tc>
            </w:tr>
            <w:tr w:rsidR="007D417F" w14:paraId="74EF7CD3" w14:textId="77777777" w:rsidTr="0049377C">
              <w:trPr>
                <w:trHeight w:val="268"/>
                <w:tblHeader/>
              </w:trPr>
              <w:tc>
                <w:tcPr>
                  <w:tcW w:w="986" w:type="dxa"/>
                  <w:tcBorders>
                    <w:bottom w:val="single" w:sz="6" w:space="0" w:color="BFBFBF"/>
                  </w:tcBorders>
                  <w:shd w:val="clear" w:color="auto" w:fill="F2F2F2" w:themeFill="background1" w:themeFillShade="F2"/>
                </w:tcPr>
                <w:p w14:paraId="2EDAB056" w14:textId="77777777" w:rsidR="007D417F" w:rsidRDefault="007D417F" w:rsidP="00E44AEF">
                  <w:pPr>
                    <w:pStyle w:val="TableBodyText"/>
                    <w:jc w:val="left"/>
                  </w:pPr>
                  <w:r>
                    <w:t>1995</w:t>
                  </w:r>
                </w:p>
              </w:tc>
              <w:tc>
                <w:tcPr>
                  <w:tcW w:w="1489" w:type="dxa"/>
                  <w:tcBorders>
                    <w:bottom w:val="single" w:sz="6" w:space="0" w:color="BFBFBF"/>
                  </w:tcBorders>
                  <w:shd w:val="clear" w:color="auto" w:fill="F2F2F2" w:themeFill="background1" w:themeFillShade="F2"/>
                </w:tcPr>
                <w:p w14:paraId="16AB9269" w14:textId="77777777" w:rsidR="007D417F" w:rsidRDefault="007D417F" w:rsidP="0049377C">
                  <w:pPr>
                    <w:pStyle w:val="TableBodyText"/>
                    <w:jc w:val="left"/>
                  </w:pPr>
                  <w:r>
                    <w:t>Canada</w:t>
                  </w:r>
                </w:p>
              </w:tc>
              <w:tc>
                <w:tcPr>
                  <w:tcW w:w="3148" w:type="dxa"/>
                  <w:tcBorders>
                    <w:bottom w:val="single" w:sz="6" w:space="0" w:color="BFBFBF"/>
                  </w:tcBorders>
                  <w:shd w:val="clear" w:color="auto" w:fill="F2F2F2" w:themeFill="background1" w:themeFillShade="F2"/>
                  <w:tcMar>
                    <w:top w:w="28" w:type="dxa"/>
                  </w:tcMar>
                </w:tcPr>
                <w:p w14:paraId="4F1C7E57" w14:textId="77777777" w:rsidR="007D417F" w:rsidRDefault="007D417F" w:rsidP="0049377C">
                  <w:pPr>
                    <w:pStyle w:val="TableBodyText"/>
                    <w:jc w:val="left"/>
                  </w:pPr>
                  <w:r w:rsidRPr="00202103">
                    <w:t>Measures Affecting Importation of Salmon</w:t>
                  </w:r>
                </w:p>
              </w:tc>
              <w:tc>
                <w:tcPr>
                  <w:tcW w:w="3030" w:type="dxa"/>
                  <w:tcBorders>
                    <w:bottom w:val="single" w:sz="6" w:space="0" w:color="BFBFBF"/>
                  </w:tcBorders>
                  <w:shd w:val="clear" w:color="auto" w:fill="F2F2F2" w:themeFill="background1" w:themeFillShade="F2"/>
                </w:tcPr>
                <w:p w14:paraId="1327B24A" w14:textId="77777777" w:rsidR="007D417F" w:rsidRDefault="007D417F" w:rsidP="0049377C">
                  <w:pPr>
                    <w:pStyle w:val="TableBodyText"/>
                    <w:jc w:val="left"/>
                  </w:pPr>
                  <w:r>
                    <w:t>Panel report and Appellate Body report in favour of Canada. Compliance notified in 2000.</w:t>
                  </w:r>
                </w:p>
              </w:tc>
            </w:tr>
          </w:tbl>
          <w:p w14:paraId="2294907B" w14:textId="77777777" w:rsidR="007D417F" w:rsidRDefault="007D417F" w:rsidP="00E44AEF">
            <w:pPr>
              <w:pStyle w:val="TableBodyText"/>
            </w:pPr>
          </w:p>
        </w:tc>
      </w:tr>
      <w:tr w:rsidR="007D417F" w14:paraId="2468CC65" w14:textId="77777777" w:rsidTr="00E44AEF">
        <w:tc>
          <w:tcPr>
            <w:tcW w:w="5000" w:type="pct"/>
            <w:tcBorders>
              <w:top w:val="nil"/>
              <w:left w:val="nil"/>
              <w:bottom w:val="nil"/>
              <w:right w:val="nil"/>
            </w:tcBorders>
            <w:shd w:val="clear" w:color="auto" w:fill="auto"/>
          </w:tcPr>
          <w:p w14:paraId="5E48A82E" w14:textId="77777777" w:rsidR="007D417F" w:rsidRDefault="007D417F" w:rsidP="00E44AEF">
            <w:pPr>
              <w:pStyle w:val="Note"/>
              <w:rPr>
                <w:i/>
              </w:rPr>
            </w:pPr>
            <w:r w:rsidRPr="008E77FE">
              <w:rPr>
                <w:rStyle w:val="NoteLabel"/>
              </w:rPr>
              <w:t>a</w:t>
            </w:r>
            <w:r>
              <w:t xml:space="preserve"> Separate cases on the same issue brought by each country independently.</w:t>
            </w:r>
          </w:p>
        </w:tc>
      </w:tr>
      <w:tr w:rsidR="007D417F" w14:paraId="4455CE0D" w14:textId="77777777" w:rsidTr="00E44AEF">
        <w:tc>
          <w:tcPr>
            <w:tcW w:w="5000" w:type="pct"/>
            <w:tcBorders>
              <w:top w:val="nil"/>
              <w:left w:val="nil"/>
              <w:bottom w:val="nil"/>
              <w:right w:val="nil"/>
            </w:tcBorders>
            <w:shd w:val="clear" w:color="auto" w:fill="auto"/>
          </w:tcPr>
          <w:p w14:paraId="637616CE" w14:textId="77777777" w:rsidR="007D417F" w:rsidRDefault="007D417F" w:rsidP="00E44AEF">
            <w:pPr>
              <w:pStyle w:val="Source"/>
            </w:pPr>
            <w:r>
              <w:rPr>
                <w:i/>
              </w:rPr>
              <w:t>Source</w:t>
            </w:r>
            <w:r w:rsidRPr="00167F06">
              <w:t xml:space="preserve">: </w:t>
            </w:r>
            <w:r>
              <w:t xml:space="preserve">WTO </w:t>
            </w:r>
            <w:r w:rsidRPr="005E25E7">
              <w:rPr>
                <w:rFonts w:cs="Arial"/>
              </w:rPr>
              <w:t>(2020a)</w:t>
            </w:r>
            <w:r>
              <w:t>.</w:t>
            </w:r>
          </w:p>
        </w:tc>
      </w:tr>
      <w:tr w:rsidR="007D417F" w14:paraId="56E2C197" w14:textId="77777777" w:rsidTr="00E44AEF">
        <w:tc>
          <w:tcPr>
            <w:tcW w:w="5000" w:type="pct"/>
            <w:tcBorders>
              <w:top w:val="nil"/>
              <w:left w:val="nil"/>
              <w:bottom w:val="single" w:sz="6" w:space="0" w:color="78A22F"/>
              <w:right w:val="nil"/>
            </w:tcBorders>
            <w:shd w:val="clear" w:color="auto" w:fill="auto"/>
          </w:tcPr>
          <w:p w14:paraId="2ACEB42C" w14:textId="77777777" w:rsidR="007D417F" w:rsidRDefault="007D417F" w:rsidP="00E44AEF">
            <w:pPr>
              <w:pStyle w:val="Box"/>
              <w:spacing w:before="0" w:line="120" w:lineRule="exact"/>
            </w:pPr>
          </w:p>
        </w:tc>
      </w:tr>
      <w:tr w:rsidR="007D417F" w:rsidRPr="000863A5" w14:paraId="5EF48810" w14:textId="77777777" w:rsidTr="00E44AEF">
        <w:tc>
          <w:tcPr>
            <w:tcW w:w="5000" w:type="pct"/>
            <w:tcBorders>
              <w:top w:val="single" w:sz="6" w:space="0" w:color="78A22F"/>
              <w:left w:val="nil"/>
              <w:bottom w:val="nil"/>
              <w:right w:val="nil"/>
            </w:tcBorders>
          </w:tcPr>
          <w:p w14:paraId="5429B43E" w14:textId="77777777" w:rsidR="007D417F" w:rsidRPr="00626D32" w:rsidRDefault="007D417F" w:rsidP="00E44AEF">
            <w:pPr>
              <w:pStyle w:val="BoxSpaceBelow"/>
            </w:pPr>
          </w:p>
        </w:tc>
      </w:tr>
    </w:tbl>
    <w:p w14:paraId="6614A9F9" w14:textId="77777777" w:rsidR="007D417F" w:rsidRDefault="007D417F" w:rsidP="000B7FE2">
      <w:pPr>
        <w:pStyle w:val="Heading2"/>
        <w:spacing w:before="360"/>
      </w:pPr>
      <w:bookmarkStart w:id="30" w:name="_Toc38382148"/>
      <w:r>
        <w:t>3.</w:t>
      </w:r>
      <w:r>
        <w:rPr>
          <w:noProof/>
        </w:rPr>
        <w:t>4</w:t>
      </w:r>
      <w:r>
        <w:tab/>
        <w:t>Australia’s anti</w:t>
      </w:r>
      <w:r>
        <w:noBreakHyphen/>
        <w:t>dumping and countervailing activity</w:t>
      </w:r>
      <w:bookmarkEnd w:id="30"/>
    </w:p>
    <w:p w14:paraId="41C99F55" w14:textId="77777777" w:rsidR="007D417F" w:rsidRDefault="007D417F" w:rsidP="00E44AEF">
      <w:pPr>
        <w:pStyle w:val="BodyText"/>
      </w:pPr>
      <w:r>
        <w:t>Although the WTO rules allow for the imposition of anti</w:t>
      </w:r>
      <w:r>
        <w:noBreakHyphen/>
        <w:t xml:space="preserve">dumping measures, there are no convincing justifications for these measures, and they reduce the wellbeing of the Australian community </w:t>
      </w:r>
      <w:r w:rsidR="00AC5385" w:rsidRPr="00AC5385">
        <w:rPr>
          <w:szCs w:val="24"/>
        </w:rPr>
        <w:t>(PC 2016a)</w:t>
      </w:r>
      <w:r>
        <w:t xml:space="preserve">. Nevertheless, their use has shown no signs of abating in the global trade environment, with the European Union joining the United States, Canada and Australia </w:t>
      </w:r>
      <w:r>
        <w:lastRenderedPageBreak/>
        <w:t>in 2020 in implementing anti</w:t>
      </w:r>
      <w:r>
        <w:noBreakHyphen/>
        <w:t>dumping measures on Chinese aluminium and steel. Australia is one of the most prolific users of anti</w:t>
      </w:r>
      <w:r>
        <w:noBreakHyphen/>
        <w:t xml:space="preserve">dumping measures in the world </w:t>
      </w:r>
      <w:r w:rsidRPr="00DB0607">
        <w:rPr>
          <w:szCs w:val="24"/>
        </w:rPr>
        <w:t>(PC 2019)</w:t>
      </w:r>
      <w:r>
        <w:t>, and continues to impose an array of anti</w:t>
      </w:r>
      <w:r>
        <w:noBreakHyphen/>
        <w:t xml:space="preserve">dumping measures (figure 3.2). </w:t>
      </w:r>
    </w:p>
    <w:p w14:paraId="6EF24C9A" w14:textId="77777777" w:rsidR="007D417F" w:rsidRDefault="007D417F" w:rsidP="00E44AE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417F" w14:paraId="047F738E" w14:textId="77777777" w:rsidTr="00E44AEF">
        <w:trPr>
          <w:tblHeader/>
        </w:trPr>
        <w:tc>
          <w:tcPr>
            <w:tcW w:w="5000" w:type="pct"/>
            <w:tcBorders>
              <w:top w:val="single" w:sz="6" w:space="0" w:color="78A22F"/>
              <w:left w:val="nil"/>
              <w:bottom w:val="nil"/>
              <w:right w:val="nil"/>
            </w:tcBorders>
            <w:shd w:val="clear" w:color="auto" w:fill="auto"/>
          </w:tcPr>
          <w:p w14:paraId="6071B025" w14:textId="77777777" w:rsidR="007D417F" w:rsidRPr="00176D3F" w:rsidRDefault="007D417F" w:rsidP="00E44AEF">
            <w:pPr>
              <w:pStyle w:val="FigureTitle"/>
            </w:pPr>
            <w:r w:rsidRPr="00784A05">
              <w:rPr>
                <w:b w:val="0"/>
              </w:rPr>
              <w:t xml:space="preserve">Figure </w:t>
            </w:r>
            <w:r>
              <w:rPr>
                <w:b w:val="0"/>
              </w:rPr>
              <w:t>3.</w:t>
            </w:r>
            <w:r>
              <w:rPr>
                <w:b w:val="0"/>
                <w:noProof/>
              </w:rPr>
              <w:t>2</w:t>
            </w:r>
            <w:r>
              <w:tab/>
              <w:t>Australia continues to implement anti</w:t>
            </w:r>
            <w:r>
              <w:noBreakHyphen/>
              <w:t>dumping measures</w:t>
            </w:r>
            <w:r w:rsidRPr="000B7FE2">
              <w:rPr>
                <w:rStyle w:val="NoteLabel"/>
                <w:b/>
              </w:rPr>
              <w:t>a</w:t>
            </w:r>
          </w:p>
        </w:tc>
      </w:tr>
      <w:tr w:rsidR="007D417F" w14:paraId="0A6CC78F" w14:textId="77777777" w:rsidTr="00E44AE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D417F" w:rsidRPr="00B1465D" w14:paraId="6F9BC63B" w14:textId="77777777" w:rsidTr="00E44AEF">
              <w:trPr>
                <w:tblHeader/>
                <w:jc w:val="center"/>
              </w:trPr>
              <w:tc>
                <w:tcPr>
                  <w:tcW w:w="5000" w:type="pct"/>
                  <w:tcBorders>
                    <w:top w:val="nil"/>
                    <w:bottom w:val="nil"/>
                  </w:tcBorders>
                </w:tcPr>
                <w:p w14:paraId="2880C895" w14:textId="77777777" w:rsidR="007D417F" w:rsidRPr="00B1465D" w:rsidRDefault="007D417F" w:rsidP="00E44AEF">
                  <w:pPr>
                    <w:pStyle w:val="Figure"/>
                    <w:spacing w:before="60" w:after="60"/>
                    <w:rPr>
                      <w:rFonts w:ascii="Arial" w:hAnsi="Arial" w:cs="Arial"/>
                      <w:sz w:val="18"/>
                      <w:szCs w:val="18"/>
                    </w:rPr>
                  </w:pPr>
                  <w:r w:rsidRPr="002B25F0">
                    <w:rPr>
                      <w:rFonts w:ascii="Arial" w:hAnsi="Arial" w:cs="Arial"/>
                      <w:noProof/>
                      <w:sz w:val="18"/>
                      <w:szCs w:val="18"/>
                    </w:rPr>
                    <w:drawing>
                      <wp:inline distT="0" distB="0" distL="0" distR="0" wp14:anchorId="33C27FBB" wp14:editId="3EB41651">
                        <wp:extent cx="5381625" cy="2876550"/>
                        <wp:effectExtent l="0" t="0" r="9525" b="0"/>
                        <wp:docPr id="4" name="Picture 4" descr="Time series counting the number of anti-dumping measures by initiations and measures imposed from 1989 to 2018. " title="Australia is one of the largest imposers of anti-dumping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381625" cy="2876550"/>
                                </a:xfrm>
                                <a:prstGeom prst="rect">
                                  <a:avLst/>
                                </a:prstGeom>
                                <a:noFill/>
                                <a:ln>
                                  <a:noFill/>
                                </a:ln>
                              </pic:spPr>
                            </pic:pic>
                          </a:graphicData>
                        </a:graphic>
                      </wp:inline>
                    </w:drawing>
                  </w:r>
                </w:p>
              </w:tc>
            </w:tr>
          </w:tbl>
          <w:p w14:paraId="4610B7ED" w14:textId="77777777" w:rsidR="007D417F" w:rsidRPr="00A308FD" w:rsidRDefault="007D417F" w:rsidP="00E44AEF">
            <w:pPr>
              <w:pStyle w:val="Source"/>
              <w:rPr>
                <w:i/>
              </w:rPr>
            </w:pPr>
            <w:r>
              <w:rPr>
                <w:rStyle w:val="NoteLabel"/>
              </w:rPr>
              <w:t>a</w:t>
            </w:r>
            <w:r>
              <w:t xml:space="preserve"> Data are from the World Bank up until 2014</w:t>
            </w:r>
            <w:r>
              <w:noBreakHyphen/>
              <w:t>15 and the Anti</w:t>
            </w:r>
            <w:r>
              <w:noBreakHyphen/>
              <w:t>Dumping Commission thereafter.</w:t>
            </w:r>
          </w:p>
        </w:tc>
      </w:tr>
      <w:tr w:rsidR="007D417F" w:rsidRPr="00176D3F" w14:paraId="7CB41AAD" w14:textId="77777777" w:rsidTr="00E44AEF">
        <w:tc>
          <w:tcPr>
            <w:tcW w:w="5000" w:type="pct"/>
            <w:tcBorders>
              <w:top w:val="nil"/>
              <w:left w:val="nil"/>
              <w:bottom w:val="nil"/>
              <w:right w:val="nil"/>
            </w:tcBorders>
            <w:shd w:val="clear" w:color="auto" w:fill="auto"/>
          </w:tcPr>
          <w:p w14:paraId="0A305EDE" w14:textId="77777777" w:rsidR="007D417F" w:rsidRPr="00D20C18" w:rsidRDefault="007D417F" w:rsidP="00E44AEF">
            <w:pPr>
              <w:pStyle w:val="Source"/>
            </w:pPr>
            <w:r>
              <w:rPr>
                <w:i/>
              </w:rPr>
              <w:t>S</w:t>
            </w:r>
            <w:r w:rsidRPr="00784A05">
              <w:rPr>
                <w:i/>
              </w:rPr>
              <w:t>ource</w:t>
            </w:r>
            <w:r>
              <w:rPr>
                <w:i/>
              </w:rPr>
              <w:t>s</w:t>
            </w:r>
            <w:r w:rsidRPr="00176D3F">
              <w:t>:</w:t>
            </w:r>
            <w:r>
              <w:t xml:space="preserve"> World Bank </w:t>
            </w:r>
            <w:r w:rsidRPr="00D20C18">
              <w:rPr>
                <w:rFonts w:cs="Arial"/>
              </w:rPr>
              <w:t>(2018)</w:t>
            </w:r>
            <w:r>
              <w:t xml:space="preserve">, DISER </w:t>
            </w:r>
            <w:r w:rsidRPr="007B5A2E">
              <w:rPr>
                <w:rFonts w:cs="Arial"/>
              </w:rPr>
              <w:t>(2019)</w:t>
            </w:r>
            <w:r>
              <w:t>.</w:t>
            </w:r>
          </w:p>
        </w:tc>
      </w:tr>
      <w:tr w:rsidR="007D417F" w14:paraId="02B6CD08" w14:textId="77777777" w:rsidTr="00E44AEF">
        <w:tc>
          <w:tcPr>
            <w:tcW w:w="5000" w:type="pct"/>
            <w:tcBorders>
              <w:top w:val="nil"/>
              <w:left w:val="nil"/>
              <w:bottom w:val="single" w:sz="6" w:space="0" w:color="78A22F"/>
              <w:right w:val="nil"/>
            </w:tcBorders>
            <w:shd w:val="clear" w:color="auto" w:fill="auto"/>
          </w:tcPr>
          <w:p w14:paraId="2470493F" w14:textId="77777777" w:rsidR="007D417F" w:rsidRDefault="007D417F" w:rsidP="00E44AEF">
            <w:pPr>
              <w:pStyle w:val="Figurespace"/>
            </w:pPr>
          </w:p>
        </w:tc>
      </w:tr>
      <w:tr w:rsidR="007D417F" w:rsidRPr="000863A5" w14:paraId="0A9913DB" w14:textId="77777777" w:rsidTr="00E44AEF">
        <w:tc>
          <w:tcPr>
            <w:tcW w:w="5000" w:type="pct"/>
            <w:tcBorders>
              <w:top w:val="single" w:sz="6" w:space="0" w:color="78A22F"/>
              <w:left w:val="nil"/>
              <w:bottom w:val="nil"/>
              <w:right w:val="nil"/>
            </w:tcBorders>
          </w:tcPr>
          <w:p w14:paraId="39E468E6" w14:textId="77777777" w:rsidR="007D417F" w:rsidRPr="00626D32" w:rsidRDefault="007D417F" w:rsidP="00E44AEF">
            <w:pPr>
              <w:pStyle w:val="BoxSpaceBelow"/>
            </w:pPr>
          </w:p>
        </w:tc>
      </w:tr>
    </w:tbl>
    <w:p w14:paraId="2D9B69F0" w14:textId="77777777" w:rsidR="007D417F" w:rsidRDefault="007D417F" w:rsidP="000B7FE2">
      <w:pPr>
        <w:pStyle w:val="Heading3"/>
        <w:spacing w:before="360"/>
      </w:pPr>
      <w:r>
        <w:t>The WTO finds Australia’s anti</w:t>
      </w:r>
      <w:r>
        <w:noBreakHyphen/>
        <w:t>dumping measures are paper thin</w:t>
      </w:r>
    </w:p>
    <w:p w14:paraId="3E3BEA90" w14:textId="1A0DC1FD" w:rsidR="007D417F" w:rsidRPr="000B7FE2" w:rsidRDefault="007D417F" w:rsidP="00E44AEF">
      <w:pPr>
        <w:pStyle w:val="BodyText"/>
        <w:rPr>
          <w:spacing w:val="-2"/>
        </w:rPr>
      </w:pPr>
      <w:r w:rsidRPr="000B7FE2">
        <w:rPr>
          <w:spacing w:val="-2"/>
        </w:rPr>
        <w:t>Australia’s Anti</w:t>
      </w:r>
      <w:r w:rsidRPr="000B7FE2">
        <w:rPr>
          <w:spacing w:val="-2"/>
        </w:rPr>
        <w:noBreakHyphen/>
        <w:t>Dumping Commission has been imposing anti</w:t>
      </w:r>
      <w:r w:rsidRPr="000B7FE2">
        <w:rPr>
          <w:spacing w:val="-2"/>
        </w:rPr>
        <w:noBreakHyphen/>
        <w:t>dumping measures on foreign importers of A4 copy paper since 2016, including Indonesia, which successfully challenged this at the WTO’s dispute settlement body on 4 December 2019. The ruling claimed the Anti</w:t>
      </w:r>
      <w:r w:rsidRPr="000B7FE2">
        <w:rPr>
          <w:spacing w:val="-2"/>
        </w:rPr>
        <w:noBreakHyphen/>
        <w:t xml:space="preserve">Dumping Commission had not made the required calculations in line with the appropriate methodology used to determine whether dumping had occurred </w:t>
      </w:r>
      <w:r w:rsidRPr="000B7FE2">
        <w:rPr>
          <w:spacing w:val="-2"/>
          <w:szCs w:val="24"/>
        </w:rPr>
        <w:t>(WTO 2020c)</w:t>
      </w:r>
      <w:r w:rsidRPr="000B7FE2">
        <w:rPr>
          <w:spacing w:val="-2"/>
        </w:rPr>
        <w:t>. Trade Minister Simon Birmingham responded to the ruling, stating that the Australian Government stood by its ‘robust anti</w:t>
      </w:r>
      <w:r w:rsidRPr="000B7FE2">
        <w:rPr>
          <w:spacing w:val="-2"/>
        </w:rPr>
        <w:noBreakHyphen/>
        <w:t>dumping system’ and that ‘this ruling will not impact on the integrity of our anti</w:t>
      </w:r>
      <w:r w:rsidRPr="000B7FE2">
        <w:rPr>
          <w:spacing w:val="-2"/>
        </w:rPr>
        <w:noBreakHyphen/>
        <w:t xml:space="preserve">dumping regime which continues to protect Australian industry from unfair trading practices’ </w:t>
      </w:r>
      <w:r w:rsidRPr="000B7FE2">
        <w:rPr>
          <w:spacing w:val="-2"/>
          <w:szCs w:val="24"/>
        </w:rPr>
        <w:t>(</w:t>
      </w:r>
      <w:proofErr w:type="spellStart"/>
      <w:r w:rsidR="00A1455B" w:rsidRPr="000B7FE2">
        <w:rPr>
          <w:spacing w:val="-2"/>
        </w:rPr>
        <w:t>Grigg</w:t>
      </w:r>
      <w:proofErr w:type="spellEnd"/>
      <w:r w:rsidR="00A1455B" w:rsidRPr="000B7FE2">
        <w:rPr>
          <w:spacing w:val="-2"/>
        </w:rPr>
        <w:t xml:space="preserve"> and </w:t>
      </w:r>
      <w:proofErr w:type="spellStart"/>
      <w:r w:rsidR="00A1455B" w:rsidRPr="000B7FE2">
        <w:rPr>
          <w:spacing w:val="-2"/>
        </w:rPr>
        <w:t>Seo</w:t>
      </w:r>
      <w:proofErr w:type="spellEnd"/>
      <w:r w:rsidRPr="000B7FE2">
        <w:rPr>
          <w:spacing w:val="-2"/>
          <w:szCs w:val="24"/>
        </w:rPr>
        <w:t> 2019)</w:t>
      </w:r>
      <w:r w:rsidRPr="000B7FE2">
        <w:rPr>
          <w:spacing w:val="-2"/>
        </w:rPr>
        <w:t xml:space="preserve">. </w:t>
      </w:r>
    </w:p>
    <w:p w14:paraId="1BA27001" w14:textId="77777777" w:rsidR="007D417F" w:rsidRDefault="007D417F" w:rsidP="00E44AEF">
      <w:pPr>
        <w:pStyle w:val="BodyText"/>
      </w:pPr>
      <w:r>
        <w:t>As noted by</w:t>
      </w:r>
      <w:r w:rsidRPr="00685F55">
        <w:t xml:space="preserve"> </w:t>
      </w:r>
      <w:r>
        <w:t>Russel Wiese, a trade lawyer at Hunt &amp; Hunt:</w:t>
      </w:r>
    </w:p>
    <w:p w14:paraId="41AF9A19" w14:textId="39DC669D" w:rsidR="007D417F" w:rsidRDefault="007D417F" w:rsidP="00E44AEF">
      <w:pPr>
        <w:pStyle w:val="Quote"/>
      </w:pPr>
      <w:r w:rsidRPr="00D513D7">
        <w:t>Australia now faces WTO proceedings from China that will almost certainly be successful</w:t>
      </w:r>
      <w:r>
        <w:t xml:space="preserve"> … </w:t>
      </w:r>
      <w:r w:rsidRPr="00D513D7">
        <w:t>It is unthinkable that China won’t use the [Indonesian] decision to get an outcome from Australia on steel and aluminium</w:t>
      </w:r>
      <w:r>
        <w:t xml:space="preserve">. </w:t>
      </w:r>
      <w:r w:rsidRPr="00DB0607">
        <w:rPr>
          <w:szCs w:val="24"/>
        </w:rPr>
        <w:t>(</w:t>
      </w:r>
      <w:proofErr w:type="spellStart"/>
      <w:r w:rsidR="00A1455B" w:rsidRPr="00AC5385">
        <w:t>Grigg</w:t>
      </w:r>
      <w:proofErr w:type="spellEnd"/>
      <w:r w:rsidR="00A1455B" w:rsidRPr="00AC5385">
        <w:t xml:space="preserve"> and </w:t>
      </w:r>
      <w:proofErr w:type="spellStart"/>
      <w:r w:rsidR="00A1455B" w:rsidRPr="00AC5385">
        <w:t>Seo</w:t>
      </w:r>
      <w:proofErr w:type="spellEnd"/>
      <w:r w:rsidRPr="00DB0607">
        <w:rPr>
          <w:szCs w:val="24"/>
        </w:rPr>
        <w:t> 2019)</w:t>
      </w:r>
    </w:p>
    <w:p w14:paraId="058443F6" w14:textId="5266EC9A" w:rsidR="007D417F" w:rsidRPr="008416DF" w:rsidRDefault="007D417F" w:rsidP="00E44AEF">
      <w:pPr>
        <w:pStyle w:val="BodyText"/>
      </w:pPr>
      <w:r>
        <w:t>The ruling has wider implications for Australia’s anti</w:t>
      </w:r>
      <w:r>
        <w:noBreakHyphen/>
        <w:t>dumping regime because it opens the door for further successful challenges in analogous circumstances.</w:t>
      </w:r>
    </w:p>
    <w:p w14:paraId="3E2FE0CD" w14:textId="77777777" w:rsidR="007D417F" w:rsidRDefault="007D417F" w:rsidP="007D417F">
      <w:pPr>
        <w:sectPr w:rsidR="007D417F" w:rsidSect="007D417F">
          <w:headerReference w:type="even" r:id="rId53"/>
          <w:headerReference w:type="default" r:id="rId54"/>
          <w:footerReference w:type="even" r:id="rId55"/>
          <w:footerReference w:type="default" r:id="rId56"/>
          <w:type w:val="oddPage"/>
          <w:pgSz w:w="11907" w:h="16840" w:code="9"/>
          <w:pgMar w:top="1985" w:right="1304" w:bottom="1247" w:left="1814" w:header="1701" w:footer="397" w:gutter="0"/>
          <w:pgNumType w:chapSep="period"/>
          <w:cols w:space="720"/>
          <w:docGrid w:linePitch="326"/>
        </w:sectPr>
      </w:pPr>
    </w:p>
    <w:p w14:paraId="4DCFE74C" w14:textId="77777777" w:rsidR="007D417F" w:rsidRDefault="007D417F" w:rsidP="00573E92">
      <w:pPr>
        <w:pStyle w:val="Heading1"/>
      </w:pPr>
      <w:bookmarkStart w:id="31" w:name="_AppendixNotByChapter"/>
      <w:bookmarkStart w:id="32" w:name="_Toc38382149"/>
      <w:bookmarkEnd w:id="31"/>
      <w:r>
        <w:lastRenderedPageBreak/>
        <w:t>A</w:t>
      </w:r>
      <w:r>
        <w:tab/>
        <w:t>How the assistance estimates are calculated</w:t>
      </w:r>
      <w:bookmarkEnd w:id="32"/>
    </w:p>
    <w:p w14:paraId="3BE92BBF" w14:textId="77777777" w:rsidR="007D417F" w:rsidRDefault="007D417F" w:rsidP="00E44AEF">
      <w:pPr>
        <w:pStyle w:val="BodyText"/>
        <w:keepNext/>
      </w:pPr>
      <w:r>
        <w:t>Industry is assisted through a wide array of government programs, regulatory instruments and policies. Each year, the Commission updates and publishes estimates of the assistance provided by:</w:t>
      </w:r>
    </w:p>
    <w:p w14:paraId="7B400FC1" w14:textId="77777777" w:rsidR="007D417F" w:rsidRDefault="007D417F" w:rsidP="00E44AEF">
      <w:pPr>
        <w:pStyle w:val="ListBullet"/>
        <w:keepNext/>
      </w:pPr>
      <w:r>
        <w:t>import tariffs, which raise the price of imported products (mainly manufactured goods) allowing competing domestic firms to charge higher prices. The tariff assistance estimate is the equivalent budget outlay to the industry that would be expected to have the same effect on Australian producers’ prices and volumes of production. The measure is not the amount of duty collected</w:t>
      </w:r>
    </w:p>
    <w:p w14:paraId="63A9695B" w14:textId="77777777" w:rsidR="007D417F" w:rsidRPr="00A850AD" w:rsidRDefault="007D417F" w:rsidP="00E44AEF">
      <w:pPr>
        <w:pStyle w:val="ListBullet"/>
        <w:rPr>
          <w:spacing w:val="-2"/>
        </w:rPr>
      </w:pPr>
      <w:r w:rsidRPr="00A850AD">
        <w:rPr>
          <w:spacing w:val="-2"/>
        </w:rPr>
        <w:t xml:space="preserve">Australian Government budgetary measures — </w:t>
      </w:r>
      <w:r>
        <w:rPr>
          <w:spacing w:val="-2"/>
        </w:rPr>
        <w:t>comprising</w:t>
      </w:r>
      <w:r w:rsidRPr="00A850AD">
        <w:rPr>
          <w:spacing w:val="-2"/>
        </w:rPr>
        <w:t xml:space="preserve"> subsidies (predominantly grants and concessional loans) and tax concessions. </w:t>
      </w:r>
      <w:r>
        <w:rPr>
          <w:spacing w:val="-2"/>
        </w:rPr>
        <w:t>B</w:t>
      </w:r>
      <w:r w:rsidRPr="00A850AD">
        <w:rPr>
          <w:spacing w:val="-2"/>
        </w:rPr>
        <w:t>udgetary support advantages recipient firms and industries</w:t>
      </w:r>
      <w:r>
        <w:rPr>
          <w:spacing w:val="-2"/>
        </w:rPr>
        <w:t xml:space="preserve"> over</w:t>
      </w:r>
      <w:r w:rsidRPr="00A850AD">
        <w:rPr>
          <w:spacing w:val="-2"/>
        </w:rPr>
        <w:t xml:space="preserve"> those that do not receive support.</w:t>
      </w:r>
      <w:r w:rsidRPr="00A850AD">
        <w:rPr>
          <w:rStyle w:val="FootnoteReference"/>
          <w:spacing w:val="-2"/>
        </w:rPr>
        <w:footnoteReference w:id="9"/>
      </w:r>
      <w:r w:rsidRPr="00A850AD">
        <w:rPr>
          <w:spacing w:val="-2"/>
        </w:rPr>
        <w:t xml:space="preserve"> </w:t>
      </w:r>
    </w:p>
    <w:p w14:paraId="753BA6D7" w14:textId="77777777" w:rsidR="007D417F" w:rsidRDefault="007D417F" w:rsidP="00E44AEF">
      <w:pPr>
        <w:pStyle w:val="BodyText"/>
      </w:pPr>
      <w:r>
        <w:t xml:space="preserve">The estimates cover a broad range of measures that afford substantive support to industry and that can be readily quantified on a consistent annual basis. However, they do not capture all Australian Government support for industry (box A.1). For example, the assistance provided through government regulation is not included in the estimates, nor is assistance arising from government purchasing preferences. In large part this is because the extent of these forms of assistance is difficult to estimate. </w:t>
      </w:r>
    </w:p>
    <w:p w14:paraId="0C7C7DB2" w14:textId="77777777" w:rsidR="007D417F" w:rsidRPr="00A850AD" w:rsidRDefault="007D417F" w:rsidP="00E44AEF">
      <w:pPr>
        <w:pStyle w:val="BodyText"/>
        <w:rPr>
          <w:spacing w:val="2"/>
        </w:rPr>
      </w:pPr>
      <w:r w:rsidRPr="00A850AD">
        <w:rPr>
          <w:spacing w:val="2"/>
        </w:rPr>
        <w:t xml:space="preserve">The estimates also do not include assistance from other government jurisdictions. </w:t>
      </w:r>
      <w:r>
        <w:rPr>
          <w:spacing w:val="2"/>
        </w:rPr>
        <w:t xml:space="preserve">In the past at least, this has been </w:t>
      </w:r>
      <w:r w:rsidRPr="00A850AD">
        <w:rPr>
          <w:spacing w:val="2"/>
        </w:rPr>
        <w:t xml:space="preserve">considerable. </w:t>
      </w:r>
      <w:r>
        <w:rPr>
          <w:spacing w:val="2"/>
        </w:rPr>
        <w:t>For example,</w:t>
      </w:r>
      <w:r w:rsidRPr="00A850AD">
        <w:rPr>
          <w:spacing w:val="2"/>
        </w:rPr>
        <w:t xml:space="preserve"> </w:t>
      </w:r>
      <w:r>
        <w:rPr>
          <w:spacing w:val="2"/>
        </w:rPr>
        <w:t>S</w:t>
      </w:r>
      <w:r w:rsidRPr="00A850AD">
        <w:rPr>
          <w:spacing w:val="2"/>
        </w:rPr>
        <w:t xml:space="preserve">tate and </w:t>
      </w:r>
      <w:r>
        <w:rPr>
          <w:spacing w:val="2"/>
        </w:rPr>
        <w:t>T</w:t>
      </w:r>
      <w:r w:rsidRPr="00A850AD">
        <w:rPr>
          <w:spacing w:val="2"/>
        </w:rPr>
        <w:t xml:space="preserve">erritory </w:t>
      </w:r>
      <w:r>
        <w:rPr>
          <w:spacing w:val="2"/>
        </w:rPr>
        <w:t xml:space="preserve">governments’ </w:t>
      </w:r>
      <w:r w:rsidRPr="00A850AD">
        <w:rPr>
          <w:spacing w:val="2"/>
        </w:rPr>
        <w:t>assistance to industry amounted to around $4 billion in identifiable assistance in 2008</w:t>
      </w:r>
      <w:r w:rsidRPr="00A850AD">
        <w:rPr>
          <w:spacing w:val="2"/>
        </w:rPr>
        <w:noBreakHyphen/>
        <w:t>09</w:t>
      </w:r>
      <w:r>
        <w:rPr>
          <w:spacing w:val="2"/>
        </w:rPr>
        <w:t xml:space="preserve"> (</w:t>
      </w:r>
      <w:r>
        <w:t>equating</w:t>
      </w:r>
      <w:r w:rsidRPr="000926E8">
        <w:t xml:space="preserve"> to around $184</w:t>
      </w:r>
      <w:r>
        <w:t> </w:t>
      </w:r>
      <w:r w:rsidRPr="000926E8">
        <w:t>per</w:t>
      </w:r>
      <w:r>
        <w:t> </w:t>
      </w:r>
      <w:r w:rsidRPr="000926E8">
        <w:t>person</w:t>
      </w:r>
      <w:r>
        <w:t xml:space="preserve">), of which </w:t>
      </w:r>
      <w:r w:rsidRPr="000926E8">
        <w:t>around 60</w:t>
      </w:r>
      <w:r>
        <w:t> </w:t>
      </w:r>
      <w:r w:rsidRPr="000926E8">
        <w:t>per</w:t>
      </w:r>
      <w:r>
        <w:t> </w:t>
      </w:r>
      <w:r w:rsidRPr="000926E8">
        <w:t xml:space="preserve">cent </w:t>
      </w:r>
      <w:r>
        <w:t xml:space="preserve">went to the </w:t>
      </w:r>
      <w:r w:rsidRPr="000926E8">
        <w:t xml:space="preserve">primary </w:t>
      </w:r>
      <w:r>
        <w:t>production</w:t>
      </w:r>
      <w:r w:rsidRPr="000926E8">
        <w:t xml:space="preserve"> and resources </w:t>
      </w:r>
      <w:r>
        <w:t xml:space="preserve">industry </w:t>
      </w:r>
      <w:r w:rsidRPr="006E647D">
        <w:rPr>
          <w:szCs w:val="24"/>
        </w:rPr>
        <w:t>(PC 2011)</w:t>
      </w:r>
      <w:r w:rsidRPr="00A850AD">
        <w:rPr>
          <w:spacing w:val="2"/>
        </w:rPr>
        <w:t xml:space="preserve">. The estimates in this </w:t>
      </w:r>
      <w:r w:rsidRPr="00F44032">
        <w:rPr>
          <w:i/>
          <w:spacing w:val="2"/>
        </w:rPr>
        <w:t>Review</w:t>
      </w:r>
      <w:r w:rsidRPr="00A850AD">
        <w:rPr>
          <w:spacing w:val="2"/>
        </w:rPr>
        <w:t xml:space="preserve">, therefore, do not cover the full extent of assistance to industry and the gap between reported values and actual assistance is potentially large. </w:t>
      </w:r>
    </w:p>
    <w:p w14:paraId="1EEEC53F" w14:textId="77777777" w:rsidR="007D417F" w:rsidRDefault="007D417F" w:rsidP="00E44AEF">
      <w:pPr>
        <w:pStyle w:val="BodyText"/>
      </w:pPr>
      <w:r>
        <w:t xml:space="preserve">There are also government policies that can advantage businesses, but that are not considered industry assistance. This arises where activities to support social or other objectives increase demand for an industry’s products, or where they lower the costs of production for some businesses (box A.1). This </w:t>
      </w:r>
      <w:r w:rsidRPr="00F44032">
        <w:rPr>
          <w:i/>
        </w:rPr>
        <w:t>Review</w:t>
      </w:r>
      <w:r>
        <w:t xml:space="preserve"> reports on government activities that constitute industry assistance and that can be readily measured. </w:t>
      </w:r>
    </w:p>
    <w:p w14:paraId="4911C27A" w14:textId="77777777" w:rsidR="007D417F" w:rsidRDefault="007D417F" w:rsidP="00E44AE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417F" w14:paraId="4B26FEC2" w14:textId="77777777" w:rsidTr="00E44AEF">
        <w:trPr>
          <w:tblHeader/>
        </w:trPr>
        <w:tc>
          <w:tcPr>
            <w:tcW w:w="5000" w:type="pct"/>
            <w:tcBorders>
              <w:top w:val="single" w:sz="6" w:space="0" w:color="78A22F"/>
              <w:left w:val="nil"/>
              <w:bottom w:val="nil"/>
              <w:right w:val="nil"/>
            </w:tcBorders>
            <w:shd w:val="clear" w:color="auto" w:fill="F2F2F2"/>
          </w:tcPr>
          <w:p w14:paraId="495E8BD3" w14:textId="77777777" w:rsidR="007D417F" w:rsidRDefault="007D417F" w:rsidP="00E44AEF">
            <w:pPr>
              <w:pStyle w:val="BoxTitle"/>
            </w:pPr>
            <w:r>
              <w:rPr>
                <w:b w:val="0"/>
              </w:rPr>
              <w:t>Box A.</w:t>
            </w:r>
            <w:r>
              <w:rPr>
                <w:b w:val="0"/>
                <w:noProof/>
              </w:rPr>
              <w:t>1</w:t>
            </w:r>
            <w:r>
              <w:tab/>
            </w:r>
            <w:r w:rsidRPr="00003DED">
              <w:rPr>
                <w:rFonts w:ascii="Arial Bold" w:hAnsi="Arial Bold"/>
                <w:spacing w:val="-4"/>
              </w:rPr>
              <w:t>What is not included in the Commission’s assistance estimates</w:t>
            </w:r>
          </w:p>
        </w:tc>
      </w:tr>
      <w:tr w:rsidR="007D417F" w14:paraId="7ADE9243" w14:textId="77777777" w:rsidTr="00E44AEF">
        <w:tc>
          <w:tcPr>
            <w:tcW w:w="5000" w:type="pct"/>
            <w:tcBorders>
              <w:top w:val="nil"/>
              <w:left w:val="nil"/>
              <w:bottom w:val="nil"/>
              <w:right w:val="nil"/>
            </w:tcBorders>
            <w:shd w:val="clear" w:color="auto" w:fill="F2F2F2"/>
          </w:tcPr>
          <w:p w14:paraId="320841E7" w14:textId="77777777" w:rsidR="007D417F" w:rsidRDefault="007D417F" w:rsidP="00E44AEF">
            <w:pPr>
              <w:pStyle w:val="Box"/>
            </w:pPr>
            <w:r>
              <w:t xml:space="preserve">The Commission’s assistance estimates cover only those measures that selectively benefit particular firms, industries or activities, and that can be quantified given practical constraints in measurement and data availability. Consequently, there are some significant government programs that selectively confer industry assistance, but cannot be appropriately estimated. Conversely, certain businesses benefit significantly from some government arrangements, but the benefit is not classified as (preferential) industry assistance, generally because the purpose of the arrangement is a broader public objective. </w:t>
            </w:r>
          </w:p>
          <w:p w14:paraId="01D50434" w14:textId="77777777" w:rsidR="007D417F" w:rsidRDefault="007D417F" w:rsidP="00E44AEF">
            <w:pPr>
              <w:pStyle w:val="BoxHeading1"/>
            </w:pPr>
            <w:r>
              <w:t>Examples of industry assistance not included in the core estimates</w:t>
            </w:r>
          </w:p>
          <w:p w14:paraId="640EE4BA" w14:textId="77777777" w:rsidR="007D417F" w:rsidRDefault="007D417F" w:rsidP="00E44AEF">
            <w:pPr>
              <w:pStyle w:val="BoxListBullet"/>
            </w:pPr>
            <w:r>
              <w:t xml:space="preserve">Regulatory restrictions on competition such as those relating to pharmacies, air services, the importation of books, media and broadcasting, </w:t>
            </w:r>
            <w:r w:rsidRPr="007E01AF">
              <w:t xml:space="preserve">and </w:t>
            </w:r>
            <w:r>
              <w:t xml:space="preserve">the </w:t>
            </w:r>
            <w:r w:rsidRPr="007E01AF">
              <w:t>importation of second hand cars</w:t>
            </w:r>
          </w:p>
          <w:p w14:paraId="2A69A95D" w14:textId="77777777" w:rsidR="007D417F" w:rsidRDefault="007D417F" w:rsidP="00E44AEF">
            <w:pPr>
              <w:pStyle w:val="BoxListBullet"/>
            </w:pPr>
            <w:r>
              <w:t>Government purchasing preferences and local content arrangements, such as defence procurement</w:t>
            </w:r>
          </w:p>
          <w:p w14:paraId="32930D95" w14:textId="77777777" w:rsidR="007D417F" w:rsidRDefault="007D417F" w:rsidP="00E44AEF">
            <w:pPr>
              <w:pStyle w:val="BoxListBullet"/>
            </w:pPr>
            <w:r>
              <w:t>Concessional debt and equity finance</w:t>
            </w:r>
          </w:p>
          <w:p w14:paraId="4E7CDAD4" w14:textId="77777777" w:rsidR="007D417F" w:rsidRDefault="007D417F" w:rsidP="00E44AEF">
            <w:pPr>
              <w:pStyle w:val="BoxListBullet"/>
            </w:pPr>
            <w:r>
              <w:t>State and territory government support to industry</w:t>
            </w:r>
          </w:p>
          <w:p w14:paraId="26E3DEB8" w14:textId="77777777" w:rsidR="007D417F" w:rsidRDefault="007D417F" w:rsidP="00E44AEF">
            <w:pPr>
              <w:pStyle w:val="BoxListBullet"/>
            </w:pPr>
            <w:r>
              <w:t>Anti-dumping and countervailing duties</w:t>
            </w:r>
          </w:p>
          <w:p w14:paraId="0EE3FB4F" w14:textId="77777777" w:rsidR="007D417F" w:rsidRDefault="007D417F" w:rsidP="00E44AEF">
            <w:pPr>
              <w:pStyle w:val="BoxListBullet"/>
            </w:pPr>
            <w:r>
              <w:t>Access and pricing of resources (mining, forestry, fisheries and water), if on favourable economic terms</w:t>
            </w:r>
          </w:p>
          <w:p w14:paraId="5B2CBD98" w14:textId="77777777" w:rsidR="007D417F" w:rsidRDefault="007D417F" w:rsidP="00E44AEF">
            <w:pPr>
              <w:pStyle w:val="BoxListBullet"/>
            </w:pPr>
            <w:r>
              <w:t>Support for professional sport (such as tax concessions for international tournaments in Australia and support for sporting venue redevelopment).</w:t>
            </w:r>
          </w:p>
          <w:p w14:paraId="5E725D63" w14:textId="77777777" w:rsidR="007D417F" w:rsidRDefault="007D417F" w:rsidP="00E44AEF">
            <w:pPr>
              <w:pStyle w:val="Box"/>
            </w:pPr>
            <w:r>
              <w:t xml:space="preserve">Some of these arrangements have been examined in detail in the Commission’s inquiries, research reports, and previous </w:t>
            </w:r>
            <w:r w:rsidRPr="000152DB">
              <w:rPr>
                <w:i/>
              </w:rPr>
              <w:t>Reviews</w:t>
            </w:r>
            <w:r>
              <w:t xml:space="preserve">. </w:t>
            </w:r>
          </w:p>
          <w:p w14:paraId="647591C1" w14:textId="77777777" w:rsidR="007D417F" w:rsidRDefault="007D417F" w:rsidP="00E44AEF">
            <w:pPr>
              <w:pStyle w:val="BoxHeading1"/>
            </w:pPr>
            <w:r>
              <w:t>Examples of policies that provide a benefit to certain businesses that are not classified as industry assistance</w:t>
            </w:r>
          </w:p>
          <w:p w14:paraId="0D657D72" w14:textId="77777777" w:rsidR="007D417F" w:rsidRDefault="007D417F" w:rsidP="00E44AEF">
            <w:pPr>
              <w:pStyle w:val="BoxListBullet"/>
            </w:pPr>
            <w:r>
              <w:t>Superannuation concessions</w:t>
            </w:r>
          </w:p>
          <w:p w14:paraId="098A3A36" w14:textId="77777777" w:rsidR="007D417F" w:rsidRDefault="007D417F" w:rsidP="00E44AEF">
            <w:pPr>
              <w:pStyle w:val="BoxListBullet"/>
            </w:pPr>
            <w:r>
              <w:t>The private health insurance rebate</w:t>
            </w:r>
          </w:p>
          <w:p w14:paraId="16E7DB26" w14:textId="77777777" w:rsidR="007D417F" w:rsidRDefault="007D417F" w:rsidP="00E44AEF">
            <w:pPr>
              <w:pStyle w:val="BoxListBullet"/>
            </w:pPr>
            <w:r>
              <w:t>Government funding of private community service providers</w:t>
            </w:r>
          </w:p>
          <w:p w14:paraId="57CEF6C0" w14:textId="77777777" w:rsidR="007D417F" w:rsidRDefault="007D417F" w:rsidP="00E44AEF">
            <w:pPr>
              <w:pStyle w:val="BoxListBullet"/>
            </w:pPr>
            <w:r>
              <w:t>Indigenous business support</w:t>
            </w:r>
          </w:p>
          <w:p w14:paraId="39DD1B90" w14:textId="77777777" w:rsidR="007D417F" w:rsidRDefault="007D417F" w:rsidP="00E44AEF">
            <w:pPr>
              <w:pStyle w:val="BoxListBullet"/>
            </w:pPr>
            <w:r>
              <w:t>Employment incentives to business</w:t>
            </w:r>
          </w:p>
          <w:p w14:paraId="727727CB" w14:textId="77777777" w:rsidR="007D417F" w:rsidRDefault="007D417F" w:rsidP="00E44AEF">
            <w:pPr>
              <w:pStyle w:val="BoxListBullet"/>
            </w:pPr>
            <w:r>
              <w:t>Remote housing concessions in mining regions</w:t>
            </w:r>
          </w:p>
          <w:p w14:paraId="603E97B2" w14:textId="77777777" w:rsidR="007D417F" w:rsidRDefault="007D417F" w:rsidP="00E44AEF">
            <w:pPr>
              <w:pStyle w:val="BoxListBullet"/>
            </w:pPr>
            <w:r w:rsidRPr="007E01AF">
              <w:t xml:space="preserve">Differential tax rates in relation to </w:t>
            </w:r>
            <w:r>
              <w:t>excises, GST and Fringe Benefit Tax (and state payroll tax)</w:t>
            </w:r>
          </w:p>
          <w:p w14:paraId="5C4E78BB" w14:textId="77777777" w:rsidR="007D417F" w:rsidRDefault="007D417F" w:rsidP="00E44AEF">
            <w:pPr>
              <w:pStyle w:val="BoxListBullet"/>
            </w:pPr>
            <w:r>
              <w:t>Improved transport infrastructure, for example, an upgraded road in a concentrated beef producing area would be expected to lower logistics costs for beef producers, but the road is not for the sole use of beef producers.</w:t>
            </w:r>
          </w:p>
          <w:p w14:paraId="497A7B72" w14:textId="77777777" w:rsidR="007D417F" w:rsidRDefault="007D417F" w:rsidP="00E44AEF">
            <w:pPr>
              <w:pStyle w:val="Box"/>
            </w:pPr>
            <w:r>
              <w:t xml:space="preserve">Although not classified as assistance, evaluations of these programs should include analysis of the differential effects on businesses in an industry and across industries. </w:t>
            </w:r>
          </w:p>
        </w:tc>
      </w:tr>
      <w:tr w:rsidR="007D417F" w14:paraId="14F19C8E" w14:textId="77777777" w:rsidTr="00E44AEF">
        <w:tc>
          <w:tcPr>
            <w:tcW w:w="5000" w:type="pct"/>
            <w:tcBorders>
              <w:top w:val="nil"/>
              <w:left w:val="nil"/>
              <w:bottom w:val="single" w:sz="6" w:space="0" w:color="78A22F"/>
              <w:right w:val="nil"/>
            </w:tcBorders>
            <w:shd w:val="clear" w:color="auto" w:fill="F2F2F2"/>
          </w:tcPr>
          <w:p w14:paraId="479E09FA" w14:textId="77777777" w:rsidR="007D417F" w:rsidRDefault="007D417F" w:rsidP="00E44AEF">
            <w:pPr>
              <w:pStyle w:val="Box"/>
              <w:spacing w:before="0" w:line="120" w:lineRule="exact"/>
            </w:pPr>
          </w:p>
        </w:tc>
      </w:tr>
      <w:tr w:rsidR="007D417F" w:rsidRPr="000863A5" w14:paraId="3A65E182" w14:textId="77777777" w:rsidTr="00E44AEF">
        <w:tc>
          <w:tcPr>
            <w:tcW w:w="5000" w:type="pct"/>
            <w:tcBorders>
              <w:top w:val="single" w:sz="6" w:space="0" w:color="78A22F"/>
              <w:left w:val="nil"/>
              <w:bottom w:val="nil"/>
              <w:right w:val="nil"/>
            </w:tcBorders>
          </w:tcPr>
          <w:p w14:paraId="140FBA2C" w14:textId="77777777" w:rsidR="007D417F" w:rsidRPr="00626D32" w:rsidRDefault="007D417F" w:rsidP="00E44AEF">
            <w:pPr>
              <w:pStyle w:val="BoxSpaceBelow"/>
            </w:pPr>
          </w:p>
        </w:tc>
      </w:tr>
    </w:tbl>
    <w:p w14:paraId="7189028D" w14:textId="77777777" w:rsidR="007D417F" w:rsidRDefault="007D417F" w:rsidP="00E44AEF">
      <w:pPr>
        <w:pStyle w:val="BodyText"/>
      </w:pPr>
      <w:r>
        <w:t xml:space="preserve">Estimates of </w:t>
      </w:r>
      <w:r w:rsidRPr="00F44032">
        <w:t xml:space="preserve">the ‘effective rate of assistance’ (ERA) </w:t>
      </w:r>
      <w:r>
        <w:t xml:space="preserve">in this </w:t>
      </w:r>
      <w:r w:rsidRPr="00F44032">
        <w:rPr>
          <w:i/>
        </w:rPr>
        <w:t>Review</w:t>
      </w:r>
      <w:r>
        <w:t xml:space="preserve"> (chapter 1) are also limited. The ERAs are</w:t>
      </w:r>
      <w:r w:rsidRPr="00F44032">
        <w:t xml:space="preserve"> measured as the value of combined assistance to a particular industry as a share of that industry’s unassisted net output (industry value added).</w:t>
      </w:r>
      <w:r>
        <w:t xml:space="preserve"> But </w:t>
      </w:r>
      <w:r w:rsidRPr="00F44032">
        <w:t>ERA</w:t>
      </w:r>
      <w:r>
        <w:t>s</w:t>
      </w:r>
      <w:r w:rsidRPr="00F44032">
        <w:t xml:space="preserve"> </w:t>
      </w:r>
      <w:r>
        <w:t>are</w:t>
      </w:r>
      <w:r w:rsidRPr="00F44032">
        <w:t xml:space="preserve"> </w:t>
      </w:r>
      <w:r>
        <w:t xml:space="preserve">only </w:t>
      </w:r>
      <w:r>
        <w:lastRenderedPageBreak/>
        <w:t xml:space="preserve">published for the manufacturing, primary production (mostly agriculture) and mining sectors, </w:t>
      </w:r>
      <w:r w:rsidRPr="00F44032">
        <w:t>not the services sector</w:t>
      </w:r>
      <w:r>
        <w:t>, despite services constituting over 80 per cent of the Australian economy</w:t>
      </w:r>
      <w:r w:rsidRPr="00F44032">
        <w:t>. Among other things, this reflects technical matters associated with the treatment of services in transportable goods sectors</w:t>
      </w:r>
      <w:r>
        <w:t>, which would mean that</w:t>
      </w:r>
      <w:r w:rsidRPr="00F44032">
        <w:t xml:space="preserve"> ERA</w:t>
      </w:r>
      <w:r>
        <w:t>s</w:t>
      </w:r>
      <w:r w:rsidRPr="00F44032">
        <w:t xml:space="preserve"> for services involve double-counting of service</w:t>
      </w:r>
      <w:r>
        <w:t xml:space="preserve"> industry</w:t>
      </w:r>
      <w:r w:rsidRPr="00F44032">
        <w:t xml:space="preserve"> value added in the formation of economy-wide ERA measures</w:t>
      </w:r>
      <w:r>
        <w:t>.</w:t>
      </w:r>
    </w:p>
    <w:p w14:paraId="3033E29F" w14:textId="77777777" w:rsidR="007D417F" w:rsidRDefault="007D417F" w:rsidP="00E44AEF">
      <w:pPr>
        <w:pStyle w:val="Heading2"/>
      </w:pPr>
      <w:bookmarkStart w:id="33" w:name="_Toc38381792"/>
      <w:bookmarkStart w:id="34" w:name="_Toc38382150"/>
      <w:r>
        <w:t>A.</w:t>
      </w:r>
      <w:r>
        <w:rPr>
          <w:noProof/>
        </w:rPr>
        <w:t>1</w:t>
      </w:r>
      <w:r>
        <w:tab/>
        <w:t>Tariff assistance</w:t>
      </w:r>
      <w:bookmarkEnd w:id="33"/>
      <w:bookmarkEnd w:id="34"/>
    </w:p>
    <w:p w14:paraId="5189A9EE" w14:textId="77777777" w:rsidR="007D417F" w:rsidRDefault="007D417F" w:rsidP="00E44AEF">
      <w:pPr>
        <w:pStyle w:val="BodyText"/>
      </w:pPr>
      <w:r>
        <w:t xml:space="preserve">The Commission’s estimates of tariff assistance are divided into three categories — ‘output’ assistance, ‘input’ penalties and ‘net’ assistance. </w:t>
      </w:r>
    </w:p>
    <w:p w14:paraId="2948E3D5" w14:textId="77777777" w:rsidR="007D417F" w:rsidRDefault="007D417F" w:rsidP="00E44AEF">
      <w:pPr>
        <w:pStyle w:val="ListBullet"/>
      </w:pPr>
      <w:r>
        <w:t xml:space="preserve">Tariffs on imported goods increase the price at which those goods are sold on the Australian market and, thus, allow scope for domestic producers of competing products to increase their prices. These effects are captured by the Commission’s estimates of output assistance. </w:t>
      </w:r>
    </w:p>
    <w:p w14:paraId="6C592A15" w14:textId="77777777" w:rsidR="007D417F" w:rsidRDefault="007D417F" w:rsidP="00E44AEF">
      <w:pPr>
        <w:pStyle w:val="ListBullet"/>
      </w:pPr>
      <w:r>
        <w:t xml:space="preserve">Tariffs also increase the price of local and imported goods that are used as inputs and thus penalise local user industries. This ‘penalty’ is reduced if tariff concessions are available to Australian producers. The penalties are reflected in the Commission’s estimates of input penalties. </w:t>
      </w:r>
    </w:p>
    <w:p w14:paraId="33B06150" w14:textId="77777777" w:rsidR="007D417F" w:rsidRDefault="007D417F" w:rsidP="00E44AEF">
      <w:pPr>
        <w:pStyle w:val="ListBullet"/>
      </w:pPr>
      <w:r>
        <w:t>Net tariff assistance represents the total net assistance provided through tariffs to industry, and is calculated as output tariff assistance less the input penalties (box A.2).</w:t>
      </w:r>
    </w:p>
    <w:p w14:paraId="1092134E" w14:textId="77777777" w:rsidR="007D417F" w:rsidRDefault="007D417F" w:rsidP="00E44AE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417F" w14:paraId="1B5D691F" w14:textId="77777777" w:rsidTr="00E44AEF">
        <w:trPr>
          <w:tblHeader/>
        </w:trPr>
        <w:tc>
          <w:tcPr>
            <w:tcW w:w="5000" w:type="pct"/>
            <w:tcBorders>
              <w:top w:val="single" w:sz="6" w:space="0" w:color="78A22F"/>
              <w:left w:val="nil"/>
              <w:bottom w:val="nil"/>
              <w:right w:val="nil"/>
            </w:tcBorders>
            <w:shd w:val="clear" w:color="auto" w:fill="F2F2F2"/>
          </w:tcPr>
          <w:p w14:paraId="4EFB57A0" w14:textId="77777777" w:rsidR="007D417F" w:rsidRDefault="007D417F" w:rsidP="00E44AEF">
            <w:pPr>
              <w:pStyle w:val="BoxTitle"/>
            </w:pPr>
            <w:r>
              <w:rPr>
                <w:b w:val="0"/>
              </w:rPr>
              <w:t>Box A.</w:t>
            </w:r>
            <w:r>
              <w:rPr>
                <w:b w:val="0"/>
                <w:noProof/>
              </w:rPr>
              <w:t>2</w:t>
            </w:r>
            <w:r>
              <w:tab/>
              <w:t>Tariff assistance concepts applied to the f</w:t>
            </w:r>
            <w:r w:rsidRPr="00BF282B">
              <w:t xml:space="preserve">ood, </w:t>
            </w:r>
            <w:r>
              <w:t>b</w:t>
            </w:r>
            <w:r w:rsidRPr="00BF282B">
              <w:t xml:space="preserve">everage and </w:t>
            </w:r>
            <w:r>
              <w:t>t</w:t>
            </w:r>
            <w:r w:rsidRPr="00BF282B">
              <w:t>obacco products</w:t>
            </w:r>
            <w:r>
              <w:t xml:space="preserve"> industry</w:t>
            </w:r>
          </w:p>
        </w:tc>
      </w:tr>
      <w:tr w:rsidR="007D417F" w14:paraId="6605EE9B" w14:textId="77777777" w:rsidTr="00E44AEF">
        <w:tc>
          <w:tcPr>
            <w:tcW w:w="5000" w:type="pct"/>
            <w:tcBorders>
              <w:top w:val="nil"/>
              <w:left w:val="nil"/>
              <w:bottom w:val="nil"/>
              <w:right w:val="nil"/>
            </w:tcBorders>
            <w:shd w:val="clear" w:color="auto" w:fill="F2F2F2"/>
          </w:tcPr>
          <w:p w14:paraId="6996957D" w14:textId="77777777" w:rsidR="007D417F" w:rsidRDefault="007D417F" w:rsidP="00E44AEF">
            <w:pPr>
              <w:pStyle w:val="Box"/>
              <w:spacing w:after="240"/>
            </w:pPr>
            <w:r>
              <w:t>To illustrate the concepts of output tariff assistance, input tariff penalty and net tariff assistance, this box outlines the Commission’s estimates for the f</w:t>
            </w:r>
            <w:r w:rsidRPr="00BF282B">
              <w:t xml:space="preserve">ood, </w:t>
            </w:r>
            <w:r>
              <w:t>b</w:t>
            </w:r>
            <w:r w:rsidRPr="00BF282B">
              <w:t xml:space="preserve">everage and </w:t>
            </w:r>
            <w:r>
              <w:t>t</w:t>
            </w:r>
            <w:r w:rsidRPr="00BF282B">
              <w:t>obacco products</w:t>
            </w:r>
            <w:r>
              <w:t xml:space="preserve"> industry in 2018</w:t>
            </w:r>
            <w:r>
              <w:noBreakHyphen/>
              <w:t>19. The $621 million o</w:t>
            </w:r>
            <w:r w:rsidRPr="00E85F32">
              <w:t>utput tariff assistance for the industry is largely derived from 5</w:t>
            </w:r>
            <w:r>
              <w:t> </w:t>
            </w:r>
            <w:r w:rsidRPr="00E85F32">
              <w:t>per</w:t>
            </w:r>
            <w:r>
              <w:t> </w:t>
            </w:r>
            <w:r w:rsidRPr="00E85F32">
              <w:t>cent tariffs on imports of chocolate products, selected wines, and bread and pastry products. While for inputs, 5</w:t>
            </w:r>
            <w:r>
              <w:t> </w:t>
            </w:r>
            <w:r w:rsidRPr="00E85F32">
              <w:t>per</w:t>
            </w:r>
            <w:r>
              <w:t> </w:t>
            </w:r>
            <w:r w:rsidRPr="00E85F32">
              <w:t xml:space="preserve">cent tariffs on imports of chocolate and sugar confectionary products accounted for most of the </w:t>
            </w:r>
            <w:r>
              <w:t xml:space="preserve">$335 million </w:t>
            </w:r>
            <w:r w:rsidRPr="00E85F32">
              <w:t>input tariff penalty imposed on the food, beverages and tobacco products industry.</w:t>
            </w:r>
            <w:r>
              <w:t xml:space="preserve"> </w:t>
            </w:r>
          </w:p>
          <w:p w14:paraId="50F1C456" w14:textId="77777777" w:rsidR="007D417F" w:rsidRDefault="007D417F" w:rsidP="00E44AEF">
            <w:pPr>
              <w:pStyle w:val="Box"/>
            </w:pPr>
            <w:r w:rsidRPr="00AE2580">
              <w:rPr>
                <w:noProof/>
              </w:rPr>
              <w:drawing>
                <wp:inline distT="0" distB="0" distL="0" distR="0" wp14:anchorId="04E9EAE0" wp14:editId="19729CAA">
                  <wp:extent cx="5379522" cy="1548660"/>
                  <wp:effectExtent l="0" t="0" r="0" b="0"/>
                  <wp:docPr id="2" name="Picture 2" descr="A breakdown of tariff assistance concepts for a particular industry (the food, beverage and tobacco products industry), including: &#10;• the industry size ($109 billion of outputs and $61 billion of inputs)&#10;• the categories of tariff assistance (output assistance, input penalties, net assistance)&#10;• the size of each category ($621 million, $335 million and $286 million, respectively).&#10;" title="Tariff assistance concepts applied to the food, beverage and tobacco products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393533" cy="1552693"/>
                          </a:xfrm>
                          <a:prstGeom prst="rect">
                            <a:avLst/>
                          </a:prstGeom>
                          <a:noFill/>
                          <a:ln>
                            <a:noFill/>
                          </a:ln>
                        </pic:spPr>
                      </pic:pic>
                    </a:graphicData>
                  </a:graphic>
                </wp:inline>
              </w:drawing>
            </w:r>
          </w:p>
        </w:tc>
      </w:tr>
      <w:tr w:rsidR="007D417F" w14:paraId="6412B0F8" w14:textId="77777777" w:rsidTr="00E44AEF">
        <w:tc>
          <w:tcPr>
            <w:tcW w:w="5000" w:type="pct"/>
            <w:tcBorders>
              <w:top w:val="nil"/>
              <w:left w:val="nil"/>
              <w:bottom w:val="nil"/>
              <w:right w:val="nil"/>
            </w:tcBorders>
            <w:shd w:val="clear" w:color="auto" w:fill="F2F2F2"/>
          </w:tcPr>
          <w:p w14:paraId="0C9FA892" w14:textId="77777777" w:rsidR="007D417F" w:rsidRDefault="007D417F" w:rsidP="00E44AEF">
            <w:pPr>
              <w:pStyle w:val="BoxSource"/>
            </w:pPr>
            <w:r>
              <w:rPr>
                <w:i/>
              </w:rPr>
              <w:t>Source</w:t>
            </w:r>
            <w:r w:rsidRPr="00167F06">
              <w:t xml:space="preserve">: </w:t>
            </w:r>
            <w:r>
              <w:t>Commission estimates.</w:t>
            </w:r>
          </w:p>
        </w:tc>
      </w:tr>
      <w:tr w:rsidR="007D417F" w14:paraId="1991D0AB" w14:textId="77777777" w:rsidTr="00E44AEF">
        <w:tc>
          <w:tcPr>
            <w:tcW w:w="5000" w:type="pct"/>
            <w:tcBorders>
              <w:top w:val="nil"/>
              <w:left w:val="nil"/>
              <w:bottom w:val="single" w:sz="6" w:space="0" w:color="78A22F"/>
              <w:right w:val="nil"/>
            </w:tcBorders>
            <w:shd w:val="clear" w:color="auto" w:fill="F2F2F2"/>
          </w:tcPr>
          <w:p w14:paraId="3C1C0252" w14:textId="77777777" w:rsidR="007D417F" w:rsidRDefault="007D417F" w:rsidP="00E44AEF">
            <w:pPr>
              <w:pStyle w:val="Box"/>
              <w:spacing w:before="0" w:line="120" w:lineRule="exact"/>
            </w:pPr>
          </w:p>
        </w:tc>
      </w:tr>
      <w:tr w:rsidR="007D417F" w:rsidRPr="000863A5" w14:paraId="1484DE34" w14:textId="77777777" w:rsidTr="00E44AEF">
        <w:tc>
          <w:tcPr>
            <w:tcW w:w="5000" w:type="pct"/>
            <w:tcBorders>
              <w:top w:val="single" w:sz="6" w:space="0" w:color="78A22F"/>
              <w:left w:val="nil"/>
              <w:bottom w:val="nil"/>
              <w:right w:val="nil"/>
            </w:tcBorders>
          </w:tcPr>
          <w:p w14:paraId="09FEF18A" w14:textId="77777777" w:rsidR="007D417F" w:rsidRPr="00626D32" w:rsidRDefault="007D417F" w:rsidP="00E44AEF">
            <w:pPr>
              <w:pStyle w:val="BoxSpaceBelow"/>
            </w:pPr>
          </w:p>
        </w:tc>
      </w:tr>
    </w:tbl>
    <w:p w14:paraId="484D24AA" w14:textId="77777777" w:rsidR="007D417F" w:rsidRDefault="007D417F" w:rsidP="00E44AEF">
      <w:pPr>
        <w:pStyle w:val="Heading2"/>
      </w:pPr>
      <w:bookmarkStart w:id="35" w:name="_Toc38381793"/>
      <w:bookmarkStart w:id="36" w:name="_Toc38382151"/>
      <w:r>
        <w:lastRenderedPageBreak/>
        <w:t>A.</w:t>
      </w:r>
      <w:r>
        <w:rPr>
          <w:noProof/>
        </w:rPr>
        <w:t>2</w:t>
      </w:r>
      <w:r>
        <w:tab/>
        <w:t>Budgetary assistance</w:t>
      </w:r>
      <w:bookmarkEnd w:id="35"/>
      <w:bookmarkEnd w:id="36"/>
    </w:p>
    <w:p w14:paraId="52847B4D" w14:textId="77777777" w:rsidR="007D417F" w:rsidRDefault="007D417F" w:rsidP="00E44AEF">
      <w:pPr>
        <w:pStyle w:val="BodyText"/>
      </w:pPr>
      <w:r>
        <w:t>The budgetary assistance estimates are derived primarily from actual expenditures shown in departmental and agency annual reports, and the Tax Benchmarks and Variations Statement (formerly known as the Tax Expenditures Statement) compiled by the Australian Treasury. Industry and sectoral disaggregation is based primarily on supplementary information provided by relevant departments or agencies.</w:t>
      </w:r>
    </w:p>
    <w:p w14:paraId="3F7B283E" w14:textId="77777777" w:rsidR="007D417F" w:rsidRPr="006E647D" w:rsidRDefault="007D417F" w:rsidP="00E44AEF">
      <w:pPr>
        <w:pStyle w:val="BodyText"/>
        <w:spacing w:before="200"/>
      </w:pPr>
      <w:r w:rsidRPr="00624D93">
        <w:t xml:space="preserve">The Commission records the incidence of budgetary assistance by applying the concept of </w:t>
      </w:r>
      <w:r>
        <w:t>‘</w:t>
      </w:r>
      <w:r w:rsidRPr="00624D93">
        <w:t>initial benefiting industry</w:t>
      </w:r>
      <w:r>
        <w:t>’</w:t>
      </w:r>
      <w:r w:rsidRPr="00624D93">
        <w:t>. A</w:t>
      </w:r>
      <w:r w:rsidRPr="006E647D">
        <w:t>ssistance is allocated to the industry hosting the firm that initially benefits from a program or measure. Where a number of firms, in different industries, initially benefit from a particular program or measure, the Commission seeks to apportion the assistance between those industries</w:t>
      </w:r>
      <w:r>
        <w:t>. Further details will be included in the</w:t>
      </w:r>
      <w:r w:rsidRPr="006E647D">
        <w:t xml:space="preserve"> </w:t>
      </w:r>
      <w:r w:rsidRPr="00624D93">
        <w:t>(</w:t>
      </w:r>
      <w:r w:rsidRPr="006E647D">
        <w:t>forthcoming</w:t>
      </w:r>
      <w:r>
        <w:t>) Methodological A</w:t>
      </w:r>
      <w:r w:rsidRPr="00624D93">
        <w:t xml:space="preserve">nnex to this </w:t>
      </w:r>
      <w:r w:rsidRPr="00F44032">
        <w:rPr>
          <w:i/>
        </w:rPr>
        <w:t>Review</w:t>
      </w:r>
      <w:r>
        <w:rPr>
          <w:sz w:val="20"/>
        </w:rPr>
        <w:t xml:space="preserve">. </w:t>
      </w:r>
    </w:p>
    <w:p w14:paraId="72C3A23F" w14:textId="77777777" w:rsidR="007D417F" w:rsidRPr="005C6DA7" w:rsidRDefault="007D417F" w:rsidP="00E44AEF">
      <w:pPr>
        <w:pStyle w:val="BodyText"/>
        <w:spacing w:before="200"/>
      </w:pPr>
      <w:r>
        <w:t xml:space="preserve">Estimates are presented for 34 industry groupings, while four ‘unallocated’ </w:t>
      </w:r>
      <w:r w:rsidRPr="005C6DA7">
        <w:t>categories are used for programs where it has not been possible to confidently identify the initial benefiting industry or sec</w:t>
      </w:r>
      <w:r>
        <w:t>tor from available information.</w:t>
      </w:r>
    </w:p>
    <w:p w14:paraId="56342EEA" w14:textId="77777777" w:rsidR="007D417F" w:rsidRDefault="007D417F" w:rsidP="00E44AE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417F" w14:paraId="2213D5EA" w14:textId="77777777" w:rsidTr="00E44AEF">
        <w:trPr>
          <w:tblHeader/>
        </w:trPr>
        <w:tc>
          <w:tcPr>
            <w:tcW w:w="5000" w:type="pct"/>
            <w:tcBorders>
              <w:top w:val="single" w:sz="6" w:space="0" w:color="78A22F"/>
              <w:left w:val="nil"/>
              <w:bottom w:val="nil"/>
              <w:right w:val="nil"/>
            </w:tcBorders>
            <w:shd w:val="clear" w:color="auto" w:fill="auto"/>
          </w:tcPr>
          <w:p w14:paraId="2AF8B3BB" w14:textId="77777777" w:rsidR="007D417F" w:rsidRPr="00176D3F" w:rsidRDefault="007D417F" w:rsidP="00E44AEF">
            <w:pPr>
              <w:pStyle w:val="FigureTitle"/>
            </w:pPr>
            <w:r w:rsidRPr="00784A05">
              <w:rPr>
                <w:b w:val="0"/>
              </w:rPr>
              <w:t xml:space="preserve">Figure </w:t>
            </w:r>
            <w:r>
              <w:rPr>
                <w:b w:val="0"/>
              </w:rPr>
              <w:t>A.1</w:t>
            </w:r>
            <w:r>
              <w:tab/>
              <w:t>Forms of budgetary assistance</w:t>
            </w:r>
          </w:p>
        </w:tc>
      </w:tr>
      <w:tr w:rsidR="007D417F" w14:paraId="6CD01652" w14:textId="77777777" w:rsidTr="00E44AE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D417F" w:rsidRPr="00B1465D" w14:paraId="68ABDAEF" w14:textId="77777777" w:rsidTr="00E44AEF">
              <w:trPr>
                <w:tblHeader/>
                <w:jc w:val="center"/>
              </w:trPr>
              <w:tc>
                <w:tcPr>
                  <w:tcW w:w="5000" w:type="pct"/>
                  <w:tcBorders>
                    <w:top w:val="nil"/>
                    <w:bottom w:val="nil"/>
                  </w:tcBorders>
                </w:tcPr>
                <w:p w14:paraId="6E0248B3" w14:textId="77777777" w:rsidR="007D417F" w:rsidRPr="00B1465D" w:rsidRDefault="007D417F" w:rsidP="00E44AEF">
                  <w:pPr>
                    <w:pStyle w:val="Figure"/>
                    <w:spacing w:before="60" w:after="60"/>
                    <w:rPr>
                      <w:rFonts w:ascii="Arial" w:hAnsi="Arial" w:cs="Arial"/>
                      <w:sz w:val="18"/>
                      <w:szCs w:val="18"/>
                    </w:rPr>
                  </w:pPr>
                  <w:r w:rsidRPr="00D65045">
                    <w:rPr>
                      <w:rFonts w:ascii="Arial" w:hAnsi="Arial" w:cs="Arial"/>
                      <w:noProof/>
                      <w:sz w:val="18"/>
                      <w:szCs w:val="18"/>
                    </w:rPr>
                    <w:drawing>
                      <wp:inline distT="0" distB="0" distL="0" distR="0" wp14:anchorId="7C764B40" wp14:editId="6131E25D">
                        <wp:extent cx="5357495" cy="3446780"/>
                        <wp:effectExtent l="0" t="0" r="0" b="1270"/>
                        <wp:docPr id="19" name="Picture 19" descr="This figure is a diagram showing that budgetary assistance can first be divided into budgetary outlays and tax concessions. Budgetary outlays are further sub-divided into direct financial assistance (such as grants, loans and other subsidies) and indirect assistance through funding to organisations that perform services of benefit to industry, such as CSIRO, Rural Research and Development Corporations, and Austrade. Tax concessions provide financial benefits to industry in the form of tax exemptions, deductions, tax offsets, preferential tax rates and tax deferrals. " title="Forms of budgetary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357495" cy="3446780"/>
                                </a:xfrm>
                                <a:prstGeom prst="rect">
                                  <a:avLst/>
                                </a:prstGeom>
                                <a:noFill/>
                                <a:ln>
                                  <a:noFill/>
                                </a:ln>
                              </pic:spPr>
                            </pic:pic>
                          </a:graphicData>
                        </a:graphic>
                      </wp:inline>
                    </w:drawing>
                  </w:r>
                </w:p>
              </w:tc>
            </w:tr>
          </w:tbl>
          <w:p w14:paraId="23FAEFD9" w14:textId="77777777" w:rsidR="007D417F" w:rsidRDefault="007D417F" w:rsidP="00E44AEF">
            <w:pPr>
              <w:pStyle w:val="Figure"/>
            </w:pPr>
          </w:p>
        </w:tc>
      </w:tr>
      <w:tr w:rsidR="007D417F" w14:paraId="2AE68EE8" w14:textId="77777777" w:rsidTr="00E44AEF">
        <w:tc>
          <w:tcPr>
            <w:tcW w:w="5000" w:type="pct"/>
            <w:tcBorders>
              <w:top w:val="nil"/>
              <w:left w:val="nil"/>
              <w:bottom w:val="single" w:sz="6" w:space="0" w:color="78A22F"/>
              <w:right w:val="nil"/>
            </w:tcBorders>
            <w:shd w:val="clear" w:color="auto" w:fill="auto"/>
          </w:tcPr>
          <w:p w14:paraId="05F5345D" w14:textId="77777777" w:rsidR="007D417F" w:rsidRDefault="007D417F" w:rsidP="00E44AEF">
            <w:pPr>
              <w:pStyle w:val="Figurespace"/>
            </w:pPr>
          </w:p>
        </w:tc>
      </w:tr>
      <w:tr w:rsidR="007D417F" w:rsidRPr="000863A5" w14:paraId="60BC6853" w14:textId="77777777" w:rsidTr="00E44AEF">
        <w:tc>
          <w:tcPr>
            <w:tcW w:w="5000" w:type="pct"/>
            <w:tcBorders>
              <w:top w:val="single" w:sz="6" w:space="0" w:color="78A22F"/>
              <w:left w:val="nil"/>
              <w:bottom w:val="nil"/>
              <w:right w:val="nil"/>
            </w:tcBorders>
          </w:tcPr>
          <w:p w14:paraId="6A0519D1" w14:textId="77777777" w:rsidR="007D417F" w:rsidRPr="00626D32" w:rsidRDefault="007D417F" w:rsidP="00E44AEF">
            <w:pPr>
              <w:pStyle w:val="BoxSpaceBelow"/>
            </w:pPr>
          </w:p>
        </w:tc>
      </w:tr>
    </w:tbl>
    <w:p w14:paraId="36FB2C97" w14:textId="77777777" w:rsidR="007D417F" w:rsidRDefault="007D417F" w:rsidP="00E44AEF">
      <w:pPr>
        <w:pStyle w:val="BodyText"/>
      </w:pPr>
    </w:p>
    <w:p w14:paraId="5CEA8108" w14:textId="77777777" w:rsidR="007D417F" w:rsidRDefault="007D417F" w:rsidP="00E44AEF">
      <w:pPr>
        <w:pStyle w:val="BodyText"/>
      </w:pPr>
      <w:r>
        <w:lastRenderedPageBreak/>
        <w:t xml:space="preserve">To facilitate more detailed assessments of changes in the composition and nature of assistance, the Commission also categorises its estimates of Australian Government budgetary assistance into: </w:t>
      </w:r>
    </w:p>
    <w:p w14:paraId="2B650A7E" w14:textId="77777777" w:rsidR="007D417F" w:rsidRDefault="007D417F" w:rsidP="00E44AEF">
      <w:pPr>
        <w:pStyle w:val="ListBullet"/>
      </w:pPr>
      <w:r>
        <w:t>R&amp;D measures, including those undertaken by CSIRO, Cooperative Research Centres and rural R&amp;D corporations, as well as R&amp;D taxation concessions</w:t>
      </w:r>
      <w:r>
        <w:rPr>
          <w:rStyle w:val="FootnoteReference"/>
        </w:rPr>
        <w:footnoteReference w:id="10"/>
      </w:r>
    </w:p>
    <w:p w14:paraId="5E503D8B" w14:textId="77777777" w:rsidR="007D417F" w:rsidRDefault="007D417F" w:rsidP="00E44AEF">
      <w:pPr>
        <w:pStyle w:val="ListBullet"/>
      </w:pPr>
      <w:r>
        <w:t>export measures, including through Export Market Development Grants, import duty drawback, TRADEX and Austrade</w:t>
      </w:r>
    </w:p>
    <w:p w14:paraId="4755D90F" w14:textId="77777777" w:rsidR="007D417F" w:rsidRDefault="007D417F" w:rsidP="00E44AEF">
      <w:pPr>
        <w:pStyle w:val="ListBullet"/>
      </w:pPr>
      <w:r>
        <w:t>investment measures, including development allowances and the Regional Headquarters Program</w:t>
      </w:r>
    </w:p>
    <w:p w14:paraId="4374ECF1" w14:textId="77777777" w:rsidR="007D417F" w:rsidRDefault="007D417F" w:rsidP="00E44AEF">
      <w:pPr>
        <w:pStyle w:val="ListBullet"/>
      </w:pPr>
      <w:r>
        <w:t>industry specific measures, including the Automotive Transformation Scheme, Film Industry Offsets Scheme and the Offshore Banking Unit tax concession</w:t>
      </w:r>
    </w:p>
    <w:p w14:paraId="77B2A0E1" w14:textId="77777777" w:rsidR="007D417F" w:rsidRDefault="007D417F" w:rsidP="00E44AEF">
      <w:pPr>
        <w:pStyle w:val="ListBullet"/>
      </w:pPr>
      <w:r>
        <w:t>sector wide measures, such as drought relief assistance and the tax concessions under the Farm Management Deposits Scheme, in the case of the primary production sector</w:t>
      </w:r>
    </w:p>
    <w:p w14:paraId="1AD2D4F2" w14:textId="77777777" w:rsidR="007D417F" w:rsidRDefault="007D417F" w:rsidP="00E44AEF">
      <w:pPr>
        <w:pStyle w:val="ListBullet"/>
      </w:pPr>
      <w:r>
        <w:t>small business programs, such as the small business capital gains tax concessions, the Small Business Simplified Depreciation Rules and concessional company taxation for small business</w:t>
      </w:r>
    </w:p>
    <w:p w14:paraId="25400F79" w14:textId="77777777" w:rsidR="007D417F" w:rsidRPr="00A850AD" w:rsidRDefault="007D417F" w:rsidP="00E44AEF">
      <w:pPr>
        <w:pStyle w:val="ListBullet"/>
        <w:rPr>
          <w:spacing w:val="-4"/>
        </w:rPr>
      </w:pPr>
      <w:r>
        <w:rPr>
          <w:spacing w:val="-4"/>
        </w:rPr>
        <w:t>r</w:t>
      </w:r>
      <w:r w:rsidRPr="00A850AD">
        <w:rPr>
          <w:spacing w:val="-4"/>
        </w:rPr>
        <w:t>egional assistance, including the Tasmanian Freight Equalisation Scheme, Tasmanian Jobs and Investment Fund and various structural adjustment</w:t>
      </w:r>
      <w:r>
        <w:rPr>
          <w:spacing w:val="-4"/>
        </w:rPr>
        <w:t xml:space="preserve"> programs with a regional focus</w:t>
      </w:r>
    </w:p>
    <w:p w14:paraId="259E5A58" w14:textId="77777777" w:rsidR="007D417F" w:rsidRDefault="007D417F" w:rsidP="00120072">
      <w:pPr>
        <w:pStyle w:val="ListBullet"/>
      </w:pPr>
      <w:r>
        <w:t xml:space="preserve">a residual ‘other’ category, including the TCF Corporate Wear Program, the Asia Marketing Fund Initiative, and the </w:t>
      </w:r>
      <w:r w:rsidRPr="00AE0452">
        <w:t>Entrepreneurs’ Infrastructure Programme</w:t>
      </w:r>
      <w:r>
        <w:t>.</w:t>
      </w:r>
    </w:p>
    <w:p w14:paraId="46FC9D16" w14:textId="77777777" w:rsidR="007D417F" w:rsidRDefault="007D417F" w:rsidP="007D417F">
      <w:pPr>
        <w:sectPr w:rsidR="007D417F" w:rsidSect="007D417F">
          <w:headerReference w:type="even" r:id="rId59"/>
          <w:headerReference w:type="default" r:id="rId60"/>
          <w:footerReference w:type="even" r:id="rId61"/>
          <w:footerReference w:type="default" r:id="rId62"/>
          <w:type w:val="oddPage"/>
          <w:pgSz w:w="11907" w:h="16840" w:code="9"/>
          <w:pgMar w:top="1985" w:right="1304" w:bottom="1247" w:left="1814" w:header="1701" w:footer="397" w:gutter="0"/>
          <w:pgNumType w:chapSep="period"/>
          <w:cols w:space="720"/>
          <w:docGrid w:linePitch="326"/>
        </w:sectPr>
      </w:pPr>
    </w:p>
    <w:p w14:paraId="64233AE5" w14:textId="77777777" w:rsidR="007D417F" w:rsidRDefault="007D417F" w:rsidP="007D417F">
      <w:pPr>
        <w:pStyle w:val="Heading1"/>
      </w:pPr>
      <w:bookmarkStart w:id="37" w:name="_Toc38382152"/>
      <w:r>
        <w:lastRenderedPageBreak/>
        <w:t>References</w:t>
      </w:r>
      <w:bookmarkEnd w:id="37"/>
    </w:p>
    <w:p w14:paraId="633B2B82" w14:textId="77777777" w:rsidR="00AC5385" w:rsidRPr="005E3F14" w:rsidRDefault="00AC5385" w:rsidP="000B7FE2">
      <w:pPr>
        <w:pStyle w:val="Reference"/>
        <w:rPr>
          <w:spacing w:val="-2"/>
        </w:rPr>
      </w:pPr>
      <w:r w:rsidRPr="005E3F14">
        <w:rPr>
          <w:spacing w:val="-2"/>
        </w:rPr>
        <w:t xml:space="preserve">Agriculture Victoria 2020, </w:t>
      </w:r>
      <w:r w:rsidRPr="005E3F14">
        <w:rPr>
          <w:i/>
          <w:iCs/>
          <w:spacing w:val="-2"/>
        </w:rPr>
        <w:t>Financial support</w:t>
      </w:r>
      <w:r w:rsidRPr="005E3F14">
        <w:rPr>
          <w:spacing w:val="-2"/>
        </w:rPr>
        <w:t>, www.agriculture.vic.gov.au/agriculture/farm-management/drought/dry-seasons-support/financial-support (accessed 10 February 2020).</w:t>
      </w:r>
    </w:p>
    <w:p w14:paraId="7000FE67" w14:textId="77777777" w:rsidR="00AC5385" w:rsidRPr="00AC5385" w:rsidRDefault="00AC5385" w:rsidP="000B7FE2">
      <w:pPr>
        <w:pStyle w:val="Reference"/>
      </w:pPr>
      <w:r w:rsidRPr="00AC5385">
        <w:t xml:space="preserve">AHA (Australian Hotels Association) 2013, </w:t>
      </w:r>
      <w:r w:rsidRPr="00AC5385">
        <w:rPr>
          <w:i/>
          <w:iCs/>
        </w:rPr>
        <w:t>Policy Statement - Alcohol Taxation</w:t>
      </w:r>
      <w:r w:rsidRPr="00AC5385">
        <w:t>.</w:t>
      </w:r>
    </w:p>
    <w:p w14:paraId="712CAFFF" w14:textId="7CE51A49" w:rsidR="00AC5385" w:rsidRPr="00AC5385" w:rsidRDefault="00CF54DA" w:rsidP="000B7FE2">
      <w:pPr>
        <w:pStyle w:val="Reference"/>
      </w:pPr>
      <w:r>
        <w:t>—— </w:t>
      </w:r>
      <w:r w:rsidR="00AC5385" w:rsidRPr="00AC5385">
        <w:t xml:space="preserve">2017, </w:t>
      </w:r>
      <w:r w:rsidR="00AC5385" w:rsidRPr="00AC5385">
        <w:rPr>
          <w:i/>
          <w:iCs/>
        </w:rPr>
        <w:t>Pre-Budget Submission 2018-19</w:t>
      </w:r>
      <w:r w:rsidR="00AC5385" w:rsidRPr="00AC5385">
        <w:t>, December.</w:t>
      </w:r>
    </w:p>
    <w:p w14:paraId="5A68D022" w14:textId="77777777" w:rsidR="00AC5385" w:rsidRPr="00AC5385" w:rsidRDefault="00AC5385" w:rsidP="000B7FE2">
      <w:pPr>
        <w:pStyle w:val="Reference"/>
      </w:pPr>
      <w:r w:rsidRPr="00AC5385">
        <w:t xml:space="preserve">ANAO (Australian National Audit Office) 2015, </w:t>
      </w:r>
      <w:r w:rsidRPr="00AC5385">
        <w:rPr>
          <w:i/>
          <w:iCs/>
        </w:rPr>
        <w:t>The Ethanol Production Grants Program</w:t>
      </w:r>
      <w:r w:rsidRPr="00AC5385">
        <w:t>, January, 18 of 2014-15.</w:t>
      </w:r>
    </w:p>
    <w:p w14:paraId="020583FE" w14:textId="63AEF964" w:rsidR="00AC5385" w:rsidRPr="00AC5385" w:rsidRDefault="00CF54DA" w:rsidP="000B7FE2">
      <w:pPr>
        <w:pStyle w:val="Reference"/>
      </w:pPr>
      <w:r>
        <w:t>—— </w:t>
      </w:r>
      <w:r w:rsidR="00AC5385" w:rsidRPr="00AC5385">
        <w:t xml:space="preserve">2017, </w:t>
      </w:r>
      <w:r w:rsidR="00AC5385" w:rsidRPr="00AC5385">
        <w:rPr>
          <w:i/>
          <w:iCs/>
        </w:rPr>
        <w:t>Future Submarine — Competitive Evaluation Process</w:t>
      </w:r>
      <w:r w:rsidR="00AC5385" w:rsidRPr="00AC5385">
        <w:t>, 27 April, 48 of 2016-17.</w:t>
      </w:r>
    </w:p>
    <w:p w14:paraId="28A5605F" w14:textId="695F6901" w:rsidR="00AC5385" w:rsidRPr="00AC5385" w:rsidRDefault="00CF54DA" w:rsidP="000B7FE2">
      <w:pPr>
        <w:pStyle w:val="Reference"/>
      </w:pPr>
      <w:r>
        <w:t>—— </w:t>
      </w:r>
      <w:r w:rsidR="00AC5385" w:rsidRPr="00AC5385">
        <w:t xml:space="preserve">2018, </w:t>
      </w:r>
      <w:r w:rsidR="00AC5385" w:rsidRPr="00AC5385">
        <w:rPr>
          <w:i/>
          <w:iCs/>
        </w:rPr>
        <w:t>Army’s Protected Mobility Vehicle — Light</w:t>
      </w:r>
      <w:r w:rsidR="00AC5385" w:rsidRPr="00AC5385">
        <w:t>, 11 September, 6 of 2018-19.</w:t>
      </w:r>
    </w:p>
    <w:p w14:paraId="6B6EDFB9" w14:textId="4B49F375" w:rsidR="00AC5385" w:rsidRPr="00AC5385" w:rsidRDefault="00CF54DA" w:rsidP="000B7FE2">
      <w:pPr>
        <w:pStyle w:val="Reference"/>
      </w:pPr>
      <w:r>
        <w:t>—— </w:t>
      </w:r>
      <w:r w:rsidR="00AC5385" w:rsidRPr="00AC5385">
        <w:t xml:space="preserve">2019, </w:t>
      </w:r>
      <w:r w:rsidR="00AC5385" w:rsidRPr="00AC5385">
        <w:rPr>
          <w:i/>
          <w:iCs/>
        </w:rPr>
        <w:t>2018–19 Major Projects Report</w:t>
      </w:r>
      <w:r w:rsidR="00AC5385" w:rsidRPr="00AC5385">
        <w:t>, 16 December, 19 of 2019-20.</w:t>
      </w:r>
    </w:p>
    <w:p w14:paraId="1789AA6E" w14:textId="6ED295C0" w:rsidR="00AC5385" w:rsidRPr="00AC5385" w:rsidRDefault="00CF54DA" w:rsidP="000B7FE2">
      <w:pPr>
        <w:pStyle w:val="Reference"/>
      </w:pPr>
      <w:r>
        <w:t>—— </w:t>
      </w:r>
      <w:r w:rsidR="00AC5385" w:rsidRPr="00AC5385">
        <w:t xml:space="preserve">2020, </w:t>
      </w:r>
      <w:r w:rsidR="00AC5385" w:rsidRPr="00AC5385">
        <w:rPr>
          <w:i/>
          <w:iCs/>
        </w:rPr>
        <w:t>Future Submarine Program — Transition to Design</w:t>
      </w:r>
      <w:r w:rsidR="00AC5385" w:rsidRPr="00AC5385">
        <w:t>, 14 January, 22 of 2019-20.</w:t>
      </w:r>
    </w:p>
    <w:p w14:paraId="175BF8EF" w14:textId="77777777" w:rsidR="00AC5385" w:rsidRPr="00AC5385" w:rsidRDefault="00AC5385" w:rsidP="000B7FE2">
      <w:pPr>
        <w:pStyle w:val="Reference"/>
      </w:pPr>
      <w:r w:rsidRPr="00AC5385">
        <w:t xml:space="preserve">AOFM (Australian Office of Financial Management) 2019a, </w:t>
      </w:r>
      <w:r w:rsidRPr="00AC5385">
        <w:rPr>
          <w:i/>
          <w:iCs/>
        </w:rPr>
        <w:t>Appointment of ABSF investment manager</w:t>
      </w:r>
      <w:r w:rsidRPr="00AC5385">
        <w:t>, Media release, 5 December, www.aofm.gov.au/absf/investment-manager (accessed 24 February 2020).</w:t>
      </w:r>
    </w:p>
    <w:p w14:paraId="3E699A6D" w14:textId="55D9A082" w:rsidR="00AC5385" w:rsidRPr="00AC5385" w:rsidRDefault="00CF54DA" w:rsidP="000B7FE2">
      <w:pPr>
        <w:pStyle w:val="Reference"/>
      </w:pPr>
      <w:r>
        <w:t>—— </w:t>
      </w:r>
      <w:r w:rsidR="00AC5385" w:rsidRPr="00AC5385">
        <w:t xml:space="preserve">2019b, </w:t>
      </w:r>
      <w:r w:rsidR="00AC5385" w:rsidRPr="00AC5385">
        <w:rPr>
          <w:i/>
          <w:iCs/>
        </w:rPr>
        <w:t>Australian Business Securitisation Fund</w:t>
      </w:r>
      <w:r w:rsidR="00AC5385" w:rsidRPr="00AC5385">
        <w:t>, Media release, 11 April, www.aofm.gov.au/absf/absf (accessed 24 February 2020).</w:t>
      </w:r>
    </w:p>
    <w:p w14:paraId="74562AE0" w14:textId="63839222" w:rsidR="00AC5385" w:rsidRPr="00AC5385" w:rsidRDefault="00CF54DA" w:rsidP="000B7FE2">
      <w:pPr>
        <w:pStyle w:val="Reference"/>
      </w:pPr>
      <w:r>
        <w:t>—— </w:t>
      </w:r>
      <w:r w:rsidR="00AC5385" w:rsidRPr="00AC5385">
        <w:t xml:space="preserve">2019c, </w:t>
      </w:r>
      <w:r w:rsidR="00AC5385" w:rsidRPr="00AC5385">
        <w:rPr>
          <w:i/>
          <w:iCs/>
        </w:rPr>
        <w:t>Invitation to submit ABSF investment proposals</w:t>
      </w:r>
      <w:r w:rsidR="00AC5385" w:rsidRPr="00AC5385">
        <w:t>, Media release, 16 December, www.aofm.gov.au/absf/proposals (accessed 24 February 2020).</w:t>
      </w:r>
    </w:p>
    <w:p w14:paraId="28B7C711" w14:textId="77777777" w:rsidR="00AC5385" w:rsidRPr="005E3F14" w:rsidRDefault="00AC5385" w:rsidP="000B7FE2">
      <w:pPr>
        <w:pStyle w:val="Reference"/>
        <w:rPr>
          <w:spacing w:val="-4"/>
        </w:rPr>
      </w:pPr>
      <w:r w:rsidRPr="00AC5385">
        <w:t xml:space="preserve">ATO (Australian Taxation Office) 2017, </w:t>
      </w:r>
      <w:r w:rsidRPr="00AC5385">
        <w:rPr>
          <w:i/>
          <w:iCs/>
        </w:rPr>
        <w:t>Commissioner of Taxation annual report 2016-17</w:t>
      </w:r>
      <w:r w:rsidRPr="00AC5385">
        <w:t xml:space="preserve">, </w:t>
      </w:r>
      <w:r w:rsidRPr="005E3F14">
        <w:rPr>
          <w:spacing w:val="-4"/>
        </w:rPr>
        <w:t>October.</w:t>
      </w:r>
    </w:p>
    <w:p w14:paraId="2D5C9C09" w14:textId="50429CD8" w:rsidR="00AC5385" w:rsidRPr="005E3F14" w:rsidRDefault="00CF54DA" w:rsidP="000B7FE2">
      <w:pPr>
        <w:pStyle w:val="Reference"/>
        <w:rPr>
          <w:spacing w:val="-4"/>
        </w:rPr>
      </w:pPr>
      <w:r w:rsidRPr="005E3F14">
        <w:rPr>
          <w:spacing w:val="-4"/>
        </w:rPr>
        <w:t>—— </w:t>
      </w:r>
      <w:r w:rsidR="00AC5385" w:rsidRPr="005E3F14">
        <w:rPr>
          <w:spacing w:val="-4"/>
        </w:rPr>
        <w:t xml:space="preserve">2019a, </w:t>
      </w:r>
      <w:r w:rsidR="00AC5385" w:rsidRPr="005E3F14">
        <w:rPr>
          <w:i/>
          <w:iCs/>
          <w:spacing w:val="-4"/>
        </w:rPr>
        <w:t>Producer rebate</w:t>
      </w:r>
      <w:r w:rsidR="00AC5385" w:rsidRPr="005E3F14">
        <w:rPr>
          <w:spacing w:val="-4"/>
        </w:rPr>
        <w:t>, www.ato.gov.au/business/wine-equalisation-tax/producer-rebate (accessed 4 February 2020).</w:t>
      </w:r>
    </w:p>
    <w:p w14:paraId="54DADC56" w14:textId="46937944" w:rsidR="00AC5385" w:rsidRPr="005E3F14" w:rsidRDefault="00AC5385" w:rsidP="000B7FE2">
      <w:pPr>
        <w:pStyle w:val="Reference"/>
        <w:rPr>
          <w:spacing w:val="-4"/>
        </w:rPr>
      </w:pPr>
      <w:r w:rsidRPr="005E3F14">
        <w:rPr>
          <w:spacing w:val="-4"/>
        </w:rPr>
        <w:t>——</w:t>
      </w:r>
      <w:r w:rsidR="00CF54DA" w:rsidRPr="005E3F14">
        <w:rPr>
          <w:spacing w:val="-4"/>
        </w:rPr>
        <w:t> </w:t>
      </w:r>
      <w:r w:rsidRPr="005E3F14">
        <w:rPr>
          <w:spacing w:val="-4"/>
        </w:rPr>
        <w:t xml:space="preserve">2019b, </w:t>
      </w:r>
      <w:r w:rsidRPr="005E3F14">
        <w:rPr>
          <w:i/>
          <w:iCs/>
          <w:spacing w:val="-4"/>
        </w:rPr>
        <w:t>Refund scheme for alcohol manufacturers</w:t>
      </w:r>
      <w:r w:rsidRPr="005E3F14">
        <w:rPr>
          <w:spacing w:val="-4"/>
        </w:rPr>
        <w:t>, www.ato.gov.au/Business/Excise-and-excise-equivalent-goods/In-detail/Refund-scheme-for-alcohol-manufacturers (accessed 5 February 2020).</w:t>
      </w:r>
    </w:p>
    <w:p w14:paraId="6B43ABA0" w14:textId="7A95AD0C" w:rsidR="00AC5385" w:rsidRPr="005E3F14" w:rsidRDefault="00CF54DA" w:rsidP="000B7FE2">
      <w:pPr>
        <w:pStyle w:val="Reference"/>
        <w:rPr>
          <w:spacing w:val="-4"/>
        </w:rPr>
      </w:pPr>
      <w:r w:rsidRPr="005E3F14">
        <w:rPr>
          <w:spacing w:val="-4"/>
        </w:rPr>
        <w:t>—— </w:t>
      </w:r>
      <w:r w:rsidR="00AC5385" w:rsidRPr="005E3F14">
        <w:rPr>
          <w:spacing w:val="-4"/>
        </w:rPr>
        <w:t xml:space="preserve">2020, </w:t>
      </w:r>
      <w:r w:rsidR="00AC5385" w:rsidRPr="005E3F14">
        <w:rPr>
          <w:i/>
          <w:iCs/>
          <w:spacing w:val="-4"/>
        </w:rPr>
        <w:t>Excise rates for alcohol</w:t>
      </w:r>
      <w:r w:rsidR="00AC5385" w:rsidRPr="005E3F14">
        <w:rPr>
          <w:spacing w:val="-4"/>
        </w:rPr>
        <w:t>, www.ato.gov.au/Business/Excise-and-excise-equivalent-goods/Alcohol-excise/Excise-rates-for-alcohol (accessed 31 January 2020).</w:t>
      </w:r>
    </w:p>
    <w:p w14:paraId="1E1C17E8" w14:textId="77777777" w:rsidR="00AC5385" w:rsidRPr="005E3F14" w:rsidRDefault="00AC5385" w:rsidP="000B7FE2">
      <w:pPr>
        <w:pStyle w:val="Reference"/>
        <w:rPr>
          <w:spacing w:val="-4"/>
        </w:rPr>
      </w:pPr>
      <w:r w:rsidRPr="005E3F14">
        <w:rPr>
          <w:spacing w:val="-4"/>
        </w:rPr>
        <w:t xml:space="preserve">Australian Government 2017, </w:t>
      </w:r>
      <w:r w:rsidRPr="005E3F14">
        <w:rPr>
          <w:i/>
          <w:iCs/>
          <w:spacing w:val="-4"/>
        </w:rPr>
        <w:t>About The Defence Industry</w:t>
      </w:r>
      <w:r w:rsidRPr="005E3F14">
        <w:rPr>
          <w:spacing w:val="-4"/>
        </w:rPr>
        <w:t>, www.defenceindustry.gov.au/about-defence-industry (accessed 13 February 2020).</w:t>
      </w:r>
    </w:p>
    <w:p w14:paraId="36CDDFA5" w14:textId="38CBC8CE" w:rsidR="00AC5385" w:rsidRPr="005E3F14" w:rsidRDefault="00CF54DA" w:rsidP="000B7FE2">
      <w:pPr>
        <w:pStyle w:val="Reference"/>
        <w:rPr>
          <w:spacing w:val="-4"/>
        </w:rPr>
      </w:pPr>
      <w:r w:rsidRPr="005E3F14">
        <w:rPr>
          <w:spacing w:val="-4"/>
        </w:rPr>
        <w:t>—— </w:t>
      </w:r>
      <w:r w:rsidR="00AC5385" w:rsidRPr="005E3F14">
        <w:rPr>
          <w:spacing w:val="-4"/>
        </w:rPr>
        <w:t xml:space="preserve">2018, </w:t>
      </w:r>
      <w:r w:rsidR="00AC5385" w:rsidRPr="005E3F14">
        <w:rPr>
          <w:i/>
          <w:iCs/>
          <w:spacing w:val="-4"/>
        </w:rPr>
        <w:t>Budget 2018-19 - Budget Paper No. 2</w:t>
      </w:r>
      <w:r w:rsidR="00AC5385" w:rsidRPr="005E3F14">
        <w:rPr>
          <w:spacing w:val="-4"/>
        </w:rPr>
        <w:t>, May.</w:t>
      </w:r>
    </w:p>
    <w:p w14:paraId="130997E8" w14:textId="5F6DFEBC" w:rsidR="00AC5385" w:rsidRPr="005E3F14" w:rsidRDefault="00CF54DA" w:rsidP="000B7FE2">
      <w:pPr>
        <w:pStyle w:val="Reference"/>
        <w:rPr>
          <w:spacing w:val="-4"/>
        </w:rPr>
      </w:pPr>
      <w:r w:rsidRPr="005E3F14">
        <w:rPr>
          <w:spacing w:val="-4"/>
        </w:rPr>
        <w:t>—— </w:t>
      </w:r>
      <w:r w:rsidR="00AC5385" w:rsidRPr="005E3F14">
        <w:rPr>
          <w:spacing w:val="-4"/>
        </w:rPr>
        <w:t xml:space="preserve">2019a, </w:t>
      </w:r>
      <w:r w:rsidR="00AC5385" w:rsidRPr="005E3F14">
        <w:rPr>
          <w:i/>
          <w:iCs/>
          <w:spacing w:val="-4"/>
        </w:rPr>
        <w:t>Budget 2019-20 - Budget Paper No. 2</w:t>
      </w:r>
      <w:r w:rsidR="00AC5385" w:rsidRPr="005E3F14">
        <w:rPr>
          <w:spacing w:val="-4"/>
        </w:rPr>
        <w:t>, April.</w:t>
      </w:r>
    </w:p>
    <w:p w14:paraId="72156663" w14:textId="5E5D3B41" w:rsidR="00AC5385" w:rsidRPr="005E3F14" w:rsidRDefault="00CF54DA" w:rsidP="000B7FE2">
      <w:pPr>
        <w:pStyle w:val="Reference"/>
        <w:rPr>
          <w:spacing w:val="-4"/>
        </w:rPr>
      </w:pPr>
      <w:r w:rsidRPr="005E3F14">
        <w:rPr>
          <w:spacing w:val="-4"/>
        </w:rPr>
        <w:lastRenderedPageBreak/>
        <w:t>—— </w:t>
      </w:r>
      <w:r w:rsidR="00AC5385" w:rsidRPr="005E3F14">
        <w:rPr>
          <w:spacing w:val="-4"/>
        </w:rPr>
        <w:t xml:space="preserve">2019b, </w:t>
      </w:r>
      <w:r w:rsidR="00AC5385" w:rsidRPr="005E3F14">
        <w:rPr>
          <w:i/>
          <w:iCs/>
          <w:spacing w:val="-4"/>
        </w:rPr>
        <w:t>Mid-Year Economic and Fiscal Outlook 2019-20</w:t>
      </w:r>
      <w:r w:rsidR="00AC5385" w:rsidRPr="005E3F14">
        <w:rPr>
          <w:spacing w:val="-4"/>
        </w:rPr>
        <w:t>, December.</w:t>
      </w:r>
    </w:p>
    <w:p w14:paraId="3A05CC44" w14:textId="64F966B9" w:rsidR="00AC5385" w:rsidRPr="005E3F14" w:rsidRDefault="00AC5385" w:rsidP="000B7FE2">
      <w:pPr>
        <w:pStyle w:val="Reference"/>
        <w:rPr>
          <w:spacing w:val="-4"/>
        </w:rPr>
      </w:pPr>
      <w:r w:rsidRPr="005E3F14">
        <w:rPr>
          <w:spacing w:val="-4"/>
        </w:rPr>
        <w:t xml:space="preserve">Beattie, A. 2019, ‘WTO to suffer heavy blow as US stymies appeals body’, </w:t>
      </w:r>
      <w:r w:rsidRPr="005E3F14">
        <w:rPr>
          <w:i/>
          <w:iCs/>
          <w:spacing w:val="-4"/>
        </w:rPr>
        <w:t>Financial Times</w:t>
      </w:r>
      <w:r w:rsidR="00E22700">
        <w:rPr>
          <w:spacing w:val="-4"/>
        </w:rPr>
        <w:t>, 8 </w:t>
      </w:r>
      <w:r w:rsidRPr="005E3F14">
        <w:rPr>
          <w:spacing w:val="-4"/>
        </w:rPr>
        <w:t>December.</w:t>
      </w:r>
    </w:p>
    <w:p w14:paraId="0B7A208D" w14:textId="77777777" w:rsidR="00AC5385" w:rsidRPr="005E3F14" w:rsidRDefault="00AC5385" w:rsidP="000B7FE2">
      <w:pPr>
        <w:pStyle w:val="Reference"/>
        <w:rPr>
          <w:spacing w:val="-4"/>
        </w:rPr>
      </w:pPr>
      <w:proofErr w:type="spellStart"/>
      <w:r w:rsidRPr="005E3F14">
        <w:rPr>
          <w:spacing w:val="-4"/>
        </w:rPr>
        <w:t>Berejiklian</w:t>
      </w:r>
      <w:proofErr w:type="spellEnd"/>
      <w:r w:rsidRPr="005E3F14">
        <w:rPr>
          <w:spacing w:val="-4"/>
        </w:rPr>
        <w:t xml:space="preserve">, G., </w:t>
      </w:r>
      <w:proofErr w:type="spellStart"/>
      <w:r w:rsidRPr="005E3F14">
        <w:rPr>
          <w:spacing w:val="-4"/>
        </w:rPr>
        <w:t>Barilaro</w:t>
      </w:r>
      <w:proofErr w:type="spellEnd"/>
      <w:r w:rsidRPr="005E3F14">
        <w:rPr>
          <w:spacing w:val="-4"/>
        </w:rPr>
        <w:t xml:space="preserve">, J. and Blair, N. 2019, </w:t>
      </w:r>
      <w:r w:rsidRPr="005E3F14">
        <w:rPr>
          <w:i/>
          <w:iCs/>
          <w:spacing w:val="-4"/>
        </w:rPr>
        <w:t>NSW Liberals &amp; Nationals boost drought support to $1.5 billion</w:t>
      </w:r>
      <w:r w:rsidRPr="005E3F14">
        <w:rPr>
          <w:spacing w:val="-4"/>
        </w:rPr>
        <w:t>, Media release, 13 February.</w:t>
      </w:r>
    </w:p>
    <w:p w14:paraId="673F7E83" w14:textId="77777777" w:rsidR="00AC5385" w:rsidRPr="005E3F14" w:rsidRDefault="00AC5385" w:rsidP="000B7FE2">
      <w:pPr>
        <w:pStyle w:val="Reference"/>
        <w:rPr>
          <w:spacing w:val="-4"/>
        </w:rPr>
      </w:pPr>
      <w:r w:rsidRPr="005E3F14">
        <w:rPr>
          <w:spacing w:val="-4"/>
        </w:rPr>
        <w:t xml:space="preserve">——, —— and </w:t>
      </w:r>
      <w:proofErr w:type="spellStart"/>
      <w:r w:rsidRPr="005E3F14">
        <w:rPr>
          <w:spacing w:val="-4"/>
        </w:rPr>
        <w:t>Perrottet</w:t>
      </w:r>
      <w:proofErr w:type="spellEnd"/>
      <w:r w:rsidRPr="005E3F14">
        <w:rPr>
          <w:spacing w:val="-4"/>
        </w:rPr>
        <w:t xml:space="preserve">, D. 2019, </w:t>
      </w:r>
      <w:r w:rsidRPr="005E3F14">
        <w:rPr>
          <w:i/>
          <w:iCs/>
          <w:spacing w:val="-4"/>
        </w:rPr>
        <w:t>NSW Budget: more support for farmers, economic stimulus for local communities</w:t>
      </w:r>
      <w:r w:rsidRPr="005E3F14">
        <w:rPr>
          <w:spacing w:val="-4"/>
        </w:rPr>
        <w:t>, Media release, 11 June.</w:t>
      </w:r>
    </w:p>
    <w:p w14:paraId="09E557C3" w14:textId="77777777" w:rsidR="00AC5385" w:rsidRPr="005E3F14" w:rsidRDefault="00AC5385" w:rsidP="000B7FE2">
      <w:pPr>
        <w:pStyle w:val="Reference"/>
        <w:rPr>
          <w:spacing w:val="-4"/>
        </w:rPr>
      </w:pPr>
      <w:proofErr w:type="spellStart"/>
      <w:r w:rsidRPr="005E3F14">
        <w:rPr>
          <w:spacing w:val="-4"/>
        </w:rPr>
        <w:t>Birkler</w:t>
      </w:r>
      <w:proofErr w:type="spellEnd"/>
      <w:r w:rsidRPr="005E3F14">
        <w:rPr>
          <w:spacing w:val="-4"/>
        </w:rPr>
        <w:t xml:space="preserve">, J., </w:t>
      </w:r>
      <w:proofErr w:type="spellStart"/>
      <w:r w:rsidRPr="005E3F14">
        <w:rPr>
          <w:spacing w:val="-4"/>
        </w:rPr>
        <w:t>Schank</w:t>
      </w:r>
      <w:proofErr w:type="spellEnd"/>
      <w:r w:rsidRPr="005E3F14">
        <w:rPr>
          <w:spacing w:val="-4"/>
        </w:rPr>
        <w:t xml:space="preserve">, J.F., Arena, M.V., Keating, E.G., </w:t>
      </w:r>
      <w:proofErr w:type="spellStart"/>
      <w:r w:rsidRPr="005E3F14">
        <w:rPr>
          <w:spacing w:val="-4"/>
        </w:rPr>
        <w:t>Predd</w:t>
      </w:r>
      <w:proofErr w:type="spellEnd"/>
      <w:r w:rsidRPr="005E3F14">
        <w:rPr>
          <w:spacing w:val="-4"/>
        </w:rPr>
        <w:t xml:space="preserve">, J.B., Black, J., </w:t>
      </w:r>
      <w:proofErr w:type="spellStart"/>
      <w:r w:rsidRPr="005E3F14">
        <w:rPr>
          <w:spacing w:val="-4"/>
        </w:rPr>
        <w:t>Danescu</w:t>
      </w:r>
      <w:proofErr w:type="spellEnd"/>
      <w:r w:rsidRPr="005E3F14">
        <w:rPr>
          <w:spacing w:val="-4"/>
        </w:rPr>
        <w:t xml:space="preserve">, I.E., Jenkins, D., </w:t>
      </w:r>
      <w:proofErr w:type="spellStart"/>
      <w:r w:rsidRPr="005E3F14">
        <w:rPr>
          <w:spacing w:val="-4"/>
        </w:rPr>
        <w:t>Kallimani</w:t>
      </w:r>
      <w:proofErr w:type="spellEnd"/>
      <w:r w:rsidRPr="005E3F14">
        <w:rPr>
          <w:spacing w:val="-4"/>
        </w:rPr>
        <w:t xml:space="preserve">, J.G., Lee, G.T., Lough, R., Murphy, R., Nicholls, D., </w:t>
      </w:r>
      <w:proofErr w:type="spellStart"/>
      <w:r w:rsidRPr="005E3F14">
        <w:rPr>
          <w:spacing w:val="-4"/>
        </w:rPr>
        <w:t>Persi</w:t>
      </w:r>
      <w:proofErr w:type="spellEnd"/>
      <w:r w:rsidRPr="005E3F14">
        <w:rPr>
          <w:spacing w:val="-4"/>
        </w:rPr>
        <w:t xml:space="preserve"> Paoli, G., </w:t>
      </w:r>
      <w:proofErr w:type="spellStart"/>
      <w:r w:rsidRPr="005E3F14">
        <w:rPr>
          <w:spacing w:val="-4"/>
        </w:rPr>
        <w:t>Peetz</w:t>
      </w:r>
      <w:proofErr w:type="spellEnd"/>
      <w:r w:rsidRPr="005E3F14">
        <w:rPr>
          <w:spacing w:val="-4"/>
        </w:rPr>
        <w:t xml:space="preserve">, D., </w:t>
      </w:r>
      <w:proofErr w:type="spellStart"/>
      <w:r w:rsidRPr="005E3F14">
        <w:rPr>
          <w:spacing w:val="-4"/>
        </w:rPr>
        <w:t>Perkinson</w:t>
      </w:r>
      <w:proofErr w:type="spellEnd"/>
      <w:r w:rsidRPr="005E3F14">
        <w:rPr>
          <w:spacing w:val="-4"/>
        </w:rPr>
        <w:t xml:space="preserve">, B., </w:t>
      </w:r>
      <w:proofErr w:type="spellStart"/>
      <w:r w:rsidRPr="005E3F14">
        <w:rPr>
          <w:spacing w:val="-4"/>
        </w:rPr>
        <w:t>Sollinger</w:t>
      </w:r>
      <w:proofErr w:type="spellEnd"/>
      <w:r w:rsidRPr="005E3F14">
        <w:rPr>
          <w:spacing w:val="-4"/>
        </w:rPr>
        <w:t xml:space="preserve">, J.M., Tierney, S. and </w:t>
      </w:r>
      <w:proofErr w:type="spellStart"/>
      <w:r w:rsidRPr="005E3F14">
        <w:rPr>
          <w:spacing w:val="-4"/>
        </w:rPr>
        <w:t>Younossi</w:t>
      </w:r>
      <w:proofErr w:type="spellEnd"/>
      <w:r w:rsidRPr="005E3F14">
        <w:rPr>
          <w:spacing w:val="-4"/>
        </w:rPr>
        <w:t xml:space="preserve">, O. 2015, </w:t>
      </w:r>
      <w:r w:rsidRPr="005E3F14">
        <w:rPr>
          <w:i/>
          <w:iCs/>
          <w:spacing w:val="-4"/>
        </w:rPr>
        <w:t>Australia’s Naval Shipbuilding Enterprise: Preparing for the 21st Century</w:t>
      </w:r>
      <w:r w:rsidRPr="005E3F14">
        <w:rPr>
          <w:spacing w:val="-4"/>
        </w:rPr>
        <w:t>, RAND Corporation.</w:t>
      </w:r>
    </w:p>
    <w:p w14:paraId="3E648418" w14:textId="021F730E" w:rsidR="00AC5385" w:rsidRPr="005E3F14" w:rsidRDefault="00AC5385" w:rsidP="000B7FE2">
      <w:pPr>
        <w:pStyle w:val="Reference"/>
        <w:rPr>
          <w:spacing w:val="-4"/>
        </w:rPr>
      </w:pPr>
      <w:r w:rsidRPr="005E3F14">
        <w:rPr>
          <w:spacing w:val="-4"/>
        </w:rPr>
        <w:t xml:space="preserve">Birmingham, S. 2019, </w:t>
      </w:r>
      <w:r w:rsidRPr="005E3F14">
        <w:rPr>
          <w:i/>
          <w:iCs/>
          <w:spacing w:val="-4"/>
        </w:rPr>
        <w:t>Enhancing Infrastructure in the Pacific</w:t>
      </w:r>
      <w:r w:rsidR="007F4DAF" w:rsidRPr="005E3F14">
        <w:rPr>
          <w:spacing w:val="-4"/>
        </w:rPr>
        <w:t>, Media release, 1 July</w:t>
      </w:r>
      <w:r w:rsidRPr="005E3F14">
        <w:rPr>
          <w:spacing w:val="-4"/>
        </w:rPr>
        <w:t>.</w:t>
      </w:r>
    </w:p>
    <w:p w14:paraId="312C65A9" w14:textId="77777777" w:rsidR="00AC5385" w:rsidRPr="005E3F14" w:rsidRDefault="00AC5385" w:rsidP="000B7FE2">
      <w:pPr>
        <w:pStyle w:val="Reference"/>
        <w:rPr>
          <w:spacing w:val="-4"/>
        </w:rPr>
      </w:pPr>
      <w:r w:rsidRPr="005E3F14">
        <w:rPr>
          <w:spacing w:val="-4"/>
        </w:rPr>
        <w:t xml:space="preserve">Bourke, R. 2019, </w:t>
      </w:r>
      <w:r w:rsidRPr="005E3F14">
        <w:rPr>
          <w:i/>
          <w:iCs/>
          <w:spacing w:val="-4"/>
        </w:rPr>
        <w:t>Defence projects and the economy</w:t>
      </w:r>
      <w:r w:rsidRPr="005E3F14">
        <w:rPr>
          <w:spacing w:val="-4"/>
        </w:rPr>
        <w:t>, Special Report, August, Australian Strategic Policy Institute.</w:t>
      </w:r>
    </w:p>
    <w:p w14:paraId="0F44CF2D" w14:textId="77777777" w:rsidR="00AC5385" w:rsidRPr="005E3F14" w:rsidRDefault="00AC5385" w:rsidP="000B7FE2">
      <w:pPr>
        <w:pStyle w:val="Reference"/>
        <w:rPr>
          <w:spacing w:val="-4"/>
        </w:rPr>
      </w:pPr>
      <w:proofErr w:type="spellStart"/>
      <w:r w:rsidRPr="005E3F14">
        <w:rPr>
          <w:spacing w:val="-4"/>
        </w:rPr>
        <w:t>Brunsden</w:t>
      </w:r>
      <w:proofErr w:type="spellEnd"/>
      <w:r w:rsidRPr="005E3F14">
        <w:rPr>
          <w:spacing w:val="-4"/>
        </w:rPr>
        <w:t xml:space="preserve">, J. 2020, ‘Brussels builds alliance to bypass US block on WTO judges’, </w:t>
      </w:r>
      <w:r w:rsidRPr="005E3F14">
        <w:rPr>
          <w:i/>
          <w:iCs/>
          <w:spacing w:val="-4"/>
        </w:rPr>
        <w:t>Financial Times</w:t>
      </w:r>
      <w:r w:rsidRPr="005E3F14">
        <w:rPr>
          <w:spacing w:val="-4"/>
        </w:rPr>
        <w:t>, 24 January.</w:t>
      </w:r>
    </w:p>
    <w:p w14:paraId="5DCCAF76" w14:textId="77777777" w:rsidR="00AC5385" w:rsidRPr="005E3F14" w:rsidRDefault="00AC5385" w:rsidP="000B7FE2">
      <w:pPr>
        <w:pStyle w:val="Reference"/>
        <w:rPr>
          <w:spacing w:val="-4"/>
        </w:rPr>
      </w:pPr>
      <w:r w:rsidRPr="005E3F14">
        <w:rPr>
          <w:spacing w:val="-4"/>
        </w:rPr>
        <w:t xml:space="preserve">Burgess, K. 2019, ‘Auditor-General urges review after Porter’s intervention on armoured vehicles’, </w:t>
      </w:r>
      <w:r w:rsidRPr="005E3F14">
        <w:rPr>
          <w:i/>
          <w:iCs/>
          <w:spacing w:val="-4"/>
        </w:rPr>
        <w:t>The Canberra Times</w:t>
      </w:r>
      <w:r w:rsidRPr="005E3F14">
        <w:rPr>
          <w:spacing w:val="-4"/>
        </w:rPr>
        <w:t>, 17 August.</w:t>
      </w:r>
    </w:p>
    <w:p w14:paraId="107431F7" w14:textId="41A68681" w:rsidR="00AC5385" w:rsidRPr="005E3F14" w:rsidRDefault="00AC5385" w:rsidP="000B7FE2">
      <w:pPr>
        <w:pStyle w:val="Reference"/>
        <w:rPr>
          <w:spacing w:val="-4"/>
        </w:rPr>
      </w:pPr>
      <w:proofErr w:type="spellStart"/>
      <w:r w:rsidRPr="005E3F14">
        <w:rPr>
          <w:spacing w:val="-4"/>
        </w:rPr>
        <w:t>Canavan</w:t>
      </w:r>
      <w:proofErr w:type="spellEnd"/>
      <w:r w:rsidRPr="005E3F14">
        <w:rPr>
          <w:spacing w:val="-4"/>
        </w:rPr>
        <w:t xml:space="preserve">, M. 2019, </w:t>
      </w:r>
      <w:r w:rsidRPr="005E3F14">
        <w:rPr>
          <w:i/>
          <w:iCs/>
          <w:spacing w:val="-4"/>
        </w:rPr>
        <w:t>Review of Northern Australia Infrastructure Facility</w:t>
      </w:r>
      <w:r w:rsidR="00E22700">
        <w:rPr>
          <w:spacing w:val="-4"/>
        </w:rPr>
        <w:t>, Media release, 8 </w:t>
      </w:r>
      <w:r w:rsidRPr="005E3F14">
        <w:rPr>
          <w:spacing w:val="-4"/>
        </w:rPr>
        <w:t>November.</w:t>
      </w:r>
    </w:p>
    <w:p w14:paraId="54AD7A04" w14:textId="6CEB986C" w:rsidR="00AC5385" w:rsidRPr="005E3F14" w:rsidRDefault="00AC5385" w:rsidP="000B7FE2">
      <w:pPr>
        <w:pStyle w:val="Reference"/>
        <w:rPr>
          <w:spacing w:val="-4"/>
        </w:rPr>
      </w:pPr>
      <w:r w:rsidRPr="005E3F14">
        <w:rPr>
          <w:spacing w:val="-4"/>
        </w:rPr>
        <w:t xml:space="preserve">——, Birmingham, S. and Reynolds, L. 2019, </w:t>
      </w:r>
      <w:r w:rsidRPr="005E3F14">
        <w:rPr>
          <w:i/>
          <w:iCs/>
          <w:spacing w:val="-4"/>
        </w:rPr>
        <w:t>New financing measures to help build critical minerals sector</w:t>
      </w:r>
      <w:r w:rsidRPr="005E3F14">
        <w:rPr>
          <w:spacing w:val="-4"/>
        </w:rPr>
        <w:t>, Media release, 14 November.</w:t>
      </w:r>
    </w:p>
    <w:p w14:paraId="1E2EC884" w14:textId="0A7D78EF" w:rsidR="00AC5385" w:rsidRPr="005E3F14" w:rsidRDefault="00AC5385" w:rsidP="000B7FE2">
      <w:pPr>
        <w:pStyle w:val="Reference"/>
        <w:rPr>
          <w:spacing w:val="-4"/>
        </w:rPr>
      </w:pPr>
      <w:r w:rsidRPr="005E3F14">
        <w:rPr>
          <w:spacing w:val="-4"/>
        </w:rPr>
        <w:t xml:space="preserve">CEFC (Clean Energy Finance Corporation) 2019, </w:t>
      </w:r>
      <w:r w:rsidRPr="005E3F14">
        <w:rPr>
          <w:i/>
          <w:iCs/>
          <w:spacing w:val="-4"/>
        </w:rPr>
        <w:t>CEFC welcomes announcement of $1 billion Grid Reliability Fund</w:t>
      </w:r>
      <w:r w:rsidRPr="005E3F14">
        <w:rPr>
          <w:spacing w:val="-4"/>
        </w:rPr>
        <w:t>, Media release, 30 October.</w:t>
      </w:r>
    </w:p>
    <w:p w14:paraId="03CF3A5C" w14:textId="77777777" w:rsidR="00AC5385" w:rsidRPr="005E3F14" w:rsidRDefault="00AC5385" w:rsidP="000B7FE2">
      <w:pPr>
        <w:pStyle w:val="Reference"/>
        <w:rPr>
          <w:spacing w:val="-4"/>
        </w:rPr>
      </w:pPr>
      <w:proofErr w:type="spellStart"/>
      <w:r w:rsidRPr="005E3F14">
        <w:rPr>
          <w:spacing w:val="-4"/>
        </w:rPr>
        <w:t>Cormann</w:t>
      </w:r>
      <w:proofErr w:type="spellEnd"/>
      <w:r w:rsidRPr="005E3F14">
        <w:rPr>
          <w:spacing w:val="-4"/>
        </w:rPr>
        <w:t xml:space="preserve">, M. 2017, </w:t>
      </w:r>
      <w:r w:rsidRPr="005E3F14">
        <w:rPr>
          <w:i/>
          <w:iCs/>
          <w:spacing w:val="-4"/>
        </w:rPr>
        <w:t>Treasury Laws Amendment (2017 Measures No. 4) Bill 2017</w:t>
      </w:r>
      <w:r w:rsidRPr="005E3F14">
        <w:rPr>
          <w:spacing w:val="-4"/>
        </w:rPr>
        <w:t>, Explanatory Memorandum.</w:t>
      </w:r>
    </w:p>
    <w:p w14:paraId="3FFE9D0F" w14:textId="77777777" w:rsidR="00AC5385" w:rsidRPr="005E3F14" w:rsidRDefault="00AC5385" w:rsidP="000B7FE2">
      <w:pPr>
        <w:pStyle w:val="Reference"/>
        <w:rPr>
          <w:spacing w:val="-4"/>
        </w:rPr>
      </w:pPr>
      <w:r w:rsidRPr="005E3F14">
        <w:rPr>
          <w:spacing w:val="-4"/>
        </w:rPr>
        <w:t xml:space="preserve">Davies, A. and Layton, P. 2009, </w:t>
      </w:r>
      <w:r w:rsidRPr="005E3F14">
        <w:rPr>
          <w:i/>
          <w:iCs/>
          <w:spacing w:val="-4"/>
        </w:rPr>
        <w:t>We’ll have six of them and four of those: Off-the-shelf procurement and its strategic implications</w:t>
      </w:r>
      <w:r w:rsidRPr="005E3F14">
        <w:rPr>
          <w:spacing w:val="-4"/>
        </w:rPr>
        <w:t>, November, Special Report Issue 25, Australian Strategic Policy Institute.</w:t>
      </w:r>
    </w:p>
    <w:p w14:paraId="25DC26C9" w14:textId="77777777" w:rsidR="00AC5385" w:rsidRPr="005E3F14" w:rsidRDefault="00AC5385" w:rsidP="000B7FE2">
      <w:pPr>
        <w:pStyle w:val="Reference"/>
        <w:rPr>
          <w:spacing w:val="-4"/>
        </w:rPr>
      </w:pPr>
      <w:r w:rsidRPr="005E3F14">
        <w:rPr>
          <w:spacing w:val="-4"/>
        </w:rPr>
        <w:t xml:space="preserve">Deloitte Access Economics 2016, </w:t>
      </w:r>
      <w:r w:rsidRPr="005E3F14">
        <w:rPr>
          <w:i/>
          <w:iCs/>
          <w:spacing w:val="-4"/>
        </w:rPr>
        <w:t>What are our stories worth? Measuring the economic and cultural value of Australia’s screen sector</w:t>
      </w:r>
      <w:r w:rsidRPr="005E3F14">
        <w:rPr>
          <w:spacing w:val="-4"/>
        </w:rPr>
        <w:t>.</w:t>
      </w:r>
    </w:p>
    <w:p w14:paraId="09C8BACC" w14:textId="77777777" w:rsidR="00AC5385" w:rsidRPr="005E3F14" w:rsidRDefault="00AC5385" w:rsidP="000B7FE2">
      <w:pPr>
        <w:pStyle w:val="Reference"/>
        <w:rPr>
          <w:spacing w:val="-4"/>
        </w:rPr>
      </w:pPr>
      <w:r w:rsidRPr="005E3F14">
        <w:rPr>
          <w:spacing w:val="-4"/>
        </w:rPr>
        <w:t xml:space="preserve">DFAT (Department of Foreign Affairs and Trade) 2020a, </w:t>
      </w:r>
      <w:r w:rsidRPr="005E3F14">
        <w:rPr>
          <w:i/>
          <w:iCs/>
          <w:spacing w:val="-4"/>
        </w:rPr>
        <w:t>Australia’s Free Trade Agreements (FTAs)</w:t>
      </w:r>
      <w:r w:rsidRPr="005E3F14">
        <w:rPr>
          <w:spacing w:val="-4"/>
        </w:rPr>
        <w:t>, www.dfat.gov.au/trade/agreements/Pages/trade-agreements (accessed 3 February 2020).</w:t>
      </w:r>
    </w:p>
    <w:p w14:paraId="74B2EC6A" w14:textId="2C82EBD7" w:rsidR="00AC5385" w:rsidRPr="005E3F14" w:rsidRDefault="00CF54DA" w:rsidP="000B7FE2">
      <w:pPr>
        <w:pStyle w:val="Reference"/>
        <w:rPr>
          <w:spacing w:val="-4"/>
        </w:rPr>
      </w:pPr>
      <w:r w:rsidRPr="005E3F14">
        <w:rPr>
          <w:spacing w:val="-4"/>
        </w:rPr>
        <w:t>—— </w:t>
      </w:r>
      <w:r w:rsidR="00AC5385" w:rsidRPr="005E3F14">
        <w:rPr>
          <w:spacing w:val="-4"/>
        </w:rPr>
        <w:t xml:space="preserve">2020b, </w:t>
      </w:r>
      <w:r w:rsidR="00AC5385" w:rsidRPr="005E3F14">
        <w:rPr>
          <w:i/>
          <w:iCs/>
          <w:spacing w:val="-4"/>
        </w:rPr>
        <w:t>Environmental Goods Agreement (EGA)</w:t>
      </w:r>
      <w:r w:rsidR="00AC5385" w:rsidRPr="005E3F14">
        <w:rPr>
          <w:spacing w:val="-4"/>
        </w:rPr>
        <w:t>, www.dfat.gov.au/trade/organisations/</w:t>
      </w:r>
      <w:r w:rsidR="00E22700">
        <w:rPr>
          <w:spacing w:val="-4"/>
        </w:rPr>
        <w:br/>
      </w:r>
      <w:proofErr w:type="spellStart"/>
      <w:r w:rsidR="00AC5385" w:rsidRPr="005E3F14">
        <w:rPr>
          <w:spacing w:val="-4"/>
        </w:rPr>
        <w:t>wto</w:t>
      </w:r>
      <w:proofErr w:type="spellEnd"/>
      <w:r w:rsidR="00AC5385" w:rsidRPr="005E3F14">
        <w:rPr>
          <w:spacing w:val="-4"/>
        </w:rPr>
        <w:t>/negotiations/</w:t>
      </w:r>
      <w:proofErr w:type="spellStart"/>
      <w:r w:rsidR="00AC5385" w:rsidRPr="005E3F14">
        <w:rPr>
          <w:spacing w:val="-4"/>
        </w:rPr>
        <w:t>ega</w:t>
      </w:r>
      <w:proofErr w:type="spellEnd"/>
      <w:r w:rsidR="00AC5385" w:rsidRPr="005E3F14">
        <w:rPr>
          <w:spacing w:val="-4"/>
        </w:rPr>
        <w:t>/Pages/environmental-goods-agreement (accessed 15 April 2020).</w:t>
      </w:r>
    </w:p>
    <w:p w14:paraId="0F248337" w14:textId="6AF77F87" w:rsidR="00AC5385" w:rsidRPr="005E3F14" w:rsidRDefault="00CF54DA" w:rsidP="000B7FE2">
      <w:pPr>
        <w:pStyle w:val="Reference"/>
        <w:rPr>
          <w:spacing w:val="-4"/>
        </w:rPr>
      </w:pPr>
      <w:r w:rsidRPr="005E3F14">
        <w:rPr>
          <w:spacing w:val="-4"/>
        </w:rPr>
        <w:lastRenderedPageBreak/>
        <w:t>—— </w:t>
      </w:r>
      <w:r w:rsidR="00AC5385" w:rsidRPr="005E3F14">
        <w:rPr>
          <w:spacing w:val="-4"/>
        </w:rPr>
        <w:t xml:space="preserve">2020c, </w:t>
      </w:r>
      <w:r w:rsidR="00AC5385" w:rsidRPr="005E3F14">
        <w:rPr>
          <w:i/>
          <w:iCs/>
          <w:spacing w:val="-4"/>
        </w:rPr>
        <w:t>Regional Comprehensive Economic Partnership</w:t>
      </w:r>
      <w:r w:rsidR="00AC5385" w:rsidRPr="005E3F14">
        <w:rPr>
          <w:spacing w:val="-4"/>
        </w:rPr>
        <w:t>, www.dfat.gov.au/trade/</w:t>
      </w:r>
      <w:r w:rsidR="00E22700">
        <w:rPr>
          <w:spacing w:val="-4"/>
        </w:rPr>
        <w:br/>
      </w:r>
      <w:r w:rsidR="00AC5385" w:rsidRPr="005E3F14">
        <w:rPr>
          <w:spacing w:val="-4"/>
        </w:rPr>
        <w:t>agreements/negotiations/rcep/Pages/regional-comprehensive-economic-partnership (accessed 15 April 2020).</w:t>
      </w:r>
    </w:p>
    <w:p w14:paraId="06CA8D41" w14:textId="33E44C90" w:rsidR="00AC5385" w:rsidRPr="005E3F14" w:rsidRDefault="00CF54DA" w:rsidP="000B7FE2">
      <w:pPr>
        <w:pStyle w:val="Reference"/>
        <w:rPr>
          <w:spacing w:val="-4"/>
        </w:rPr>
      </w:pPr>
      <w:r w:rsidRPr="005E3F14">
        <w:rPr>
          <w:spacing w:val="-4"/>
        </w:rPr>
        <w:t>—— </w:t>
      </w:r>
      <w:r w:rsidR="00AC5385" w:rsidRPr="005E3F14">
        <w:rPr>
          <w:spacing w:val="-4"/>
        </w:rPr>
        <w:t xml:space="preserve">2020d, </w:t>
      </w:r>
      <w:r w:rsidR="00AC5385" w:rsidRPr="005E3F14">
        <w:rPr>
          <w:i/>
          <w:iCs/>
          <w:spacing w:val="-4"/>
        </w:rPr>
        <w:t>Trade in Services Agreement (</w:t>
      </w:r>
      <w:proofErr w:type="spellStart"/>
      <w:r w:rsidR="00AC5385" w:rsidRPr="005E3F14">
        <w:rPr>
          <w:i/>
          <w:iCs/>
          <w:spacing w:val="-4"/>
        </w:rPr>
        <w:t>TiSA</w:t>
      </w:r>
      <w:proofErr w:type="spellEnd"/>
      <w:r w:rsidR="00AC5385" w:rsidRPr="005E3F14">
        <w:rPr>
          <w:i/>
          <w:iCs/>
          <w:spacing w:val="-4"/>
        </w:rPr>
        <w:t>)</w:t>
      </w:r>
      <w:r w:rsidR="00AC5385" w:rsidRPr="005E3F14">
        <w:rPr>
          <w:spacing w:val="-4"/>
        </w:rPr>
        <w:t>, www.dfat.gov.au/trade/agreements/</w:t>
      </w:r>
      <w:r w:rsidR="00E22700">
        <w:rPr>
          <w:spacing w:val="-4"/>
        </w:rPr>
        <w:br/>
      </w:r>
      <w:r w:rsidR="00AC5385" w:rsidRPr="005E3F14">
        <w:rPr>
          <w:spacing w:val="-4"/>
        </w:rPr>
        <w:t>negotiations/</w:t>
      </w:r>
      <w:proofErr w:type="spellStart"/>
      <w:r w:rsidR="00AC5385" w:rsidRPr="005E3F14">
        <w:rPr>
          <w:spacing w:val="-4"/>
        </w:rPr>
        <w:t>tisa</w:t>
      </w:r>
      <w:proofErr w:type="spellEnd"/>
      <w:r w:rsidR="00AC5385" w:rsidRPr="005E3F14">
        <w:rPr>
          <w:spacing w:val="-4"/>
        </w:rPr>
        <w:t>/Pages/trade-in-services-agreement (accessed 15 April 2020).</w:t>
      </w:r>
    </w:p>
    <w:p w14:paraId="2399B9E7" w14:textId="77777777" w:rsidR="00AC5385" w:rsidRPr="005E3F14" w:rsidRDefault="00AC5385" w:rsidP="000B7FE2">
      <w:pPr>
        <w:pStyle w:val="Reference"/>
        <w:rPr>
          <w:spacing w:val="-4"/>
        </w:rPr>
      </w:pPr>
      <w:r w:rsidRPr="005E3F14">
        <w:rPr>
          <w:spacing w:val="-4"/>
        </w:rPr>
        <w:t xml:space="preserve">DIIS (Department of Industry, Innovation and Science) 2019, </w:t>
      </w:r>
      <w:r w:rsidRPr="005E3F14">
        <w:rPr>
          <w:i/>
          <w:iCs/>
          <w:spacing w:val="-4"/>
        </w:rPr>
        <w:t>Statutory Review of the Northern Australia Infrastructure Facility Act 2016</w:t>
      </w:r>
      <w:r w:rsidRPr="005E3F14">
        <w:rPr>
          <w:spacing w:val="-4"/>
        </w:rPr>
        <w:t>, Issues Paper, November.</w:t>
      </w:r>
    </w:p>
    <w:p w14:paraId="5B7D8ABD" w14:textId="77777777" w:rsidR="00AC5385" w:rsidRPr="005E3F14" w:rsidRDefault="00AC5385" w:rsidP="000B7FE2">
      <w:pPr>
        <w:pStyle w:val="Reference"/>
        <w:rPr>
          <w:spacing w:val="-4"/>
        </w:rPr>
      </w:pPr>
      <w:r w:rsidRPr="005E3F14">
        <w:rPr>
          <w:spacing w:val="-4"/>
        </w:rPr>
        <w:t xml:space="preserve">DISER (Department of Industry, Science Energy and Resources) 2019, </w:t>
      </w:r>
      <w:r w:rsidRPr="005E3F14">
        <w:rPr>
          <w:i/>
          <w:iCs/>
          <w:spacing w:val="-4"/>
        </w:rPr>
        <w:t>Anti-dumping and countervailing system</w:t>
      </w:r>
      <w:r w:rsidRPr="005E3F14">
        <w:rPr>
          <w:spacing w:val="-4"/>
        </w:rPr>
        <w:t>, www.industry.gov.au/regulations-and-standards/anti-dumping-and-countervailing-system (accessed 15 April 2020).</w:t>
      </w:r>
    </w:p>
    <w:p w14:paraId="7A405ADC" w14:textId="77777777" w:rsidR="00AC5385" w:rsidRPr="005E3F14" w:rsidRDefault="00AC5385" w:rsidP="000B7FE2">
      <w:pPr>
        <w:pStyle w:val="Reference"/>
        <w:rPr>
          <w:spacing w:val="-4"/>
        </w:rPr>
      </w:pPr>
      <w:proofErr w:type="spellStart"/>
      <w:r w:rsidRPr="005E3F14">
        <w:rPr>
          <w:spacing w:val="-4"/>
        </w:rPr>
        <w:t>DoD</w:t>
      </w:r>
      <w:proofErr w:type="spellEnd"/>
      <w:r w:rsidRPr="005E3F14">
        <w:rPr>
          <w:spacing w:val="-4"/>
        </w:rPr>
        <w:t xml:space="preserve"> (Department of Defence) 2017, </w:t>
      </w:r>
      <w:r w:rsidRPr="005E3F14">
        <w:rPr>
          <w:i/>
          <w:iCs/>
          <w:spacing w:val="-4"/>
        </w:rPr>
        <w:t>Naval Shipbuilding Plan</w:t>
      </w:r>
      <w:r w:rsidRPr="005E3F14">
        <w:rPr>
          <w:spacing w:val="-4"/>
        </w:rPr>
        <w:t>, May.</w:t>
      </w:r>
    </w:p>
    <w:p w14:paraId="11EAA0D6" w14:textId="727B87CB" w:rsidR="00AC5385" w:rsidRPr="005E3F14" w:rsidRDefault="00CF54DA" w:rsidP="000B7FE2">
      <w:pPr>
        <w:pStyle w:val="Reference"/>
        <w:rPr>
          <w:spacing w:val="-4"/>
        </w:rPr>
      </w:pPr>
      <w:r w:rsidRPr="005E3F14">
        <w:rPr>
          <w:spacing w:val="-4"/>
        </w:rPr>
        <w:t>—— </w:t>
      </w:r>
      <w:r w:rsidR="00AC5385" w:rsidRPr="005E3F14">
        <w:rPr>
          <w:spacing w:val="-4"/>
        </w:rPr>
        <w:t xml:space="preserve">2018, </w:t>
      </w:r>
      <w:r w:rsidR="00AC5385" w:rsidRPr="005E3F14">
        <w:rPr>
          <w:i/>
          <w:iCs/>
          <w:spacing w:val="-4"/>
        </w:rPr>
        <w:t>Defence Industrial Capability Plan</w:t>
      </w:r>
      <w:r w:rsidR="00AC5385" w:rsidRPr="005E3F14">
        <w:rPr>
          <w:spacing w:val="-4"/>
        </w:rPr>
        <w:t>, April.</w:t>
      </w:r>
    </w:p>
    <w:p w14:paraId="7128EF68" w14:textId="0E4D438E" w:rsidR="00AC5385" w:rsidRPr="005E3F14" w:rsidRDefault="00AC5385" w:rsidP="000B7FE2">
      <w:pPr>
        <w:pStyle w:val="Reference"/>
        <w:rPr>
          <w:spacing w:val="-4"/>
        </w:rPr>
      </w:pPr>
      <w:proofErr w:type="spellStart"/>
      <w:r w:rsidRPr="005E3F14">
        <w:rPr>
          <w:spacing w:val="-4"/>
        </w:rPr>
        <w:t>Frydenberg</w:t>
      </w:r>
      <w:proofErr w:type="spellEnd"/>
      <w:r w:rsidRPr="005E3F14">
        <w:rPr>
          <w:spacing w:val="-4"/>
        </w:rPr>
        <w:t xml:space="preserve">, J. and Cash, M. 2019a, </w:t>
      </w:r>
      <w:r w:rsidRPr="005E3F14">
        <w:rPr>
          <w:i/>
          <w:iCs/>
          <w:spacing w:val="-4"/>
        </w:rPr>
        <w:t>Agreement to Establish the $540 Million Australian Business Growth Fund</w:t>
      </w:r>
      <w:r w:rsidRPr="005E3F14">
        <w:rPr>
          <w:spacing w:val="-4"/>
        </w:rPr>
        <w:t>, Media release, 28 November.</w:t>
      </w:r>
    </w:p>
    <w:p w14:paraId="4A75556D" w14:textId="7C49E87C" w:rsidR="00AC5385" w:rsidRPr="005E3F14" w:rsidRDefault="00CF54DA" w:rsidP="000B7FE2">
      <w:pPr>
        <w:pStyle w:val="Reference"/>
        <w:rPr>
          <w:spacing w:val="-4"/>
        </w:rPr>
      </w:pPr>
      <w:r w:rsidRPr="005E3F14">
        <w:rPr>
          <w:spacing w:val="-4"/>
        </w:rPr>
        <w:t>—— and —— </w:t>
      </w:r>
      <w:r w:rsidR="00AC5385" w:rsidRPr="005E3F14">
        <w:rPr>
          <w:spacing w:val="-4"/>
        </w:rPr>
        <w:t xml:space="preserve">2019b, </w:t>
      </w:r>
      <w:r w:rsidR="00AC5385" w:rsidRPr="005E3F14">
        <w:rPr>
          <w:i/>
          <w:iCs/>
          <w:spacing w:val="-4"/>
        </w:rPr>
        <w:t>Introducing legislation to establish the Australian Business Growth Fund</w:t>
      </w:r>
      <w:r w:rsidR="00AC5385" w:rsidRPr="005E3F14">
        <w:rPr>
          <w:spacing w:val="-4"/>
        </w:rPr>
        <w:t>, Media release, 5 December.</w:t>
      </w:r>
    </w:p>
    <w:p w14:paraId="125B1F20" w14:textId="77777777" w:rsidR="00AC5385" w:rsidRPr="005E3F14" w:rsidRDefault="00AC5385" w:rsidP="000B7FE2">
      <w:pPr>
        <w:pStyle w:val="Reference"/>
        <w:rPr>
          <w:spacing w:val="-4"/>
        </w:rPr>
      </w:pPr>
      <w:r w:rsidRPr="005E3F14">
        <w:rPr>
          <w:spacing w:val="-4"/>
        </w:rPr>
        <w:t xml:space="preserve">Furner, M. 2019, </w:t>
      </w:r>
      <w:r w:rsidRPr="005E3F14">
        <w:rPr>
          <w:i/>
          <w:iCs/>
          <w:spacing w:val="-4"/>
        </w:rPr>
        <w:t>Drought takes toll, but agriculture remains key economic pillar</w:t>
      </w:r>
      <w:r w:rsidRPr="005E3F14">
        <w:rPr>
          <w:spacing w:val="-4"/>
        </w:rPr>
        <w:t>, Media release, 5 December.</w:t>
      </w:r>
    </w:p>
    <w:p w14:paraId="7B9922C4" w14:textId="09CF17B6" w:rsidR="00A1455B" w:rsidRPr="005E3F14" w:rsidRDefault="00A1455B" w:rsidP="000B7FE2">
      <w:pPr>
        <w:pStyle w:val="Reference"/>
        <w:rPr>
          <w:spacing w:val="-4"/>
        </w:rPr>
      </w:pPr>
      <w:proofErr w:type="spellStart"/>
      <w:r w:rsidRPr="005E3F14">
        <w:rPr>
          <w:spacing w:val="-4"/>
        </w:rPr>
        <w:t>Grigg</w:t>
      </w:r>
      <w:proofErr w:type="spellEnd"/>
      <w:r w:rsidRPr="005E3F14">
        <w:rPr>
          <w:spacing w:val="-4"/>
        </w:rPr>
        <w:t xml:space="preserve">, A. and </w:t>
      </w:r>
      <w:proofErr w:type="spellStart"/>
      <w:r w:rsidRPr="005E3F14">
        <w:rPr>
          <w:spacing w:val="-4"/>
        </w:rPr>
        <w:t>Seo</w:t>
      </w:r>
      <w:proofErr w:type="spellEnd"/>
      <w:r w:rsidRPr="005E3F14">
        <w:rPr>
          <w:spacing w:val="-4"/>
        </w:rPr>
        <w:t xml:space="preserve">, B. 2019, ‘Australia suffers </w:t>
      </w:r>
      <w:r w:rsidR="007F4DAF" w:rsidRPr="005E3F14">
        <w:rPr>
          <w:spacing w:val="-4"/>
        </w:rPr>
        <w:t>embarrassing</w:t>
      </w:r>
      <w:r w:rsidRPr="005E3F14">
        <w:rPr>
          <w:spacing w:val="-4"/>
        </w:rPr>
        <w:t xml:space="preserve"> WTO defeat’, </w:t>
      </w:r>
      <w:r w:rsidRPr="005E3F14">
        <w:rPr>
          <w:i/>
          <w:iCs/>
          <w:spacing w:val="-4"/>
        </w:rPr>
        <w:t>Australian Financial Review</w:t>
      </w:r>
      <w:r w:rsidRPr="005E3F14">
        <w:rPr>
          <w:spacing w:val="-4"/>
        </w:rPr>
        <w:t>, 12 December.</w:t>
      </w:r>
    </w:p>
    <w:p w14:paraId="4CC5D103" w14:textId="77777777" w:rsidR="00AC5385" w:rsidRPr="005E3F14" w:rsidRDefault="00AC5385" w:rsidP="000B7FE2">
      <w:pPr>
        <w:pStyle w:val="Reference"/>
        <w:rPr>
          <w:spacing w:val="-4"/>
        </w:rPr>
      </w:pPr>
      <w:proofErr w:type="spellStart"/>
      <w:r w:rsidRPr="005E3F14">
        <w:rPr>
          <w:spacing w:val="-4"/>
        </w:rPr>
        <w:t>Hellyer</w:t>
      </w:r>
      <w:proofErr w:type="spellEnd"/>
      <w:r w:rsidRPr="005E3F14">
        <w:rPr>
          <w:spacing w:val="-4"/>
        </w:rPr>
        <w:t xml:space="preserve">, M. 2019, </w:t>
      </w:r>
      <w:r w:rsidRPr="005E3F14">
        <w:rPr>
          <w:i/>
          <w:iCs/>
          <w:spacing w:val="-4"/>
        </w:rPr>
        <w:t>The Cost of Defence: ASPI Defence Budget Brief 2019-2020</w:t>
      </w:r>
      <w:r w:rsidRPr="005E3F14">
        <w:rPr>
          <w:spacing w:val="-4"/>
        </w:rPr>
        <w:t>, June, Australian Strategic Policy Institute.</w:t>
      </w:r>
    </w:p>
    <w:p w14:paraId="5BF03761" w14:textId="77777777" w:rsidR="00AC5385" w:rsidRPr="005E3F14" w:rsidRDefault="00AC5385" w:rsidP="000B7FE2">
      <w:pPr>
        <w:pStyle w:val="Reference"/>
        <w:rPr>
          <w:spacing w:val="-4"/>
        </w:rPr>
      </w:pPr>
      <w:r w:rsidRPr="005E3F14">
        <w:rPr>
          <w:spacing w:val="-4"/>
        </w:rPr>
        <w:t xml:space="preserve">IC (Industry Commission) 1995, </w:t>
      </w:r>
      <w:proofErr w:type="spellStart"/>
      <w:r w:rsidRPr="005E3F14">
        <w:rPr>
          <w:i/>
          <w:iCs/>
          <w:spacing w:val="-4"/>
        </w:rPr>
        <w:t>Winegrape</w:t>
      </w:r>
      <w:proofErr w:type="spellEnd"/>
      <w:r w:rsidRPr="005E3F14">
        <w:rPr>
          <w:i/>
          <w:iCs/>
          <w:spacing w:val="-4"/>
        </w:rPr>
        <w:t xml:space="preserve"> and Wine Industry in Australia</w:t>
      </w:r>
      <w:r w:rsidRPr="005E3F14">
        <w:rPr>
          <w:spacing w:val="-4"/>
        </w:rPr>
        <w:t>, Final report, June.</w:t>
      </w:r>
    </w:p>
    <w:p w14:paraId="29897588" w14:textId="68CD6021" w:rsidR="00AC5385" w:rsidRPr="005E3F14" w:rsidRDefault="00AC5385" w:rsidP="000B7FE2">
      <w:pPr>
        <w:pStyle w:val="Reference"/>
        <w:rPr>
          <w:spacing w:val="-4"/>
        </w:rPr>
      </w:pPr>
      <w:proofErr w:type="spellStart"/>
      <w:r w:rsidRPr="005E3F14">
        <w:rPr>
          <w:spacing w:val="-4"/>
        </w:rPr>
        <w:t>Littleproud</w:t>
      </w:r>
      <w:proofErr w:type="spellEnd"/>
      <w:r w:rsidRPr="005E3F14">
        <w:rPr>
          <w:spacing w:val="-4"/>
        </w:rPr>
        <w:t xml:space="preserve">, D. 2019, </w:t>
      </w:r>
      <w:r w:rsidRPr="005E3F14">
        <w:rPr>
          <w:i/>
          <w:iCs/>
          <w:spacing w:val="-4"/>
        </w:rPr>
        <w:t>Fighting drought with Water for Fodder</w:t>
      </w:r>
      <w:r w:rsidRPr="005E3F14">
        <w:rPr>
          <w:spacing w:val="-4"/>
        </w:rPr>
        <w:t>, Media release, 1 December.</w:t>
      </w:r>
    </w:p>
    <w:p w14:paraId="196EAE76" w14:textId="10D15104" w:rsidR="00AC5385" w:rsidRPr="005E3F14" w:rsidRDefault="00AC5385" w:rsidP="000B7FE2">
      <w:pPr>
        <w:pStyle w:val="Reference"/>
        <w:rPr>
          <w:spacing w:val="-4"/>
        </w:rPr>
      </w:pPr>
      <w:r w:rsidRPr="005E3F14">
        <w:rPr>
          <w:spacing w:val="-4"/>
        </w:rPr>
        <w:t xml:space="preserve">McCormack, M. and </w:t>
      </w:r>
      <w:proofErr w:type="spellStart"/>
      <w:r w:rsidRPr="005E3F14">
        <w:rPr>
          <w:spacing w:val="-4"/>
        </w:rPr>
        <w:t>O’Dwyer</w:t>
      </w:r>
      <w:proofErr w:type="spellEnd"/>
      <w:r w:rsidRPr="005E3F14">
        <w:rPr>
          <w:spacing w:val="-4"/>
        </w:rPr>
        <w:t xml:space="preserve">, K. 2017, </w:t>
      </w:r>
      <w:r w:rsidRPr="005E3F14">
        <w:rPr>
          <w:i/>
          <w:iCs/>
          <w:spacing w:val="-4"/>
        </w:rPr>
        <w:t>Excise refund scheme for distillers</w:t>
      </w:r>
      <w:r w:rsidR="00E22700">
        <w:rPr>
          <w:spacing w:val="-4"/>
        </w:rPr>
        <w:t>, Media release, 21 </w:t>
      </w:r>
      <w:r w:rsidRPr="005E3F14">
        <w:rPr>
          <w:spacing w:val="-4"/>
        </w:rPr>
        <w:t>July.</w:t>
      </w:r>
    </w:p>
    <w:p w14:paraId="4627A65B" w14:textId="77777777" w:rsidR="00AC5385" w:rsidRPr="005E3F14" w:rsidRDefault="00AC5385" w:rsidP="000B7FE2">
      <w:pPr>
        <w:pStyle w:val="Reference"/>
        <w:rPr>
          <w:spacing w:val="-4"/>
        </w:rPr>
      </w:pPr>
      <w:r w:rsidRPr="005E3F14">
        <w:rPr>
          <w:spacing w:val="-4"/>
        </w:rPr>
        <w:t xml:space="preserve">McKenzie, B. 2019, </w:t>
      </w:r>
      <w:r w:rsidRPr="005E3F14">
        <w:rPr>
          <w:i/>
          <w:iCs/>
          <w:spacing w:val="-4"/>
        </w:rPr>
        <w:t>Drought assistance extended to help more communities in need</w:t>
      </w:r>
      <w:r w:rsidRPr="005E3F14">
        <w:rPr>
          <w:spacing w:val="-4"/>
        </w:rPr>
        <w:t>, Media release, 27 March.</w:t>
      </w:r>
    </w:p>
    <w:p w14:paraId="7A25C174" w14:textId="5A0F62E0" w:rsidR="00AC5385" w:rsidRPr="005E3F14" w:rsidRDefault="00AC5385" w:rsidP="000B7FE2">
      <w:pPr>
        <w:pStyle w:val="Reference"/>
        <w:rPr>
          <w:spacing w:val="-4"/>
        </w:rPr>
      </w:pPr>
      <w:r w:rsidRPr="005E3F14">
        <w:rPr>
          <w:spacing w:val="-4"/>
        </w:rPr>
        <w:t xml:space="preserve">Morrison, S. 2019a, </w:t>
      </w:r>
      <w:r w:rsidRPr="005E3F14">
        <w:rPr>
          <w:i/>
          <w:iCs/>
          <w:spacing w:val="-4"/>
        </w:rPr>
        <w:t>$300 million to help Northern Queensland farmers get back to business faster</w:t>
      </w:r>
      <w:r w:rsidRPr="005E3F14">
        <w:rPr>
          <w:spacing w:val="-4"/>
        </w:rPr>
        <w:t>.</w:t>
      </w:r>
    </w:p>
    <w:p w14:paraId="157B7B86" w14:textId="435BE41C" w:rsidR="00AC5385" w:rsidRPr="005E3F14" w:rsidRDefault="00CF54DA" w:rsidP="000B7FE2">
      <w:pPr>
        <w:pStyle w:val="Reference"/>
        <w:rPr>
          <w:spacing w:val="-4"/>
        </w:rPr>
      </w:pPr>
      <w:r w:rsidRPr="005E3F14">
        <w:rPr>
          <w:spacing w:val="-4"/>
        </w:rPr>
        <w:t>—— </w:t>
      </w:r>
      <w:r w:rsidR="00AC5385" w:rsidRPr="005E3F14">
        <w:rPr>
          <w:spacing w:val="-4"/>
        </w:rPr>
        <w:t xml:space="preserve">2019b, </w:t>
      </w:r>
      <w:r w:rsidR="00AC5385" w:rsidRPr="005E3F14">
        <w:rPr>
          <w:i/>
          <w:iCs/>
          <w:spacing w:val="-4"/>
        </w:rPr>
        <w:t>Rebuilding North Queensland’s livestock industry</w:t>
      </w:r>
      <w:r w:rsidR="00AC5385" w:rsidRPr="005E3F14">
        <w:rPr>
          <w:spacing w:val="-4"/>
        </w:rPr>
        <w:t>, Media release, 1 March.</w:t>
      </w:r>
    </w:p>
    <w:p w14:paraId="3D3E8B3D" w14:textId="65EDF568" w:rsidR="00AC5385" w:rsidRPr="005E3F14" w:rsidRDefault="00AC5385" w:rsidP="000B7FE2">
      <w:pPr>
        <w:pStyle w:val="Reference"/>
        <w:rPr>
          <w:spacing w:val="-4"/>
        </w:rPr>
      </w:pPr>
      <w:r w:rsidRPr="005E3F14">
        <w:rPr>
          <w:spacing w:val="-4"/>
        </w:rPr>
        <w:t xml:space="preserve">——, Taylor, A. and </w:t>
      </w:r>
      <w:proofErr w:type="spellStart"/>
      <w:r w:rsidRPr="005E3F14">
        <w:rPr>
          <w:spacing w:val="-4"/>
        </w:rPr>
        <w:t>Cormann</w:t>
      </w:r>
      <w:proofErr w:type="spellEnd"/>
      <w:r w:rsidRPr="005E3F14">
        <w:rPr>
          <w:spacing w:val="-4"/>
        </w:rPr>
        <w:t xml:space="preserve">, M. 2019, </w:t>
      </w:r>
      <w:r w:rsidRPr="005E3F14">
        <w:rPr>
          <w:i/>
          <w:iCs/>
          <w:spacing w:val="-4"/>
        </w:rPr>
        <w:t>$1 billion boost for power reliability</w:t>
      </w:r>
      <w:r w:rsidRPr="005E3F14">
        <w:rPr>
          <w:spacing w:val="-4"/>
        </w:rPr>
        <w:t>, Media release, 30 October.</w:t>
      </w:r>
    </w:p>
    <w:p w14:paraId="2370688C" w14:textId="77777777" w:rsidR="00AC5385" w:rsidRPr="005E3F14" w:rsidRDefault="00AC5385" w:rsidP="000B7FE2">
      <w:pPr>
        <w:pStyle w:val="Reference"/>
        <w:rPr>
          <w:spacing w:val="-4"/>
        </w:rPr>
      </w:pPr>
      <w:proofErr w:type="spellStart"/>
      <w:r w:rsidRPr="005E3F14">
        <w:rPr>
          <w:spacing w:val="-4"/>
        </w:rPr>
        <w:t>O’Dwyer</w:t>
      </w:r>
      <w:proofErr w:type="spellEnd"/>
      <w:r w:rsidRPr="005E3F14">
        <w:rPr>
          <w:spacing w:val="-4"/>
        </w:rPr>
        <w:t xml:space="preserve">, K. 2017, </w:t>
      </w:r>
      <w:r w:rsidRPr="005E3F14">
        <w:rPr>
          <w:i/>
          <w:iCs/>
          <w:spacing w:val="-4"/>
        </w:rPr>
        <w:t>Excise Amendment (Refund Scheme for Alcohol Manufacturers) Regulations 2017</w:t>
      </w:r>
      <w:r w:rsidRPr="005E3F14">
        <w:rPr>
          <w:spacing w:val="-4"/>
        </w:rPr>
        <w:t>, Explanatory Statement, 8 August.</w:t>
      </w:r>
    </w:p>
    <w:p w14:paraId="2A677DFB" w14:textId="77777777" w:rsidR="00AC5385" w:rsidRPr="005E3F14" w:rsidRDefault="00AC5385" w:rsidP="000B7FE2">
      <w:pPr>
        <w:pStyle w:val="Reference"/>
        <w:rPr>
          <w:spacing w:val="-4"/>
        </w:rPr>
      </w:pPr>
      <w:r w:rsidRPr="005E3F14">
        <w:rPr>
          <w:spacing w:val="-4"/>
        </w:rPr>
        <w:t xml:space="preserve">PC (Productivity Commission) 2009, </w:t>
      </w:r>
      <w:r w:rsidRPr="005E3F14">
        <w:rPr>
          <w:i/>
          <w:iCs/>
          <w:spacing w:val="-4"/>
        </w:rPr>
        <w:t>Government Drought Support</w:t>
      </w:r>
      <w:r w:rsidRPr="005E3F14">
        <w:rPr>
          <w:spacing w:val="-4"/>
        </w:rPr>
        <w:t>, Report no. 46.</w:t>
      </w:r>
    </w:p>
    <w:p w14:paraId="5F58C5B9" w14:textId="425930E9" w:rsidR="00AC5385" w:rsidRPr="005E3F14" w:rsidRDefault="00CF54DA" w:rsidP="000B7FE2">
      <w:pPr>
        <w:pStyle w:val="Reference"/>
        <w:rPr>
          <w:spacing w:val="-4"/>
        </w:rPr>
      </w:pPr>
      <w:r w:rsidRPr="005E3F14">
        <w:rPr>
          <w:spacing w:val="-4"/>
        </w:rPr>
        <w:t>—— </w:t>
      </w:r>
      <w:r w:rsidR="00AC5385" w:rsidRPr="005E3F14">
        <w:rPr>
          <w:spacing w:val="-4"/>
        </w:rPr>
        <w:t xml:space="preserve">2010, </w:t>
      </w:r>
      <w:r w:rsidR="00AC5385" w:rsidRPr="005E3F14">
        <w:rPr>
          <w:i/>
          <w:iCs/>
          <w:spacing w:val="-4"/>
        </w:rPr>
        <w:t>Bilateral and Regional Trade Agreements</w:t>
      </w:r>
      <w:r w:rsidR="00AC5385" w:rsidRPr="005E3F14">
        <w:rPr>
          <w:spacing w:val="-4"/>
        </w:rPr>
        <w:t>, Research Report.</w:t>
      </w:r>
    </w:p>
    <w:p w14:paraId="6BA6253E" w14:textId="2B16EDAD" w:rsidR="00AC5385" w:rsidRPr="005E3F14" w:rsidRDefault="00CF54DA" w:rsidP="000B7FE2">
      <w:pPr>
        <w:pStyle w:val="Reference"/>
        <w:rPr>
          <w:spacing w:val="-4"/>
        </w:rPr>
      </w:pPr>
      <w:r w:rsidRPr="005E3F14">
        <w:rPr>
          <w:spacing w:val="-4"/>
        </w:rPr>
        <w:lastRenderedPageBreak/>
        <w:t>—— </w:t>
      </w:r>
      <w:r w:rsidR="00AC5385" w:rsidRPr="005E3F14">
        <w:rPr>
          <w:spacing w:val="-4"/>
        </w:rPr>
        <w:t xml:space="preserve">2011, </w:t>
      </w:r>
      <w:r w:rsidR="00AC5385" w:rsidRPr="005E3F14">
        <w:rPr>
          <w:i/>
          <w:iCs/>
          <w:spacing w:val="-4"/>
        </w:rPr>
        <w:t>Trade and Assistance Review 2009-10</w:t>
      </w:r>
      <w:r w:rsidR="00AC5385" w:rsidRPr="005E3F14">
        <w:rPr>
          <w:spacing w:val="-4"/>
        </w:rPr>
        <w:t>, Annual Report Series, Canberra.</w:t>
      </w:r>
    </w:p>
    <w:p w14:paraId="5FEFAFF6" w14:textId="14DA05A4" w:rsidR="00AC5385" w:rsidRPr="005E3F14" w:rsidRDefault="00CF54DA" w:rsidP="000B7FE2">
      <w:pPr>
        <w:pStyle w:val="Reference"/>
        <w:rPr>
          <w:spacing w:val="-4"/>
        </w:rPr>
      </w:pPr>
      <w:r w:rsidRPr="005E3F14">
        <w:rPr>
          <w:spacing w:val="-4"/>
        </w:rPr>
        <w:t>—— </w:t>
      </w:r>
      <w:r w:rsidR="00AC5385" w:rsidRPr="005E3F14">
        <w:rPr>
          <w:spacing w:val="-4"/>
        </w:rPr>
        <w:t xml:space="preserve">2014a, </w:t>
      </w:r>
      <w:r w:rsidR="00AC5385" w:rsidRPr="005E3F14">
        <w:rPr>
          <w:i/>
          <w:iCs/>
          <w:spacing w:val="-4"/>
        </w:rPr>
        <w:t>Natural Disaster Funding Arrangements</w:t>
      </w:r>
      <w:r w:rsidR="00AC5385" w:rsidRPr="005E3F14">
        <w:rPr>
          <w:spacing w:val="-4"/>
        </w:rPr>
        <w:t>, Report no. 74.</w:t>
      </w:r>
    </w:p>
    <w:p w14:paraId="093E54B3" w14:textId="4038F6B7" w:rsidR="00AC5385" w:rsidRPr="005E3F14" w:rsidRDefault="00CF54DA" w:rsidP="000B7FE2">
      <w:pPr>
        <w:pStyle w:val="Reference"/>
        <w:rPr>
          <w:spacing w:val="-4"/>
        </w:rPr>
      </w:pPr>
      <w:r w:rsidRPr="005E3F14">
        <w:rPr>
          <w:spacing w:val="-4"/>
        </w:rPr>
        <w:t>—— </w:t>
      </w:r>
      <w:r w:rsidR="00AC5385" w:rsidRPr="005E3F14">
        <w:rPr>
          <w:spacing w:val="-4"/>
        </w:rPr>
        <w:t xml:space="preserve">2014b, </w:t>
      </w:r>
      <w:r w:rsidR="00AC5385" w:rsidRPr="005E3F14">
        <w:rPr>
          <w:i/>
          <w:iCs/>
          <w:spacing w:val="-4"/>
        </w:rPr>
        <w:t>Public Infrastructure</w:t>
      </w:r>
      <w:r w:rsidR="00AC5385" w:rsidRPr="005E3F14">
        <w:rPr>
          <w:spacing w:val="-4"/>
        </w:rPr>
        <w:t>, Report no. 71.</w:t>
      </w:r>
    </w:p>
    <w:p w14:paraId="374412D2" w14:textId="57AA2A6C" w:rsidR="00AC5385" w:rsidRPr="005E3F14" w:rsidRDefault="00CF54DA" w:rsidP="000B7FE2">
      <w:pPr>
        <w:pStyle w:val="Reference"/>
        <w:rPr>
          <w:spacing w:val="-4"/>
        </w:rPr>
      </w:pPr>
      <w:r w:rsidRPr="005E3F14">
        <w:rPr>
          <w:spacing w:val="-4"/>
        </w:rPr>
        <w:t>—— </w:t>
      </w:r>
      <w:r w:rsidR="00AC5385" w:rsidRPr="005E3F14">
        <w:rPr>
          <w:spacing w:val="-4"/>
        </w:rPr>
        <w:t xml:space="preserve">2014c, </w:t>
      </w:r>
      <w:r w:rsidR="00AC5385" w:rsidRPr="005E3F14">
        <w:rPr>
          <w:i/>
          <w:iCs/>
          <w:spacing w:val="-4"/>
        </w:rPr>
        <w:t>Tasmanian Shipping and Freight</w:t>
      </w:r>
      <w:r w:rsidR="00AC5385" w:rsidRPr="005E3F14">
        <w:rPr>
          <w:spacing w:val="-4"/>
        </w:rPr>
        <w:t>, Report no. 69.</w:t>
      </w:r>
    </w:p>
    <w:p w14:paraId="4992DA2E" w14:textId="27BE449C" w:rsidR="00AC5385" w:rsidRPr="005E3F14" w:rsidRDefault="00CF54DA" w:rsidP="000B7FE2">
      <w:pPr>
        <w:pStyle w:val="Reference"/>
        <w:rPr>
          <w:spacing w:val="-4"/>
        </w:rPr>
      </w:pPr>
      <w:r w:rsidRPr="005E3F14">
        <w:rPr>
          <w:spacing w:val="-4"/>
        </w:rPr>
        <w:t>—— </w:t>
      </w:r>
      <w:r w:rsidR="00AC5385" w:rsidRPr="005E3F14">
        <w:rPr>
          <w:spacing w:val="-4"/>
        </w:rPr>
        <w:t xml:space="preserve">2014d, </w:t>
      </w:r>
      <w:r w:rsidR="00AC5385" w:rsidRPr="005E3F14">
        <w:rPr>
          <w:i/>
          <w:iCs/>
          <w:spacing w:val="-4"/>
        </w:rPr>
        <w:t>Trade and Assistance Review 2012-13</w:t>
      </w:r>
      <w:r w:rsidR="00AC5385" w:rsidRPr="005E3F14">
        <w:rPr>
          <w:spacing w:val="-4"/>
        </w:rPr>
        <w:t>, Annual Report Series, June.</w:t>
      </w:r>
    </w:p>
    <w:p w14:paraId="21C8F306" w14:textId="2D1D5DBD" w:rsidR="00AC5385" w:rsidRPr="005E3F14" w:rsidRDefault="00CF54DA" w:rsidP="000B7FE2">
      <w:pPr>
        <w:pStyle w:val="Reference"/>
        <w:rPr>
          <w:spacing w:val="-4"/>
        </w:rPr>
      </w:pPr>
      <w:r w:rsidRPr="005E3F14">
        <w:rPr>
          <w:spacing w:val="-4"/>
        </w:rPr>
        <w:t>—— </w:t>
      </w:r>
      <w:r w:rsidR="00AC5385" w:rsidRPr="005E3F14">
        <w:rPr>
          <w:spacing w:val="-4"/>
        </w:rPr>
        <w:t xml:space="preserve">2015, </w:t>
      </w:r>
      <w:r w:rsidR="00AC5385" w:rsidRPr="005E3F14">
        <w:rPr>
          <w:i/>
          <w:iCs/>
          <w:spacing w:val="-4"/>
        </w:rPr>
        <w:t>Trade and Assistance Review 2013-14</w:t>
      </w:r>
      <w:r w:rsidR="00AC5385" w:rsidRPr="005E3F14">
        <w:rPr>
          <w:spacing w:val="-4"/>
        </w:rPr>
        <w:t>, Annual Report Series, July.</w:t>
      </w:r>
    </w:p>
    <w:p w14:paraId="351FFEA1" w14:textId="13126A65" w:rsidR="00AC5385" w:rsidRPr="005E3F14" w:rsidRDefault="00CF54DA" w:rsidP="000B7FE2">
      <w:pPr>
        <w:pStyle w:val="Reference"/>
        <w:rPr>
          <w:spacing w:val="-4"/>
        </w:rPr>
      </w:pPr>
      <w:r w:rsidRPr="005E3F14">
        <w:rPr>
          <w:spacing w:val="-4"/>
        </w:rPr>
        <w:t>—— </w:t>
      </w:r>
      <w:r w:rsidR="00AC5385" w:rsidRPr="005E3F14">
        <w:rPr>
          <w:spacing w:val="-4"/>
        </w:rPr>
        <w:t xml:space="preserve">2016a, </w:t>
      </w:r>
      <w:r w:rsidR="00AC5385" w:rsidRPr="005E3F14">
        <w:rPr>
          <w:i/>
          <w:iCs/>
          <w:spacing w:val="-4"/>
        </w:rPr>
        <w:t>Developments in Anti-Dumping Arrangements</w:t>
      </w:r>
      <w:r w:rsidR="00AC5385" w:rsidRPr="005E3F14">
        <w:rPr>
          <w:spacing w:val="-4"/>
        </w:rPr>
        <w:t>, Commission Research Paper, Canberra.</w:t>
      </w:r>
    </w:p>
    <w:p w14:paraId="27782AF9" w14:textId="106294C0" w:rsidR="00AC5385" w:rsidRPr="005E3F14" w:rsidRDefault="00CF54DA" w:rsidP="000B7FE2">
      <w:pPr>
        <w:pStyle w:val="Reference"/>
        <w:rPr>
          <w:spacing w:val="-4"/>
        </w:rPr>
      </w:pPr>
      <w:r w:rsidRPr="005E3F14">
        <w:rPr>
          <w:spacing w:val="-4"/>
        </w:rPr>
        <w:t>—— </w:t>
      </w:r>
      <w:r w:rsidR="00AC5385" w:rsidRPr="005E3F14">
        <w:rPr>
          <w:spacing w:val="-4"/>
        </w:rPr>
        <w:t xml:space="preserve">2016b, </w:t>
      </w:r>
      <w:r w:rsidR="00AC5385" w:rsidRPr="005E3F14">
        <w:rPr>
          <w:i/>
          <w:iCs/>
          <w:spacing w:val="-4"/>
        </w:rPr>
        <w:t>Trade and Assistance Review 2014-15</w:t>
      </w:r>
      <w:r w:rsidR="00AC5385" w:rsidRPr="005E3F14">
        <w:rPr>
          <w:spacing w:val="-4"/>
        </w:rPr>
        <w:t>, Annual Report Series, July.</w:t>
      </w:r>
    </w:p>
    <w:p w14:paraId="48156D0C" w14:textId="491DC4DE" w:rsidR="00AC5385" w:rsidRPr="005E3F14" w:rsidRDefault="00CF54DA" w:rsidP="000B7FE2">
      <w:pPr>
        <w:pStyle w:val="Reference"/>
        <w:rPr>
          <w:spacing w:val="-4"/>
        </w:rPr>
      </w:pPr>
      <w:r w:rsidRPr="005E3F14">
        <w:rPr>
          <w:spacing w:val="-4"/>
        </w:rPr>
        <w:t>—— </w:t>
      </w:r>
      <w:r w:rsidR="00AC5385" w:rsidRPr="005E3F14">
        <w:rPr>
          <w:spacing w:val="-4"/>
        </w:rPr>
        <w:t xml:space="preserve">2017a, </w:t>
      </w:r>
      <w:r w:rsidR="00AC5385" w:rsidRPr="005E3F14">
        <w:rPr>
          <w:i/>
          <w:iCs/>
          <w:spacing w:val="-4"/>
        </w:rPr>
        <w:t>Modelling protectionist trade policies: Rising Protectionism - technical supplement to the research paper</w:t>
      </w:r>
      <w:r w:rsidR="00AC5385" w:rsidRPr="005E3F14">
        <w:rPr>
          <w:spacing w:val="-4"/>
        </w:rPr>
        <w:t>, 19 July, Productivity Co</w:t>
      </w:r>
      <w:r w:rsidR="00E22700">
        <w:rPr>
          <w:spacing w:val="-4"/>
        </w:rPr>
        <w:t>m</w:t>
      </w:r>
      <w:r w:rsidR="00AC5385" w:rsidRPr="005E3F14">
        <w:rPr>
          <w:spacing w:val="-4"/>
        </w:rPr>
        <w:t>mission.</w:t>
      </w:r>
    </w:p>
    <w:p w14:paraId="79052FFC" w14:textId="6CFE0CBB" w:rsidR="00AC5385" w:rsidRPr="005E3F14" w:rsidRDefault="00CF54DA" w:rsidP="000B7FE2">
      <w:pPr>
        <w:pStyle w:val="Reference"/>
        <w:rPr>
          <w:spacing w:val="-4"/>
        </w:rPr>
      </w:pPr>
      <w:r w:rsidRPr="005E3F14">
        <w:rPr>
          <w:spacing w:val="-4"/>
        </w:rPr>
        <w:t>—— </w:t>
      </w:r>
      <w:r w:rsidR="00AC5385" w:rsidRPr="005E3F14">
        <w:rPr>
          <w:spacing w:val="-4"/>
        </w:rPr>
        <w:t xml:space="preserve">2017b, </w:t>
      </w:r>
      <w:r w:rsidR="00AC5385" w:rsidRPr="005E3F14">
        <w:rPr>
          <w:i/>
          <w:iCs/>
          <w:spacing w:val="-4"/>
        </w:rPr>
        <w:t>Shifting the Dial: 5 Year Productivity Review</w:t>
      </w:r>
      <w:r w:rsidR="00AC5385" w:rsidRPr="005E3F14">
        <w:rPr>
          <w:spacing w:val="-4"/>
        </w:rPr>
        <w:t>, Report no. 84.</w:t>
      </w:r>
    </w:p>
    <w:p w14:paraId="570ED374" w14:textId="21036897" w:rsidR="00AC5385" w:rsidRPr="005E3F14" w:rsidRDefault="00CF54DA" w:rsidP="000B7FE2">
      <w:pPr>
        <w:pStyle w:val="Reference"/>
        <w:rPr>
          <w:spacing w:val="-4"/>
        </w:rPr>
      </w:pPr>
      <w:r w:rsidRPr="005E3F14">
        <w:rPr>
          <w:spacing w:val="-4"/>
        </w:rPr>
        <w:t>—— </w:t>
      </w:r>
      <w:r w:rsidR="00AC5385" w:rsidRPr="005E3F14">
        <w:rPr>
          <w:spacing w:val="-4"/>
        </w:rPr>
        <w:t xml:space="preserve">2019, </w:t>
      </w:r>
      <w:r w:rsidR="00AC5385" w:rsidRPr="005E3F14">
        <w:rPr>
          <w:i/>
          <w:iCs/>
          <w:spacing w:val="-4"/>
        </w:rPr>
        <w:t>Trade and Assistance Review 2017-18</w:t>
      </w:r>
      <w:r w:rsidR="00AC5385" w:rsidRPr="005E3F14">
        <w:rPr>
          <w:spacing w:val="-4"/>
        </w:rPr>
        <w:t>, Annual Report Series.</w:t>
      </w:r>
    </w:p>
    <w:p w14:paraId="6ED2DB2F" w14:textId="77777777" w:rsidR="00AC5385" w:rsidRPr="005E3F14" w:rsidRDefault="00AC5385" w:rsidP="000B7FE2">
      <w:pPr>
        <w:pStyle w:val="Reference"/>
        <w:rPr>
          <w:spacing w:val="-4"/>
        </w:rPr>
      </w:pPr>
      <w:r w:rsidRPr="005E3F14">
        <w:rPr>
          <w:spacing w:val="-4"/>
        </w:rPr>
        <w:t xml:space="preserve">PIRSA (Primary Industries and Regions South Australia) 2019, </w:t>
      </w:r>
      <w:r w:rsidRPr="005E3F14">
        <w:rPr>
          <w:i/>
          <w:iCs/>
          <w:spacing w:val="-4"/>
        </w:rPr>
        <w:t>$21m support package for drought-affected SA farmers</w:t>
      </w:r>
      <w:r w:rsidRPr="005E3F14">
        <w:rPr>
          <w:spacing w:val="-4"/>
        </w:rPr>
        <w:t>, Media release, 10 December.</w:t>
      </w:r>
    </w:p>
    <w:p w14:paraId="2A2F964F" w14:textId="77777777" w:rsidR="00AC5385" w:rsidRPr="005E3F14" w:rsidRDefault="00AC5385" w:rsidP="000B7FE2">
      <w:pPr>
        <w:pStyle w:val="Reference"/>
        <w:rPr>
          <w:spacing w:val="-4"/>
        </w:rPr>
      </w:pPr>
      <w:r w:rsidRPr="005E3F14">
        <w:rPr>
          <w:spacing w:val="-4"/>
        </w:rPr>
        <w:t xml:space="preserve">QRIDA (Queensland Rural and Industry Development Authority) 2020, </w:t>
      </w:r>
      <w:r w:rsidRPr="005E3F14">
        <w:rPr>
          <w:i/>
          <w:iCs/>
          <w:spacing w:val="-4"/>
        </w:rPr>
        <w:t>Disaster recovery</w:t>
      </w:r>
      <w:r w:rsidRPr="005E3F14">
        <w:rPr>
          <w:spacing w:val="-4"/>
        </w:rPr>
        <w:t>, www.qrida.qld.gov.au/current-programs/Disaster-recovery (accessed 7 February 2020).</w:t>
      </w:r>
    </w:p>
    <w:p w14:paraId="7EA60E77" w14:textId="77777777" w:rsidR="00AC5385" w:rsidRPr="005E3F14" w:rsidRDefault="00AC5385" w:rsidP="000B7FE2">
      <w:pPr>
        <w:pStyle w:val="Reference"/>
        <w:rPr>
          <w:spacing w:val="-4"/>
        </w:rPr>
      </w:pPr>
      <w:r w:rsidRPr="005E3F14">
        <w:rPr>
          <w:spacing w:val="-4"/>
        </w:rPr>
        <w:t xml:space="preserve">RIC (Regional Investment Corporation) 2020, </w:t>
      </w:r>
      <w:r w:rsidRPr="005E3F14">
        <w:rPr>
          <w:i/>
          <w:iCs/>
          <w:spacing w:val="-4"/>
        </w:rPr>
        <w:t>Our loans</w:t>
      </w:r>
      <w:r w:rsidRPr="005E3F14">
        <w:rPr>
          <w:spacing w:val="-4"/>
        </w:rPr>
        <w:t>, www.ric.gov.au/farmers (accessed 7 February 2020).</w:t>
      </w:r>
    </w:p>
    <w:p w14:paraId="4385ED28" w14:textId="1A8A23B2" w:rsidR="00AC5385" w:rsidRPr="005E3F14" w:rsidRDefault="00AC5385" w:rsidP="000B7FE2">
      <w:pPr>
        <w:pStyle w:val="Reference"/>
        <w:rPr>
          <w:spacing w:val="-4"/>
        </w:rPr>
      </w:pPr>
      <w:r w:rsidRPr="005E3F14">
        <w:rPr>
          <w:spacing w:val="-4"/>
        </w:rPr>
        <w:t xml:space="preserve">Robert, S. 2019, </w:t>
      </w:r>
      <w:r w:rsidRPr="005E3F14">
        <w:rPr>
          <w:i/>
          <w:iCs/>
          <w:spacing w:val="-4"/>
        </w:rPr>
        <w:t>Craft brewers better off</w:t>
      </w:r>
      <w:r w:rsidRPr="005E3F14">
        <w:rPr>
          <w:spacing w:val="-4"/>
        </w:rPr>
        <w:t>, Media release, 4 April.</w:t>
      </w:r>
    </w:p>
    <w:p w14:paraId="03E7F02D" w14:textId="77777777" w:rsidR="00AC5385" w:rsidRPr="005E3F14" w:rsidRDefault="00AC5385" w:rsidP="000B7FE2">
      <w:pPr>
        <w:pStyle w:val="Reference"/>
        <w:rPr>
          <w:spacing w:val="-4"/>
        </w:rPr>
      </w:pPr>
      <w:proofErr w:type="spellStart"/>
      <w:r w:rsidRPr="005E3F14">
        <w:rPr>
          <w:spacing w:val="-4"/>
        </w:rPr>
        <w:t>Sammartino</w:t>
      </w:r>
      <w:proofErr w:type="spellEnd"/>
      <w:r w:rsidRPr="005E3F14">
        <w:rPr>
          <w:spacing w:val="-4"/>
        </w:rPr>
        <w:t xml:space="preserve">, A. 2017, ‘Despite our growing taste for craft brews, smaller beer makers face a huge disadvantage’, </w:t>
      </w:r>
      <w:r w:rsidRPr="005E3F14">
        <w:rPr>
          <w:i/>
          <w:iCs/>
          <w:spacing w:val="-4"/>
        </w:rPr>
        <w:t>The Conversation</w:t>
      </w:r>
      <w:r w:rsidRPr="005E3F14">
        <w:rPr>
          <w:spacing w:val="-4"/>
        </w:rPr>
        <w:t>, 27 June, www.theconversation.com/despite-our-growing-taste-for-craft-brews-smaller-beer-makers-face-a-huge-disadvantage-79984 (accessed 3 February 2020).</w:t>
      </w:r>
    </w:p>
    <w:p w14:paraId="73F59D40" w14:textId="77777777" w:rsidR="00AC5385" w:rsidRPr="005E3F14" w:rsidRDefault="00AC5385" w:rsidP="000B7FE2">
      <w:pPr>
        <w:pStyle w:val="Reference"/>
        <w:rPr>
          <w:spacing w:val="-4"/>
        </w:rPr>
      </w:pPr>
      <w:proofErr w:type="spellStart"/>
      <w:r w:rsidRPr="005E3F14">
        <w:rPr>
          <w:spacing w:val="-4"/>
        </w:rPr>
        <w:t>Symes</w:t>
      </w:r>
      <w:proofErr w:type="spellEnd"/>
      <w:r w:rsidRPr="005E3F14">
        <w:rPr>
          <w:spacing w:val="-4"/>
        </w:rPr>
        <w:t xml:space="preserve">, J. 2019a, </w:t>
      </w:r>
      <w:r w:rsidRPr="005E3F14">
        <w:rPr>
          <w:i/>
          <w:iCs/>
          <w:spacing w:val="-4"/>
        </w:rPr>
        <w:t>More Support For Drought Affected Farmers</w:t>
      </w:r>
      <w:r w:rsidRPr="005E3F14">
        <w:rPr>
          <w:spacing w:val="-4"/>
        </w:rPr>
        <w:t>, Media release, 22 February.</w:t>
      </w:r>
    </w:p>
    <w:p w14:paraId="309E9537" w14:textId="33044475" w:rsidR="00AC5385" w:rsidRPr="005E3F14" w:rsidRDefault="00CF54DA" w:rsidP="000B7FE2">
      <w:pPr>
        <w:pStyle w:val="Reference"/>
        <w:rPr>
          <w:spacing w:val="-4"/>
        </w:rPr>
      </w:pPr>
      <w:r w:rsidRPr="005E3F14">
        <w:rPr>
          <w:spacing w:val="-4"/>
        </w:rPr>
        <w:t>—— </w:t>
      </w:r>
      <w:r w:rsidR="00AC5385" w:rsidRPr="005E3F14">
        <w:rPr>
          <w:spacing w:val="-4"/>
        </w:rPr>
        <w:t xml:space="preserve">2019b, </w:t>
      </w:r>
      <w:r w:rsidR="00AC5385" w:rsidRPr="005E3F14">
        <w:rPr>
          <w:i/>
          <w:iCs/>
          <w:spacing w:val="-4"/>
        </w:rPr>
        <w:t>New Drought Assistance Now Rolling Out</w:t>
      </w:r>
      <w:r w:rsidR="00AC5385" w:rsidRPr="005E3F14">
        <w:rPr>
          <w:spacing w:val="-4"/>
        </w:rPr>
        <w:t>, Media release, 28 November.</w:t>
      </w:r>
    </w:p>
    <w:p w14:paraId="4ECF2749" w14:textId="758D315F" w:rsidR="00AC5385" w:rsidRPr="005E3F14" w:rsidRDefault="00AC5385" w:rsidP="000B7FE2">
      <w:pPr>
        <w:pStyle w:val="Reference"/>
        <w:rPr>
          <w:spacing w:val="-4"/>
        </w:rPr>
      </w:pPr>
      <w:r w:rsidRPr="005E3F14">
        <w:rPr>
          <w:spacing w:val="-4"/>
        </w:rPr>
        <w:t xml:space="preserve">Taylor, A. 2019, </w:t>
      </w:r>
      <w:r w:rsidRPr="005E3F14">
        <w:rPr>
          <w:i/>
          <w:iCs/>
          <w:spacing w:val="-4"/>
        </w:rPr>
        <w:t>Australia to be a world leader in hydrogen</w:t>
      </w:r>
      <w:r w:rsidRPr="005E3F14">
        <w:rPr>
          <w:spacing w:val="-4"/>
        </w:rPr>
        <w:t>, Media release, 23 November.</w:t>
      </w:r>
    </w:p>
    <w:p w14:paraId="7C230038" w14:textId="659E858C" w:rsidR="00AC5385" w:rsidRPr="005E3F14" w:rsidRDefault="00AC5385" w:rsidP="000B7FE2">
      <w:pPr>
        <w:pStyle w:val="Reference"/>
        <w:rPr>
          <w:spacing w:val="-4"/>
        </w:rPr>
      </w:pPr>
      <w:r w:rsidRPr="005E3F14">
        <w:rPr>
          <w:spacing w:val="-4"/>
        </w:rPr>
        <w:t xml:space="preserve">—— and </w:t>
      </w:r>
      <w:proofErr w:type="spellStart"/>
      <w:r w:rsidRPr="005E3F14">
        <w:rPr>
          <w:spacing w:val="-4"/>
        </w:rPr>
        <w:t>Cormann</w:t>
      </w:r>
      <w:proofErr w:type="spellEnd"/>
      <w:r w:rsidRPr="005E3F14">
        <w:rPr>
          <w:spacing w:val="-4"/>
        </w:rPr>
        <w:t xml:space="preserve">, M. 2019, </w:t>
      </w:r>
      <w:r w:rsidRPr="005E3F14">
        <w:rPr>
          <w:i/>
          <w:iCs/>
          <w:spacing w:val="-4"/>
        </w:rPr>
        <w:t>Clean Energy Finance Corporation Investment Mandate</w:t>
      </w:r>
      <w:r w:rsidRPr="005E3F14">
        <w:rPr>
          <w:spacing w:val="-4"/>
        </w:rPr>
        <w:t>, Media release, 14 December.</w:t>
      </w:r>
    </w:p>
    <w:p w14:paraId="65CC6957" w14:textId="77777777" w:rsidR="00AC5385" w:rsidRPr="005E3F14" w:rsidRDefault="00AC5385" w:rsidP="000B7FE2">
      <w:pPr>
        <w:pStyle w:val="Reference"/>
        <w:rPr>
          <w:spacing w:val="-4"/>
        </w:rPr>
      </w:pPr>
      <w:r w:rsidRPr="005E3F14">
        <w:rPr>
          <w:spacing w:val="-4"/>
        </w:rPr>
        <w:t xml:space="preserve">Treasury 2015, </w:t>
      </w:r>
      <w:r w:rsidRPr="005E3F14">
        <w:rPr>
          <w:i/>
          <w:iCs/>
          <w:spacing w:val="-4"/>
        </w:rPr>
        <w:t>Wine equalisation tax rebate</w:t>
      </w:r>
      <w:r w:rsidRPr="005E3F14">
        <w:rPr>
          <w:spacing w:val="-4"/>
        </w:rPr>
        <w:t>, Discussion paper, August.</w:t>
      </w:r>
    </w:p>
    <w:p w14:paraId="6DF21854" w14:textId="31946675" w:rsidR="00AC5385" w:rsidRPr="005E3F14" w:rsidRDefault="00CF54DA" w:rsidP="000B7FE2">
      <w:pPr>
        <w:pStyle w:val="Reference"/>
        <w:rPr>
          <w:spacing w:val="-4"/>
        </w:rPr>
      </w:pPr>
      <w:r w:rsidRPr="005E3F14">
        <w:rPr>
          <w:spacing w:val="-4"/>
        </w:rPr>
        <w:t>—— </w:t>
      </w:r>
      <w:r w:rsidR="00AC5385" w:rsidRPr="005E3F14">
        <w:rPr>
          <w:spacing w:val="-4"/>
        </w:rPr>
        <w:t xml:space="preserve">2020, </w:t>
      </w:r>
      <w:r w:rsidR="00AC5385" w:rsidRPr="005E3F14">
        <w:rPr>
          <w:i/>
          <w:iCs/>
          <w:spacing w:val="-4"/>
        </w:rPr>
        <w:t>Tax Benchmarks and Variations Statement 2019</w:t>
      </w:r>
      <w:r w:rsidR="00AC5385" w:rsidRPr="005E3F14">
        <w:rPr>
          <w:spacing w:val="-4"/>
        </w:rPr>
        <w:t>, January.</w:t>
      </w:r>
    </w:p>
    <w:p w14:paraId="7B9C33AA" w14:textId="6FD6D204" w:rsidR="00AC5385" w:rsidRPr="005E3F14" w:rsidRDefault="00AC5385" w:rsidP="000B7FE2">
      <w:pPr>
        <w:pStyle w:val="Reference"/>
        <w:rPr>
          <w:spacing w:val="-4"/>
        </w:rPr>
      </w:pPr>
      <w:r w:rsidRPr="005E3F14">
        <w:rPr>
          <w:spacing w:val="-4"/>
        </w:rPr>
        <w:t xml:space="preserve">Turnbull, M. and Payne, M. 2016, </w:t>
      </w:r>
      <w:r w:rsidRPr="005E3F14">
        <w:rPr>
          <w:i/>
          <w:iCs/>
          <w:spacing w:val="-4"/>
        </w:rPr>
        <w:t>Future submarine program</w:t>
      </w:r>
      <w:r w:rsidRPr="005E3F14">
        <w:rPr>
          <w:spacing w:val="-4"/>
        </w:rPr>
        <w:t>, Media release, 26 April.</w:t>
      </w:r>
    </w:p>
    <w:p w14:paraId="3277095A" w14:textId="77777777" w:rsidR="00AC5385" w:rsidRPr="005E3F14" w:rsidRDefault="00AC5385" w:rsidP="000B7FE2">
      <w:pPr>
        <w:pStyle w:val="Reference"/>
        <w:rPr>
          <w:spacing w:val="-4"/>
        </w:rPr>
      </w:pPr>
      <w:r w:rsidRPr="005E3F14">
        <w:rPr>
          <w:spacing w:val="-4"/>
        </w:rPr>
        <w:t xml:space="preserve">Uren, D. and Nicholson, B. 2016, ‘Subs build to cost 30pc more’, </w:t>
      </w:r>
      <w:r w:rsidRPr="005E3F14">
        <w:rPr>
          <w:i/>
          <w:iCs/>
          <w:spacing w:val="-4"/>
        </w:rPr>
        <w:t>The Australian</w:t>
      </w:r>
      <w:r w:rsidRPr="005E3F14">
        <w:rPr>
          <w:spacing w:val="-4"/>
        </w:rPr>
        <w:t>, 20 April.</w:t>
      </w:r>
    </w:p>
    <w:p w14:paraId="1BAEA0A2" w14:textId="77777777" w:rsidR="00AC5385" w:rsidRPr="005E3F14" w:rsidRDefault="00AC5385" w:rsidP="000B7FE2">
      <w:pPr>
        <w:pStyle w:val="Reference"/>
        <w:rPr>
          <w:spacing w:val="-4"/>
        </w:rPr>
      </w:pPr>
      <w:r w:rsidRPr="005E3F14">
        <w:rPr>
          <w:spacing w:val="-4"/>
        </w:rPr>
        <w:t xml:space="preserve">USTR (Office of the United States Trade Representative) 2020, </w:t>
      </w:r>
      <w:r w:rsidRPr="005E3F14">
        <w:rPr>
          <w:i/>
          <w:iCs/>
          <w:spacing w:val="-4"/>
        </w:rPr>
        <w:t>Report on the Appellate Body of the World Trade Organization</w:t>
      </w:r>
      <w:r w:rsidRPr="005E3F14">
        <w:rPr>
          <w:spacing w:val="-4"/>
        </w:rPr>
        <w:t>, February, United States.</w:t>
      </w:r>
    </w:p>
    <w:p w14:paraId="15551FA6" w14:textId="77777777" w:rsidR="00AC5385" w:rsidRPr="005E3F14" w:rsidRDefault="00AC5385" w:rsidP="000B7FE2">
      <w:pPr>
        <w:pStyle w:val="Reference"/>
        <w:rPr>
          <w:spacing w:val="-4"/>
        </w:rPr>
      </w:pPr>
      <w:r w:rsidRPr="005E3F14">
        <w:rPr>
          <w:spacing w:val="-4"/>
        </w:rPr>
        <w:lastRenderedPageBreak/>
        <w:t xml:space="preserve">Webb, R. 2006, </w:t>
      </w:r>
      <w:r w:rsidRPr="005E3F14">
        <w:rPr>
          <w:i/>
          <w:iCs/>
          <w:spacing w:val="-4"/>
        </w:rPr>
        <w:t>Excise taxation: developments since the mid-1990s</w:t>
      </w:r>
      <w:r w:rsidRPr="005E3F14">
        <w:rPr>
          <w:spacing w:val="-4"/>
        </w:rPr>
        <w:t>, Research Brief, April, Parliamentary Library.</w:t>
      </w:r>
    </w:p>
    <w:p w14:paraId="7DABF100" w14:textId="669B2032" w:rsidR="00AC5385" w:rsidRPr="005E3F14" w:rsidRDefault="00AC5385" w:rsidP="000B7FE2">
      <w:pPr>
        <w:pStyle w:val="Reference"/>
        <w:rPr>
          <w:spacing w:val="-4"/>
        </w:rPr>
      </w:pPr>
      <w:r w:rsidRPr="005E3F14">
        <w:rPr>
          <w:spacing w:val="-4"/>
        </w:rPr>
        <w:t xml:space="preserve">World Bank 2018, </w:t>
      </w:r>
      <w:r w:rsidRPr="005E3F14">
        <w:rPr>
          <w:i/>
          <w:iCs/>
          <w:spacing w:val="-4"/>
        </w:rPr>
        <w:t>Global Antidumping Database (GAD) - 1980s-2015</w:t>
      </w:r>
      <w:r w:rsidRPr="005E3F14">
        <w:rPr>
          <w:spacing w:val="-4"/>
        </w:rPr>
        <w:t xml:space="preserve">, </w:t>
      </w:r>
      <w:r w:rsidR="00E5414B" w:rsidRPr="005E3F14">
        <w:rPr>
          <w:spacing w:val="-4"/>
        </w:rPr>
        <w:t>www.</w:t>
      </w:r>
      <w:r w:rsidRPr="005E3F14">
        <w:rPr>
          <w:spacing w:val="-4"/>
        </w:rPr>
        <w:t>datacatalog.</w:t>
      </w:r>
      <w:r w:rsidR="00E22700">
        <w:rPr>
          <w:spacing w:val="-4"/>
        </w:rPr>
        <w:br/>
      </w:r>
      <w:r w:rsidRPr="005E3F14">
        <w:rPr>
          <w:spacing w:val="-4"/>
        </w:rPr>
        <w:t>worldbank.org/dataset/temporary-trade-barriers-database-including-global-antidumping-database/resource/dc7b361e (accessed 14 April 2020).</w:t>
      </w:r>
    </w:p>
    <w:p w14:paraId="48499B10" w14:textId="25015000" w:rsidR="00AC5385" w:rsidRPr="005E3F14" w:rsidRDefault="00AC5385" w:rsidP="000B7FE2">
      <w:pPr>
        <w:pStyle w:val="Reference"/>
        <w:rPr>
          <w:spacing w:val="-4"/>
        </w:rPr>
      </w:pPr>
      <w:r w:rsidRPr="005E3F14">
        <w:rPr>
          <w:spacing w:val="-4"/>
        </w:rPr>
        <w:t xml:space="preserve">WTO (World Trade Organization) 2020a, </w:t>
      </w:r>
      <w:r w:rsidRPr="005E3F14">
        <w:rPr>
          <w:i/>
          <w:iCs/>
          <w:spacing w:val="-4"/>
        </w:rPr>
        <w:t xml:space="preserve">Dispute </w:t>
      </w:r>
      <w:proofErr w:type="spellStart"/>
      <w:r w:rsidRPr="005E3F14">
        <w:rPr>
          <w:i/>
          <w:iCs/>
          <w:spacing w:val="-4"/>
        </w:rPr>
        <w:t>Settelement</w:t>
      </w:r>
      <w:proofErr w:type="spellEnd"/>
      <w:r w:rsidRPr="005E3F14">
        <w:rPr>
          <w:i/>
          <w:iCs/>
          <w:spacing w:val="-4"/>
        </w:rPr>
        <w:t>: The Disputes</w:t>
      </w:r>
      <w:r w:rsidRPr="005E3F14">
        <w:rPr>
          <w:spacing w:val="-4"/>
        </w:rPr>
        <w:t>, www.wto.org/english/tratop_e/dispu_e/dispu_status_e.htm (accessed 3 February 2020).</w:t>
      </w:r>
    </w:p>
    <w:p w14:paraId="4ACE9DA3" w14:textId="682EFB00" w:rsidR="00AC5385" w:rsidRPr="005E3F14" w:rsidRDefault="00CF54DA" w:rsidP="000B7FE2">
      <w:pPr>
        <w:pStyle w:val="Reference"/>
        <w:rPr>
          <w:spacing w:val="-4"/>
        </w:rPr>
      </w:pPr>
      <w:r w:rsidRPr="005E3F14">
        <w:rPr>
          <w:spacing w:val="-4"/>
        </w:rPr>
        <w:t>—— </w:t>
      </w:r>
      <w:r w:rsidR="00AC5385" w:rsidRPr="005E3F14">
        <w:rPr>
          <w:spacing w:val="-4"/>
        </w:rPr>
        <w:t xml:space="preserve">2020b, </w:t>
      </w:r>
      <w:r w:rsidR="00AC5385" w:rsidRPr="005E3F14">
        <w:rPr>
          <w:i/>
          <w:iCs/>
          <w:spacing w:val="-4"/>
        </w:rPr>
        <w:t>Dispute settlement activity — some figures</w:t>
      </w:r>
      <w:r w:rsidR="00AC5385" w:rsidRPr="005E3F14">
        <w:rPr>
          <w:spacing w:val="-4"/>
        </w:rPr>
        <w:t>, www.wto.org/english/tratop_e/</w:t>
      </w:r>
      <w:r w:rsidR="00E22700">
        <w:rPr>
          <w:spacing w:val="-4"/>
        </w:rPr>
        <w:br/>
      </w:r>
      <w:proofErr w:type="spellStart"/>
      <w:r w:rsidR="00AC5385" w:rsidRPr="005E3F14">
        <w:rPr>
          <w:spacing w:val="-4"/>
        </w:rPr>
        <w:t>dispu_e</w:t>
      </w:r>
      <w:proofErr w:type="spellEnd"/>
      <w:r w:rsidR="00AC5385" w:rsidRPr="005E3F14">
        <w:rPr>
          <w:spacing w:val="-4"/>
        </w:rPr>
        <w:t>/dispustats_e.htm (accessed 15 April 2020).</w:t>
      </w:r>
    </w:p>
    <w:p w14:paraId="69EF9320" w14:textId="518F9EFE" w:rsidR="007D417F" w:rsidRPr="005E3F14" w:rsidRDefault="00CF54DA" w:rsidP="000B7FE2">
      <w:pPr>
        <w:pStyle w:val="Reference"/>
        <w:rPr>
          <w:spacing w:val="-4"/>
        </w:rPr>
      </w:pPr>
      <w:r w:rsidRPr="005E3F14">
        <w:rPr>
          <w:spacing w:val="-4"/>
        </w:rPr>
        <w:t>—— </w:t>
      </w:r>
      <w:r w:rsidR="00AC5385" w:rsidRPr="005E3F14">
        <w:rPr>
          <w:spacing w:val="-4"/>
        </w:rPr>
        <w:t xml:space="preserve">2020c, </w:t>
      </w:r>
      <w:r w:rsidR="00AC5385" w:rsidRPr="005E3F14">
        <w:rPr>
          <w:i/>
          <w:iCs/>
          <w:spacing w:val="-4"/>
        </w:rPr>
        <w:t>DS529: Australia — Anti-Dumping Measures on A4 Copy Paper</w:t>
      </w:r>
      <w:r w:rsidR="00AC5385" w:rsidRPr="005E3F14">
        <w:rPr>
          <w:spacing w:val="-4"/>
        </w:rPr>
        <w:t>, www.wto.org/english/tratop_e/dispu_e/cases_e/ds529_e.htm (accessed 7 April 2020).</w:t>
      </w:r>
    </w:p>
    <w:sectPr w:rsidR="007D417F" w:rsidRPr="005E3F14" w:rsidSect="007D417F">
      <w:headerReference w:type="even" r:id="rId63"/>
      <w:headerReference w:type="default" r:id="rId64"/>
      <w:footerReference w:type="even" r:id="rId65"/>
      <w:footerReference w:type="default" r:id="rId66"/>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42BBE" w14:textId="77777777" w:rsidR="00397F4F" w:rsidRDefault="00397F4F">
      <w:r>
        <w:separator/>
      </w:r>
    </w:p>
  </w:endnote>
  <w:endnote w:type="continuationSeparator" w:id="0">
    <w:p w14:paraId="04A8B7FD" w14:textId="77777777" w:rsidR="00397F4F" w:rsidRDefault="0039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97F4F" w14:paraId="31BE51A6" w14:textId="77777777" w:rsidTr="005F48ED">
      <w:trPr>
        <w:trHeight w:hRule="exact" w:val="567"/>
      </w:trPr>
      <w:tc>
        <w:tcPr>
          <w:tcW w:w="510" w:type="dxa"/>
        </w:tcPr>
        <w:p w14:paraId="07AE3B0F" w14:textId="77777777" w:rsidR="00397F4F" w:rsidRPr="00A24443" w:rsidRDefault="00397F4F"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00A77">
            <w:rPr>
              <w:rStyle w:val="PageNumber"/>
              <w:caps w:val="0"/>
              <w:noProof/>
            </w:rPr>
            <w:t>i</w:t>
          </w:r>
          <w:r w:rsidRPr="00A24443">
            <w:rPr>
              <w:rStyle w:val="PageNumber"/>
              <w:caps w:val="0"/>
            </w:rPr>
            <w:fldChar w:fldCharType="end"/>
          </w:r>
        </w:p>
      </w:tc>
      <w:tc>
        <w:tcPr>
          <w:tcW w:w="7767" w:type="dxa"/>
        </w:tcPr>
        <w:p w14:paraId="421C6C6A" w14:textId="77777777" w:rsidR="00397F4F" w:rsidRPr="0013739A" w:rsidRDefault="00397F4F" w:rsidP="0013739A">
          <w:pPr>
            <w:pStyle w:val="Footer"/>
            <w:rPr>
              <w:rFonts w:cs="Arial"/>
            </w:rPr>
          </w:pPr>
          <w:r>
            <w:rPr>
              <w:rFonts w:cs="Arial"/>
            </w:rPr>
            <w:t>Trade and ASSISTANCE Review 2018-19</w:t>
          </w:r>
        </w:p>
      </w:tc>
      <w:tc>
        <w:tcPr>
          <w:tcW w:w="510" w:type="dxa"/>
        </w:tcPr>
        <w:p w14:paraId="577800AA" w14:textId="77777777" w:rsidR="00397F4F" w:rsidRDefault="00397F4F" w:rsidP="0019293B">
          <w:pPr>
            <w:pStyle w:val="Footer"/>
          </w:pPr>
        </w:p>
      </w:tc>
    </w:tr>
  </w:tbl>
  <w:p w14:paraId="6D4F299D" w14:textId="77777777" w:rsidR="00397F4F" w:rsidRDefault="00397F4F" w:rsidP="00C418AC">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397F4F" w14:paraId="7B83F7BE" w14:textId="77777777" w:rsidTr="007D417F">
      <w:trPr>
        <w:trHeight w:val="567"/>
      </w:trPr>
      <w:tc>
        <w:tcPr>
          <w:tcW w:w="510" w:type="dxa"/>
          <w:tcBorders>
            <w:top w:val="single" w:sz="4" w:space="0" w:color="auto"/>
          </w:tcBorders>
          <w:shd w:val="clear" w:color="auto" w:fill="auto"/>
        </w:tcPr>
        <w:p w14:paraId="68D58C6D" w14:textId="77777777" w:rsidR="00397F4F" w:rsidRDefault="00397F4F" w:rsidP="007D417F">
          <w:pPr>
            <w:pStyle w:val="Footer"/>
          </w:pPr>
        </w:p>
      </w:tc>
      <w:tc>
        <w:tcPr>
          <w:tcW w:w="7767" w:type="dxa"/>
          <w:tcBorders>
            <w:top w:val="single" w:sz="4" w:space="0" w:color="auto"/>
          </w:tcBorders>
          <w:shd w:val="clear" w:color="auto" w:fill="auto"/>
        </w:tcPr>
        <w:p w14:paraId="6379200A" w14:textId="77777777" w:rsidR="00397F4F" w:rsidRDefault="00397F4F" w:rsidP="007D417F">
          <w:pPr>
            <w:pStyle w:val="Footer"/>
            <w:jc w:val="right"/>
          </w:pPr>
          <w:r>
            <w:t>RECENT DEVELOPMENTS IN INDUSTRY ASSISTANCE</w:t>
          </w:r>
        </w:p>
      </w:tc>
      <w:tc>
        <w:tcPr>
          <w:tcW w:w="510" w:type="dxa"/>
          <w:tcBorders>
            <w:top w:val="single" w:sz="4" w:space="0" w:color="auto"/>
          </w:tcBorders>
          <w:shd w:val="clear" w:color="auto" w:fill="auto"/>
        </w:tcPr>
        <w:p w14:paraId="38CF15CC" w14:textId="77777777" w:rsidR="00397F4F" w:rsidRPr="007D417F" w:rsidRDefault="00397F4F" w:rsidP="007D417F">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500A77">
            <w:rPr>
              <w:rStyle w:val="PageNumber"/>
              <w:noProof/>
            </w:rPr>
            <w:t>23</w:t>
          </w:r>
          <w:r>
            <w:rPr>
              <w:rStyle w:val="PageNumber"/>
            </w:rPr>
            <w:fldChar w:fldCharType="end"/>
          </w:r>
        </w:p>
      </w:tc>
    </w:tr>
  </w:tbl>
  <w:p w14:paraId="10C41C8D" w14:textId="77777777" w:rsidR="00397F4F" w:rsidRPr="007D417F" w:rsidRDefault="00397F4F" w:rsidP="007D417F">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397F4F" w14:paraId="1E6EF764" w14:textId="77777777" w:rsidTr="007D417F">
      <w:trPr>
        <w:trHeight w:val="567"/>
      </w:trPr>
      <w:tc>
        <w:tcPr>
          <w:tcW w:w="510" w:type="dxa"/>
          <w:tcBorders>
            <w:top w:val="single" w:sz="4" w:space="0" w:color="auto"/>
          </w:tcBorders>
          <w:shd w:val="clear" w:color="auto" w:fill="auto"/>
        </w:tcPr>
        <w:p w14:paraId="29B11835" w14:textId="77777777" w:rsidR="00397F4F" w:rsidRPr="007D417F" w:rsidRDefault="00397F4F" w:rsidP="007D417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32</w:t>
          </w:r>
          <w:r>
            <w:rPr>
              <w:rStyle w:val="PageNumber"/>
            </w:rPr>
            <w:fldChar w:fldCharType="end"/>
          </w:r>
        </w:p>
      </w:tc>
      <w:tc>
        <w:tcPr>
          <w:tcW w:w="7767" w:type="dxa"/>
          <w:tcBorders>
            <w:top w:val="single" w:sz="4" w:space="0" w:color="auto"/>
          </w:tcBorders>
          <w:shd w:val="clear" w:color="auto" w:fill="auto"/>
        </w:tcPr>
        <w:p w14:paraId="09FA7E87" w14:textId="77777777" w:rsidR="00397F4F" w:rsidRDefault="00397F4F" w:rsidP="007D417F">
          <w:pPr>
            <w:pStyle w:val="Footer"/>
          </w:pPr>
          <w:r>
            <w:t>TRADE AND ASSISTANCE REVIEW 2018-19</w:t>
          </w:r>
        </w:p>
      </w:tc>
      <w:tc>
        <w:tcPr>
          <w:tcW w:w="510" w:type="dxa"/>
          <w:tcBorders>
            <w:top w:val="single" w:sz="4" w:space="0" w:color="auto"/>
          </w:tcBorders>
          <w:shd w:val="clear" w:color="auto" w:fill="auto"/>
        </w:tcPr>
        <w:p w14:paraId="69D4A947" w14:textId="77777777" w:rsidR="00397F4F" w:rsidRDefault="00397F4F" w:rsidP="007D417F">
          <w:pPr>
            <w:pStyle w:val="Footer"/>
          </w:pPr>
        </w:p>
      </w:tc>
    </w:tr>
  </w:tbl>
  <w:p w14:paraId="22156EB4" w14:textId="77777777" w:rsidR="00397F4F" w:rsidRPr="007D417F" w:rsidRDefault="00397F4F" w:rsidP="007D417F">
    <w:pPr>
      <w:pStyle w:val="FooterEn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397F4F" w14:paraId="4068B4DA" w14:textId="77777777" w:rsidTr="007D417F">
      <w:trPr>
        <w:trHeight w:val="567"/>
      </w:trPr>
      <w:tc>
        <w:tcPr>
          <w:tcW w:w="510" w:type="dxa"/>
          <w:tcBorders>
            <w:top w:val="single" w:sz="4" w:space="0" w:color="auto"/>
          </w:tcBorders>
          <w:shd w:val="clear" w:color="auto" w:fill="auto"/>
        </w:tcPr>
        <w:p w14:paraId="047F00EF" w14:textId="77777777" w:rsidR="00397F4F" w:rsidRDefault="00397F4F" w:rsidP="007D417F">
          <w:pPr>
            <w:pStyle w:val="Footer"/>
          </w:pPr>
        </w:p>
      </w:tc>
      <w:tc>
        <w:tcPr>
          <w:tcW w:w="7767" w:type="dxa"/>
          <w:tcBorders>
            <w:top w:val="single" w:sz="4" w:space="0" w:color="auto"/>
          </w:tcBorders>
          <w:shd w:val="clear" w:color="auto" w:fill="auto"/>
        </w:tcPr>
        <w:p w14:paraId="17538C2C" w14:textId="77777777" w:rsidR="00397F4F" w:rsidRDefault="00397F4F" w:rsidP="007D417F">
          <w:pPr>
            <w:pStyle w:val="Footer"/>
            <w:jc w:val="right"/>
          </w:pPr>
          <w:r>
            <w:t>TRADE POLICY DEVELOPMENTS</w:t>
          </w:r>
        </w:p>
      </w:tc>
      <w:tc>
        <w:tcPr>
          <w:tcW w:w="510" w:type="dxa"/>
          <w:tcBorders>
            <w:top w:val="single" w:sz="4" w:space="0" w:color="auto"/>
          </w:tcBorders>
          <w:shd w:val="clear" w:color="auto" w:fill="auto"/>
        </w:tcPr>
        <w:p w14:paraId="7B352210" w14:textId="77777777" w:rsidR="00397F4F" w:rsidRPr="007D417F" w:rsidRDefault="00397F4F" w:rsidP="007D417F">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31</w:t>
          </w:r>
          <w:r>
            <w:rPr>
              <w:rStyle w:val="PageNumber"/>
            </w:rPr>
            <w:fldChar w:fldCharType="end"/>
          </w:r>
        </w:p>
      </w:tc>
    </w:tr>
  </w:tbl>
  <w:p w14:paraId="0BEEDE8C" w14:textId="77777777" w:rsidR="00397F4F" w:rsidRPr="007D417F" w:rsidRDefault="00397F4F" w:rsidP="007D417F">
    <w:pPr>
      <w:pStyle w:val="FooterEn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397F4F" w14:paraId="21A2B558" w14:textId="77777777" w:rsidTr="007D417F">
      <w:trPr>
        <w:trHeight w:val="567"/>
      </w:trPr>
      <w:tc>
        <w:tcPr>
          <w:tcW w:w="510" w:type="dxa"/>
          <w:tcBorders>
            <w:top w:val="single" w:sz="4" w:space="0" w:color="auto"/>
          </w:tcBorders>
          <w:shd w:val="clear" w:color="auto" w:fill="auto"/>
        </w:tcPr>
        <w:p w14:paraId="5FEAE97D" w14:textId="77777777" w:rsidR="00397F4F" w:rsidRPr="007D417F" w:rsidRDefault="00397F4F" w:rsidP="007D417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36</w:t>
          </w:r>
          <w:r>
            <w:rPr>
              <w:rStyle w:val="PageNumber"/>
            </w:rPr>
            <w:fldChar w:fldCharType="end"/>
          </w:r>
        </w:p>
      </w:tc>
      <w:tc>
        <w:tcPr>
          <w:tcW w:w="7767" w:type="dxa"/>
          <w:tcBorders>
            <w:top w:val="single" w:sz="4" w:space="0" w:color="auto"/>
          </w:tcBorders>
          <w:shd w:val="clear" w:color="auto" w:fill="auto"/>
        </w:tcPr>
        <w:p w14:paraId="520C3A19" w14:textId="77777777" w:rsidR="00397F4F" w:rsidRDefault="00397F4F" w:rsidP="007D417F">
          <w:pPr>
            <w:pStyle w:val="Footer"/>
          </w:pPr>
          <w:r>
            <w:t>TRADE AND ASSISTANCE REVIEW 2018-19</w:t>
          </w:r>
        </w:p>
      </w:tc>
      <w:tc>
        <w:tcPr>
          <w:tcW w:w="510" w:type="dxa"/>
          <w:tcBorders>
            <w:top w:val="single" w:sz="4" w:space="0" w:color="auto"/>
          </w:tcBorders>
          <w:shd w:val="clear" w:color="auto" w:fill="auto"/>
        </w:tcPr>
        <w:p w14:paraId="3A1DBB2E" w14:textId="77777777" w:rsidR="00397F4F" w:rsidRDefault="00397F4F" w:rsidP="007D417F">
          <w:pPr>
            <w:pStyle w:val="Footer"/>
          </w:pPr>
        </w:p>
      </w:tc>
    </w:tr>
  </w:tbl>
  <w:p w14:paraId="7A13BE71" w14:textId="77777777" w:rsidR="00397F4F" w:rsidRPr="007D417F" w:rsidRDefault="00397F4F" w:rsidP="007D417F">
    <w:pPr>
      <w:pStyle w:val="FooterEnd"/>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397F4F" w14:paraId="2BB3EB5C" w14:textId="77777777" w:rsidTr="007D417F">
      <w:trPr>
        <w:trHeight w:val="567"/>
      </w:trPr>
      <w:tc>
        <w:tcPr>
          <w:tcW w:w="510" w:type="dxa"/>
          <w:tcBorders>
            <w:top w:val="single" w:sz="4" w:space="0" w:color="auto"/>
          </w:tcBorders>
          <w:shd w:val="clear" w:color="auto" w:fill="auto"/>
        </w:tcPr>
        <w:p w14:paraId="14285C85" w14:textId="77777777" w:rsidR="00397F4F" w:rsidRDefault="00397F4F" w:rsidP="007D417F">
          <w:pPr>
            <w:pStyle w:val="Footer"/>
          </w:pPr>
        </w:p>
      </w:tc>
      <w:tc>
        <w:tcPr>
          <w:tcW w:w="7767" w:type="dxa"/>
          <w:tcBorders>
            <w:top w:val="single" w:sz="4" w:space="0" w:color="auto"/>
          </w:tcBorders>
          <w:shd w:val="clear" w:color="auto" w:fill="auto"/>
        </w:tcPr>
        <w:p w14:paraId="6B72180E" w14:textId="77777777" w:rsidR="00397F4F" w:rsidRDefault="00397F4F" w:rsidP="007D417F">
          <w:pPr>
            <w:pStyle w:val="Footer"/>
            <w:jc w:val="right"/>
          </w:pPr>
          <w:r>
            <w:t>HOW THE ASSISTANCE ESTIMATES ARE CALCULATED</w:t>
          </w:r>
        </w:p>
      </w:tc>
      <w:tc>
        <w:tcPr>
          <w:tcW w:w="510" w:type="dxa"/>
          <w:tcBorders>
            <w:top w:val="single" w:sz="4" w:space="0" w:color="auto"/>
          </w:tcBorders>
          <w:shd w:val="clear" w:color="auto" w:fill="auto"/>
        </w:tcPr>
        <w:p w14:paraId="1311C4B4" w14:textId="77777777" w:rsidR="00397F4F" w:rsidRPr="007D417F" w:rsidRDefault="00397F4F" w:rsidP="007D417F">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37</w:t>
          </w:r>
          <w:r>
            <w:rPr>
              <w:rStyle w:val="PageNumber"/>
            </w:rPr>
            <w:fldChar w:fldCharType="end"/>
          </w:r>
        </w:p>
      </w:tc>
    </w:tr>
  </w:tbl>
  <w:p w14:paraId="3058E437" w14:textId="77777777" w:rsidR="00397F4F" w:rsidRPr="007D417F" w:rsidRDefault="00397F4F" w:rsidP="007D417F">
    <w:pPr>
      <w:pStyle w:val="FooterEnd"/>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397F4F" w14:paraId="11331EFB" w14:textId="77777777" w:rsidTr="007D417F">
      <w:trPr>
        <w:trHeight w:val="567"/>
      </w:trPr>
      <w:tc>
        <w:tcPr>
          <w:tcW w:w="510" w:type="dxa"/>
          <w:tcBorders>
            <w:top w:val="single" w:sz="4" w:space="0" w:color="auto"/>
          </w:tcBorders>
          <w:shd w:val="clear" w:color="auto" w:fill="auto"/>
        </w:tcPr>
        <w:p w14:paraId="5C7773D2" w14:textId="77777777" w:rsidR="00397F4F" w:rsidRPr="007D417F" w:rsidRDefault="00397F4F" w:rsidP="007D417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42</w:t>
          </w:r>
          <w:r>
            <w:rPr>
              <w:rStyle w:val="PageNumber"/>
            </w:rPr>
            <w:fldChar w:fldCharType="end"/>
          </w:r>
        </w:p>
      </w:tc>
      <w:tc>
        <w:tcPr>
          <w:tcW w:w="7767" w:type="dxa"/>
          <w:tcBorders>
            <w:top w:val="single" w:sz="4" w:space="0" w:color="auto"/>
          </w:tcBorders>
          <w:shd w:val="clear" w:color="auto" w:fill="auto"/>
        </w:tcPr>
        <w:p w14:paraId="6DA32C3B" w14:textId="77777777" w:rsidR="00397F4F" w:rsidRDefault="00397F4F" w:rsidP="007D417F">
          <w:pPr>
            <w:pStyle w:val="Footer"/>
          </w:pPr>
          <w:r>
            <w:t>TRADE AND ASSISTANCE REVIEW 2018-19</w:t>
          </w:r>
        </w:p>
      </w:tc>
      <w:tc>
        <w:tcPr>
          <w:tcW w:w="510" w:type="dxa"/>
          <w:tcBorders>
            <w:top w:val="single" w:sz="4" w:space="0" w:color="auto"/>
          </w:tcBorders>
          <w:shd w:val="clear" w:color="auto" w:fill="auto"/>
        </w:tcPr>
        <w:p w14:paraId="27E4D7AF" w14:textId="77777777" w:rsidR="00397F4F" w:rsidRDefault="00397F4F" w:rsidP="007D417F">
          <w:pPr>
            <w:pStyle w:val="Footer"/>
          </w:pPr>
        </w:p>
      </w:tc>
    </w:tr>
  </w:tbl>
  <w:p w14:paraId="713844D1" w14:textId="77777777" w:rsidR="00397F4F" w:rsidRPr="007D417F" w:rsidRDefault="00397F4F" w:rsidP="007D417F">
    <w:pPr>
      <w:pStyle w:val="FooterEnd"/>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397F4F" w14:paraId="7D3460FA" w14:textId="77777777" w:rsidTr="007D417F">
      <w:trPr>
        <w:trHeight w:val="567"/>
      </w:trPr>
      <w:tc>
        <w:tcPr>
          <w:tcW w:w="510" w:type="dxa"/>
          <w:tcBorders>
            <w:top w:val="single" w:sz="4" w:space="0" w:color="auto"/>
          </w:tcBorders>
          <w:shd w:val="clear" w:color="auto" w:fill="auto"/>
        </w:tcPr>
        <w:p w14:paraId="3A6569FA" w14:textId="77777777" w:rsidR="00397F4F" w:rsidRDefault="00397F4F" w:rsidP="007D417F">
          <w:pPr>
            <w:pStyle w:val="Footer"/>
          </w:pPr>
        </w:p>
      </w:tc>
      <w:tc>
        <w:tcPr>
          <w:tcW w:w="7767" w:type="dxa"/>
          <w:tcBorders>
            <w:top w:val="single" w:sz="4" w:space="0" w:color="auto"/>
          </w:tcBorders>
          <w:shd w:val="clear" w:color="auto" w:fill="auto"/>
        </w:tcPr>
        <w:p w14:paraId="5F9F6B18" w14:textId="77777777" w:rsidR="00397F4F" w:rsidRDefault="00397F4F" w:rsidP="007D417F">
          <w:pPr>
            <w:pStyle w:val="Footer"/>
            <w:jc w:val="right"/>
          </w:pPr>
          <w:r>
            <w:t>References</w:t>
          </w:r>
        </w:p>
      </w:tc>
      <w:tc>
        <w:tcPr>
          <w:tcW w:w="510" w:type="dxa"/>
          <w:tcBorders>
            <w:top w:val="single" w:sz="4" w:space="0" w:color="auto"/>
          </w:tcBorders>
          <w:shd w:val="clear" w:color="auto" w:fill="auto"/>
        </w:tcPr>
        <w:p w14:paraId="01DC584E" w14:textId="77777777" w:rsidR="00397F4F" w:rsidRPr="007D417F" w:rsidRDefault="00397F4F" w:rsidP="007D417F">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43</w:t>
          </w:r>
          <w:r>
            <w:rPr>
              <w:rStyle w:val="PageNumber"/>
            </w:rPr>
            <w:fldChar w:fldCharType="end"/>
          </w:r>
        </w:p>
      </w:tc>
    </w:tr>
  </w:tbl>
  <w:p w14:paraId="5D796350" w14:textId="77777777" w:rsidR="00397F4F" w:rsidRPr="007D417F" w:rsidRDefault="00397F4F" w:rsidP="007D417F">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97F4F" w14:paraId="2E9939BC" w14:textId="77777777" w:rsidTr="005F48ED">
      <w:trPr>
        <w:trHeight w:hRule="exact" w:val="567"/>
      </w:trPr>
      <w:tc>
        <w:tcPr>
          <w:tcW w:w="510" w:type="dxa"/>
        </w:tcPr>
        <w:p w14:paraId="1EA7818F" w14:textId="77777777" w:rsidR="00397F4F" w:rsidRPr="00A24443" w:rsidRDefault="00397F4F"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00A77">
            <w:rPr>
              <w:rStyle w:val="PageNumber"/>
              <w:caps w:val="0"/>
              <w:noProof/>
            </w:rPr>
            <w:t>iv</w:t>
          </w:r>
          <w:r w:rsidRPr="00A24443">
            <w:rPr>
              <w:rStyle w:val="PageNumber"/>
              <w:caps w:val="0"/>
            </w:rPr>
            <w:fldChar w:fldCharType="end"/>
          </w:r>
        </w:p>
      </w:tc>
      <w:tc>
        <w:tcPr>
          <w:tcW w:w="7767" w:type="dxa"/>
        </w:tcPr>
        <w:p w14:paraId="1B220309" w14:textId="61785C85" w:rsidR="00397F4F" w:rsidRPr="0013739A" w:rsidRDefault="00397F4F" w:rsidP="00C418AC">
          <w:pPr>
            <w:pStyle w:val="Footer"/>
            <w:rPr>
              <w:rFonts w:cs="Arial"/>
            </w:rPr>
          </w:pPr>
          <w:r>
            <w:rPr>
              <w:rFonts w:cs="Arial"/>
            </w:rPr>
            <w:t>Trade and ASSISTANCE Review 2018-19</w:t>
          </w:r>
        </w:p>
      </w:tc>
      <w:tc>
        <w:tcPr>
          <w:tcW w:w="510" w:type="dxa"/>
        </w:tcPr>
        <w:p w14:paraId="02DB3552" w14:textId="77777777" w:rsidR="00397F4F" w:rsidRDefault="00397F4F" w:rsidP="0019293B">
          <w:pPr>
            <w:pStyle w:val="Footer"/>
          </w:pPr>
        </w:p>
      </w:tc>
    </w:tr>
  </w:tbl>
  <w:p w14:paraId="4748A034" w14:textId="77777777" w:rsidR="00397F4F" w:rsidRDefault="00397F4F" w:rsidP="0019293B">
    <w:pPr>
      <w:pStyle w:val="FooterEnd"/>
    </w:pPr>
  </w:p>
  <w:p w14:paraId="4836B4E2" w14:textId="77777777" w:rsidR="00397F4F" w:rsidRDefault="00397F4F">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97F4F" w14:paraId="3D1D219F" w14:textId="77777777" w:rsidTr="005F48ED">
      <w:trPr>
        <w:trHeight w:hRule="exact" w:val="567"/>
      </w:trPr>
      <w:tc>
        <w:tcPr>
          <w:tcW w:w="510" w:type="dxa"/>
        </w:tcPr>
        <w:p w14:paraId="4B6A26E3" w14:textId="77777777" w:rsidR="00397F4F" w:rsidRDefault="00397F4F">
          <w:pPr>
            <w:pStyle w:val="Footer"/>
            <w:ind w:right="360" w:firstLine="360"/>
          </w:pPr>
        </w:p>
      </w:tc>
      <w:tc>
        <w:tcPr>
          <w:tcW w:w="7767" w:type="dxa"/>
        </w:tcPr>
        <w:p w14:paraId="4262B37F" w14:textId="77777777" w:rsidR="00397F4F" w:rsidRPr="00BA5B14" w:rsidRDefault="00397F4F" w:rsidP="00BE51AE">
          <w:pPr>
            <w:pStyle w:val="Footer"/>
            <w:jc w:val="right"/>
            <w:rPr>
              <w:rFonts w:cs="Arial"/>
            </w:rPr>
          </w:pPr>
          <w:r>
            <w:rPr>
              <w:rFonts w:cs="Arial"/>
            </w:rPr>
            <w:t>Foreword</w:t>
          </w:r>
        </w:p>
      </w:tc>
      <w:tc>
        <w:tcPr>
          <w:tcW w:w="510" w:type="dxa"/>
        </w:tcPr>
        <w:p w14:paraId="5F8CF197" w14:textId="77777777" w:rsidR="00397F4F" w:rsidRPr="007448F7" w:rsidRDefault="00397F4F">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500A77">
            <w:rPr>
              <w:rStyle w:val="PageNumber"/>
              <w:caps w:val="0"/>
              <w:noProof/>
            </w:rPr>
            <w:t>iii</w:t>
          </w:r>
          <w:r w:rsidRPr="007448F7">
            <w:rPr>
              <w:rStyle w:val="PageNumber"/>
              <w:caps w:val="0"/>
            </w:rPr>
            <w:fldChar w:fldCharType="end"/>
          </w:r>
        </w:p>
      </w:tc>
    </w:tr>
  </w:tbl>
  <w:p w14:paraId="219F9C97" w14:textId="77777777" w:rsidR="00397F4F" w:rsidRDefault="00397F4F">
    <w:pPr>
      <w:pStyle w:val="FooterEnd"/>
    </w:pPr>
  </w:p>
  <w:p w14:paraId="03471FCE" w14:textId="77777777" w:rsidR="00397F4F" w:rsidRDefault="00397F4F">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97F4F" w14:paraId="528C9150" w14:textId="77777777" w:rsidTr="005F48ED">
      <w:trPr>
        <w:trHeight w:hRule="exact" w:val="567"/>
      </w:trPr>
      <w:tc>
        <w:tcPr>
          <w:tcW w:w="510" w:type="dxa"/>
        </w:tcPr>
        <w:p w14:paraId="3E8CB164" w14:textId="77777777" w:rsidR="00397F4F" w:rsidRPr="007448F7" w:rsidRDefault="00397F4F" w:rsidP="0019293B">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Pr>
              <w:rStyle w:val="PageNumber"/>
              <w:caps w:val="0"/>
              <w:noProof/>
            </w:rPr>
            <w:t>2</w:t>
          </w:r>
          <w:r w:rsidRPr="007448F7">
            <w:rPr>
              <w:rStyle w:val="PageNumber"/>
              <w:caps w:val="0"/>
            </w:rPr>
            <w:fldChar w:fldCharType="end"/>
          </w:r>
        </w:p>
      </w:tc>
      <w:tc>
        <w:tcPr>
          <w:tcW w:w="7767" w:type="dxa"/>
        </w:tcPr>
        <w:p w14:paraId="367E31C7" w14:textId="77777777" w:rsidR="00397F4F" w:rsidRPr="0013739A" w:rsidRDefault="00397F4F" w:rsidP="00BE51AE">
          <w:pPr>
            <w:pStyle w:val="Footer"/>
            <w:rPr>
              <w:rFonts w:cs="Arial"/>
            </w:rPr>
          </w:pPr>
          <w:r w:rsidRPr="00BA5B14">
            <w:rPr>
              <w:rFonts w:cs="Arial"/>
            </w:rPr>
            <w:fldChar w:fldCharType="begin"/>
          </w:r>
          <w:r>
            <w:rPr>
              <w:rFonts w:cs="Arial"/>
            </w:rPr>
            <w:instrText xml:space="preserve"> TITLE </w:instrText>
          </w:r>
          <w:r w:rsidRPr="00BA5B14">
            <w:rPr>
              <w:rFonts w:cs="Arial"/>
            </w:rPr>
            <w:fldChar w:fldCharType="separate"/>
          </w:r>
          <w:r>
            <w:rPr>
              <w:rFonts w:cs="Arial"/>
            </w:rPr>
            <w:t>Trade and Assistance Review 2018-19</w:t>
          </w:r>
          <w:r w:rsidRPr="00BA5B14">
            <w:rPr>
              <w:rFonts w:cs="Arial"/>
            </w:rPr>
            <w:fldChar w:fldCharType="end"/>
          </w:r>
        </w:p>
      </w:tc>
      <w:tc>
        <w:tcPr>
          <w:tcW w:w="510" w:type="dxa"/>
        </w:tcPr>
        <w:p w14:paraId="22488114" w14:textId="77777777" w:rsidR="00397F4F" w:rsidRDefault="00397F4F" w:rsidP="0019293B">
          <w:pPr>
            <w:pStyle w:val="Footer"/>
          </w:pPr>
        </w:p>
      </w:tc>
    </w:tr>
  </w:tbl>
  <w:p w14:paraId="75AF9AFA" w14:textId="77777777" w:rsidR="00397F4F" w:rsidRDefault="00397F4F" w:rsidP="0019293B">
    <w:pPr>
      <w:pStyle w:val="FooterEnd"/>
    </w:pPr>
  </w:p>
  <w:p w14:paraId="6CD95EC1" w14:textId="77777777" w:rsidR="00397F4F" w:rsidRDefault="00397F4F">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97F4F" w14:paraId="05AAC852" w14:textId="77777777" w:rsidTr="005F48ED">
      <w:trPr>
        <w:trHeight w:hRule="exact" w:val="567"/>
      </w:trPr>
      <w:tc>
        <w:tcPr>
          <w:tcW w:w="510" w:type="dxa"/>
        </w:tcPr>
        <w:p w14:paraId="44E28561" w14:textId="77777777" w:rsidR="00397F4F" w:rsidRDefault="00397F4F">
          <w:pPr>
            <w:pStyle w:val="Footer"/>
            <w:ind w:right="360" w:firstLine="360"/>
          </w:pPr>
        </w:p>
      </w:tc>
      <w:tc>
        <w:tcPr>
          <w:tcW w:w="7767" w:type="dxa"/>
        </w:tcPr>
        <w:p w14:paraId="4123C097" w14:textId="77777777" w:rsidR="00397F4F" w:rsidRPr="00340511" w:rsidRDefault="00397F4F" w:rsidP="00BE51AE">
          <w:pPr>
            <w:pStyle w:val="Footer"/>
            <w:jc w:val="right"/>
            <w:rPr>
              <w:rFonts w:cs="Arial"/>
            </w:rPr>
          </w:pPr>
          <w:r w:rsidRPr="00340511">
            <w:rPr>
              <w:noProof/>
            </w:rPr>
            <w:fldChar w:fldCharType="begin"/>
          </w:r>
          <w:r w:rsidRPr="00340511">
            <w:rPr>
              <w:noProof/>
            </w:rPr>
            <w:instrText xml:space="preserve"> STYLEREF "Heading 1" \* MERGEFORMAT </w:instrText>
          </w:r>
          <w:r w:rsidRPr="00340511">
            <w:rPr>
              <w:noProof/>
            </w:rPr>
            <w:fldChar w:fldCharType="separate"/>
          </w:r>
          <w:r w:rsidR="00500A77" w:rsidRPr="00500A77">
            <w:rPr>
              <w:bCs/>
              <w:noProof/>
              <w:lang w:val="en-US"/>
            </w:rPr>
            <w:t>Abbreviations</w:t>
          </w:r>
          <w:r w:rsidRPr="00340511">
            <w:rPr>
              <w:noProof/>
            </w:rPr>
            <w:fldChar w:fldCharType="end"/>
          </w:r>
        </w:p>
      </w:tc>
      <w:tc>
        <w:tcPr>
          <w:tcW w:w="510" w:type="dxa"/>
        </w:tcPr>
        <w:p w14:paraId="13A03F58" w14:textId="77777777" w:rsidR="00397F4F" w:rsidRPr="00A24443" w:rsidRDefault="00397F4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00A77">
            <w:rPr>
              <w:rStyle w:val="PageNumber"/>
              <w:caps w:val="0"/>
              <w:noProof/>
            </w:rPr>
            <w:t>v</w:t>
          </w:r>
          <w:r w:rsidRPr="00A24443">
            <w:rPr>
              <w:rStyle w:val="PageNumber"/>
              <w:caps w:val="0"/>
            </w:rPr>
            <w:fldChar w:fldCharType="end"/>
          </w:r>
        </w:p>
      </w:tc>
    </w:tr>
  </w:tbl>
  <w:p w14:paraId="03D3B1DB" w14:textId="77777777" w:rsidR="00397F4F" w:rsidRDefault="00397F4F">
    <w:pPr>
      <w:pStyle w:val="FooterEnd"/>
    </w:pPr>
  </w:p>
  <w:p w14:paraId="6B5ADDA5" w14:textId="77777777" w:rsidR="00397F4F" w:rsidRDefault="00397F4F" w:rsidP="00BE51AE">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97F4F" w14:paraId="478802F9" w14:textId="77777777" w:rsidTr="005F48ED">
      <w:trPr>
        <w:trHeight w:hRule="exact" w:val="567"/>
      </w:trPr>
      <w:tc>
        <w:tcPr>
          <w:tcW w:w="510" w:type="dxa"/>
        </w:tcPr>
        <w:p w14:paraId="263535A1" w14:textId="77777777" w:rsidR="00397F4F" w:rsidRPr="00A24443" w:rsidRDefault="00397F4F"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00A77">
            <w:rPr>
              <w:rStyle w:val="PageNumber"/>
              <w:caps w:val="0"/>
              <w:noProof/>
            </w:rPr>
            <w:t>vi</w:t>
          </w:r>
          <w:r w:rsidRPr="00A24443">
            <w:rPr>
              <w:rStyle w:val="PageNumber"/>
              <w:caps w:val="0"/>
            </w:rPr>
            <w:fldChar w:fldCharType="end"/>
          </w:r>
        </w:p>
      </w:tc>
      <w:tc>
        <w:tcPr>
          <w:tcW w:w="7767" w:type="dxa"/>
        </w:tcPr>
        <w:p w14:paraId="62572A18" w14:textId="77777777" w:rsidR="00397F4F" w:rsidRPr="0013739A" w:rsidRDefault="00397F4F" w:rsidP="0013739A">
          <w:pPr>
            <w:pStyle w:val="Footer"/>
            <w:rPr>
              <w:rFonts w:cs="Arial"/>
            </w:rPr>
          </w:pPr>
          <w:r>
            <w:rPr>
              <w:rFonts w:cs="Arial"/>
            </w:rPr>
            <w:t>Trade and ASSISTANCE Review 2018-19</w:t>
          </w:r>
        </w:p>
      </w:tc>
      <w:tc>
        <w:tcPr>
          <w:tcW w:w="510" w:type="dxa"/>
        </w:tcPr>
        <w:p w14:paraId="44F6B4EF" w14:textId="77777777" w:rsidR="00397F4F" w:rsidRDefault="00397F4F" w:rsidP="0019293B">
          <w:pPr>
            <w:pStyle w:val="Footer"/>
          </w:pPr>
        </w:p>
      </w:tc>
    </w:tr>
  </w:tbl>
  <w:p w14:paraId="47E6F59B" w14:textId="77777777" w:rsidR="00397F4F" w:rsidRDefault="00397F4F" w:rsidP="00C418AC">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397F4F" w14:paraId="018F3B9D" w14:textId="77777777" w:rsidTr="007D417F">
      <w:trPr>
        <w:trHeight w:val="567"/>
      </w:trPr>
      <w:tc>
        <w:tcPr>
          <w:tcW w:w="510" w:type="dxa"/>
          <w:tcBorders>
            <w:top w:val="single" w:sz="4" w:space="0" w:color="auto"/>
          </w:tcBorders>
          <w:shd w:val="clear" w:color="auto" w:fill="auto"/>
        </w:tcPr>
        <w:p w14:paraId="45089A51" w14:textId="77777777" w:rsidR="00397F4F" w:rsidRPr="007D417F" w:rsidRDefault="00397F4F" w:rsidP="007D417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500A77">
            <w:rPr>
              <w:rStyle w:val="PageNumber"/>
              <w:noProof/>
            </w:rPr>
            <w:t>14</w:t>
          </w:r>
          <w:r>
            <w:rPr>
              <w:rStyle w:val="PageNumber"/>
            </w:rPr>
            <w:fldChar w:fldCharType="end"/>
          </w:r>
        </w:p>
      </w:tc>
      <w:tc>
        <w:tcPr>
          <w:tcW w:w="7767" w:type="dxa"/>
          <w:tcBorders>
            <w:top w:val="single" w:sz="4" w:space="0" w:color="auto"/>
          </w:tcBorders>
          <w:shd w:val="clear" w:color="auto" w:fill="auto"/>
        </w:tcPr>
        <w:p w14:paraId="761500F2" w14:textId="77777777" w:rsidR="00397F4F" w:rsidRDefault="00397F4F" w:rsidP="007D417F">
          <w:pPr>
            <w:pStyle w:val="Footer"/>
          </w:pPr>
          <w:r>
            <w:t>TRADE AND ASSISTANCE REVIEW 2018-19</w:t>
          </w:r>
        </w:p>
      </w:tc>
      <w:tc>
        <w:tcPr>
          <w:tcW w:w="510" w:type="dxa"/>
          <w:tcBorders>
            <w:top w:val="single" w:sz="4" w:space="0" w:color="auto"/>
          </w:tcBorders>
          <w:shd w:val="clear" w:color="auto" w:fill="auto"/>
        </w:tcPr>
        <w:p w14:paraId="1ED236DB" w14:textId="77777777" w:rsidR="00397F4F" w:rsidRDefault="00397F4F" w:rsidP="007D417F">
          <w:pPr>
            <w:pStyle w:val="Footer"/>
          </w:pPr>
        </w:p>
      </w:tc>
    </w:tr>
  </w:tbl>
  <w:p w14:paraId="6EEEB785" w14:textId="77777777" w:rsidR="00397F4F" w:rsidRPr="007D417F" w:rsidRDefault="00397F4F" w:rsidP="007D417F">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397F4F" w14:paraId="30BC8637" w14:textId="77777777" w:rsidTr="007D417F">
      <w:trPr>
        <w:trHeight w:val="567"/>
      </w:trPr>
      <w:tc>
        <w:tcPr>
          <w:tcW w:w="510" w:type="dxa"/>
          <w:tcBorders>
            <w:top w:val="single" w:sz="4" w:space="0" w:color="auto"/>
          </w:tcBorders>
          <w:shd w:val="clear" w:color="auto" w:fill="auto"/>
        </w:tcPr>
        <w:p w14:paraId="3789C0E6" w14:textId="77777777" w:rsidR="00397F4F" w:rsidRDefault="00397F4F" w:rsidP="007D417F">
          <w:pPr>
            <w:pStyle w:val="Footer"/>
          </w:pPr>
        </w:p>
      </w:tc>
      <w:tc>
        <w:tcPr>
          <w:tcW w:w="7767" w:type="dxa"/>
          <w:tcBorders>
            <w:top w:val="single" w:sz="4" w:space="0" w:color="auto"/>
          </w:tcBorders>
          <w:shd w:val="clear" w:color="auto" w:fill="auto"/>
        </w:tcPr>
        <w:p w14:paraId="3ABA0508" w14:textId="77777777" w:rsidR="00397F4F" w:rsidRDefault="00397F4F" w:rsidP="007D417F">
          <w:pPr>
            <w:pStyle w:val="Footer"/>
            <w:jc w:val="right"/>
          </w:pPr>
          <w:r>
            <w:t>ASSISTANCE ESTIMATES</w:t>
          </w:r>
        </w:p>
      </w:tc>
      <w:tc>
        <w:tcPr>
          <w:tcW w:w="510" w:type="dxa"/>
          <w:tcBorders>
            <w:top w:val="single" w:sz="4" w:space="0" w:color="auto"/>
          </w:tcBorders>
          <w:shd w:val="clear" w:color="auto" w:fill="auto"/>
        </w:tcPr>
        <w:p w14:paraId="0D5FD6B5" w14:textId="77777777" w:rsidR="00397F4F" w:rsidRPr="007D417F" w:rsidRDefault="00397F4F" w:rsidP="007D417F">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500A77">
            <w:rPr>
              <w:rStyle w:val="PageNumber"/>
              <w:noProof/>
            </w:rPr>
            <w:t>13</w:t>
          </w:r>
          <w:r>
            <w:rPr>
              <w:rStyle w:val="PageNumber"/>
            </w:rPr>
            <w:fldChar w:fldCharType="end"/>
          </w:r>
        </w:p>
      </w:tc>
    </w:tr>
  </w:tbl>
  <w:p w14:paraId="4B75C91E" w14:textId="77777777" w:rsidR="00397F4F" w:rsidRPr="007D417F" w:rsidRDefault="00397F4F" w:rsidP="007D417F">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397F4F" w14:paraId="69EABE6E" w14:textId="77777777" w:rsidTr="007D417F">
      <w:trPr>
        <w:trHeight w:val="567"/>
      </w:trPr>
      <w:tc>
        <w:tcPr>
          <w:tcW w:w="510" w:type="dxa"/>
          <w:tcBorders>
            <w:top w:val="single" w:sz="4" w:space="0" w:color="auto"/>
          </w:tcBorders>
          <w:shd w:val="clear" w:color="auto" w:fill="auto"/>
        </w:tcPr>
        <w:p w14:paraId="74755526" w14:textId="77777777" w:rsidR="00397F4F" w:rsidRPr="007D417F" w:rsidRDefault="00397F4F" w:rsidP="007D417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500A77">
            <w:rPr>
              <w:rStyle w:val="PageNumber"/>
              <w:noProof/>
            </w:rPr>
            <w:t>22</w:t>
          </w:r>
          <w:r>
            <w:rPr>
              <w:rStyle w:val="PageNumber"/>
            </w:rPr>
            <w:fldChar w:fldCharType="end"/>
          </w:r>
        </w:p>
      </w:tc>
      <w:tc>
        <w:tcPr>
          <w:tcW w:w="7767" w:type="dxa"/>
          <w:tcBorders>
            <w:top w:val="single" w:sz="4" w:space="0" w:color="auto"/>
          </w:tcBorders>
          <w:shd w:val="clear" w:color="auto" w:fill="auto"/>
        </w:tcPr>
        <w:p w14:paraId="5450806D" w14:textId="77777777" w:rsidR="00397F4F" w:rsidRDefault="00397F4F" w:rsidP="007D417F">
          <w:pPr>
            <w:pStyle w:val="Footer"/>
          </w:pPr>
          <w:r>
            <w:t>TRADE AND ASSISTANCE REVIEW 2018-19</w:t>
          </w:r>
        </w:p>
      </w:tc>
      <w:tc>
        <w:tcPr>
          <w:tcW w:w="510" w:type="dxa"/>
          <w:tcBorders>
            <w:top w:val="single" w:sz="4" w:space="0" w:color="auto"/>
          </w:tcBorders>
          <w:shd w:val="clear" w:color="auto" w:fill="auto"/>
        </w:tcPr>
        <w:p w14:paraId="2F5BA58C" w14:textId="77777777" w:rsidR="00397F4F" w:rsidRDefault="00397F4F" w:rsidP="007D417F">
          <w:pPr>
            <w:pStyle w:val="Footer"/>
          </w:pPr>
        </w:p>
      </w:tc>
    </w:tr>
  </w:tbl>
  <w:p w14:paraId="6D98623E" w14:textId="77777777" w:rsidR="00397F4F" w:rsidRPr="007D417F" w:rsidRDefault="00397F4F" w:rsidP="007D417F">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86F98" w14:textId="77777777" w:rsidR="00397F4F" w:rsidRDefault="00397F4F">
      <w:r>
        <w:separator/>
      </w:r>
    </w:p>
  </w:footnote>
  <w:footnote w:type="continuationSeparator" w:id="0">
    <w:p w14:paraId="6DCF061E" w14:textId="77777777" w:rsidR="00397F4F" w:rsidRDefault="00397F4F">
      <w:r>
        <w:continuationSeparator/>
      </w:r>
    </w:p>
  </w:footnote>
  <w:footnote w:id="1">
    <w:p w14:paraId="52CEFC67" w14:textId="77777777" w:rsidR="00397F4F" w:rsidRDefault="00397F4F" w:rsidP="00E44AEF">
      <w:pPr>
        <w:pStyle w:val="FootnoteText"/>
      </w:pPr>
      <w:r w:rsidRPr="0007522F">
        <w:rPr>
          <w:rStyle w:val="FootnoteReference"/>
        </w:rPr>
        <w:footnoteRef/>
      </w:r>
      <w:r>
        <w:tab/>
        <w:t>A</w:t>
      </w:r>
      <w:r w:rsidRPr="00EE11CE">
        <w:t xml:space="preserve">ssistance estimates reported in this year’s </w:t>
      </w:r>
      <w:r w:rsidRPr="00BF282B">
        <w:rPr>
          <w:i/>
        </w:rPr>
        <w:t>Review</w:t>
      </w:r>
      <w:r w:rsidRPr="00EE11CE">
        <w:t xml:space="preserve"> cover the period 201</w:t>
      </w:r>
      <w:r>
        <w:t>3</w:t>
      </w:r>
      <w:r>
        <w:noBreakHyphen/>
      </w:r>
      <w:r w:rsidRPr="00EE11CE">
        <w:t>1</w:t>
      </w:r>
      <w:r>
        <w:t>4</w:t>
      </w:r>
      <w:r w:rsidRPr="00EE11CE">
        <w:t xml:space="preserve"> to 201</w:t>
      </w:r>
      <w:r>
        <w:t>8</w:t>
      </w:r>
      <w:r>
        <w:noBreakHyphen/>
      </w:r>
      <w:r w:rsidRPr="00EE11CE">
        <w:t>1</w:t>
      </w:r>
      <w:r>
        <w:t>9</w:t>
      </w:r>
      <w:r w:rsidRPr="00EE11CE">
        <w:t xml:space="preserve">. </w:t>
      </w:r>
      <w:r>
        <w:t xml:space="preserve">A user guide on how the assistance estimates are calculated is at appendix A, and detailed technical </w:t>
      </w:r>
      <w:r w:rsidRPr="00EE11CE">
        <w:t xml:space="preserve">information on the methodology, program coverage and industry allocation </w:t>
      </w:r>
      <w:r>
        <w:t>will</w:t>
      </w:r>
      <w:r w:rsidRPr="00EE11CE">
        <w:t xml:space="preserve"> be provided in a (forthcoming) </w:t>
      </w:r>
      <w:r>
        <w:t>M</w:t>
      </w:r>
      <w:r w:rsidRPr="00EE11CE">
        <w:t xml:space="preserve">ethodological </w:t>
      </w:r>
      <w:r>
        <w:t>A</w:t>
      </w:r>
      <w:r w:rsidRPr="00EE11CE">
        <w:t>nnex</w:t>
      </w:r>
      <w:r w:rsidRPr="00BF282B">
        <w:rPr>
          <w:i/>
        </w:rPr>
        <w:t>.</w:t>
      </w:r>
      <w:r>
        <w:t xml:space="preserve"> </w:t>
      </w:r>
    </w:p>
  </w:footnote>
  <w:footnote w:id="2">
    <w:p w14:paraId="69B5EB5C" w14:textId="77777777" w:rsidR="00397F4F" w:rsidRPr="00F453D0" w:rsidRDefault="00397F4F">
      <w:pPr>
        <w:pStyle w:val="FootnoteText"/>
        <w:rPr>
          <w:lang w:val="en-US"/>
        </w:rPr>
      </w:pPr>
      <w:r w:rsidRPr="0007522F">
        <w:rPr>
          <w:rStyle w:val="FootnoteReference"/>
        </w:rPr>
        <w:footnoteRef/>
      </w:r>
      <w:r>
        <w:tab/>
        <w:t>ERAs are not calculated for the services sector (details in appendix A).</w:t>
      </w:r>
    </w:p>
  </w:footnote>
  <w:footnote w:id="3">
    <w:p w14:paraId="03131080" w14:textId="77777777" w:rsidR="00397F4F" w:rsidRDefault="00397F4F" w:rsidP="00E44AEF">
      <w:pPr>
        <w:pStyle w:val="FootnoteText"/>
      </w:pPr>
      <w:r w:rsidRPr="0007522F">
        <w:rPr>
          <w:rStyle w:val="FootnoteReference"/>
        </w:rPr>
        <w:footnoteRef/>
      </w:r>
      <w:r>
        <w:tab/>
        <w:t xml:space="preserve">Volatility in </w:t>
      </w:r>
      <w:r w:rsidRPr="00690395">
        <w:t>agricultural estimates</w:t>
      </w:r>
      <w:r>
        <w:t xml:space="preserve"> occurs because</w:t>
      </w:r>
      <w:r w:rsidRPr="00690395">
        <w:t xml:space="preserve"> </w:t>
      </w:r>
      <w:r>
        <w:t xml:space="preserve">the </w:t>
      </w:r>
      <w:r w:rsidRPr="00690395">
        <w:t xml:space="preserve">assistance benchmarks </w:t>
      </w:r>
      <w:r>
        <w:t xml:space="preserve">are affected by </w:t>
      </w:r>
      <w:r w:rsidRPr="00690395">
        <w:t>variation</w:t>
      </w:r>
      <w:r>
        <w:t>s</w:t>
      </w:r>
      <w:r w:rsidRPr="00690395">
        <w:t xml:space="preserve"> in domestic support prices and world prices</w:t>
      </w:r>
      <w:r>
        <w:t>,</w:t>
      </w:r>
      <w:r w:rsidRPr="00690395">
        <w:t xml:space="preserve"> </w:t>
      </w:r>
      <w:r>
        <w:t>while</w:t>
      </w:r>
      <w:r w:rsidRPr="00690395">
        <w:t xml:space="preserve"> the impact of drought and other factors </w:t>
      </w:r>
      <w:r>
        <w:t xml:space="preserve">impacts </w:t>
      </w:r>
      <w:r w:rsidRPr="00690395">
        <w:t xml:space="preserve">output. </w:t>
      </w:r>
      <w:r>
        <w:t xml:space="preserve">The volatility of estimates was particularly acute </w:t>
      </w:r>
      <w:r w:rsidRPr="00690395">
        <w:t>through</w:t>
      </w:r>
      <w:r>
        <w:t>out</w:t>
      </w:r>
      <w:r w:rsidRPr="00690395">
        <w:t xml:space="preserve"> the 1970s and 1980s</w:t>
      </w:r>
      <w:r>
        <w:t xml:space="preserve"> (figure 1.3)</w:t>
      </w:r>
      <w:r w:rsidRPr="00690395">
        <w:t xml:space="preserve">. </w:t>
      </w:r>
    </w:p>
  </w:footnote>
  <w:footnote w:id="4">
    <w:p w14:paraId="0D6CBD71" w14:textId="77777777" w:rsidR="00397F4F" w:rsidRDefault="00397F4F" w:rsidP="00E44AEF">
      <w:pPr>
        <w:pStyle w:val="FootnoteText"/>
      </w:pPr>
      <w:r w:rsidRPr="0007522F">
        <w:rPr>
          <w:rStyle w:val="FootnoteReference"/>
        </w:rPr>
        <w:footnoteRef/>
      </w:r>
      <w:r>
        <w:tab/>
        <w:t xml:space="preserve">The Commission’s estimates of tariff assistance are </w:t>
      </w:r>
      <w:r w:rsidRPr="0030043E">
        <w:t xml:space="preserve">equivalent </w:t>
      </w:r>
      <w:r>
        <w:t xml:space="preserve">to the </w:t>
      </w:r>
      <w:r w:rsidRPr="0030043E">
        <w:t>budget outlay that would be expected to have the same effect on producer prices and volumes of production</w:t>
      </w:r>
      <w:r>
        <w:t xml:space="preserve">, </w:t>
      </w:r>
      <w:r w:rsidRPr="0030043E">
        <w:t>not the amount of duty collected.</w:t>
      </w:r>
    </w:p>
  </w:footnote>
  <w:footnote w:id="5">
    <w:p w14:paraId="1FAC61B6" w14:textId="77777777" w:rsidR="00397F4F" w:rsidRDefault="00397F4F" w:rsidP="00E44AEF">
      <w:pPr>
        <w:pStyle w:val="FootnoteText"/>
      </w:pPr>
      <w:r w:rsidRPr="0007522F">
        <w:rPr>
          <w:rStyle w:val="FootnoteReference"/>
        </w:rPr>
        <w:footnoteRef/>
      </w:r>
      <w:r>
        <w:tab/>
      </w:r>
      <w:r w:rsidRPr="000926E8">
        <w:t>The Commission’s estimates do not include the CSIRO</w:t>
      </w:r>
      <w:r>
        <w:t>’s</w:t>
      </w:r>
      <w:r w:rsidRPr="000926E8">
        <w:t xml:space="preserve"> public research </w:t>
      </w:r>
      <w:r>
        <w:t xml:space="preserve">functions, </w:t>
      </w:r>
      <w:r w:rsidRPr="000926E8">
        <w:t xml:space="preserve">such as environmental R&amp;D, some renewable energy R&amp;D and general research towards expanding knowledge in various fields. </w:t>
      </w:r>
    </w:p>
  </w:footnote>
  <w:footnote w:id="6">
    <w:p w14:paraId="332D3C70" w14:textId="364B5706" w:rsidR="00397F4F" w:rsidRDefault="00397F4F" w:rsidP="00E44AEF">
      <w:pPr>
        <w:pStyle w:val="FootnoteText"/>
      </w:pPr>
      <w:r>
        <w:rPr>
          <w:rStyle w:val="FootnoteReference"/>
        </w:rPr>
        <w:footnoteRef/>
      </w:r>
      <w:r>
        <w:tab/>
        <w:t xml:space="preserve">Other sources have suggested the premium on the submarines could be much higher than 15 per cent </w:t>
      </w:r>
      <w:r w:rsidRPr="00B23D07">
        <w:rPr>
          <w:szCs w:val="24"/>
        </w:rPr>
        <w:t>(Bourke 2019, pp. 10–11)</w:t>
      </w:r>
      <w:r>
        <w:t xml:space="preserve">, including estimates of </w:t>
      </w:r>
      <w:r w:rsidRPr="0043257E">
        <w:t>30</w:t>
      </w:r>
      <w:r>
        <w:t> per </w:t>
      </w:r>
      <w:r w:rsidRPr="0043257E">
        <w:t>cent</w:t>
      </w:r>
      <w:r>
        <w:t xml:space="preserve"> </w:t>
      </w:r>
      <w:r w:rsidRPr="000349DA">
        <w:rPr>
          <w:szCs w:val="24"/>
        </w:rPr>
        <w:t>(Uren and Nicholson 2016)</w:t>
      </w:r>
      <w:r w:rsidRPr="0043257E">
        <w:t xml:space="preserve">, or </w:t>
      </w:r>
      <w:r>
        <w:t xml:space="preserve">even </w:t>
      </w:r>
      <w:r w:rsidRPr="0043257E">
        <w:t xml:space="preserve">40 per cent </w:t>
      </w:r>
      <w:r>
        <w:t xml:space="preserve">or greater </w:t>
      </w:r>
      <w:r w:rsidRPr="00B71190">
        <w:rPr>
          <w:szCs w:val="24"/>
        </w:rPr>
        <w:t>(</w:t>
      </w:r>
      <w:proofErr w:type="spellStart"/>
      <w:r w:rsidRPr="00B71190">
        <w:rPr>
          <w:szCs w:val="24"/>
        </w:rPr>
        <w:t>Birkler</w:t>
      </w:r>
      <w:proofErr w:type="spellEnd"/>
      <w:r w:rsidRPr="00B71190">
        <w:rPr>
          <w:szCs w:val="24"/>
        </w:rPr>
        <w:t xml:space="preserve"> et al. 2015, pp. 123–125; </w:t>
      </w:r>
      <w:proofErr w:type="spellStart"/>
      <w:r w:rsidRPr="00B71190">
        <w:rPr>
          <w:szCs w:val="24"/>
        </w:rPr>
        <w:t>DoD</w:t>
      </w:r>
      <w:proofErr w:type="spellEnd"/>
      <w:r w:rsidRPr="00B71190">
        <w:rPr>
          <w:szCs w:val="24"/>
        </w:rPr>
        <w:t> 2017, p. 14)</w:t>
      </w:r>
      <w:r w:rsidRPr="0043257E">
        <w:t>.</w:t>
      </w:r>
    </w:p>
  </w:footnote>
  <w:footnote w:id="7">
    <w:p w14:paraId="69746CCD" w14:textId="77777777" w:rsidR="00397F4F" w:rsidRDefault="00397F4F" w:rsidP="00E44AEF">
      <w:pPr>
        <w:pStyle w:val="FootnoteText"/>
      </w:pPr>
      <w:r>
        <w:rPr>
          <w:rStyle w:val="FootnoteReference"/>
        </w:rPr>
        <w:footnoteRef/>
      </w:r>
      <w:r>
        <w:tab/>
        <w:t xml:space="preserve">The WET regime also covers cider, </w:t>
      </w:r>
      <w:proofErr w:type="spellStart"/>
      <w:r>
        <w:t>perry</w:t>
      </w:r>
      <w:proofErr w:type="spellEnd"/>
      <w:r>
        <w:t>, mead and sake, as long as they do not contain additives.</w:t>
      </w:r>
    </w:p>
  </w:footnote>
  <w:footnote w:id="8">
    <w:p w14:paraId="327EE5B1" w14:textId="77777777" w:rsidR="00397F4F" w:rsidRDefault="00397F4F" w:rsidP="00E44AEF">
      <w:pPr>
        <w:pStyle w:val="FootnoteText"/>
      </w:pPr>
      <w:r>
        <w:rPr>
          <w:rStyle w:val="FootnoteReference"/>
        </w:rPr>
        <w:footnoteRef/>
      </w:r>
      <w:r>
        <w:tab/>
        <w:t xml:space="preserve">Through the </w:t>
      </w:r>
      <w:r w:rsidRPr="00AC2D2B">
        <w:rPr>
          <w:i/>
        </w:rPr>
        <w:t>Excise Tariff Amendment (Supporting Craft Brewers) Act 2019</w:t>
      </w:r>
      <w:r>
        <w:rPr>
          <w:i/>
        </w:rPr>
        <w:t>.</w:t>
      </w:r>
      <w:r w:rsidRPr="0054583A">
        <w:t xml:space="preserve"> </w:t>
      </w:r>
      <w:r>
        <w:t xml:space="preserve">However, to prevent kegs sold directly to consumers from being eligible for the concession, only containers between 8 and 48 litres that are </w:t>
      </w:r>
      <w:r w:rsidRPr="003C48B8">
        <w:t>designed to connect to a pressurised gas or pump delivery system</w:t>
      </w:r>
      <w:r>
        <w:t xml:space="preserve"> are eligible.</w:t>
      </w:r>
    </w:p>
  </w:footnote>
  <w:footnote w:id="9">
    <w:p w14:paraId="493E7C62" w14:textId="77777777" w:rsidR="00397F4F" w:rsidRDefault="00397F4F" w:rsidP="00E44AEF">
      <w:pPr>
        <w:pStyle w:val="FootnoteText"/>
      </w:pPr>
      <w:r>
        <w:rPr>
          <w:rStyle w:val="FootnoteReference"/>
        </w:rPr>
        <w:footnoteRef/>
      </w:r>
      <w:r>
        <w:tab/>
      </w:r>
      <w:r w:rsidRPr="00EE11CE">
        <w:t xml:space="preserve">The assistance estimates reported in this year’s </w:t>
      </w:r>
      <w:r w:rsidRPr="00BF282B">
        <w:rPr>
          <w:i/>
        </w:rPr>
        <w:t>Review</w:t>
      </w:r>
      <w:r w:rsidRPr="00EE11CE">
        <w:t xml:space="preserve"> cover the period 201</w:t>
      </w:r>
      <w:r>
        <w:t>3</w:t>
      </w:r>
      <w:r>
        <w:noBreakHyphen/>
      </w:r>
      <w:r w:rsidRPr="00EE11CE">
        <w:t>1</w:t>
      </w:r>
      <w:r>
        <w:t>4 to 2018</w:t>
      </w:r>
      <w:r>
        <w:noBreakHyphen/>
        <w:t>19</w:t>
      </w:r>
      <w:r w:rsidRPr="00EE11CE">
        <w:t xml:space="preserve">. Further information on the assistance estimation methodology, program coverage and industry allocation is to be provided in a (forthcoming) Methodological Annex to this </w:t>
      </w:r>
      <w:r w:rsidRPr="00BF282B">
        <w:rPr>
          <w:i/>
        </w:rPr>
        <w:t>Review.</w:t>
      </w:r>
      <w:r>
        <w:t xml:space="preserve"> </w:t>
      </w:r>
    </w:p>
  </w:footnote>
  <w:footnote w:id="10">
    <w:p w14:paraId="7D36A792" w14:textId="77777777" w:rsidR="00397F4F" w:rsidRDefault="00397F4F" w:rsidP="00E44AEF">
      <w:pPr>
        <w:pStyle w:val="FootnoteText"/>
      </w:pPr>
      <w:r>
        <w:rPr>
          <w:rStyle w:val="FootnoteReference"/>
        </w:rPr>
        <w:footnoteRef/>
      </w:r>
      <w:r>
        <w:tab/>
        <w:t>The Commission’s assistance estimates do not include the full government appropriation for CSIRO. Excluded are certain public research such as environmental R&amp;D, some renewable energy R&amp;D and general research towards expanding knowledge in various fields.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397F4F" w14:paraId="26FE031C" w14:textId="77777777">
      <w:tc>
        <w:tcPr>
          <w:tcW w:w="2155" w:type="dxa"/>
          <w:tcBorders>
            <w:top w:val="single" w:sz="24" w:space="0" w:color="auto"/>
          </w:tcBorders>
        </w:tcPr>
        <w:p w14:paraId="4B8672A5" w14:textId="77777777" w:rsidR="00397F4F" w:rsidRDefault="00397F4F" w:rsidP="0019293B">
          <w:pPr>
            <w:pStyle w:val="HeaderEven"/>
          </w:pPr>
        </w:p>
      </w:tc>
      <w:tc>
        <w:tcPr>
          <w:tcW w:w="6634" w:type="dxa"/>
          <w:tcBorders>
            <w:top w:val="single" w:sz="6" w:space="0" w:color="auto"/>
          </w:tcBorders>
        </w:tcPr>
        <w:p w14:paraId="7FE8F4A3" w14:textId="77777777" w:rsidR="00397F4F" w:rsidRDefault="00397F4F" w:rsidP="0019293B">
          <w:pPr>
            <w:pStyle w:val="HeaderEven"/>
          </w:pPr>
        </w:p>
      </w:tc>
    </w:tr>
  </w:tbl>
  <w:p w14:paraId="79CA003E" w14:textId="77777777" w:rsidR="00397F4F" w:rsidRDefault="00397F4F" w:rsidP="00C418AC">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397F4F" w14:paraId="14F75CE2" w14:textId="77777777" w:rsidTr="007D417F">
      <w:trPr>
        <w:trHeight w:val="300"/>
      </w:trPr>
      <w:tc>
        <w:tcPr>
          <w:tcW w:w="2154" w:type="dxa"/>
          <w:tcBorders>
            <w:top w:val="single" w:sz="24" w:space="0" w:color="auto"/>
          </w:tcBorders>
          <w:shd w:val="clear" w:color="auto" w:fill="auto"/>
        </w:tcPr>
        <w:p w14:paraId="2E211BF2" w14:textId="77777777" w:rsidR="00397F4F" w:rsidRDefault="00397F4F" w:rsidP="007D417F">
          <w:pPr>
            <w:pStyle w:val="HeaderEven"/>
          </w:pPr>
        </w:p>
      </w:tc>
      <w:tc>
        <w:tcPr>
          <w:tcW w:w="6633" w:type="dxa"/>
          <w:tcBorders>
            <w:top w:val="single" w:sz="6" w:space="0" w:color="auto"/>
          </w:tcBorders>
          <w:shd w:val="clear" w:color="auto" w:fill="auto"/>
        </w:tcPr>
        <w:p w14:paraId="4739F1A0" w14:textId="77777777" w:rsidR="00397F4F" w:rsidRDefault="00397F4F" w:rsidP="007D417F">
          <w:pPr>
            <w:pStyle w:val="HeaderEven"/>
          </w:pPr>
        </w:p>
      </w:tc>
    </w:tr>
  </w:tbl>
  <w:p w14:paraId="70B30C7C" w14:textId="77777777" w:rsidR="00397F4F" w:rsidRPr="007D417F" w:rsidRDefault="00397F4F" w:rsidP="007D417F">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397F4F" w14:paraId="1849B4D9" w14:textId="77777777" w:rsidTr="007D417F">
      <w:trPr>
        <w:trHeight w:val="300"/>
      </w:trPr>
      <w:tc>
        <w:tcPr>
          <w:tcW w:w="6633" w:type="dxa"/>
          <w:tcBorders>
            <w:top w:val="single" w:sz="6" w:space="0" w:color="auto"/>
          </w:tcBorders>
          <w:shd w:val="clear" w:color="auto" w:fill="auto"/>
        </w:tcPr>
        <w:p w14:paraId="45BC3A65" w14:textId="77777777" w:rsidR="00397F4F" w:rsidRDefault="00397F4F" w:rsidP="007D417F">
          <w:pPr>
            <w:pStyle w:val="HeaderOdd"/>
          </w:pPr>
        </w:p>
      </w:tc>
      <w:tc>
        <w:tcPr>
          <w:tcW w:w="2154" w:type="dxa"/>
          <w:tcBorders>
            <w:top w:val="single" w:sz="24" w:space="0" w:color="auto"/>
          </w:tcBorders>
          <w:shd w:val="clear" w:color="auto" w:fill="auto"/>
        </w:tcPr>
        <w:p w14:paraId="611907B6" w14:textId="77777777" w:rsidR="00397F4F" w:rsidRDefault="00397F4F" w:rsidP="007D417F">
          <w:pPr>
            <w:pStyle w:val="HeaderOdd"/>
          </w:pPr>
        </w:p>
      </w:tc>
    </w:tr>
  </w:tbl>
  <w:p w14:paraId="5EABB99A" w14:textId="77777777" w:rsidR="00397F4F" w:rsidRPr="007D417F" w:rsidRDefault="00397F4F" w:rsidP="007D417F">
    <w:pPr>
      <w:pStyle w:val="HeaderE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397F4F" w14:paraId="2A88BFA7" w14:textId="77777777" w:rsidTr="007D417F">
      <w:trPr>
        <w:trHeight w:val="300"/>
      </w:trPr>
      <w:tc>
        <w:tcPr>
          <w:tcW w:w="2154" w:type="dxa"/>
          <w:tcBorders>
            <w:top w:val="single" w:sz="24" w:space="0" w:color="auto"/>
          </w:tcBorders>
          <w:shd w:val="clear" w:color="auto" w:fill="auto"/>
        </w:tcPr>
        <w:p w14:paraId="54CE8AD5" w14:textId="77777777" w:rsidR="00397F4F" w:rsidRDefault="00397F4F" w:rsidP="007D417F">
          <w:pPr>
            <w:pStyle w:val="HeaderEven"/>
          </w:pPr>
        </w:p>
      </w:tc>
      <w:tc>
        <w:tcPr>
          <w:tcW w:w="6633" w:type="dxa"/>
          <w:tcBorders>
            <w:top w:val="single" w:sz="6" w:space="0" w:color="auto"/>
          </w:tcBorders>
          <w:shd w:val="clear" w:color="auto" w:fill="auto"/>
        </w:tcPr>
        <w:p w14:paraId="12B0FA8D" w14:textId="77777777" w:rsidR="00397F4F" w:rsidRDefault="00397F4F" w:rsidP="007D417F">
          <w:pPr>
            <w:pStyle w:val="HeaderEven"/>
          </w:pPr>
        </w:p>
      </w:tc>
    </w:tr>
  </w:tbl>
  <w:p w14:paraId="5B2D27A2" w14:textId="77777777" w:rsidR="00397F4F" w:rsidRPr="007D417F" w:rsidRDefault="00397F4F" w:rsidP="007D417F">
    <w:pPr>
      <w:pStyle w:val="HeaderEn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397F4F" w14:paraId="05FBA471" w14:textId="77777777" w:rsidTr="007D417F">
      <w:trPr>
        <w:trHeight w:val="300"/>
      </w:trPr>
      <w:tc>
        <w:tcPr>
          <w:tcW w:w="6633" w:type="dxa"/>
          <w:tcBorders>
            <w:top w:val="single" w:sz="6" w:space="0" w:color="auto"/>
          </w:tcBorders>
          <w:shd w:val="clear" w:color="auto" w:fill="auto"/>
        </w:tcPr>
        <w:p w14:paraId="00E1A89F" w14:textId="77777777" w:rsidR="00397F4F" w:rsidRDefault="00397F4F" w:rsidP="007D417F">
          <w:pPr>
            <w:pStyle w:val="HeaderOdd"/>
          </w:pPr>
        </w:p>
      </w:tc>
      <w:tc>
        <w:tcPr>
          <w:tcW w:w="2154" w:type="dxa"/>
          <w:tcBorders>
            <w:top w:val="single" w:sz="24" w:space="0" w:color="auto"/>
          </w:tcBorders>
          <w:shd w:val="clear" w:color="auto" w:fill="auto"/>
        </w:tcPr>
        <w:p w14:paraId="6C0E91C8" w14:textId="77777777" w:rsidR="00397F4F" w:rsidRDefault="00397F4F" w:rsidP="007D417F">
          <w:pPr>
            <w:pStyle w:val="HeaderOdd"/>
          </w:pPr>
        </w:p>
      </w:tc>
    </w:tr>
  </w:tbl>
  <w:p w14:paraId="21E02898" w14:textId="77777777" w:rsidR="00397F4F" w:rsidRPr="007D417F" w:rsidRDefault="00397F4F" w:rsidP="007D417F">
    <w:pPr>
      <w:pStyle w:val="HeaderEn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397F4F" w14:paraId="5BCD6662" w14:textId="77777777" w:rsidTr="007D417F">
      <w:trPr>
        <w:trHeight w:val="300"/>
      </w:trPr>
      <w:tc>
        <w:tcPr>
          <w:tcW w:w="2154" w:type="dxa"/>
          <w:tcBorders>
            <w:top w:val="single" w:sz="24" w:space="0" w:color="auto"/>
          </w:tcBorders>
          <w:shd w:val="clear" w:color="auto" w:fill="auto"/>
        </w:tcPr>
        <w:p w14:paraId="52AA413F" w14:textId="77777777" w:rsidR="00397F4F" w:rsidRDefault="00397F4F" w:rsidP="007D417F">
          <w:pPr>
            <w:pStyle w:val="HeaderEven"/>
          </w:pPr>
        </w:p>
      </w:tc>
      <w:tc>
        <w:tcPr>
          <w:tcW w:w="6633" w:type="dxa"/>
          <w:tcBorders>
            <w:top w:val="single" w:sz="6" w:space="0" w:color="auto"/>
          </w:tcBorders>
          <w:shd w:val="clear" w:color="auto" w:fill="auto"/>
        </w:tcPr>
        <w:p w14:paraId="6895F463" w14:textId="77777777" w:rsidR="00397F4F" w:rsidRDefault="00397F4F" w:rsidP="007D417F">
          <w:pPr>
            <w:pStyle w:val="HeaderEven"/>
          </w:pPr>
        </w:p>
      </w:tc>
    </w:tr>
  </w:tbl>
  <w:p w14:paraId="71DDB76F" w14:textId="77777777" w:rsidR="00397F4F" w:rsidRPr="007D417F" w:rsidRDefault="00397F4F" w:rsidP="007D417F">
    <w:pPr>
      <w:pStyle w:val="HeaderEnd"/>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397F4F" w14:paraId="79590D66" w14:textId="77777777" w:rsidTr="007D417F">
      <w:trPr>
        <w:trHeight w:val="300"/>
      </w:trPr>
      <w:tc>
        <w:tcPr>
          <w:tcW w:w="6633" w:type="dxa"/>
          <w:tcBorders>
            <w:top w:val="single" w:sz="6" w:space="0" w:color="auto"/>
          </w:tcBorders>
          <w:shd w:val="clear" w:color="auto" w:fill="auto"/>
        </w:tcPr>
        <w:p w14:paraId="776080FB" w14:textId="77777777" w:rsidR="00397F4F" w:rsidRDefault="00397F4F" w:rsidP="007D417F">
          <w:pPr>
            <w:pStyle w:val="HeaderOdd"/>
          </w:pPr>
        </w:p>
      </w:tc>
      <w:tc>
        <w:tcPr>
          <w:tcW w:w="2154" w:type="dxa"/>
          <w:tcBorders>
            <w:top w:val="single" w:sz="24" w:space="0" w:color="auto"/>
          </w:tcBorders>
          <w:shd w:val="clear" w:color="auto" w:fill="auto"/>
        </w:tcPr>
        <w:p w14:paraId="4C411F42" w14:textId="77777777" w:rsidR="00397F4F" w:rsidRDefault="00397F4F" w:rsidP="007D417F">
          <w:pPr>
            <w:pStyle w:val="HeaderOdd"/>
          </w:pPr>
        </w:p>
      </w:tc>
    </w:tr>
  </w:tbl>
  <w:p w14:paraId="68640DDE" w14:textId="77777777" w:rsidR="00397F4F" w:rsidRPr="007D417F" w:rsidRDefault="00397F4F" w:rsidP="007D417F">
    <w:pPr>
      <w:pStyle w:val="HeaderEnd"/>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397F4F" w14:paraId="38D6C16E" w14:textId="77777777" w:rsidTr="007D417F">
      <w:trPr>
        <w:trHeight w:val="300"/>
      </w:trPr>
      <w:tc>
        <w:tcPr>
          <w:tcW w:w="2154" w:type="dxa"/>
          <w:tcBorders>
            <w:top w:val="single" w:sz="24" w:space="0" w:color="auto"/>
          </w:tcBorders>
          <w:shd w:val="clear" w:color="auto" w:fill="auto"/>
        </w:tcPr>
        <w:p w14:paraId="4513EC53" w14:textId="77777777" w:rsidR="00397F4F" w:rsidRDefault="00397F4F" w:rsidP="007D417F">
          <w:pPr>
            <w:pStyle w:val="HeaderEven"/>
          </w:pPr>
        </w:p>
      </w:tc>
      <w:tc>
        <w:tcPr>
          <w:tcW w:w="6633" w:type="dxa"/>
          <w:tcBorders>
            <w:top w:val="single" w:sz="6" w:space="0" w:color="auto"/>
          </w:tcBorders>
          <w:shd w:val="clear" w:color="auto" w:fill="auto"/>
        </w:tcPr>
        <w:p w14:paraId="285DFD9A" w14:textId="77777777" w:rsidR="00397F4F" w:rsidRDefault="00397F4F" w:rsidP="007D417F">
          <w:pPr>
            <w:pStyle w:val="HeaderEven"/>
          </w:pPr>
        </w:p>
      </w:tc>
    </w:tr>
  </w:tbl>
  <w:p w14:paraId="21C7738D" w14:textId="77777777" w:rsidR="00397F4F" w:rsidRPr="007D417F" w:rsidRDefault="00397F4F" w:rsidP="007D417F">
    <w:pPr>
      <w:pStyle w:val="HeaderEnd"/>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397F4F" w14:paraId="2DC4CCA0" w14:textId="77777777" w:rsidTr="007D417F">
      <w:trPr>
        <w:trHeight w:val="300"/>
      </w:trPr>
      <w:tc>
        <w:tcPr>
          <w:tcW w:w="6633" w:type="dxa"/>
          <w:tcBorders>
            <w:top w:val="single" w:sz="6" w:space="0" w:color="auto"/>
          </w:tcBorders>
          <w:shd w:val="clear" w:color="auto" w:fill="auto"/>
        </w:tcPr>
        <w:p w14:paraId="11E22BBE" w14:textId="77777777" w:rsidR="00397F4F" w:rsidRDefault="00397F4F" w:rsidP="007D417F">
          <w:pPr>
            <w:pStyle w:val="HeaderOdd"/>
          </w:pPr>
        </w:p>
      </w:tc>
      <w:tc>
        <w:tcPr>
          <w:tcW w:w="2154" w:type="dxa"/>
          <w:tcBorders>
            <w:top w:val="single" w:sz="24" w:space="0" w:color="auto"/>
          </w:tcBorders>
          <w:shd w:val="clear" w:color="auto" w:fill="auto"/>
        </w:tcPr>
        <w:p w14:paraId="2CB4C3B5" w14:textId="77777777" w:rsidR="00397F4F" w:rsidRDefault="00397F4F" w:rsidP="007D417F">
          <w:pPr>
            <w:pStyle w:val="HeaderOdd"/>
          </w:pPr>
        </w:p>
      </w:tc>
    </w:tr>
  </w:tbl>
  <w:p w14:paraId="71EACFBE" w14:textId="77777777" w:rsidR="00397F4F" w:rsidRPr="007D417F" w:rsidRDefault="00397F4F" w:rsidP="007D417F">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397F4F" w14:paraId="038DB110" w14:textId="77777777">
      <w:tc>
        <w:tcPr>
          <w:tcW w:w="2155" w:type="dxa"/>
          <w:tcBorders>
            <w:top w:val="single" w:sz="24" w:space="0" w:color="auto"/>
          </w:tcBorders>
        </w:tcPr>
        <w:p w14:paraId="2A86E726" w14:textId="77777777" w:rsidR="00397F4F" w:rsidRDefault="00397F4F">
          <w:pPr>
            <w:pStyle w:val="Header"/>
          </w:pPr>
        </w:p>
      </w:tc>
      <w:tc>
        <w:tcPr>
          <w:tcW w:w="6634" w:type="dxa"/>
          <w:tcBorders>
            <w:top w:val="single" w:sz="6" w:space="0" w:color="auto"/>
          </w:tcBorders>
        </w:tcPr>
        <w:p w14:paraId="145E5FCB" w14:textId="77777777" w:rsidR="00397F4F" w:rsidRDefault="00397F4F">
          <w:pPr>
            <w:pStyle w:val="Header"/>
          </w:pPr>
        </w:p>
      </w:tc>
    </w:tr>
  </w:tbl>
  <w:p w14:paraId="6DCE5CC5" w14:textId="77777777" w:rsidR="00397F4F" w:rsidRDefault="00397F4F">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97F4F" w14:paraId="53B9294A" w14:textId="77777777" w:rsidTr="00BE51AE">
      <w:tc>
        <w:tcPr>
          <w:tcW w:w="6634" w:type="dxa"/>
          <w:tcBorders>
            <w:top w:val="single" w:sz="6" w:space="0" w:color="auto"/>
          </w:tcBorders>
        </w:tcPr>
        <w:p w14:paraId="7CAEF6EF" w14:textId="77777777" w:rsidR="00397F4F" w:rsidRDefault="00397F4F" w:rsidP="00BE51AE">
          <w:pPr>
            <w:pStyle w:val="HeaderOdd"/>
          </w:pPr>
        </w:p>
      </w:tc>
      <w:tc>
        <w:tcPr>
          <w:tcW w:w="2155" w:type="dxa"/>
          <w:tcBorders>
            <w:top w:val="single" w:sz="24" w:space="0" w:color="auto"/>
          </w:tcBorders>
        </w:tcPr>
        <w:p w14:paraId="5F44212A" w14:textId="77777777" w:rsidR="00397F4F" w:rsidRDefault="00397F4F" w:rsidP="00BE51AE">
          <w:pPr>
            <w:pStyle w:val="HeaderOdd"/>
          </w:pPr>
        </w:p>
      </w:tc>
    </w:tr>
  </w:tbl>
  <w:p w14:paraId="0171DE58" w14:textId="77777777" w:rsidR="00397F4F" w:rsidRPr="005C68FE" w:rsidRDefault="00397F4F" w:rsidP="00BE51AE">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397F4F" w14:paraId="6EE1965D" w14:textId="77777777" w:rsidTr="00BE51AE">
      <w:tc>
        <w:tcPr>
          <w:tcW w:w="2155" w:type="dxa"/>
          <w:tcBorders>
            <w:top w:val="single" w:sz="24" w:space="0" w:color="auto"/>
          </w:tcBorders>
        </w:tcPr>
        <w:p w14:paraId="27C34AB2" w14:textId="77777777" w:rsidR="00397F4F" w:rsidRDefault="00397F4F" w:rsidP="00BE51AE">
          <w:pPr>
            <w:pStyle w:val="HeaderEven"/>
          </w:pPr>
        </w:p>
      </w:tc>
      <w:tc>
        <w:tcPr>
          <w:tcW w:w="6634" w:type="dxa"/>
          <w:tcBorders>
            <w:top w:val="single" w:sz="6" w:space="0" w:color="auto"/>
          </w:tcBorders>
        </w:tcPr>
        <w:p w14:paraId="0A15516E" w14:textId="77777777" w:rsidR="00397F4F" w:rsidRDefault="00397F4F" w:rsidP="00BE51AE">
          <w:pPr>
            <w:pStyle w:val="HeaderEven"/>
          </w:pPr>
        </w:p>
      </w:tc>
    </w:tr>
  </w:tbl>
  <w:p w14:paraId="5F5270D5" w14:textId="77777777" w:rsidR="00397F4F" w:rsidRDefault="00397F4F" w:rsidP="00BE51AE">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97F4F" w14:paraId="122D2D7A" w14:textId="77777777">
      <w:tc>
        <w:tcPr>
          <w:tcW w:w="6634" w:type="dxa"/>
          <w:tcBorders>
            <w:top w:val="single" w:sz="6" w:space="0" w:color="auto"/>
          </w:tcBorders>
        </w:tcPr>
        <w:p w14:paraId="67FA493B" w14:textId="77777777" w:rsidR="00397F4F" w:rsidRDefault="00397F4F">
          <w:pPr>
            <w:pStyle w:val="HeaderOdd"/>
          </w:pPr>
        </w:p>
      </w:tc>
      <w:tc>
        <w:tcPr>
          <w:tcW w:w="2155" w:type="dxa"/>
          <w:tcBorders>
            <w:top w:val="single" w:sz="24" w:space="0" w:color="auto"/>
          </w:tcBorders>
        </w:tcPr>
        <w:p w14:paraId="07D85B24" w14:textId="77777777" w:rsidR="00397F4F" w:rsidRDefault="00397F4F">
          <w:pPr>
            <w:pStyle w:val="HeaderOdd"/>
          </w:pPr>
        </w:p>
      </w:tc>
    </w:tr>
  </w:tbl>
  <w:p w14:paraId="6A365A0A" w14:textId="77777777" w:rsidR="00397F4F" w:rsidRDefault="00397F4F" w:rsidP="00BE51AE">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97F4F" w14:paraId="11DFC8AB" w14:textId="77777777">
      <w:tc>
        <w:tcPr>
          <w:tcW w:w="6634" w:type="dxa"/>
          <w:tcBorders>
            <w:top w:val="single" w:sz="6" w:space="0" w:color="auto"/>
          </w:tcBorders>
        </w:tcPr>
        <w:p w14:paraId="4EE33DC9" w14:textId="77777777" w:rsidR="00397F4F" w:rsidRDefault="00397F4F">
          <w:pPr>
            <w:pStyle w:val="HeaderOdd"/>
          </w:pPr>
        </w:p>
      </w:tc>
      <w:tc>
        <w:tcPr>
          <w:tcW w:w="2155" w:type="dxa"/>
          <w:tcBorders>
            <w:top w:val="single" w:sz="24" w:space="0" w:color="auto"/>
          </w:tcBorders>
        </w:tcPr>
        <w:p w14:paraId="7EC620A8" w14:textId="77777777" w:rsidR="00397F4F" w:rsidRDefault="00397F4F">
          <w:pPr>
            <w:pStyle w:val="HeaderOdd"/>
          </w:pPr>
        </w:p>
      </w:tc>
    </w:tr>
  </w:tbl>
  <w:p w14:paraId="5121F082" w14:textId="77777777" w:rsidR="00397F4F" w:rsidRDefault="00397F4F" w:rsidP="00BE51AE">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397F4F" w14:paraId="48B597D6" w14:textId="77777777">
      <w:tc>
        <w:tcPr>
          <w:tcW w:w="2155" w:type="dxa"/>
          <w:tcBorders>
            <w:top w:val="single" w:sz="24" w:space="0" w:color="auto"/>
          </w:tcBorders>
        </w:tcPr>
        <w:p w14:paraId="0FD78D61" w14:textId="77777777" w:rsidR="00397F4F" w:rsidRDefault="00397F4F" w:rsidP="0019293B">
          <w:pPr>
            <w:pStyle w:val="HeaderEven"/>
          </w:pPr>
        </w:p>
      </w:tc>
      <w:tc>
        <w:tcPr>
          <w:tcW w:w="6634" w:type="dxa"/>
          <w:tcBorders>
            <w:top w:val="single" w:sz="6" w:space="0" w:color="auto"/>
          </w:tcBorders>
        </w:tcPr>
        <w:p w14:paraId="5B578C7E" w14:textId="77777777" w:rsidR="00397F4F" w:rsidRDefault="00397F4F" w:rsidP="0019293B">
          <w:pPr>
            <w:pStyle w:val="HeaderEven"/>
          </w:pPr>
        </w:p>
      </w:tc>
    </w:tr>
  </w:tbl>
  <w:p w14:paraId="798ED351" w14:textId="77777777" w:rsidR="00397F4F" w:rsidRDefault="00397F4F" w:rsidP="00C418AC">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397F4F" w14:paraId="78914817" w14:textId="77777777" w:rsidTr="007D417F">
      <w:trPr>
        <w:trHeight w:val="300"/>
      </w:trPr>
      <w:tc>
        <w:tcPr>
          <w:tcW w:w="2154" w:type="dxa"/>
          <w:tcBorders>
            <w:top w:val="single" w:sz="24" w:space="0" w:color="auto"/>
          </w:tcBorders>
          <w:shd w:val="clear" w:color="auto" w:fill="auto"/>
        </w:tcPr>
        <w:p w14:paraId="75FC6E45" w14:textId="77777777" w:rsidR="00397F4F" w:rsidRDefault="00397F4F" w:rsidP="007D417F">
          <w:pPr>
            <w:pStyle w:val="HeaderEven"/>
          </w:pPr>
        </w:p>
      </w:tc>
      <w:tc>
        <w:tcPr>
          <w:tcW w:w="6633" w:type="dxa"/>
          <w:tcBorders>
            <w:top w:val="single" w:sz="6" w:space="0" w:color="auto"/>
          </w:tcBorders>
          <w:shd w:val="clear" w:color="auto" w:fill="auto"/>
        </w:tcPr>
        <w:p w14:paraId="701F3716" w14:textId="77777777" w:rsidR="00397F4F" w:rsidRDefault="00397F4F" w:rsidP="007D417F">
          <w:pPr>
            <w:pStyle w:val="HeaderEven"/>
          </w:pPr>
        </w:p>
      </w:tc>
    </w:tr>
  </w:tbl>
  <w:p w14:paraId="7887995B" w14:textId="77777777" w:rsidR="00397F4F" w:rsidRPr="007D417F" w:rsidRDefault="00397F4F" w:rsidP="007D417F">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397F4F" w14:paraId="1F1E4AA3" w14:textId="77777777" w:rsidTr="007D417F">
      <w:trPr>
        <w:trHeight w:val="300"/>
      </w:trPr>
      <w:tc>
        <w:tcPr>
          <w:tcW w:w="6633" w:type="dxa"/>
          <w:tcBorders>
            <w:top w:val="single" w:sz="6" w:space="0" w:color="auto"/>
          </w:tcBorders>
          <w:shd w:val="clear" w:color="auto" w:fill="auto"/>
        </w:tcPr>
        <w:p w14:paraId="4CB5BBD9" w14:textId="77777777" w:rsidR="00397F4F" w:rsidRDefault="00397F4F" w:rsidP="007D417F">
          <w:pPr>
            <w:pStyle w:val="HeaderOdd"/>
          </w:pPr>
        </w:p>
      </w:tc>
      <w:tc>
        <w:tcPr>
          <w:tcW w:w="2154" w:type="dxa"/>
          <w:tcBorders>
            <w:top w:val="single" w:sz="24" w:space="0" w:color="auto"/>
          </w:tcBorders>
          <w:shd w:val="clear" w:color="auto" w:fill="auto"/>
        </w:tcPr>
        <w:p w14:paraId="72F43EE8" w14:textId="77777777" w:rsidR="00397F4F" w:rsidRDefault="00397F4F" w:rsidP="007D417F">
          <w:pPr>
            <w:pStyle w:val="HeaderOdd"/>
          </w:pPr>
        </w:p>
      </w:tc>
    </w:tr>
  </w:tbl>
  <w:p w14:paraId="68220888" w14:textId="77777777" w:rsidR="00397F4F" w:rsidRPr="007D417F" w:rsidRDefault="00397F4F" w:rsidP="007D417F">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3"/>
  </w:num>
  <w:num w:numId="3">
    <w:abstractNumId w:val="14"/>
  </w:num>
  <w:num w:numId="4">
    <w:abstractNumId w:val="4"/>
  </w:num>
  <w:num w:numId="5">
    <w:abstractNumId w:val="19"/>
  </w:num>
  <w:num w:numId="6">
    <w:abstractNumId w:val="16"/>
  </w:num>
  <w:num w:numId="7">
    <w:abstractNumId w:val="8"/>
  </w:num>
  <w:num w:numId="8">
    <w:abstractNumId w:val="15"/>
  </w:num>
  <w:num w:numId="9">
    <w:abstractNumId w:val="7"/>
  </w:num>
  <w:num w:numId="10">
    <w:abstractNumId w:val="6"/>
  </w:num>
  <w:num w:numId="11">
    <w:abstractNumId w:val="10"/>
  </w:num>
  <w:num w:numId="12">
    <w:abstractNumId w:val="11"/>
  </w:num>
  <w:num w:numId="13">
    <w:abstractNumId w:val="5"/>
  </w:num>
  <w:num w:numId="14">
    <w:abstractNumId w:val="17"/>
  </w:num>
  <w:num w:numId="15">
    <w:abstractNumId w:val="20"/>
  </w:num>
  <w:num w:numId="16">
    <w:abstractNumId w:val="13"/>
  </w:num>
  <w:num w:numId="17">
    <w:abstractNumId w:val="21"/>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9"/>
  </w:num>
  <w:num w:numId="22">
    <w:abstractNumId w:val="9"/>
  </w:num>
  <w:num w:numId="2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7D417F"/>
    <w:rsid w:val="000227D5"/>
    <w:rsid w:val="000245AA"/>
    <w:rsid w:val="0003664B"/>
    <w:rsid w:val="0004111F"/>
    <w:rsid w:val="000415C6"/>
    <w:rsid w:val="00055077"/>
    <w:rsid w:val="000565B3"/>
    <w:rsid w:val="0007150B"/>
    <w:rsid w:val="00085E5E"/>
    <w:rsid w:val="000938F5"/>
    <w:rsid w:val="00095663"/>
    <w:rsid w:val="00096E55"/>
    <w:rsid w:val="0009783E"/>
    <w:rsid w:val="000B1022"/>
    <w:rsid w:val="000B601B"/>
    <w:rsid w:val="000B7FE2"/>
    <w:rsid w:val="000C207E"/>
    <w:rsid w:val="000D41E9"/>
    <w:rsid w:val="000F0035"/>
    <w:rsid w:val="000F04E7"/>
    <w:rsid w:val="000F060A"/>
    <w:rsid w:val="000F420B"/>
    <w:rsid w:val="00103A44"/>
    <w:rsid w:val="00110116"/>
    <w:rsid w:val="00120072"/>
    <w:rsid w:val="00126EB8"/>
    <w:rsid w:val="001274D4"/>
    <w:rsid w:val="001363AA"/>
    <w:rsid w:val="0013739A"/>
    <w:rsid w:val="00142165"/>
    <w:rsid w:val="001551EB"/>
    <w:rsid w:val="00162434"/>
    <w:rsid w:val="00183E82"/>
    <w:rsid w:val="001878BB"/>
    <w:rsid w:val="00191AE0"/>
    <w:rsid w:val="0019293B"/>
    <w:rsid w:val="0019426B"/>
    <w:rsid w:val="001A6A4B"/>
    <w:rsid w:val="001C0865"/>
    <w:rsid w:val="001C0AED"/>
    <w:rsid w:val="001C3ABA"/>
    <w:rsid w:val="001C5111"/>
    <w:rsid w:val="001E7BE8"/>
    <w:rsid w:val="001F0248"/>
    <w:rsid w:val="001F3EB3"/>
    <w:rsid w:val="001F4F86"/>
    <w:rsid w:val="00202C2C"/>
    <w:rsid w:val="00203050"/>
    <w:rsid w:val="002135AB"/>
    <w:rsid w:val="002144BE"/>
    <w:rsid w:val="00242279"/>
    <w:rsid w:val="00243997"/>
    <w:rsid w:val="0024516C"/>
    <w:rsid w:val="00245C82"/>
    <w:rsid w:val="002724BA"/>
    <w:rsid w:val="00291B40"/>
    <w:rsid w:val="002B4008"/>
    <w:rsid w:val="002C439F"/>
    <w:rsid w:val="002D0C42"/>
    <w:rsid w:val="002D0E8E"/>
    <w:rsid w:val="002F6F8F"/>
    <w:rsid w:val="00301189"/>
    <w:rsid w:val="00301E4A"/>
    <w:rsid w:val="003168B8"/>
    <w:rsid w:val="003226BE"/>
    <w:rsid w:val="00322D64"/>
    <w:rsid w:val="00323E09"/>
    <w:rsid w:val="00333932"/>
    <w:rsid w:val="003518AA"/>
    <w:rsid w:val="00352165"/>
    <w:rsid w:val="00353182"/>
    <w:rsid w:val="003565D9"/>
    <w:rsid w:val="003602E1"/>
    <w:rsid w:val="00363B90"/>
    <w:rsid w:val="0037026F"/>
    <w:rsid w:val="00371240"/>
    <w:rsid w:val="00374731"/>
    <w:rsid w:val="00376E59"/>
    <w:rsid w:val="00377EC1"/>
    <w:rsid w:val="00380340"/>
    <w:rsid w:val="003919F9"/>
    <w:rsid w:val="003920CF"/>
    <w:rsid w:val="00397F4F"/>
    <w:rsid w:val="003B23C2"/>
    <w:rsid w:val="003B4A8C"/>
    <w:rsid w:val="003C38B5"/>
    <w:rsid w:val="003C5D99"/>
    <w:rsid w:val="003D1087"/>
    <w:rsid w:val="003E2F59"/>
    <w:rsid w:val="003E746B"/>
    <w:rsid w:val="003F0789"/>
    <w:rsid w:val="00401882"/>
    <w:rsid w:val="004100C8"/>
    <w:rsid w:val="00411DBD"/>
    <w:rsid w:val="00412ACE"/>
    <w:rsid w:val="004145D2"/>
    <w:rsid w:val="0041689F"/>
    <w:rsid w:val="00426CB4"/>
    <w:rsid w:val="00431249"/>
    <w:rsid w:val="00434C19"/>
    <w:rsid w:val="00450810"/>
    <w:rsid w:val="00462C59"/>
    <w:rsid w:val="00470737"/>
    <w:rsid w:val="00477144"/>
    <w:rsid w:val="00491380"/>
    <w:rsid w:val="0049377C"/>
    <w:rsid w:val="0049459F"/>
    <w:rsid w:val="004A0BA8"/>
    <w:rsid w:val="004A38DD"/>
    <w:rsid w:val="004B43AE"/>
    <w:rsid w:val="004C30ED"/>
    <w:rsid w:val="004D5675"/>
    <w:rsid w:val="00500A77"/>
    <w:rsid w:val="00517795"/>
    <w:rsid w:val="00523639"/>
    <w:rsid w:val="00531FE5"/>
    <w:rsid w:val="005402FA"/>
    <w:rsid w:val="005720DA"/>
    <w:rsid w:val="005729BD"/>
    <w:rsid w:val="00573E92"/>
    <w:rsid w:val="00580154"/>
    <w:rsid w:val="00583C39"/>
    <w:rsid w:val="00586A90"/>
    <w:rsid w:val="00587F28"/>
    <w:rsid w:val="005909CF"/>
    <w:rsid w:val="00591E71"/>
    <w:rsid w:val="005A0D41"/>
    <w:rsid w:val="005D329F"/>
    <w:rsid w:val="005E3F14"/>
    <w:rsid w:val="005F48ED"/>
    <w:rsid w:val="00606E78"/>
    <w:rsid w:val="00607BF1"/>
    <w:rsid w:val="0062370A"/>
    <w:rsid w:val="00630D4D"/>
    <w:rsid w:val="00632A74"/>
    <w:rsid w:val="00654D42"/>
    <w:rsid w:val="00656299"/>
    <w:rsid w:val="00666E02"/>
    <w:rsid w:val="006A4655"/>
    <w:rsid w:val="006B2B3C"/>
    <w:rsid w:val="006B499B"/>
    <w:rsid w:val="006C1D81"/>
    <w:rsid w:val="006C7038"/>
    <w:rsid w:val="006E73EF"/>
    <w:rsid w:val="007079C9"/>
    <w:rsid w:val="00714D4D"/>
    <w:rsid w:val="007162EF"/>
    <w:rsid w:val="007266D3"/>
    <w:rsid w:val="00732029"/>
    <w:rsid w:val="007604BB"/>
    <w:rsid w:val="00772909"/>
    <w:rsid w:val="00785232"/>
    <w:rsid w:val="007964F3"/>
    <w:rsid w:val="0079701E"/>
    <w:rsid w:val="007A21EB"/>
    <w:rsid w:val="007B1A93"/>
    <w:rsid w:val="007B69E1"/>
    <w:rsid w:val="007C36C9"/>
    <w:rsid w:val="007D417F"/>
    <w:rsid w:val="007D6401"/>
    <w:rsid w:val="007E01E4"/>
    <w:rsid w:val="007E7A12"/>
    <w:rsid w:val="007F4DAF"/>
    <w:rsid w:val="007F7107"/>
    <w:rsid w:val="00800D4C"/>
    <w:rsid w:val="0081030F"/>
    <w:rsid w:val="00812F4A"/>
    <w:rsid w:val="0082087D"/>
    <w:rsid w:val="00835771"/>
    <w:rsid w:val="00842933"/>
    <w:rsid w:val="0086082C"/>
    <w:rsid w:val="00864ADC"/>
    <w:rsid w:val="008722CD"/>
    <w:rsid w:val="00880153"/>
    <w:rsid w:val="00880F97"/>
    <w:rsid w:val="0088133A"/>
    <w:rsid w:val="0089285E"/>
    <w:rsid w:val="0089436C"/>
    <w:rsid w:val="008A0451"/>
    <w:rsid w:val="008C2904"/>
    <w:rsid w:val="008D365C"/>
    <w:rsid w:val="008D7622"/>
    <w:rsid w:val="009021A6"/>
    <w:rsid w:val="009030BF"/>
    <w:rsid w:val="00903B52"/>
    <w:rsid w:val="0091032F"/>
    <w:rsid w:val="00914368"/>
    <w:rsid w:val="009226FB"/>
    <w:rsid w:val="00931076"/>
    <w:rsid w:val="009345D9"/>
    <w:rsid w:val="00934B15"/>
    <w:rsid w:val="00940C87"/>
    <w:rsid w:val="00942B62"/>
    <w:rsid w:val="0095323B"/>
    <w:rsid w:val="00956A0C"/>
    <w:rsid w:val="00956BD9"/>
    <w:rsid w:val="00962489"/>
    <w:rsid w:val="009630E6"/>
    <w:rsid w:val="00967CD3"/>
    <w:rsid w:val="00990C2C"/>
    <w:rsid w:val="009A231B"/>
    <w:rsid w:val="009A5171"/>
    <w:rsid w:val="009C3BEA"/>
    <w:rsid w:val="009E1844"/>
    <w:rsid w:val="009E6011"/>
    <w:rsid w:val="009F0D1B"/>
    <w:rsid w:val="009F5BBD"/>
    <w:rsid w:val="009F696D"/>
    <w:rsid w:val="009F6BC6"/>
    <w:rsid w:val="009F74EF"/>
    <w:rsid w:val="00A02826"/>
    <w:rsid w:val="00A1455B"/>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85B2E"/>
    <w:rsid w:val="00A92B53"/>
    <w:rsid w:val="00A94FA6"/>
    <w:rsid w:val="00AA49A0"/>
    <w:rsid w:val="00AA6710"/>
    <w:rsid w:val="00AB0681"/>
    <w:rsid w:val="00AC3A15"/>
    <w:rsid w:val="00AC5385"/>
    <w:rsid w:val="00AD520B"/>
    <w:rsid w:val="00AE3649"/>
    <w:rsid w:val="00AE3BCC"/>
    <w:rsid w:val="00B30711"/>
    <w:rsid w:val="00B425C3"/>
    <w:rsid w:val="00B440AD"/>
    <w:rsid w:val="00B479BB"/>
    <w:rsid w:val="00B53E7E"/>
    <w:rsid w:val="00B6342E"/>
    <w:rsid w:val="00B7113F"/>
    <w:rsid w:val="00B93326"/>
    <w:rsid w:val="00BA2208"/>
    <w:rsid w:val="00BA2BCF"/>
    <w:rsid w:val="00BA5B14"/>
    <w:rsid w:val="00BA73B6"/>
    <w:rsid w:val="00BA7E27"/>
    <w:rsid w:val="00BB2603"/>
    <w:rsid w:val="00BB4FCD"/>
    <w:rsid w:val="00BC04E9"/>
    <w:rsid w:val="00BD13EA"/>
    <w:rsid w:val="00BD5F6B"/>
    <w:rsid w:val="00BE3808"/>
    <w:rsid w:val="00BE51AE"/>
    <w:rsid w:val="00C03B88"/>
    <w:rsid w:val="00C062E9"/>
    <w:rsid w:val="00C07B64"/>
    <w:rsid w:val="00C13721"/>
    <w:rsid w:val="00C14FE4"/>
    <w:rsid w:val="00C3066D"/>
    <w:rsid w:val="00C418AC"/>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F3B11"/>
    <w:rsid w:val="00CF54DA"/>
    <w:rsid w:val="00D270A4"/>
    <w:rsid w:val="00D31FE9"/>
    <w:rsid w:val="00D34E1B"/>
    <w:rsid w:val="00D376BA"/>
    <w:rsid w:val="00D434A0"/>
    <w:rsid w:val="00D45634"/>
    <w:rsid w:val="00D5568A"/>
    <w:rsid w:val="00D63D73"/>
    <w:rsid w:val="00D64452"/>
    <w:rsid w:val="00D66E1E"/>
    <w:rsid w:val="00D70696"/>
    <w:rsid w:val="00D75722"/>
    <w:rsid w:val="00D80CF5"/>
    <w:rsid w:val="00D97569"/>
    <w:rsid w:val="00DA5BBA"/>
    <w:rsid w:val="00DB26D2"/>
    <w:rsid w:val="00DB67C9"/>
    <w:rsid w:val="00DC0C95"/>
    <w:rsid w:val="00DC4F0B"/>
    <w:rsid w:val="00DC7BD1"/>
    <w:rsid w:val="00DD6580"/>
    <w:rsid w:val="00E01D7F"/>
    <w:rsid w:val="00E05C03"/>
    <w:rsid w:val="00E13D3E"/>
    <w:rsid w:val="00E17C72"/>
    <w:rsid w:val="00E21FC6"/>
    <w:rsid w:val="00E22700"/>
    <w:rsid w:val="00E431A9"/>
    <w:rsid w:val="00E44AEF"/>
    <w:rsid w:val="00E5414B"/>
    <w:rsid w:val="00E669E2"/>
    <w:rsid w:val="00E76135"/>
    <w:rsid w:val="00E82F4F"/>
    <w:rsid w:val="00E864DF"/>
    <w:rsid w:val="00EB2CC3"/>
    <w:rsid w:val="00EC2844"/>
    <w:rsid w:val="00EC5500"/>
    <w:rsid w:val="00ED18F8"/>
    <w:rsid w:val="00EE6EDA"/>
    <w:rsid w:val="00EE778E"/>
    <w:rsid w:val="00EF28F9"/>
    <w:rsid w:val="00EF6719"/>
    <w:rsid w:val="00EF6C6C"/>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C30A0"/>
    <w:rsid w:val="00FD22B1"/>
    <w:rsid w:val="00FD3172"/>
    <w:rsid w:val="00FD33F1"/>
    <w:rsid w:val="00FD3566"/>
    <w:rsid w:val="00FE22AD"/>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3453FE1"/>
  <w15:docId w15:val="{162B1157-CB83-41E6-9D9F-D10254A7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new legislation style,new legislation style1,new legislation style Ch,headBody Text,boxy Text1"/>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link w:val="FigureChar"/>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1 Char,new legislation style Char,new legislation style1 Char,new legislation style Ch Char,headBody Text Char,boxy Text1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7D417F"/>
    <w:rPr>
      <w:rFonts w:ascii="Arial" w:hAnsi="Arial"/>
      <w:b/>
      <w:sz w:val="18"/>
    </w:rPr>
  </w:style>
  <w:style w:type="character" w:customStyle="1" w:styleId="FootnoteTextChar">
    <w:name w:val="Footnote Text Char"/>
    <w:basedOn w:val="DefaultParagraphFont"/>
    <w:link w:val="FootnoteText"/>
    <w:rsid w:val="007D417F"/>
  </w:style>
  <w:style w:type="character" w:customStyle="1" w:styleId="ListBulletChar">
    <w:name w:val="List Bullet Char"/>
    <w:basedOn w:val="DefaultParagraphFont"/>
    <w:link w:val="ListBullet"/>
    <w:rsid w:val="007D417F"/>
    <w:rPr>
      <w:sz w:val="24"/>
    </w:rPr>
  </w:style>
  <w:style w:type="paragraph" w:styleId="CommentSubject">
    <w:name w:val="annotation subject"/>
    <w:basedOn w:val="CommentText"/>
    <w:next w:val="CommentText"/>
    <w:link w:val="CommentSubjectChar"/>
    <w:semiHidden/>
    <w:unhideWhenUsed/>
    <w:rsid w:val="007D417F"/>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7D417F"/>
    <w:rPr>
      <w:szCs w:val="24"/>
    </w:rPr>
  </w:style>
  <w:style w:type="character" w:customStyle="1" w:styleId="CommentSubjectChar">
    <w:name w:val="Comment Subject Char"/>
    <w:basedOn w:val="CommentTextChar"/>
    <w:link w:val="CommentSubject"/>
    <w:semiHidden/>
    <w:rsid w:val="007D417F"/>
    <w:rPr>
      <w:b/>
      <w:bCs/>
      <w:szCs w:val="24"/>
    </w:rPr>
  </w:style>
  <w:style w:type="character" w:customStyle="1" w:styleId="Heading3Char">
    <w:name w:val="Heading 3 Char"/>
    <w:basedOn w:val="DefaultParagraphFont"/>
    <w:link w:val="Heading3"/>
    <w:rsid w:val="007D417F"/>
    <w:rPr>
      <w:rFonts w:ascii="Arial" w:hAnsi="Arial"/>
      <w:b/>
      <w:sz w:val="26"/>
    </w:rPr>
  </w:style>
  <w:style w:type="character" w:customStyle="1" w:styleId="BoxChar">
    <w:name w:val="Box Char"/>
    <w:link w:val="Box"/>
    <w:locked/>
    <w:rsid w:val="007D417F"/>
    <w:rPr>
      <w:rFonts w:ascii="Arial" w:hAnsi="Arial"/>
    </w:rPr>
  </w:style>
  <w:style w:type="character" w:customStyle="1" w:styleId="BoxListBulletChar">
    <w:name w:val="Box List Bullet Char"/>
    <w:link w:val="BoxListBullet"/>
    <w:locked/>
    <w:rsid w:val="007D417F"/>
    <w:rPr>
      <w:rFonts w:ascii="Arial" w:hAnsi="Arial"/>
    </w:rPr>
  </w:style>
  <w:style w:type="paragraph" w:styleId="Revision">
    <w:name w:val="Revision"/>
    <w:hidden/>
    <w:uiPriority w:val="99"/>
    <w:semiHidden/>
    <w:rsid w:val="007D417F"/>
    <w:rPr>
      <w:sz w:val="24"/>
      <w:szCs w:val="24"/>
    </w:rPr>
  </w:style>
  <w:style w:type="character" w:styleId="Hyperlink">
    <w:name w:val="Hyperlink"/>
    <w:basedOn w:val="DefaultParagraphFont"/>
    <w:uiPriority w:val="99"/>
    <w:unhideWhenUsed/>
    <w:rsid w:val="007D417F"/>
    <w:rPr>
      <w:color w:val="000000" w:themeColor="hyperlink"/>
      <w:u w:val="single"/>
    </w:rPr>
  </w:style>
  <w:style w:type="character" w:customStyle="1" w:styleId="FigureChar">
    <w:name w:val="Figure Char"/>
    <w:basedOn w:val="DefaultParagraphFont"/>
    <w:link w:val="Figure"/>
    <w:rsid w:val="007D417F"/>
    <w:rPr>
      <w:sz w:val="24"/>
    </w:rPr>
  </w:style>
  <w:style w:type="paragraph" w:styleId="PlainText">
    <w:name w:val="Plain Text"/>
    <w:basedOn w:val="Normal"/>
    <w:link w:val="PlainTextChar"/>
    <w:uiPriority w:val="99"/>
    <w:semiHidden/>
    <w:unhideWhenUsed/>
    <w:rsid w:val="007D417F"/>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7D417F"/>
    <w:rPr>
      <w:rFonts w:ascii="Calibri" w:eastAsiaTheme="minorHAnsi" w:hAnsi="Calibri" w:cs="Calibri"/>
      <w:sz w:val="22"/>
      <w:szCs w:val="22"/>
      <w:lang w:eastAsia="en-US"/>
    </w:rPr>
  </w:style>
  <w:style w:type="character" w:styleId="EndnoteReference">
    <w:name w:val="endnote reference"/>
    <w:basedOn w:val="DefaultParagraphFont"/>
    <w:semiHidden/>
    <w:unhideWhenUsed/>
    <w:rsid w:val="007D417F"/>
    <w:rPr>
      <w:vertAlign w:val="superscript"/>
    </w:rPr>
  </w:style>
  <w:style w:type="paragraph" w:styleId="NormalWeb">
    <w:name w:val="Normal (Web)"/>
    <w:basedOn w:val="Normal"/>
    <w:uiPriority w:val="99"/>
    <w:unhideWhenUsed/>
    <w:rsid w:val="007D417F"/>
    <w:pPr>
      <w:spacing w:before="100" w:beforeAutospacing="1" w:after="100" w:afterAutospacing="1"/>
    </w:pPr>
  </w:style>
  <w:style w:type="character" w:customStyle="1" w:styleId="QuoteChar">
    <w:name w:val="Quote Char"/>
    <w:basedOn w:val="DefaultParagraphFont"/>
    <w:link w:val="Quote"/>
    <w:rsid w:val="007D417F"/>
    <w:rPr>
      <w:sz w:val="22"/>
    </w:rPr>
  </w:style>
  <w:style w:type="character" w:styleId="FollowedHyperlink">
    <w:name w:val="FollowedHyperlink"/>
    <w:basedOn w:val="DefaultParagraphFont"/>
    <w:semiHidden/>
    <w:unhideWhenUsed/>
    <w:rsid w:val="007D417F"/>
    <w:rPr>
      <w:color w:val="BFBFBF" w:themeColor="followedHyperlink"/>
      <w:u w:val="single"/>
    </w:rPr>
  </w:style>
  <w:style w:type="paragraph" w:styleId="Bibliography">
    <w:name w:val="Bibliography"/>
    <w:basedOn w:val="Normal"/>
    <w:next w:val="Normal"/>
    <w:uiPriority w:val="37"/>
    <w:unhideWhenUsed/>
    <w:rsid w:val="007D417F"/>
    <w:pPr>
      <w:spacing w:after="240"/>
      <w:ind w:left="720" w:hanging="720"/>
    </w:pPr>
  </w:style>
  <w:style w:type="character" w:customStyle="1" w:styleId="NoteChar">
    <w:name w:val="Note Char"/>
    <w:basedOn w:val="BodyTextChar"/>
    <w:link w:val="Note"/>
    <w:rsid w:val="007D417F"/>
    <w:rPr>
      <w:rFonts w:ascii="Arial" w:hAnsi="Arial"/>
      <w:sz w:val="18"/>
    </w:rPr>
  </w:style>
  <w:style w:type="paragraph" w:customStyle="1" w:styleId="Heading1NotTOC">
    <w:name w:val="Heading 1 Not TOC"/>
    <w:basedOn w:val="Heading1"/>
    <w:next w:val="BodyText"/>
    <w:rsid w:val="00A85B2E"/>
    <w:rPr>
      <w:kern w:val="28"/>
      <w:szCs w:val="26"/>
      <w:lang w:eastAsia="en-US"/>
    </w:rPr>
  </w:style>
  <w:style w:type="paragraph" w:customStyle="1" w:styleId="Copyrightheading">
    <w:name w:val="Copyright heading"/>
    <w:basedOn w:val="TOC1"/>
    <w:link w:val="CopyrightheadingChar"/>
    <w:qFormat/>
    <w:rsid w:val="00A85B2E"/>
    <w:pPr>
      <w:spacing w:line="300" w:lineRule="exact"/>
    </w:pPr>
    <w:rPr>
      <w:sz w:val="22"/>
    </w:rPr>
  </w:style>
  <w:style w:type="character" w:customStyle="1" w:styleId="CopyrightheadingChar">
    <w:name w:val="Copyright heading Char"/>
    <w:basedOn w:val="TOC1Char"/>
    <w:link w:val="Copyrightheading"/>
    <w:rsid w:val="00A85B2E"/>
    <w:rPr>
      <w:rFonts w:ascii="Arial" w:hAnsi="Arial"/>
      <w:b/>
      <w:sz w:val="22"/>
      <w:szCs w:val="26"/>
      <w:lang w:eastAsia="en-US"/>
    </w:rPr>
  </w:style>
  <w:style w:type="paragraph" w:customStyle="1" w:styleId="Copyrightsubtitle">
    <w:name w:val="Copyright subtitle"/>
    <w:basedOn w:val="BodyText"/>
    <w:rsid w:val="00A85B2E"/>
    <w:rPr>
      <w:rFonts w:ascii="Arial" w:hAnsi="Arial"/>
      <w:b/>
      <w:sz w:val="22"/>
      <w:szCs w:val="25"/>
    </w:rPr>
  </w:style>
  <w:style w:type="paragraph" w:customStyle="1" w:styleId="Copyrightbodytext">
    <w:name w:val="Copyright bodytext"/>
    <w:basedOn w:val="BodyText"/>
    <w:link w:val="CopyrightbodytextChar"/>
    <w:qFormat/>
    <w:rsid w:val="00A85B2E"/>
    <w:pPr>
      <w:spacing w:before="60"/>
    </w:pPr>
  </w:style>
  <w:style w:type="character" w:customStyle="1" w:styleId="CopyrightbodytextChar">
    <w:name w:val="Copyright bodytext Char"/>
    <w:basedOn w:val="BodyTextChar"/>
    <w:link w:val="Copyrightbodytext"/>
    <w:rsid w:val="00A85B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pmc.gov.au/government/commonwealth-coat-arms" TargetMode="External"/><Relationship Id="rId26" Type="http://schemas.openxmlformats.org/officeDocument/2006/relationships/header" Target="header4.xml"/><Relationship Id="rId39" Type="http://schemas.openxmlformats.org/officeDocument/2006/relationships/image" Target="media/image9.emf"/><Relationship Id="rId21" Type="http://schemas.openxmlformats.org/officeDocument/2006/relationships/footer" Target="footer1.xml"/><Relationship Id="rId34" Type="http://schemas.openxmlformats.org/officeDocument/2006/relationships/image" Target="media/image4.emf"/><Relationship Id="rId42" Type="http://schemas.openxmlformats.org/officeDocument/2006/relationships/image" Target="media/image12.emf"/><Relationship Id="rId47" Type="http://schemas.openxmlformats.org/officeDocument/2006/relationships/header" Target="header10.xml"/><Relationship Id="rId50" Type="http://schemas.openxmlformats.org/officeDocument/2006/relationships/footer" Target="footer10.xml"/><Relationship Id="rId55" Type="http://schemas.openxmlformats.org/officeDocument/2006/relationships/footer" Target="footer11.xml"/><Relationship Id="rId63" Type="http://schemas.openxmlformats.org/officeDocument/2006/relationships/header" Target="header16.xm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image" Target="media/image7.emf"/><Relationship Id="rId40" Type="http://schemas.openxmlformats.org/officeDocument/2006/relationships/image" Target="media/image10.emf"/><Relationship Id="rId45" Type="http://schemas.openxmlformats.org/officeDocument/2006/relationships/footer" Target="footer7.xml"/><Relationship Id="rId53" Type="http://schemas.openxmlformats.org/officeDocument/2006/relationships/header" Target="header12.xml"/><Relationship Id="rId58" Type="http://schemas.openxmlformats.org/officeDocument/2006/relationships/image" Target="media/image16.emf"/><Relationship Id="rId66" Type="http://schemas.openxmlformats.org/officeDocument/2006/relationships/footer" Target="footer16.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footer" Target="footer4.xml"/><Relationship Id="rId36" Type="http://schemas.openxmlformats.org/officeDocument/2006/relationships/image" Target="media/image6.emf"/><Relationship Id="rId49" Type="http://schemas.openxmlformats.org/officeDocument/2006/relationships/footer" Target="footer9.xml"/><Relationship Id="rId57" Type="http://schemas.openxmlformats.org/officeDocument/2006/relationships/image" Target="media/image15.emf"/><Relationship Id="rId61" Type="http://schemas.openxmlformats.org/officeDocument/2006/relationships/footer" Target="footer13.xml"/><Relationship Id="rId10" Type="http://schemas.openxmlformats.org/officeDocument/2006/relationships/settings" Target="settings.xml"/><Relationship Id="rId19" Type="http://schemas.openxmlformats.org/officeDocument/2006/relationships/hyperlink" Target="http://www.pc.gov.au/" TargetMode="External"/><Relationship Id="rId31" Type="http://schemas.openxmlformats.org/officeDocument/2006/relationships/header" Target="header7.xml"/><Relationship Id="rId44" Type="http://schemas.openxmlformats.org/officeDocument/2006/relationships/header" Target="header9.xml"/><Relationship Id="rId52" Type="http://schemas.openxmlformats.org/officeDocument/2006/relationships/image" Target="media/image14.emf"/><Relationship Id="rId60" Type="http://schemas.openxmlformats.org/officeDocument/2006/relationships/header" Target="header15.xml"/><Relationship Id="rId65"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image" Target="media/image5.emf"/><Relationship Id="rId43" Type="http://schemas.openxmlformats.org/officeDocument/2006/relationships/header" Target="header8.xml"/><Relationship Id="rId48" Type="http://schemas.openxmlformats.org/officeDocument/2006/relationships/header" Target="header11.xml"/><Relationship Id="rId56" Type="http://schemas.openxmlformats.org/officeDocument/2006/relationships/footer" Target="footer12.xml"/><Relationship Id="rId64" Type="http://schemas.openxmlformats.org/officeDocument/2006/relationships/header" Target="header17.xml"/><Relationship Id="rId8" Type="http://schemas.openxmlformats.org/officeDocument/2006/relationships/numbering" Target="numbering.xml"/><Relationship Id="rId51" Type="http://schemas.openxmlformats.org/officeDocument/2006/relationships/image" Target="media/image13.e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creativecommons.org/licenses/by/3.0/au" TargetMode="External"/><Relationship Id="rId25" Type="http://schemas.openxmlformats.org/officeDocument/2006/relationships/footer" Target="footer3.xml"/><Relationship Id="rId33" Type="http://schemas.openxmlformats.org/officeDocument/2006/relationships/image" Target="media/image3.emf"/><Relationship Id="rId38" Type="http://schemas.openxmlformats.org/officeDocument/2006/relationships/image" Target="media/image8.emf"/><Relationship Id="rId46" Type="http://schemas.openxmlformats.org/officeDocument/2006/relationships/footer" Target="footer8.xml"/><Relationship Id="rId59" Type="http://schemas.openxmlformats.org/officeDocument/2006/relationships/header" Target="header14.xml"/><Relationship Id="rId67" Type="http://schemas.openxmlformats.org/officeDocument/2006/relationships/fontTable" Target="fontTable.xml"/><Relationship Id="rId20" Type="http://schemas.openxmlformats.org/officeDocument/2006/relationships/header" Target="header1.xml"/><Relationship Id="rId41" Type="http://schemas.openxmlformats.org/officeDocument/2006/relationships/image" Target="media/image11.emf"/><Relationship Id="rId54" Type="http://schemas.openxmlformats.org/officeDocument/2006/relationships/header" Target="header13.xml"/><Relationship Id="rId62"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_compil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4"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Reports" ma:contentTypeID="0x0101007916246811615643A710C6FEAFF56A87110400E158DC4C378C324EB72C9610E3753E87" ma:contentTypeVersion="13" ma:contentTypeDescription="" ma:contentTypeScope="" ma:versionID="5f7fddaa3327aa70d8b124c656a294a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ac61221fcfcccc38a6220812b06f4d46"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adOnly="fals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Draft_x0020_Report_x0020_Status>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Final Report</TermName>
          <TermId>2ba7de50-4c1d-4453-9bfb-2c08018fad73</TermId>
        </TermInfo>
      </Terms>
    </p7a0baa8c88445a78b6f55906390ba17>
    <TaxCatchAll xmlns="3f4bcce7-ac1a-4c9d-aa3e-7e77695652db">
      <Value>270</Value>
    </TaxCatchAll>
    <_dlc_DocId xmlns="3f4bcce7-ac1a-4c9d-aa3e-7e77695652db">PCDOC-840788295-17</_dlc_DocId>
    <_dlc_DocIdUrl xmlns="3f4bcce7-ac1a-4c9d-aa3e-7e77695652db">
      <Url>http://inet.pc.gov.au/pmo/res/tar/_layouts/15/DocIdRedir.aspx?ID=PCDOC-840788295-17</Url>
      <Description>PCDOC-840788295-17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C8082-C6FE-4CA0-880E-5E841A75156F}">
  <ds:schemaRefs>
    <ds:schemaRef ds:uri="Microsoft.SharePoint.Taxonomy.ContentTypeSync"/>
  </ds:schemaRefs>
</ds:datastoreItem>
</file>

<file path=customXml/itemProps2.xml><?xml version="1.0" encoding="utf-8"?>
<ds:datastoreItem xmlns:ds="http://schemas.openxmlformats.org/officeDocument/2006/customXml" ds:itemID="{785D4568-2545-4829-9581-D9010AFFB353}">
  <ds:schemaRefs>
    <ds:schemaRef ds:uri="http://schemas.microsoft.com/office/2006/metadata/customXsn"/>
  </ds:schemaRefs>
</ds:datastoreItem>
</file>

<file path=customXml/itemProps3.xml><?xml version="1.0" encoding="utf-8"?>
<ds:datastoreItem xmlns:ds="http://schemas.openxmlformats.org/officeDocument/2006/customXml" ds:itemID="{5B9846E8-37A2-427A-9D3E-F2F328393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ACBE13-864A-4D85-AC48-2140F4022F68}">
  <ds:schemaRefs>
    <ds:schemaRef ds:uri="http://schemas.openxmlformats.org/package/2006/metadata/core-properties"/>
    <ds:schemaRef ds:uri="http://purl.org/dc/elements/1.1/"/>
    <ds:schemaRef ds:uri="http://schemas.microsoft.com/office/2006/metadata/properties"/>
    <ds:schemaRef ds:uri="3f4bcce7-ac1a-4c9d-aa3e-7e77695652db"/>
    <ds:schemaRef ds:uri="http://purl.org/dc/terms/"/>
    <ds:schemaRef ds:uri="http://schemas.microsoft.com/sharepoint/v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C3BB86B5-DC1E-4387-AB61-22F3C3B6F57C}">
  <ds:schemaRefs>
    <ds:schemaRef ds:uri="http://schemas.microsoft.com/sharepoint/v3/contenttype/forms"/>
  </ds:schemaRefs>
</ds:datastoreItem>
</file>

<file path=customXml/itemProps6.xml><?xml version="1.0" encoding="utf-8"?>
<ds:datastoreItem xmlns:ds="http://schemas.openxmlformats.org/officeDocument/2006/customXml" ds:itemID="{D3B42847-A3AE-44AE-977B-EF7E78D56727}">
  <ds:schemaRefs>
    <ds:schemaRef ds:uri="http://schemas.microsoft.com/sharepoint/events"/>
  </ds:schemaRefs>
</ds:datastoreItem>
</file>

<file path=customXml/itemProps7.xml><?xml version="1.0" encoding="utf-8"?>
<ds:datastoreItem xmlns:ds="http://schemas.openxmlformats.org/officeDocument/2006/customXml" ds:itemID="{71519CDF-207D-435C-A69E-55724D64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280</TotalTime>
  <Pages>49</Pages>
  <Words>13464</Words>
  <Characters>79782</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Trade and Assistance Review 2018-19</vt:lpstr>
    </vt:vector>
  </TitlesOfParts>
  <Company>Productivity Commission</Company>
  <LinksUpToDate>false</LinksUpToDate>
  <CharactersWithSpaces>93060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and Assistance Review 2018-19</dc:title>
  <dc:subject>Report</dc:subject>
  <dc:creator>Productivity Commission</dc:creator>
  <cp:keywords/>
  <dc:description>1.</dc:description>
  <cp:lastModifiedBy>Productivity Commission</cp:lastModifiedBy>
  <cp:revision>17</cp:revision>
  <cp:lastPrinted>2020-04-22T02:52:00Z</cp:lastPrinted>
  <dcterms:created xsi:type="dcterms:W3CDTF">2020-04-21T05:00:00Z</dcterms:created>
  <dcterms:modified xsi:type="dcterms:W3CDTF">2020-04-22T04:12:00Z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zotero-version="5.0.81"&gt;&lt;session id="XlCcg8ea"/&gt;&lt;style id="http://www.zotero.org/styles/Productivity-Commission"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y fmtid="{D5CDD505-2E9C-101B-9397-08002B2CF9AE}" pid="4" name="ContentTypeId">
    <vt:lpwstr>0x0101007916246811615643A710C6FEAFF56A87110400E158DC4C378C324EB72C9610E3753E87</vt:lpwstr>
  </property>
  <property fmtid="{D5CDD505-2E9C-101B-9397-08002B2CF9AE}" pid="5" name="Record Tag">
    <vt:lpwstr>270;#Final Report|2ba7de50-4c1d-4453-9bfb-2c08018fad73</vt:lpwstr>
  </property>
  <property fmtid="{D5CDD505-2E9C-101B-9397-08002B2CF9AE}" pid="6" name="TaxKeyword">
    <vt:lpwstr/>
  </property>
  <property fmtid="{D5CDD505-2E9C-101B-9397-08002B2CF9AE}" pid="7" name="_dlc_DocIdItemGuid">
    <vt:lpwstr>153f53c2-9fa8-4253-825f-a1574864683d</vt:lpwstr>
  </property>
</Properties>
</file>