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F9F" w:rsidRDefault="004C0F9F">
      <w:pPr>
        <w:rPr>
          <w:b/>
          <w:szCs w:val="26"/>
        </w:rPr>
      </w:pPr>
      <w:r>
        <w:rPr>
          <w:noProof/>
          <w:lang w:eastAsia="en-AU"/>
        </w:rPr>
        <w:drawing>
          <wp:anchor distT="0" distB="0" distL="114300" distR="114300" simplePos="0" relativeHeight="251658240" behindDoc="0" locked="0" layoutInCell="1" allowOverlap="1">
            <wp:simplePos x="0" y="0"/>
            <wp:positionH relativeFrom="column">
              <wp:posOffset>-1151890</wp:posOffset>
            </wp:positionH>
            <wp:positionV relativeFrom="paragraph">
              <wp:posOffset>-143510</wp:posOffset>
            </wp:positionV>
            <wp:extent cx="7548880" cy="9946640"/>
            <wp:effectExtent l="0" t="0" r="0" b="0"/>
            <wp:wrapSquare wrapText="bothSides"/>
            <wp:docPr id="1" name="Picture 1" descr="Cover page for An Ageing Australia Overview" title="An Ageing Australia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ageing-cover-overview-web.png"/>
                    <pic:cNvPicPr/>
                  </pic:nvPicPr>
                  <pic:blipFill>
                    <a:blip r:embed="rId9">
                      <a:extLst>
                        <a:ext uri="{28A0092B-C50C-407E-A947-70E740481C1C}">
                          <a14:useLocalDpi xmlns:a14="http://schemas.microsoft.com/office/drawing/2010/main" val="0"/>
                        </a:ext>
                      </a:extLst>
                    </a:blip>
                    <a:stretch>
                      <a:fillRect/>
                    </a:stretch>
                  </pic:blipFill>
                  <pic:spPr>
                    <a:xfrm>
                      <a:off x="0" y="0"/>
                      <a:ext cx="7548880" cy="9946640"/>
                    </a:xfrm>
                    <a:prstGeom prst="rect">
                      <a:avLst/>
                    </a:prstGeom>
                  </pic:spPr>
                </pic:pic>
              </a:graphicData>
            </a:graphic>
            <wp14:sizeRelH relativeFrom="page">
              <wp14:pctWidth>0</wp14:pctWidth>
            </wp14:sizeRelH>
            <wp14:sizeRelV relativeFrom="page">
              <wp14:pctHeight>0</wp14:pctHeight>
            </wp14:sizeRelV>
          </wp:anchor>
        </w:drawing>
      </w:r>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61109D" w:rsidRPr="00EC39F8" w:rsidRDefault="0061109D" w:rsidP="00224159">
      <w:pPr>
        <w:pStyle w:val="BodyText"/>
        <w:tabs>
          <w:tab w:val="left" w:pos="851"/>
        </w:tabs>
        <w:spacing w:before="200" w:after="120"/>
        <w:jc w:val="left"/>
        <w:rPr>
          <w:b/>
          <w:sz w:val="24"/>
        </w:rPr>
      </w:pPr>
      <w:bookmarkStart w:id="0" w:name="ISSN"/>
      <w:bookmarkEnd w:id="0"/>
      <w:r w:rsidRPr="004943B2">
        <w:rPr>
          <w:b/>
          <w:sz w:val="24"/>
        </w:rPr>
        <w:t>ISBN</w:t>
      </w:r>
      <w:r w:rsidRPr="004943B2">
        <w:rPr>
          <w:b/>
          <w:sz w:val="24"/>
        </w:rPr>
        <w:tab/>
      </w:r>
      <w:r w:rsidR="004C17F9" w:rsidRPr="004C17F9">
        <w:rPr>
          <w:b/>
          <w:sz w:val="24"/>
        </w:rPr>
        <w:t>978-1-74037-461-3 (</w:t>
      </w:r>
      <w:r w:rsidR="00224159">
        <w:rPr>
          <w:b/>
          <w:sz w:val="24"/>
        </w:rPr>
        <w:t>printed o</w:t>
      </w:r>
      <w:r w:rsidR="004C17F9" w:rsidRPr="004C17F9">
        <w:rPr>
          <w:b/>
          <w:sz w:val="24"/>
        </w:rPr>
        <w:t>verview)</w:t>
      </w:r>
      <w:r w:rsidR="00224159">
        <w:rPr>
          <w:b/>
          <w:sz w:val="24"/>
        </w:rPr>
        <w:br/>
      </w:r>
      <w:r w:rsidR="004C17F9" w:rsidRPr="00EC39F8">
        <w:rPr>
          <w:b/>
          <w:sz w:val="24"/>
        </w:rPr>
        <w:t>ISBN</w:t>
      </w:r>
      <w:r w:rsidR="004C17F9" w:rsidRPr="00EC39F8">
        <w:rPr>
          <w:b/>
          <w:sz w:val="24"/>
        </w:rPr>
        <w:tab/>
        <w:t>978-1-74037-462-0 (PDF)</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1F3E76"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1F3E76" w:rsidP="003E7802">
      <w:pPr>
        <w:pStyle w:val="BodyText"/>
        <w:spacing w:before="320"/>
        <w:rPr>
          <w:b/>
          <w:sz w:val="24"/>
        </w:rPr>
      </w:pPr>
      <w:r>
        <w:rPr>
          <w:b/>
          <w:sz w:val="24"/>
        </w:rPr>
        <w:t>General e</w:t>
      </w:r>
      <w:r w:rsidR="003E7802">
        <w:rPr>
          <w:b/>
          <w:sz w:val="24"/>
        </w:rPr>
        <w:t>nquiries:</w:t>
      </w:r>
      <w:bookmarkStart w:id="1" w:name="_GoBack"/>
      <w:bookmarkEnd w:id="1"/>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Default="0072368B" w:rsidP="003E7802">
      <w:pPr>
        <w:pStyle w:val="BodyText"/>
        <w:spacing w:before="160" w:after="120" w:line="240" w:lineRule="auto"/>
        <w:rPr>
          <w:sz w:val="24"/>
          <w:szCs w:val="24"/>
        </w:rPr>
      </w:pPr>
      <w:r w:rsidRPr="0072368B">
        <w:rPr>
          <w:sz w:val="24"/>
          <w:szCs w:val="24"/>
        </w:rPr>
        <w:t xml:space="preserve">Productivity Commission 2013, </w:t>
      </w:r>
      <w:r w:rsidRPr="0072368B">
        <w:rPr>
          <w:i/>
          <w:sz w:val="24"/>
          <w:szCs w:val="24"/>
        </w:rPr>
        <w:t>An Ageing Australia: Preparing for the Future</w:t>
      </w:r>
      <w:r w:rsidRPr="0072368B">
        <w:rPr>
          <w:sz w:val="24"/>
          <w:szCs w:val="24"/>
        </w:rPr>
        <w:t xml:space="preserve">, </w:t>
      </w:r>
      <w:r w:rsidR="00EC39F8">
        <w:rPr>
          <w:sz w:val="24"/>
          <w:szCs w:val="24"/>
        </w:rPr>
        <w:t>Commission Research Paper Overview</w:t>
      </w:r>
      <w:r w:rsidRPr="0072368B">
        <w:rPr>
          <w:sz w:val="24"/>
          <w:szCs w:val="24"/>
        </w:rPr>
        <w:t>, Canberra.</w:t>
      </w:r>
    </w:p>
    <w:p w:rsidR="0061109D" w:rsidRPr="00551FB8" w:rsidRDefault="0061109D" w:rsidP="003E7802">
      <w:pPr>
        <w:pStyle w:val="BodyText"/>
        <w:spacing w:before="160" w:after="120" w:line="240" w:lineRule="auto"/>
        <w:rPr>
          <w:sz w:val="24"/>
          <w:szCs w:val="24"/>
        </w:rPr>
      </w:pPr>
    </w:p>
    <w:p w:rsidR="003E7802" w:rsidRPr="00DC75C7" w:rsidRDefault="003E7802" w:rsidP="00F4234E">
      <w:pPr>
        <w:pStyle w:val="PCBoxHeading"/>
      </w:pPr>
      <w:bookmarkStart w:id="2" w:name="JEL"/>
      <w:bookmarkEnd w:id="2"/>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61109D" w:rsidRDefault="0061109D">
      <w:pPr>
        <w:pStyle w:val="Heading1"/>
      </w:pPr>
      <w:bookmarkStart w:id="4" w:name="_Toc372218086"/>
      <w:r>
        <w:lastRenderedPageBreak/>
        <w:t>Foreword</w:t>
      </w:r>
      <w:bookmarkEnd w:id="4"/>
    </w:p>
    <w:p w:rsidR="002B446D" w:rsidRDefault="002B446D" w:rsidP="002B446D">
      <w:pPr>
        <w:pStyle w:val="BodyText"/>
      </w:pPr>
      <w:r>
        <w:t>This Research paper is the first of a series we plan to produce annually, taking a research topic of significant national interest and considering it not just for analytical purposes but for some examples of potential policy implications.</w:t>
      </w:r>
      <w:r w:rsidR="00A46503">
        <w:t xml:space="preserve"> </w:t>
      </w:r>
      <w:r>
        <w:t>The content of these papers are designed to be an input into an area of wide research applicability — in this case, a contribution to the Australian Government’s next Intergenerational Report and the sweeping question of how Australia copes with an ageing population.</w:t>
      </w:r>
    </w:p>
    <w:p w:rsidR="002B446D" w:rsidRDefault="002B446D" w:rsidP="002B446D">
      <w:pPr>
        <w:pStyle w:val="BodyText"/>
      </w:pPr>
      <w:r>
        <w:t xml:space="preserve">The policy issues are carefully chosen to address needs that if not immediate, will necessarily be so tomorrow. The intent is that the paper supports an informed discussion and leads towards policy thought in anticipation of need, rather than in the face of it.  </w:t>
      </w:r>
    </w:p>
    <w:p w:rsidR="002B446D" w:rsidRDefault="002B446D" w:rsidP="002B446D">
      <w:pPr>
        <w:pStyle w:val="BodyText"/>
      </w:pPr>
      <w:r>
        <w:t xml:space="preserve">This paper was produced by a team led by Ralph Lattimore, and included Jared Greenville, Andrew Irwin, Tom Nankivell, Hudan Nuch, Peter Varela and Melissa Edwards, with useful inputs from Lindsay Fairhead. </w:t>
      </w:r>
    </w:p>
    <w:p w:rsidR="002B446D" w:rsidRDefault="002B446D" w:rsidP="002B446D">
      <w:pPr>
        <w:pStyle w:val="BodyText"/>
      </w:pPr>
    </w:p>
    <w:p w:rsidR="002B446D" w:rsidRDefault="002B446D" w:rsidP="002B446D">
      <w:pPr>
        <w:pStyle w:val="BodyText"/>
      </w:pPr>
    </w:p>
    <w:p w:rsidR="00301B5B" w:rsidRDefault="00301B5B" w:rsidP="002B446D">
      <w:pPr>
        <w:pStyle w:val="BodyText"/>
      </w:pPr>
    </w:p>
    <w:p w:rsidR="002B446D" w:rsidRDefault="002B446D" w:rsidP="002B446D">
      <w:pPr>
        <w:pStyle w:val="BodyText"/>
      </w:pPr>
    </w:p>
    <w:p w:rsidR="002B446D" w:rsidRDefault="002B446D" w:rsidP="002B446D">
      <w:pPr>
        <w:pStyle w:val="BodyText"/>
      </w:pPr>
      <w:r>
        <w:t>Peter Harris</w:t>
      </w:r>
    </w:p>
    <w:p w:rsidR="002B446D" w:rsidRDefault="002B446D" w:rsidP="002B446D">
      <w:pPr>
        <w:pStyle w:val="BodyText"/>
      </w:pPr>
      <w:r>
        <w:t>Chair</w:t>
      </w:r>
    </w:p>
    <w:p w:rsidR="00301B5B" w:rsidRDefault="00301B5B" w:rsidP="002B446D">
      <w:pPr>
        <w:pStyle w:val="BodyText"/>
      </w:pPr>
    </w:p>
    <w:p w:rsidR="00301B5B" w:rsidRPr="002B446D" w:rsidRDefault="00301B5B" w:rsidP="002B446D">
      <w:pPr>
        <w:pStyle w:val="BodyText"/>
      </w:pPr>
      <w:r>
        <w:t>November 2013</w:t>
      </w:r>
    </w:p>
    <w:p w:rsidR="0061109D" w:rsidRDefault="0061109D">
      <w:pPr>
        <w:pStyle w:val="BodyText"/>
      </w:pPr>
    </w:p>
    <w:p w:rsidR="002B446D" w:rsidRDefault="002B446D">
      <w:pPr>
        <w:pStyle w:val="BodyText"/>
        <w:sectPr w:rsidR="002B446D" w:rsidSect="00537BB4">
          <w:headerReference w:type="even" r:id="rId10"/>
          <w:headerReference w:type="default" r:id="rId11"/>
          <w:footerReference w:type="even" r:id="rId12"/>
          <w:footerReference w:type="default" r:id="rId13"/>
          <w:pgSz w:w="11906" w:h="16838" w:code="9"/>
          <w:pgMar w:top="1985" w:right="1304" w:bottom="1418" w:left="1814" w:header="1701" w:footer="567" w:gutter="0"/>
          <w:pgNumType w:fmt="lowerRoman"/>
          <w:cols w:space="708"/>
          <w:docGrid w:linePitch="360"/>
        </w:sectPr>
      </w:pPr>
    </w:p>
    <w:p w:rsidR="00A10BAE" w:rsidRDefault="00735FEA" w:rsidP="008206EE">
      <w:pPr>
        <w:pStyle w:val="Heading1NotTOC"/>
        <w:rPr>
          <w:noProof/>
        </w:rPr>
      </w:pPr>
      <w:bookmarkStart w:id="5" w:name="Contents"/>
      <w:bookmarkEnd w:id="5"/>
      <w:r w:rsidRPr="00B153C3">
        <w:lastRenderedPageBreak/>
        <w:t>Contents</w:t>
      </w:r>
      <w:bookmarkStart w:id="6" w:name="InsertContents"/>
      <w:bookmarkEnd w:id="6"/>
    </w:p>
    <w:p w:rsidR="00A10BAE" w:rsidRDefault="00A10BA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A10BAE" w:rsidRDefault="00A10BAE">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ix</w:t>
      </w:r>
    </w:p>
    <w:p w:rsidR="00A10BAE" w:rsidRDefault="00A10BAE">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2E0B32" w:rsidRPr="002E0B32" w:rsidRDefault="002E0B32" w:rsidP="00E21CD3">
      <w:pPr>
        <w:pStyle w:val="TOC2"/>
        <w:spacing w:before="360"/>
        <w:ind w:left="567" w:right="567" w:firstLine="0"/>
        <w:jc w:val="center"/>
        <w:rPr>
          <w:b/>
        </w:rPr>
      </w:pPr>
      <w:r w:rsidRPr="002E0B32">
        <w:rPr>
          <w:b/>
        </w:rPr>
        <w:t>THE FOLLOWING CHAPTERS</w:t>
      </w:r>
      <w:r w:rsidR="00DB63AB">
        <w:rPr>
          <w:b/>
        </w:rPr>
        <w:t xml:space="preserve"> AND APPENDIXES</w:t>
      </w:r>
      <w:r w:rsidRPr="002E0B32">
        <w:rPr>
          <w:b/>
        </w:rPr>
        <w:t xml:space="preserve"> ARE AVAILABLE FROM THE COMMISSION’S WEBSITE</w:t>
      </w:r>
    </w:p>
    <w:p w:rsidR="00A10BAE" w:rsidRDefault="00A10BA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 xml:space="preserve">What this report is </w:t>
      </w:r>
      <w:r w:rsidR="002E0B32">
        <w:rPr>
          <w:noProof/>
        </w:rPr>
        <w:t>about</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Basic methodologies for examining the ec</w:t>
      </w:r>
      <w:r w:rsidR="002E0B32">
        <w:rPr>
          <w:noProof/>
        </w:rPr>
        <w:t>onomic implications of ageing</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sidR="002E0B32">
        <w:rPr>
          <w:noProof/>
        </w:rPr>
        <w:t>Structure of the report</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w:t>
      </w:r>
      <w:r w:rsidR="002E0B32">
        <w:rPr>
          <w:noProof/>
        </w:rPr>
        <w:t>ustralia’s demographic future</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How are pop</w:t>
      </w:r>
      <w:r w:rsidR="002E0B32">
        <w:rPr>
          <w:noProof/>
        </w:rPr>
        <w:t>ulation projections produced?</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sidR="002E0B32">
        <w:rPr>
          <w:noProof/>
        </w:rPr>
        <w:t>Net overseas migration</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total and complet</w:t>
      </w:r>
      <w:r w:rsidR="002E0B32">
        <w:rPr>
          <w:noProof/>
        </w:rPr>
        <w:t>ed fertility rate</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Mortal</w:t>
      </w:r>
      <w:r w:rsidR="002E0B32">
        <w:rPr>
          <w:noProof/>
        </w:rPr>
        <w:t>ity rates and life expectancy</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sidR="002E0B32">
        <w:rPr>
          <w:noProof/>
        </w:rPr>
        <w:t>The projections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sidR="002E0B32">
        <w:rPr>
          <w:noProof/>
        </w:rPr>
        <w:t>Ageing is a global phenomenon</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sidR="002E0B32">
        <w:rPr>
          <w:noProof/>
        </w:rPr>
        <w:t>Labour supply</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 broad view of t</w:t>
      </w:r>
      <w:r w:rsidR="002E0B32">
        <w:rPr>
          <w:noProof/>
        </w:rPr>
        <w:t>he supply-side of the economy</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 xml:space="preserve">The 3Ps framework for labour supply  and economic </w:t>
      </w:r>
      <w:r w:rsidR="002E0B32">
        <w:rPr>
          <w:noProof/>
        </w:rPr>
        <w:t>growth</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sidR="002E0B32">
        <w:rPr>
          <w:noProof/>
        </w:rPr>
        <w:t>The ‘working age’ gap</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sidR="002E0B32">
        <w:rPr>
          <w:noProof/>
        </w:rPr>
        <w:t>Participation rates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Unempl</w:t>
      </w:r>
      <w:r w:rsidR="002E0B32">
        <w:rPr>
          <w:noProof/>
        </w:rPr>
        <w:t>oyment (and employment) rates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Many</w:t>
      </w:r>
      <w:r w:rsidR="002E0B32">
        <w:rPr>
          <w:noProof/>
        </w:rPr>
        <w:t xml:space="preserve"> older workers work part-time</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r>
      <w:r w:rsidR="002E0B32">
        <w:rPr>
          <w:noProof/>
        </w:rPr>
        <w:t>Hours worked</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Prod</w:t>
      </w:r>
      <w:r w:rsidR="002E0B32">
        <w:rPr>
          <w:noProof/>
        </w:rPr>
        <w:t>uctivity and economic growth</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Putting pro</w:t>
      </w:r>
      <w:r w:rsidR="002E0B32">
        <w:rPr>
          <w:noProof/>
        </w:rPr>
        <w:t>ductivity growth in a context</w:t>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sidR="002E0B32">
        <w:rPr>
          <w:noProof/>
        </w:rPr>
        <w:t>A few measurement issues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What are the proximate dri</w:t>
      </w:r>
      <w:r w:rsidR="002E0B32">
        <w:rPr>
          <w:noProof/>
        </w:rPr>
        <w:t>vers of labour productivity?</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What does the pas</w:t>
      </w:r>
      <w:r w:rsidR="002E0B32">
        <w:rPr>
          <w:noProof/>
        </w:rPr>
        <w:t>t aggregate picture tell us?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Projecting Australia’s future productivi</w:t>
      </w:r>
      <w:r w:rsidR="002E0B32">
        <w:rPr>
          <w:noProof/>
        </w:rPr>
        <w:t>ty rates and economic growth</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sidR="002E0B32">
        <w:rPr>
          <w:noProof/>
        </w:rPr>
        <w:t>Australia’s income</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sidR="002E0B32">
        <w:rPr>
          <w:noProof/>
        </w:rPr>
        <w:t>Revenue and expenses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sidR="002E0B32">
        <w:rPr>
          <w:noProof/>
        </w:rPr>
        <w:t>Introduction</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sidR="002E0B32">
        <w:rPr>
          <w:noProof/>
        </w:rPr>
        <w:t>Health</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sidR="002E0B32">
        <w:rPr>
          <w:noProof/>
        </w:rPr>
        <w:t>Age and service pensions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sidR="002E0B32">
        <w:rPr>
          <w:noProof/>
        </w:rPr>
        <w:t>Aged care</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sidR="002E0B32">
        <w:rPr>
          <w:noProof/>
        </w:rPr>
        <w:t>Education</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Other Austra</w:t>
      </w:r>
      <w:r w:rsidR="002E0B32">
        <w:rPr>
          <w:noProof/>
        </w:rPr>
        <w:t>lian Government expenditures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sidR="002E0B32">
        <w:rPr>
          <w:noProof/>
        </w:rPr>
        <w:t>Revenue</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5.8</w:t>
      </w:r>
      <w:r>
        <w:rPr>
          <w:rFonts w:asciiTheme="minorHAnsi" w:eastAsiaTheme="minorEastAsia" w:hAnsiTheme="minorHAnsi" w:cstheme="minorBidi"/>
          <w:noProof/>
          <w:sz w:val="22"/>
          <w:szCs w:val="22"/>
          <w:lang w:eastAsia="en-AU"/>
        </w:rPr>
        <w:tab/>
      </w:r>
      <w:r>
        <w:rPr>
          <w:noProof/>
        </w:rPr>
        <w:t xml:space="preserve">Fiscal pressures </w:t>
      </w:r>
      <w:r w:rsidR="002E0B32">
        <w:rPr>
          <w:noProof/>
        </w:rPr>
        <w:t>created by population ageing</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5.9</w:t>
      </w:r>
      <w:r>
        <w:rPr>
          <w:rFonts w:asciiTheme="minorHAnsi" w:eastAsiaTheme="minorEastAsia" w:hAnsiTheme="minorHAnsi" w:cstheme="minorBidi"/>
          <w:noProof/>
          <w:sz w:val="22"/>
          <w:szCs w:val="22"/>
          <w:lang w:eastAsia="en-AU"/>
        </w:rPr>
        <w:tab/>
      </w:r>
      <w:r>
        <w:rPr>
          <w:noProof/>
        </w:rPr>
        <w:t xml:space="preserve">What </w:t>
      </w:r>
      <w:r w:rsidR="002E0B32">
        <w:rPr>
          <w:noProof/>
        </w:rPr>
        <w:t>does the fiscal gap tell us?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5.10</w:t>
      </w:r>
      <w:r>
        <w:rPr>
          <w:rFonts w:asciiTheme="minorHAnsi" w:eastAsiaTheme="minorEastAsia" w:hAnsiTheme="minorHAnsi" w:cstheme="minorBidi"/>
          <w:noProof/>
          <w:sz w:val="22"/>
          <w:szCs w:val="22"/>
          <w:lang w:eastAsia="en-AU"/>
        </w:rPr>
        <w:tab/>
      </w:r>
      <w:r>
        <w:rPr>
          <w:noProof/>
        </w:rPr>
        <w:t xml:space="preserve">There are benefits from improving the </w:t>
      </w:r>
      <w:r w:rsidR="002E0B32">
        <w:rPr>
          <w:noProof/>
        </w:rPr>
        <w:t>analysis  of fiscal outcomes</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Encoura</w:t>
      </w:r>
      <w:r w:rsidR="002E0B32">
        <w:rPr>
          <w:noProof/>
        </w:rPr>
        <w:t>ging workforce participation</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What</w:t>
      </w:r>
      <w:r w:rsidR="002E0B32">
        <w:rPr>
          <w:noProof/>
        </w:rPr>
        <w:t xml:space="preserve"> is (and isn’t) the problem?</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sidR="002E0B32">
        <w:rPr>
          <w:noProof/>
        </w:rPr>
        <w:t>The broader policy context</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 xml:space="preserve">The role of the Age </w:t>
      </w:r>
      <w:r w:rsidR="002E0B32">
        <w:rPr>
          <w:noProof/>
        </w:rPr>
        <w:t>Pension eligibility age</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Participation, work and life exp</w:t>
      </w:r>
      <w:r w:rsidR="002E0B32">
        <w:rPr>
          <w:noProof/>
        </w:rPr>
        <w:t>ectancy  over the life cycle</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What are t</w:t>
      </w:r>
      <w:r w:rsidR="002E0B32">
        <w:rPr>
          <w:noProof/>
        </w:rPr>
        <w:t>he goals of the Age Pension?</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The impacts of the pension age</w:t>
      </w:r>
      <w:r w:rsidR="002E0B32">
        <w:rPr>
          <w:noProof/>
        </w:rPr>
        <w:t xml:space="preserve">  on workforce participation</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Aspects of linking the eligibility age  t</w:t>
      </w:r>
      <w:r w:rsidR="002E0B32">
        <w:rPr>
          <w:noProof/>
        </w:rPr>
        <w:t>o changes in life expectancy</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6.8</w:t>
      </w:r>
      <w:r>
        <w:rPr>
          <w:rFonts w:asciiTheme="minorHAnsi" w:eastAsiaTheme="minorEastAsia" w:hAnsiTheme="minorHAnsi" w:cstheme="minorBidi"/>
          <w:noProof/>
          <w:sz w:val="22"/>
          <w:szCs w:val="22"/>
          <w:lang w:eastAsia="en-AU"/>
        </w:rPr>
        <w:tab/>
      </w:r>
      <w:r>
        <w:rPr>
          <w:noProof/>
        </w:rPr>
        <w:t xml:space="preserve">The links between the Age Pension and the rest of </w:t>
      </w:r>
      <w:r w:rsidR="002E0B32">
        <w:rPr>
          <w:noProof/>
        </w:rPr>
        <w:t>the retirement income system</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lastRenderedPageBreak/>
        <w:t>7</w:t>
      </w:r>
      <w:r>
        <w:rPr>
          <w:rFonts w:asciiTheme="minorHAnsi" w:eastAsiaTheme="minorEastAsia" w:hAnsiTheme="minorHAnsi" w:cstheme="minorBidi"/>
          <w:b w:val="0"/>
          <w:noProof/>
          <w:sz w:val="22"/>
          <w:szCs w:val="22"/>
          <w:lang w:eastAsia="en-AU"/>
        </w:rPr>
        <w:tab/>
      </w:r>
      <w:r>
        <w:rPr>
          <w:noProof/>
        </w:rPr>
        <w:t>Income poor, asset rich: overcoming rationi</w:t>
      </w:r>
      <w:r w:rsidR="002E0B32">
        <w:rPr>
          <w:noProof/>
        </w:rPr>
        <w:t>ng and financing constraints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sidR="002E0B32">
        <w:rPr>
          <w:noProof/>
        </w:rPr>
        <w:t>Wealth and income by age</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 xml:space="preserve">Possible financing options to </w:t>
      </w:r>
      <w:r w:rsidR="002E0B32">
        <w:rPr>
          <w:noProof/>
        </w:rPr>
        <w:t>enable user co</w:t>
      </w:r>
      <w:r w:rsidR="002E0B32">
        <w:rPr>
          <w:noProof/>
        </w:rPr>
        <w:noBreakHyphen/>
        <w:t>contributions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How a government equity release scheme could work to help fund</w:t>
      </w:r>
      <w:r w:rsidR="002E0B32">
        <w:rPr>
          <w:noProof/>
        </w:rPr>
        <w:t xml:space="preserve"> age</w:t>
      </w:r>
      <w:r w:rsidR="002E0B32">
        <w:rPr>
          <w:noProof/>
        </w:rPr>
        <w:noBreakHyphen/>
        <w:t>related public expenses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Possible effects of using equity rele</w:t>
      </w:r>
      <w:r w:rsidR="002E0B32">
        <w:rPr>
          <w:noProof/>
        </w:rPr>
        <w:t>ase to fund co</w:t>
      </w:r>
      <w:r w:rsidR="002E0B32">
        <w:rPr>
          <w:noProof/>
        </w:rPr>
        <w:noBreakHyphen/>
        <w:t>contributions</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Improving health care productivity to a</w:t>
      </w:r>
      <w:r w:rsidR="002E0B32">
        <w:rPr>
          <w:noProof/>
        </w:rPr>
        <w:t>lleviate fiscal pressures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Health sector productivity: rationale, concept</w:t>
      </w:r>
      <w:r w:rsidR="002E0B32">
        <w:rPr>
          <w:noProof/>
        </w:rPr>
        <w:t>s and some measurement traps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Estimates of Australia’s hea</w:t>
      </w:r>
      <w:r w:rsidR="002E0B32">
        <w:rPr>
          <w:noProof/>
        </w:rPr>
        <w:t>lth sector  productivity gap</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Potential sources of futur</w:t>
      </w:r>
      <w:r w:rsidR="002E0B32">
        <w:rPr>
          <w:noProof/>
        </w:rPr>
        <w:t>e health  productivity gains</w:t>
      </w:r>
      <w:r w:rsidR="002E0B32">
        <w:rPr>
          <w:noProof/>
        </w:rPr>
        <w:tab/>
      </w:r>
    </w:p>
    <w:p w:rsidR="00A10BAE" w:rsidRDefault="00A10BAE">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Exploratory estimates of the fiscal benefits of future gains</w:t>
      </w:r>
      <w:r w:rsidR="002E0B32">
        <w:rPr>
          <w:noProof/>
        </w:rPr>
        <w:t xml:space="preserve"> in health care productivity</w:t>
      </w:r>
      <w:r w:rsidR="002E0B32">
        <w:rPr>
          <w:noProof/>
        </w:rPr>
        <w:tab/>
      </w:r>
    </w:p>
    <w:p w:rsidR="002E0B32" w:rsidRDefault="002E0B32">
      <w:pPr>
        <w:pStyle w:val="TOC1"/>
        <w:rPr>
          <w:noProof/>
        </w:rPr>
      </w:pPr>
    </w:p>
    <w:p w:rsidR="002E0B32" w:rsidRDefault="002E0B32">
      <w:pPr>
        <w:pStyle w:val="TOC1"/>
        <w:rPr>
          <w:noProof/>
        </w:rPr>
      </w:pPr>
      <w:r>
        <w:rPr>
          <w:noProof/>
        </w:rPr>
        <w:t>APPENDIXES</w:t>
      </w:r>
    </w:p>
    <w:p w:rsidR="002E0B32" w:rsidRDefault="002E0B32">
      <w:pPr>
        <w:pStyle w:val="TOC1"/>
        <w:rPr>
          <w:noProof/>
        </w:rPr>
      </w:pPr>
    </w:p>
    <w:p w:rsidR="00A10BAE" w:rsidRDefault="00A10BA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sidR="002E0B32">
        <w:rPr>
          <w:noProof/>
        </w:rPr>
        <w:t>Modelling mortality trends</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sidR="002E0B32">
        <w:rPr>
          <w:noProof/>
        </w:rPr>
        <w:t>Health expectancy</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Productivity est</w:t>
      </w:r>
      <w:r w:rsidR="002E0B32">
        <w:rPr>
          <w:noProof/>
        </w:rPr>
        <w:t>imates at the industry level</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sidR="002E0B32">
        <w:rPr>
          <w:noProof/>
        </w:rPr>
        <w:t>Comparing projections</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sidR="002E0B32">
        <w:rPr>
          <w:noProof/>
        </w:rPr>
        <w:t>The 3Ps</w:t>
      </w:r>
      <w:r w:rsidR="002E0B32">
        <w:rPr>
          <w:noProof/>
        </w:rPr>
        <w:tab/>
      </w:r>
    </w:p>
    <w:p w:rsidR="00A10BAE" w:rsidRDefault="00A10BAE">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sidR="002E0B32">
        <w:rPr>
          <w:noProof/>
        </w:rPr>
        <w:t>The MMRF model</w:t>
      </w:r>
      <w:r w:rsidR="002E0B32">
        <w:rPr>
          <w:noProof/>
        </w:rPr>
        <w:tab/>
      </w:r>
    </w:p>
    <w:p w:rsidR="0085471D" w:rsidRPr="0085471D" w:rsidRDefault="0085471D" w:rsidP="00A10BAE">
      <w:pPr>
        <w:pStyle w:val="TOC1"/>
      </w:pPr>
    </w:p>
    <w:p w:rsidR="00735FEA" w:rsidRDefault="00735FEA">
      <w:pPr>
        <w:pStyle w:val="BodyText"/>
        <w:sectPr w:rsidR="00735FEA"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7" w:name="Abbreviations"/>
      <w:bookmarkStart w:id="8" w:name="EndContents"/>
      <w:bookmarkStart w:id="9" w:name="RDnote"/>
      <w:bookmarkStart w:id="10" w:name="_Toc372218087"/>
      <w:bookmarkEnd w:id="7"/>
      <w:bookmarkEnd w:id="8"/>
      <w:bookmarkEnd w:id="9"/>
      <w:r>
        <w:lastRenderedPageBreak/>
        <w:t>Abbreviations and explanations</w:t>
      </w:r>
      <w:bookmarkEnd w:id="10"/>
    </w:p>
    <w:p w:rsidR="00735FEA" w:rsidRDefault="00735FEA" w:rsidP="00F7477E">
      <w:pPr>
        <w:pStyle w:val="Heading2NotTOC"/>
      </w:pPr>
      <w:r>
        <w:t>Abbrevia</w:t>
      </w:r>
      <w:r w:rsidRPr="00F85393">
        <w:t>t</w:t>
      </w:r>
      <w:r>
        <w:t>ions</w:t>
      </w:r>
    </w:p>
    <w:p w:rsidR="0061109D" w:rsidRDefault="0061109D" w:rsidP="0061109D">
      <w:pPr>
        <w:pStyle w:val="Abbreviation"/>
      </w:pPr>
      <w:r>
        <w:t>3Ps</w:t>
      </w:r>
      <w:r>
        <w:tab/>
        <w:t>Population, Participation and Productivity</w:t>
      </w:r>
    </w:p>
    <w:p w:rsidR="0061109D" w:rsidRDefault="0061109D" w:rsidP="0061109D">
      <w:pPr>
        <w:pStyle w:val="Abbreviation"/>
      </w:pPr>
      <w:r>
        <w:t>ABS</w:t>
      </w:r>
      <w:r>
        <w:tab/>
        <w:t>Australian Bureau of Statistics</w:t>
      </w:r>
    </w:p>
    <w:p w:rsidR="0061109D" w:rsidRDefault="0061109D" w:rsidP="0061109D">
      <w:pPr>
        <w:pStyle w:val="Abbreviation"/>
      </w:pPr>
      <w:r>
        <w:t>AIHW</w:t>
      </w:r>
      <w:r>
        <w:tab/>
        <w:t>Australian Institute of Health and Welfare</w:t>
      </w:r>
    </w:p>
    <w:p w:rsidR="0061109D" w:rsidRDefault="0061109D" w:rsidP="0061109D">
      <w:pPr>
        <w:pStyle w:val="Abbreviation"/>
      </w:pPr>
      <w:proofErr w:type="spellStart"/>
      <w:r>
        <w:t>ARIMA</w:t>
      </w:r>
      <w:proofErr w:type="spellEnd"/>
      <w:r>
        <w:tab/>
        <w:t>Auto-Regressive Integrated Moving Average</w:t>
      </w:r>
    </w:p>
    <w:p w:rsidR="0061109D" w:rsidRDefault="0061109D" w:rsidP="0061109D">
      <w:pPr>
        <w:pStyle w:val="Abbreviation"/>
      </w:pPr>
      <w:r>
        <w:t>CGE</w:t>
      </w:r>
      <w:r>
        <w:tab/>
        <w:t>Computable General Equilibrium</w:t>
      </w:r>
    </w:p>
    <w:p w:rsidR="0061109D" w:rsidRDefault="0061109D" w:rsidP="0061109D">
      <w:pPr>
        <w:pStyle w:val="Abbreviation"/>
      </w:pPr>
      <w:r>
        <w:t>COAG</w:t>
      </w:r>
      <w:r>
        <w:tab/>
        <w:t>Council of Australian Governments</w:t>
      </w:r>
    </w:p>
    <w:p w:rsidR="0061109D" w:rsidRDefault="0061109D" w:rsidP="0061109D">
      <w:pPr>
        <w:pStyle w:val="Abbreviation"/>
      </w:pPr>
      <w:r>
        <w:t>CPI</w:t>
      </w:r>
      <w:r>
        <w:tab/>
      </w:r>
      <w:r w:rsidRPr="002A53E2">
        <w:t>C</w:t>
      </w:r>
      <w:r>
        <w:t xml:space="preserve">onsumer Price Index </w:t>
      </w:r>
    </w:p>
    <w:p w:rsidR="0061109D" w:rsidRDefault="0061109D" w:rsidP="0061109D">
      <w:pPr>
        <w:pStyle w:val="Abbreviation"/>
      </w:pPr>
      <w:r>
        <w:t>DALY</w:t>
      </w:r>
      <w:r>
        <w:tab/>
        <w:t>Disability-Adjusted Life Year</w:t>
      </w:r>
    </w:p>
    <w:p w:rsidR="0061109D" w:rsidRDefault="0061109D" w:rsidP="0061109D">
      <w:pPr>
        <w:pStyle w:val="Abbreviation"/>
      </w:pPr>
      <w:proofErr w:type="spellStart"/>
      <w:r>
        <w:t>DSP</w:t>
      </w:r>
      <w:proofErr w:type="spellEnd"/>
      <w:r>
        <w:tab/>
        <w:t>Disability Support Pension</w:t>
      </w:r>
    </w:p>
    <w:p w:rsidR="0061109D" w:rsidRDefault="0061109D" w:rsidP="0061109D">
      <w:pPr>
        <w:pStyle w:val="Abbreviation"/>
      </w:pPr>
      <w:proofErr w:type="spellStart"/>
      <w:r>
        <w:t>GVA</w:t>
      </w:r>
      <w:proofErr w:type="spellEnd"/>
      <w:r>
        <w:tab/>
        <w:t>Gross Value added</w:t>
      </w:r>
    </w:p>
    <w:p w:rsidR="0061109D" w:rsidRDefault="0061109D" w:rsidP="0061109D">
      <w:pPr>
        <w:pStyle w:val="Abbreviation"/>
      </w:pPr>
      <w:r>
        <w:t>GDP</w:t>
      </w:r>
      <w:r>
        <w:tab/>
        <w:t>Gross Domestic Product</w:t>
      </w:r>
    </w:p>
    <w:p w:rsidR="0061109D" w:rsidRDefault="0061109D" w:rsidP="0061109D">
      <w:pPr>
        <w:pStyle w:val="Abbreviation"/>
      </w:pPr>
      <w:r>
        <w:t>GST</w:t>
      </w:r>
      <w:r>
        <w:tab/>
        <w:t>Goods and Services Tax</w:t>
      </w:r>
    </w:p>
    <w:p w:rsidR="0061109D" w:rsidRDefault="0061109D" w:rsidP="0061109D">
      <w:pPr>
        <w:pStyle w:val="Abbreviation"/>
      </w:pPr>
      <w:r>
        <w:t>HALE</w:t>
      </w:r>
      <w:r>
        <w:tab/>
        <w:t>Health-Adjusted Life Expectancy</w:t>
      </w:r>
    </w:p>
    <w:p w:rsidR="0061109D" w:rsidRDefault="0061109D" w:rsidP="0061109D">
      <w:pPr>
        <w:pStyle w:val="Abbreviation"/>
      </w:pPr>
      <w:r>
        <w:t>HILDA</w:t>
      </w:r>
      <w:r>
        <w:tab/>
      </w:r>
      <w:r w:rsidRPr="00DF3AB5">
        <w:t xml:space="preserve">Household, Income and Labour Dynamics in Australia </w:t>
      </w:r>
      <w:r>
        <w:t>s</w:t>
      </w:r>
      <w:r w:rsidRPr="00DF3AB5">
        <w:t>urvey</w:t>
      </w:r>
    </w:p>
    <w:p w:rsidR="0061109D" w:rsidRDefault="0061109D" w:rsidP="0061109D">
      <w:pPr>
        <w:pStyle w:val="Abbreviation"/>
      </w:pPr>
      <w:proofErr w:type="spellStart"/>
      <w:r>
        <w:t>IAC</w:t>
      </w:r>
      <w:proofErr w:type="spellEnd"/>
      <w:r>
        <w:tab/>
        <w:t>Industries Assistance Commission</w:t>
      </w:r>
    </w:p>
    <w:p w:rsidR="0061109D" w:rsidRDefault="0061109D" w:rsidP="0061109D">
      <w:pPr>
        <w:pStyle w:val="Abbreviation"/>
      </w:pPr>
      <w:r>
        <w:t>IC</w:t>
      </w:r>
      <w:r>
        <w:tab/>
        <w:t>Industry Commission</w:t>
      </w:r>
    </w:p>
    <w:p w:rsidR="0061109D" w:rsidRDefault="0061109D" w:rsidP="0061109D">
      <w:pPr>
        <w:pStyle w:val="Abbreviation"/>
      </w:pPr>
      <w:r>
        <w:t>IGR</w:t>
      </w:r>
      <w:r>
        <w:tab/>
        <w:t>Intergenerational Report</w:t>
      </w:r>
    </w:p>
    <w:p w:rsidR="0061109D" w:rsidRDefault="0061109D" w:rsidP="0061109D">
      <w:pPr>
        <w:pStyle w:val="Abbreviation"/>
      </w:pPr>
      <w:proofErr w:type="spellStart"/>
      <w:r>
        <w:t>IHME</w:t>
      </w:r>
      <w:proofErr w:type="spellEnd"/>
      <w:r>
        <w:tab/>
        <w:t>Institute for Health Metrics and Evaluation</w:t>
      </w:r>
    </w:p>
    <w:p w:rsidR="0061109D" w:rsidRDefault="0061109D" w:rsidP="0061109D">
      <w:pPr>
        <w:pStyle w:val="Abbreviation"/>
      </w:pPr>
      <w:r>
        <w:t>LC</w:t>
      </w:r>
      <w:r>
        <w:tab/>
        <w:t>Lee-Carter</w:t>
      </w:r>
    </w:p>
    <w:p w:rsidR="0061109D" w:rsidRDefault="0061109D" w:rsidP="0061109D">
      <w:pPr>
        <w:pStyle w:val="Abbreviation"/>
      </w:pPr>
      <w:proofErr w:type="spellStart"/>
      <w:r>
        <w:t>NAIRU</w:t>
      </w:r>
      <w:proofErr w:type="spellEnd"/>
      <w:r>
        <w:tab/>
        <w:t>Non-Accelerating Inflation Rate of Unemployment</w:t>
      </w:r>
    </w:p>
    <w:p w:rsidR="0061109D" w:rsidRDefault="0061109D" w:rsidP="0061109D">
      <w:pPr>
        <w:pStyle w:val="Abbreviation"/>
      </w:pPr>
      <w:proofErr w:type="spellStart"/>
      <w:r>
        <w:t>NLF</w:t>
      </w:r>
      <w:proofErr w:type="spellEnd"/>
      <w:r>
        <w:tab/>
        <w:t>Not in the Labour Force</w:t>
      </w:r>
    </w:p>
    <w:p w:rsidR="0061109D" w:rsidRDefault="0061109D" w:rsidP="0061109D">
      <w:pPr>
        <w:pStyle w:val="Abbreviation"/>
      </w:pPr>
      <w:r>
        <w:t>MFP</w:t>
      </w:r>
      <w:r>
        <w:tab/>
        <w:t>Multifactor Productivity</w:t>
      </w:r>
    </w:p>
    <w:p w:rsidR="0061109D" w:rsidRDefault="0061109D" w:rsidP="0061109D">
      <w:pPr>
        <w:pStyle w:val="Abbreviation"/>
      </w:pPr>
      <w:r>
        <w:t>MMRF</w:t>
      </w:r>
      <w:r>
        <w:tab/>
        <w:t>Monash Multi-Regional Forecasting model</w:t>
      </w:r>
    </w:p>
    <w:p w:rsidR="0061109D" w:rsidRDefault="0061109D" w:rsidP="0061109D">
      <w:pPr>
        <w:pStyle w:val="Abbreviation"/>
      </w:pPr>
      <w:proofErr w:type="spellStart"/>
      <w:r>
        <w:t>MTAWE</w:t>
      </w:r>
      <w:proofErr w:type="spellEnd"/>
      <w:r>
        <w:tab/>
        <w:t>Male Total Average Weekly Earnings</w:t>
      </w:r>
    </w:p>
    <w:p w:rsidR="0061109D" w:rsidRDefault="0061109D" w:rsidP="0061109D">
      <w:pPr>
        <w:pStyle w:val="Abbreviation"/>
      </w:pPr>
      <w:r>
        <w:lastRenderedPageBreak/>
        <w:t>NRA</w:t>
      </w:r>
      <w:r>
        <w:tab/>
        <w:t>National Reform Agenda</w:t>
      </w:r>
    </w:p>
    <w:p w:rsidR="0061109D" w:rsidRDefault="0061109D" w:rsidP="0061109D">
      <w:pPr>
        <w:pStyle w:val="Abbreviation"/>
      </w:pPr>
      <w:r>
        <w:t>NOM</w:t>
      </w:r>
      <w:r>
        <w:tab/>
        <w:t>Net Overseas Migration</w:t>
      </w:r>
    </w:p>
    <w:p w:rsidR="0061109D" w:rsidRDefault="0061109D" w:rsidP="0061109D">
      <w:pPr>
        <w:pStyle w:val="Abbreviation"/>
      </w:pPr>
      <w:r>
        <w:t>OECD</w:t>
      </w:r>
      <w:r>
        <w:tab/>
        <w:t>Organisation for Economic Co-operation and Development</w:t>
      </w:r>
    </w:p>
    <w:p w:rsidR="0061109D" w:rsidRDefault="0061109D" w:rsidP="0061109D">
      <w:pPr>
        <w:pStyle w:val="Abbreviation"/>
      </w:pPr>
      <w:proofErr w:type="spellStart"/>
      <w:r>
        <w:t>PBS</w:t>
      </w:r>
      <w:proofErr w:type="spellEnd"/>
      <w:r>
        <w:tab/>
        <w:t>Pharmaceutical Benefits Scheme</w:t>
      </w:r>
    </w:p>
    <w:p w:rsidR="0061109D" w:rsidRDefault="0061109D" w:rsidP="0061109D">
      <w:pPr>
        <w:pStyle w:val="Abbreviation"/>
      </w:pPr>
      <w:r>
        <w:t>PC</w:t>
      </w:r>
      <w:r>
        <w:tab/>
        <w:t>Productivity Commission</w:t>
      </w:r>
    </w:p>
    <w:p w:rsidR="0061109D" w:rsidRDefault="0061109D" w:rsidP="0061109D">
      <w:pPr>
        <w:pStyle w:val="Abbreviation"/>
      </w:pPr>
      <w:r>
        <w:t>PCPOP</w:t>
      </w:r>
      <w:r>
        <w:tab/>
        <w:t>PC Population model (available from the Commission website)</w:t>
      </w:r>
    </w:p>
    <w:p w:rsidR="0061109D" w:rsidRDefault="0061109D" w:rsidP="0061109D">
      <w:pPr>
        <w:pStyle w:val="Abbreviation"/>
      </w:pPr>
      <w:proofErr w:type="spellStart"/>
      <w:r>
        <w:t>QALY</w:t>
      </w:r>
      <w:proofErr w:type="spellEnd"/>
      <w:r>
        <w:tab/>
        <w:t>Quality-Adjusted Life Year</w:t>
      </w:r>
    </w:p>
    <w:p w:rsidR="0061109D" w:rsidRDefault="0061109D" w:rsidP="0061109D">
      <w:pPr>
        <w:pStyle w:val="Abbreviation"/>
      </w:pPr>
      <w:proofErr w:type="spellStart"/>
      <w:r>
        <w:t>RNNDI</w:t>
      </w:r>
      <w:proofErr w:type="spellEnd"/>
      <w:r>
        <w:tab/>
        <w:t>Real Net National Disposable Income</w:t>
      </w:r>
    </w:p>
    <w:p w:rsidR="0061109D" w:rsidRDefault="0061109D" w:rsidP="0061109D">
      <w:pPr>
        <w:pStyle w:val="BodyText"/>
        <w:ind w:left="2410" w:hanging="2410"/>
      </w:pPr>
      <w:proofErr w:type="spellStart"/>
      <w:r>
        <w:t>TFR</w:t>
      </w:r>
      <w:proofErr w:type="spellEnd"/>
      <w:r>
        <w:tab/>
        <w:t>Total Fertility Rate</w:t>
      </w:r>
    </w:p>
    <w:p w:rsidR="0061109D" w:rsidRDefault="0061109D">
      <w:pPr>
        <w:pStyle w:val="Abbreviation"/>
      </w:pPr>
    </w:p>
    <w:p w:rsidR="00735FEA" w:rsidRDefault="00735FEA" w:rsidP="00F7477E">
      <w:pPr>
        <w:pStyle w:val="Heading2NotTOC"/>
      </w:pPr>
      <w:r>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735FEA">
        <w:tc>
          <w:tcPr>
            <w:tcW w:w="2155" w:type="dxa"/>
          </w:tcPr>
          <w:p w:rsidR="00735FEA" w:rsidRDefault="00735FEA">
            <w:pPr>
              <w:pStyle w:val="BodyText"/>
              <w:spacing w:before="120"/>
              <w:ind w:right="6"/>
            </w:pPr>
            <w:r>
              <w:t>Billion</w:t>
            </w:r>
          </w:p>
        </w:tc>
        <w:tc>
          <w:tcPr>
            <w:tcW w:w="6634" w:type="dxa"/>
          </w:tcPr>
          <w:p w:rsidR="00735FEA" w:rsidRDefault="00735FEA">
            <w:pPr>
              <w:pStyle w:val="BodyText"/>
              <w:spacing w:before="120"/>
              <w:ind w:left="227" w:right="6"/>
            </w:pPr>
            <w:r>
              <w:t>The convention used for a billion is a thousand million (10</w:t>
            </w:r>
            <w:r>
              <w:rPr>
                <w:position w:val="6"/>
                <w:sz w:val="22"/>
              </w:rPr>
              <w:t>9</w:t>
            </w:r>
            <w:r>
              <w:t>).</w:t>
            </w:r>
          </w:p>
        </w:tc>
      </w:tr>
    </w:tbl>
    <w:p w:rsidR="0085471D" w:rsidRPr="00224159" w:rsidRDefault="0085471D" w:rsidP="00743A27">
      <w:pPr>
        <w:pStyle w:val="BodyText"/>
        <w:rPr>
          <w:rStyle w:val="CommentReference"/>
          <w:vanish w:val="0"/>
          <w:color w:val="auto"/>
        </w:rPr>
      </w:pPr>
      <w:bookmarkStart w:id="11" w:name="Glossary"/>
      <w:bookmarkEnd w:id="11"/>
    </w:p>
    <w:sectPr w:rsidR="0085471D" w:rsidRPr="00224159" w:rsidSect="00C55A45">
      <w:headerReference w:type="even" r:id="rId18"/>
      <w:headerReference w:type="default" r:id="rId19"/>
      <w:footerReference w:type="even" r:id="rId20"/>
      <w:footerReference w:type="default" r:id="rId21"/>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09D" w:rsidRDefault="0061109D">
      <w:r>
        <w:separator/>
      </w:r>
    </w:p>
    <w:p w:rsidR="0061109D" w:rsidRDefault="0061109D"/>
    <w:p w:rsidR="0061109D" w:rsidRDefault="0061109D"/>
  </w:endnote>
  <w:endnote w:type="continuationSeparator" w:id="0">
    <w:p w:rsidR="0061109D" w:rsidRDefault="0061109D">
      <w:r>
        <w:continuationSeparator/>
      </w:r>
    </w:p>
    <w:p w:rsidR="0061109D" w:rsidRDefault="0061109D"/>
    <w:p w:rsidR="0061109D" w:rsidRDefault="00611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61109D">
      <w:trPr>
        <w:trHeight w:hRule="exact" w:val="740"/>
      </w:trPr>
      <w:tc>
        <w:tcPr>
          <w:tcW w:w="510" w:type="dxa"/>
          <w:tcBorders>
            <w:top w:val="single" w:sz="6" w:space="0" w:color="auto"/>
          </w:tcBorders>
        </w:tcPr>
        <w:p w:rsidR="0061109D" w:rsidRPr="008A654B" w:rsidRDefault="0061109D">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4C0F9F">
            <w:rPr>
              <w:rStyle w:val="PageNumber"/>
              <w:caps w:val="0"/>
              <w:noProof/>
            </w:rPr>
            <w:t>iv</w:t>
          </w:r>
          <w:r w:rsidRPr="008A654B">
            <w:rPr>
              <w:rStyle w:val="PageNumber"/>
              <w:caps w:val="0"/>
            </w:rPr>
            <w:fldChar w:fldCharType="end"/>
          </w:r>
        </w:p>
      </w:tc>
      <w:tc>
        <w:tcPr>
          <w:tcW w:w="1830" w:type="dxa"/>
          <w:tcBorders>
            <w:top w:val="single" w:sz="6" w:space="0" w:color="auto"/>
          </w:tcBorders>
        </w:tcPr>
        <w:p w:rsidR="0061109D" w:rsidRDefault="004C0F9F">
          <w:pPr>
            <w:pStyle w:val="Footer"/>
          </w:pPr>
          <w:fldSimple w:instr=" STYLEREF &quot;Heading 1&quot; \* MERGEFORMAT ">
            <w:r>
              <w:rPr>
                <w:noProof/>
              </w:rPr>
              <w:t>Foreword</w:t>
            </w:r>
          </w:fldSimple>
        </w:p>
      </w:tc>
      <w:tc>
        <w:tcPr>
          <w:tcW w:w="6448" w:type="dxa"/>
        </w:tcPr>
        <w:p w:rsidR="0061109D" w:rsidRDefault="0061109D">
          <w:pPr>
            <w:pStyle w:val="Footer"/>
          </w:pPr>
        </w:p>
      </w:tc>
    </w:tr>
  </w:tbl>
  <w:p w:rsidR="0061109D" w:rsidRDefault="0061109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61109D">
      <w:trPr>
        <w:trHeight w:hRule="exact" w:val="740"/>
      </w:trPr>
      <w:tc>
        <w:tcPr>
          <w:tcW w:w="6480" w:type="dxa"/>
        </w:tcPr>
        <w:p w:rsidR="0061109D" w:rsidRDefault="0061109D">
          <w:pPr>
            <w:pStyle w:val="Footer"/>
          </w:pPr>
        </w:p>
      </w:tc>
      <w:tc>
        <w:tcPr>
          <w:tcW w:w="1798" w:type="dxa"/>
          <w:tcBorders>
            <w:top w:val="single" w:sz="6" w:space="0" w:color="auto"/>
          </w:tcBorders>
        </w:tcPr>
        <w:p w:rsidR="0061109D" w:rsidRDefault="004C0F9F">
          <w:pPr>
            <w:pStyle w:val="Footer"/>
            <w:rPr>
              <w:rStyle w:val="PageNumber"/>
              <w:b w:val="0"/>
            </w:rPr>
          </w:pPr>
          <w:fldSimple w:instr=" STYLEREF &quot;Heading 1&quot; \* MERGEFORMAT ">
            <w:r w:rsidR="00B82E5A">
              <w:rPr>
                <w:noProof/>
              </w:rPr>
              <w:t>Foreword</w:t>
            </w:r>
          </w:fldSimple>
        </w:p>
      </w:tc>
      <w:tc>
        <w:tcPr>
          <w:tcW w:w="510" w:type="dxa"/>
          <w:tcBorders>
            <w:top w:val="single" w:sz="6" w:space="0" w:color="auto"/>
          </w:tcBorders>
        </w:tcPr>
        <w:p w:rsidR="0061109D" w:rsidRPr="00B4787B" w:rsidRDefault="0061109D" w:rsidP="00537BB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B82E5A">
            <w:rPr>
              <w:rStyle w:val="PageNumber"/>
              <w:smallCaps w:val="0"/>
              <w:noProof/>
            </w:rPr>
            <w:t>iii</w:t>
          </w:r>
          <w:r w:rsidRPr="00B4787B">
            <w:rPr>
              <w:rStyle w:val="PageNumber"/>
              <w:smallCaps w:val="0"/>
            </w:rPr>
            <w:fldChar w:fldCharType="end"/>
          </w:r>
        </w:p>
      </w:tc>
    </w:tr>
  </w:tbl>
  <w:p w:rsidR="0061109D" w:rsidRDefault="0061109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4F067A">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D37AC2" w:rsidRDefault="004C0F9F">
          <w:pPr>
            <w:pStyle w:val="Footer"/>
          </w:pPr>
          <w:fldSimple w:instr=" STYLEREF &quot;Heading 1 Not TOC&quot; \* MERGEFORMAT ">
            <w:r w:rsidR="004F067A">
              <w:rPr>
                <w:noProof/>
              </w:rPr>
              <w:t>Contents</w:t>
            </w:r>
          </w:fldSimple>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B82E5A">
            <w:rPr>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B82E5A">
            <w:rPr>
              <w:rStyle w:val="PageNumber"/>
              <w:caps w:val="0"/>
              <w:noProof/>
            </w:rPr>
            <w:t>vii</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B82E5A">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B82E5A">
            <w:rPr>
              <w:noProof/>
            </w:rPr>
            <w:t>Abbreviations and explanations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1F3E76">
          <w:pPr>
            <w:pStyle w:val="Footer"/>
            <w:rPr>
              <w:rStyle w:val="PageNumber"/>
              <w:b w:val="0"/>
            </w:rPr>
          </w:pPr>
          <w:r>
            <w:fldChar w:fldCharType="begin"/>
          </w:r>
          <w:r>
            <w:instrText xml:space="preserve"> STYLEREF "Heading 1" \* MERGEFORMAT </w:instrText>
          </w:r>
          <w:r>
            <w:fldChar w:fldCharType="separate"/>
          </w:r>
          <w:r w:rsidR="004F067A">
            <w:rPr>
              <w:noProof/>
            </w:rPr>
            <w:t>Abbreviations and explanations</w:t>
          </w:r>
          <w:r>
            <w:rPr>
              <w:noProof/>
            </w:rPr>
            <w:fldChar w:fldCharType="end"/>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4F067A">
            <w:rPr>
              <w:rStyle w:val="PageNumber"/>
              <w:caps w:val="0"/>
              <w:noProof/>
            </w:rPr>
            <w:t>ix</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09D" w:rsidRDefault="0061109D">
      <w:r>
        <w:separator/>
      </w:r>
    </w:p>
    <w:p w:rsidR="0061109D" w:rsidRDefault="0061109D"/>
    <w:p w:rsidR="0061109D" w:rsidRDefault="0061109D"/>
  </w:footnote>
  <w:footnote w:type="continuationSeparator" w:id="0">
    <w:p w:rsidR="0061109D" w:rsidRDefault="0061109D">
      <w:r>
        <w:continuationSeparator/>
      </w:r>
    </w:p>
    <w:p w:rsidR="0061109D" w:rsidRDefault="0061109D"/>
    <w:p w:rsidR="0061109D" w:rsidRDefault="006110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1109D">
      <w:tc>
        <w:tcPr>
          <w:tcW w:w="2155" w:type="dxa"/>
          <w:tcBorders>
            <w:top w:val="single" w:sz="24" w:space="0" w:color="auto"/>
          </w:tcBorders>
        </w:tcPr>
        <w:p w:rsidR="0061109D" w:rsidRDefault="0061109D">
          <w:pPr>
            <w:pStyle w:val="HeaderEven"/>
          </w:pPr>
        </w:p>
      </w:tc>
      <w:tc>
        <w:tcPr>
          <w:tcW w:w="6634" w:type="dxa"/>
          <w:tcBorders>
            <w:top w:val="single" w:sz="6" w:space="0" w:color="auto"/>
          </w:tcBorders>
        </w:tcPr>
        <w:p w:rsidR="0061109D" w:rsidRDefault="0061109D">
          <w:pPr>
            <w:pStyle w:val="HeaderEven"/>
          </w:pPr>
        </w:p>
      </w:tc>
    </w:tr>
  </w:tbl>
  <w:p w:rsidR="0061109D" w:rsidRDefault="0061109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109D">
      <w:tc>
        <w:tcPr>
          <w:tcW w:w="6634" w:type="dxa"/>
          <w:tcBorders>
            <w:top w:val="single" w:sz="6" w:space="0" w:color="auto"/>
          </w:tcBorders>
        </w:tcPr>
        <w:p w:rsidR="0061109D" w:rsidRDefault="0061109D">
          <w:pPr>
            <w:pStyle w:val="HeaderOdd"/>
          </w:pPr>
        </w:p>
      </w:tc>
      <w:tc>
        <w:tcPr>
          <w:tcW w:w="2155" w:type="dxa"/>
          <w:tcBorders>
            <w:top w:val="single" w:sz="24" w:space="0" w:color="auto"/>
          </w:tcBorders>
        </w:tcPr>
        <w:p w:rsidR="0061109D" w:rsidRDefault="0061109D">
          <w:pPr>
            <w:pStyle w:val="HeaderOdd"/>
          </w:pPr>
        </w:p>
      </w:tc>
    </w:tr>
  </w:tbl>
  <w:p w:rsidR="0061109D" w:rsidRDefault="0061109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09D"/>
    <w:rsid w:val="00017AFC"/>
    <w:rsid w:val="00025878"/>
    <w:rsid w:val="00026B38"/>
    <w:rsid w:val="000502D3"/>
    <w:rsid w:val="000623BF"/>
    <w:rsid w:val="00095EEA"/>
    <w:rsid w:val="00097C15"/>
    <w:rsid w:val="000B416E"/>
    <w:rsid w:val="000F185F"/>
    <w:rsid w:val="000F2F5F"/>
    <w:rsid w:val="00106041"/>
    <w:rsid w:val="0013399B"/>
    <w:rsid w:val="00181F4B"/>
    <w:rsid w:val="00196FB3"/>
    <w:rsid w:val="001A5071"/>
    <w:rsid w:val="001B4E73"/>
    <w:rsid w:val="001B7F1E"/>
    <w:rsid w:val="001D4B1F"/>
    <w:rsid w:val="001D6629"/>
    <w:rsid w:val="001F2270"/>
    <w:rsid w:val="001F3E76"/>
    <w:rsid w:val="00205A82"/>
    <w:rsid w:val="00211BEE"/>
    <w:rsid w:val="002179C6"/>
    <w:rsid w:val="00224159"/>
    <w:rsid w:val="00261607"/>
    <w:rsid w:val="00263DD1"/>
    <w:rsid w:val="00264D3B"/>
    <w:rsid w:val="00265685"/>
    <w:rsid w:val="00281D5F"/>
    <w:rsid w:val="002923AD"/>
    <w:rsid w:val="00296592"/>
    <w:rsid w:val="002A0A4B"/>
    <w:rsid w:val="002B446D"/>
    <w:rsid w:val="002B636E"/>
    <w:rsid w:val="002B64D6"/>
    <w:rsid w:val="002C12F5"/>
    <w:rsid w:val="002C46BB"/>
    <w:rsid w:val="002D6FCE"/>
    <w:rsid w:val="002E0B32"/>
    <w:rsid w:val="00301B5B"/>
    <w:rsid w:val="003B41E0"/>
    <w:rsid w:val="003D624D"/>
    <w:rsid w:val="003E7802"/>
    <w:rsid w:val="00433C81"/>
    <w:rsid w:val="00446D6B"/>
    <w:rsid w:val="00457B3F"/>
    <w:rsid w:val="00463022"/>
    <w:rsid w:val="00481CF0"/>
    <w:rsid w:val="004943B2"/>
    <w:rsid w:val="004B492A"/>
    <w:rsid w:val="004C0B0C"/>
    <w:rsid w:val="004C0F9F"/>
    <w:rsid w:val="004C17F9"/>
    <w:rsid w:val="004E52E2"/>
    <w:rsid w:val="004E6BB4"/>
    <w:rsid w:val="004F067A"/>
    <w:rsid w:val="00515D43"/>
    <w:rsid w:val="0052544D"/>
    <w:rsid w:val="00551FB8"/>
    <w:rsid w:val="005537F6"/>
    <w:rsid w:val="00560F43"/>
    <w:rsid w:val="005654D0"/>
    <w:rsid w:val="005B17AB"/>
    <w:rsid w:val="005C68FE"/>
    <w:rsid w:val="00602523"/>
    <w:rsid w:val="00604351"/>
    <w:rsid w:val="00607D8A"/>
    <w:rsid w:val="0061109D"/>
    <w:rsid w:val="0061590F"/>
    <w:rsid w:val="00636497"/>
    <w:rsid w:val="00641AE2"/>
    <w:rsid w:val="0064456A"/>
    <w:rsid w:val="00650DDA"/>
    <w:rsid w:val="0065126A"/>
    <w:rsid w:val="006802D4"/>
    <w:rsid w:val="00683849"/>
    <w:rsid w:val="00691AB5"/>
    <w:rsid w:val="006E1E6B"/>
    <w:rsid w:val="006F0EAC"/>
    <w:rsid w:val="006F6A85"/>
    <w:rsid w:val="00702595"/>
    <w:rsid w:val="0070328D"/>
    <w:rsid w:val="0072368B"/>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5471D"/>
    <w:rsid w:val="00860D09"/>
    <w:rsid w:val="00862044"/>
    <w:rsid w:val="008C305F"/>
    <w:rsid w:val="008C3AD2"/>
    <w:rsid w:val="008C7C3D"/>
    <w:rsid w:val="008D6F66"/>
    <w:rsid w:val="008E1BEA"/>
    <w:rsid w:val="008E43D2"/>
    <w:rsid w:val="008F04C9"/>
    <w:rsid w:val="008F7C50"/>
    <w:rsid w:val="008F7DB7"/>
    <w:rsid w:val="009064D3"/>
    <w:rsid w:val="00915300"/>
    <w:rsid w:val="0093354C"/>
    <w:rsid w:val="00933B0C"/>
    <w:rsid w:val="00935676"/>
    <w:rsid w:val="00944925"/>
    <w:rsid w:val="0098401D"/>
    <w:rsid w:val="009A789F"/>
    <w:rsid w:val="009B12EF"/>
    <w:rsid w:val="009B6185"/>
    <w:rsid w:val="009E1E78"/>
    <w:rsid w:val="00A10BAE"/>
    <w:rsid w:val="00A1597D"/>
    <w:rsid w:val="00A46503"/>
    <w:rsid w:val="00A46989"/>
    <w:rsid w:val="00A71CE9"/>
    <w:rsid w:val="00A72A19"/>
    <w:rsid w:val="00A74843"/>
    <w:rsid w:val="00A75A30"/>
    <w:rsid w:val="00A93C82"/>
    <w:rsid w:val="00AB2A48"/>
    <w:rsid w:val="00AC3236"/>
    <w:rsid w:val="00AD4874"/>
    <w:rsid w:val="00AE1F8A"/>
    <w:rsid w:val="00B036B2"/>
    <w:rsid w:val="00B04D19"/>
    <w:rsid w:val="00B153C3"/>
    <w:rsid w:val="00B22087"/>
    <w:rsid w:val="00B722F2"/>
    <w:rsid w:val="00B82E5A"/>
    <w:rsid w:val="00B95339"/>
    <w:rsid w:val="00BB334E"/>
    <w:rsid w:val="00BB5DCF"/>
    <w:rsid w:val="00BF543C"/>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B63AB"/>
    <w:rsid w:val="00DC02E8"/>
    <w:rsid w:val="00DC75C7"/>
    <w:rsid w:val="00DC78D3"/>
    <w:rsid w:val="00DF4592"/>
    <w:rsid w:val="00E15FDC"/>
    <w:rsid w:val="00E21CD3"/>
    <w:rsid w:val="00E2651B"/>
    <w:rsid w:val="00E442F7"/>
    <w:rsid w:val="00E6632E"/>
    <w:rsid w:val="00E90CF2"/>
    <w:rsid w:val="00EC39F8"/>
    <w:rsid w:val="00ED0F61"/>
    <w:rsid w:val="00EE73E1"/>
    <w:rsid w:val="00F12107"/>
    <w:rsid w:val="00F13165"/>
    <w:rsid w:val="00F309AB"/>
    <w:rsid w:val="00F4234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61109D"/>
    <w:rPr>
      <w:caps/>
      <w:spacing w:val="-4"/>
      <w:sz w:val="16"/>
      <w:lang w:eastAsia="en-US"/>
    </w:rPr>
  </w:style>
  <w:style w:type="character" w:customStyle="1" w:styleId="Heading1Char">
    <w:name w:val="Heading 1 Char"/>
    <w:basedOn w:val="DefaultParagraphFont"/>
    <w:link w:val="Heading1"/>
    <w:rsid w:val="0061109D"/>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61109D"/>
    <w:rPr>
      <w:caps/>
      <w:spacing w:val="-4"/>
      <w:sz w:val="16"/>
      <w:lang w:eastAsia="en-US"/>
    </w:rPr>
  </w:style>
  <w:style w:type="character" w:customStyle="1" w:styleId="Heading1Char">
    <w:name w:val="Heading 1 Char"/>
    <w:basedOn w:val="DefaultParagraphFont"/>
    <w:link w:val="Heading1"/>
    <w:rsid w:val="0061109D"/>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9E3AD-B28D-4EAF-A7F1-6D246C64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9</Pages>
  <Words>1043</Words>
  <Characters>6114</Characters>
  <Application>Microsoft Office Word</Application>
  <DocSecurity>0</DocSecurity>
  <Lines>191</Lines>
  <Paragraphs>155</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3</cp:revision>
  <cp:lastPrinted>2013-11-15T00:11:00Z</cp:lastPrinted>
  <dcterms:created xsi:type="dcterms:W3CDTF">2013-11-19T23:51:00Z</dcterms:created>
  <dcterms:modified xsi:type="dcterms:W3CDTF">2013-11-19T23:51:00Z</dcterms:modified>
</cp:coreProperties>
</file>