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charts/chart15.xml" ContentType="application/vnd.openxmlformats-officedocument.drawingml.chart+xml"/>
  <Override PartName="/word/drawings/drawing15.xml" ContentType="application/vnd.openxmlformats-officedocument.drawingml.chartshapes+xml"/>
  <Override PartName="/word/charts/chart16.xml" ContentType="application/vnd.openxmlformats-officedocument.drawingml.chart+xml"/>
  <Override PartName="/word/drawings/drawing16.xml" ContentType="application/vnd.openxmlformats-officedocument.drawingml.chartshapes+xml"/>
  <Override PartName="/word/charts/chart17.xml" ContentType="application/vnd.openxmlformats-officedocument.drawingml.chart+xml"/>
  <Override PartName="/word/drawings/drawing17.xml" ContentType="application/vnd.openxmlformats-officedocument.drawingml.chartshapes+xml"/>
  <Override PartName="/word/charts/chart18.xml" ContentType="application/vnd.openxmlformats-officedocument.drawingml.chart+xml"/>
  <Override PartName="/word/drawings/drawing18.xml" ContentType="application/vnd.openxmlformats-officedocument.drawingml.chartshapes+xml"/>
  <Override PartName="/word/charts/chart19.xml" ContentType="application/vnd.openxmlformats-officedocument.drawingml.chart+xml"/>
  <Override PartName="/word/drawings/drawing19.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1DE" w:rsidRDefault="00BD51DE">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BD51DE">
        <w:tc>
          <w:tcPr>
            <w:tcW w:w="6634" w:type="dxa"/>
            <w:tcBorders>
              <w:top w:val="single" w:sz="6" w:space="0" w:color="auto"/>
            </w:tcBorders>
          </w:tcPr>
          <w:p w:rsidR="00BD51DE" w:rsidRDefault="00BD51DE">
            <w:pPr>
              <w:pStyle w:val="PartDivider"/>
            </w:pPr>
          </w:p>
        </w:tc>
        <w:tc>
          <w:tcPr>
            <w:tcW w:w="2155" w:type="dxa"/>
            <w:tcBorders>
              <w:top w:val="single" w:sz="24" w:space="0" w:color="auto"/>
            </w:tcBorders>
          </w:tcPr>
          <w:p w:rsidR="00BD51DE" w:rsidRDefault="00BD51DE">
            <w:pPr>
              <w:pStyle w:val="PartDivider"/>
            </w:pPr>
          </w:p>
        </w:tc>
      </w:tr>
    </w:tbl>
    <w:p w:rsidR="00BD51DE" w:rsidRDefault="00BD51DE">
      <w:pPr>
        <w:pStyle w:val="PartDivider"/>
      </w:pPr>
    </w:p>
    <w:p w:rsidR="00BD51DE" w:rsidRDefault="00BD51DE">
      <w:pPr>
        <w:pStyle w:val="PartTitle"/>
      </w:pPr>
      <w:r>
        <w:t>Overview</w:t>
      </w:r>
    </w:p>
    <w:p w:rsidR="00BD51DE" w:rsidRDefault="00BD51DE">
      <w:pPr>
        <w:rPr>
          <w:sz w:val="52"/>
          <w:szCs w:val="20"/>
        </w:rPr>
      </w:pPr>
      <w:r>
        <w:br w:type="page"/>
      </w:r>
    </w:p>
    <w:p w:rsidR="00A33DFF" w:rsidRDefault="00BD51DE" w:rsidP="008E3042">
      <w:pPr>
        <w:pStyle w:val="Heading1"/>
        <w:spacing w:after="900"/>
      </w:pPr>
      <w:bookmarkStart w:id="2" w:name="ChapterTitle"/>
      <w:bookmarkEnd w:id="1"/>
      <w:r>
        <w:lastRenderedPageBreak/>
        <w:t>Overview</w:t>
      </w:r>
      <w:bookmarkEnd w:id="2"/>
    </w:p>
    <w:p w:rsidR="00D96FC5" w:rsidRDefault="00D96FC5">
      <w:pPr>
        <w:pStyle w:val="BoxSpaceAbove"/>
      </w:pPr>
      <w:bookmarkStart w:id="3" w:name="begin"/>
      <w:bookmarkEnd w:id="3"/>
      <w:r>
        <w:rPr>
          <w:b/>
          <w:vanish/>
          <w:color w:val="FF00FF"/>
          <w:sz w:val="14"/>
        </w:rPr>
        <w:t>Do not delete this RETURN as it gives space between the box and what precedes it.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96FC5">
        <w:tc>
          <w:tcPr>
            <w:tcW w:w="8771" w:type="dxa"/>
            <w:tcBorders>
              <w:top w:val="single" w:sz="6" w:space="0" w:color="auto"/>
              <w:bottom w:val="nil"/>
            </w:tcBorders>
          </w:tcPr>
          <w:p w:rsidR="00D96FC5" w:rsidRPr="00FE19E1" w:rsidRDefault="002D44CA" w:rsidP="001832C9">
            <w:pPr>
              <w:pStyle w:val="BoxTitle"/>
            </w:pPr>
            <w:r>
              <w:t>Key</w:t>
            </w:r>
            <w:r w:rsidR="00D96FC5" w:rsidRPr="00FE19E1">
              <w:t xml:space="preserve"> </w:t>
            </w:r>
            <w:r w:rsidR="001832C9" w:rsidRPr="00FE19E1">
              <w:t>points</w:t>
            </w:r>
          </w:p>
        </w:tc>
      </w:tr>
      <w:tr w:rsidR="00D96FC5">
        <w:trPr>
          <w:cantSplit/>
        </w:trPr>
        <w:tc>
          <w:tcPr>
            <w:tcW w:w="8771" w:type="dxa"/>
            <w:tcBorders>
              <w:top w:val="nil"/>
              <w:left w:val="single" w:sz="6" w:space="0" w:color="auto"/>
              <w:bottom w:val="nil"/>
              <w:right w:val="single" w:sz="6" w:space="0" w:color="auto"/>
            </w:tcBorders>
          </w:tcPr>
          <w:p w:rsidR="00791630" w:rsidRDefault="00B93C9F" w:rsidP="007F29D6">
            <w:pPr>
              <w:pStyle w:val="Box"/>
              <w:spacing w:line="260" w:lineRule="atLeast"/>
            </w:pPr>
            <w:r>
              <w:t>Australia’s population will both grow strongly and become older</w:t>
            </w:r>
            <w:r w:rsidR="00E21EF8">
              <w:t>. Such slow</w:t>
            </w:r>
            <w:r w:rsidR="00A06E4A">
              <w:t xml:space="preserve"> </w:t>
            </w:r>
            <w:r w:rsidR="00791630">
              <w:t>but profound</w:t>
            </w:r>
            <w:r w:rsidR="00A06E4A">
              <w:t xml:space="preserve"> </w:t>
            </w:r>
            <w:r w:rsidR="00791630">
              <w:t xml:space="preserve">shifts in the nature of a society do not elicit the same scrutiny as immediate policy issues. </w:t>
            </w:r>
            <w:r w:rsidR="00496C78">
              <w:t xml:space="preserve">The preferable </w:t>
            </w:r>
            <w:r w:rsidR="001339B7">
              <w:t>time to con</w:t>
            </w:r>
            <w:r w:rsidR="002C6AD7">
              <w:t>template</w:t>
            </w:r>
            <w:r w:rsidR="001339B7">
              <w:t xml:space="preserve"> the implications</w:t>
            </w:r>
            <w:r w:rsidR="00496C78">
              <w:t xml:space="preserve"> is while these near</w:t>
            </w:r>
            <w:r w:rsidR="00717B18">
              <w:noBreakHyphen/>
            </w:r>
            <w:r w:rsidR="00496C78">
              <w:t xml:space="preserve">inevitable trends are </w:t>
            </w:r>
            <w:r w:rsidR="002C6AD7">
              <w:t xml:space="preserve">still </w:t>
            </w:r>
            <w:r w:rsidR="00496C78">
              <w:t>in their infancy.</w:t>
            </w:r>
          </w:p>
          <w:p w:rsidR="008A6284" w:rsidRDefault="00791630" w:rsidP="007F29D6">
            <w:pPr>
              <w:pStyle w:val="Box"/>
              <w:spacing w:line="260" w:lineRule="atLeast"/>
            </w:pPr>
            <w:r>
              <w:t xml:space="preserve">Population ageing is largely a positive outcome, primarily reflecting improved life </w:t>
            </w:r>
            <w:r w:rsidR="00E41500">
              <w:t>exp</w:t>
            </w:r>
            <w:r>
              <w:t xml:space="preserve">ectancy. </w:t>
            </w:r>
            <w:r w:rsidR="008A6284">
              <w:t>A</w:t>
            </w:r>
            <w:r w:rsidR="008A6284" w:rsidRPr="0054025E">
              <w:t xml:space="preserve"> </w:t>
            </w:r>
            <w:r w:rsidR="008A6284">
              <w:t>female</w:t>
            </w:r>
            <w:r w:rsidR="008A6284" w:rsidRPr="0054025E">
              <w:t xml:space="preserve"> </w:t>
            </w:r>
            <w:r w:rsidR="008A6284">
              <w:t xml:space="preserve">(male) </w:t>
            </w:r>
            <w:r w:rsidR="008A6284" w:rsidRPr="0054025E">
              <w:t xml:space="preserve">born in 2012 will </w:t>
            </w:r>
            <w:r w:rsidR="008A6284">
              <w:t xml:space="preserve">on average </w:t>
            </w:r>
            <w:r w:rsidR="008A6284" w:rsidRPr="0054025E">
              <w:t xml:space="preserve">live </w:t>
            </w:r>
            <w:r w:rsidR="008A6284">
              <w:t>for</w:t>
            </w:r>
            <w:r w:rsidR="008A6284" w:rsidRPr="0054025E">
              <w:t xml:space="preserve"> </w:t>
            </w:r>
            <w:r w:rsidR="00AD1B1F">
              <w:t>an estimated</w:t>
            </w:r>
            <w:r w:rsidR="008A6284">
              <w:t xml:space="preserve"> </w:t>
            </w:r>
            <w:r w:rsidR="008A6284" w:rsidRPr="0054025E">
              <w:t>94</w:t>
            </w:r>
            <w:r w:rsidR="008A6284">
              <w:t>.4 (91.6) years</w:t>
            </w:r>
            <w:r w:rsidR="006F5CD7">
              <w:t xml:space="preserve">. </w:t>
            </w:r>
          </w:p>
          <w:p w:rsidR="00791630" w:rsidRDefault="00791630" w:rsidP="007F29D6">
            <w:pPr>
              <w:pStyle w:val="Box"/>
              <w:spacing w:line="260" w:lineRule="atLeast"/>
            </w:pPr>
            <w:r>
              <w:t>However, population growth and ageing will affect labour supply, economic output, infrastructure requirements and governments’ budgets.</w:t>
            </w:r>
          </w:p>
          <w:p w:rsidR="00791630" w:rsidRDefault="00791630" w:rsidP="007F29D6">
            <w:pPr>
              <w:pStyle w:val="Box"/>
              <w:spacing w:line="260" w:lineRule="atLeast"/>
            </w:pPr>
            <w:r>
              <w:t>Australia’s population is projected to rise to around 38 million by 2060, or around 1</w:t>
            </w:r>
            <w:r w:rsidR="00596F73">
              <w:t>5</w:t>
            </w:r>
            <w:r>
              <w:t> million more than the population in 201</w:t>
            </w:r>
            <w:r w:rsidR="00266AAF">
              <w:t>2</w:t>
            </w:r>
            <w:r w:rsidR="00596F73">
              <w:t xml:space="preserve">. </w:t>
            </w:r>
            <w:r w:rsidR="00C05569">
              <w:t xml:space="preserve">Sydney and Melbourne can be expected to grow by </w:t>
            </w:r>
            <w:r w:rsidR="00784704">
              <w:t>around 3</w:t>
            </w:r>
            <w:r w:rsidR="00C05569">
              <w:t> million each over this period.</w:t>
            </w:r>
          </w:p>
          <w:p w:rsidR="008A6284" w:rsidRDefault="00DA64C0" w:rsidP="007F29D6">
            <w:pPr>
              <w:pStyle w:val="Box"/>
              <w:spacing w:line="260" w:lineRule="atLeast"/>
            </w:pPr>
            <w:r>
              <w:t>The population aged 75 or more years is expected to rise by 4 million from 2012 to 2060, increasing from about 6.4 to 14.4 per cent of the population.</w:t>
            </w:r>
            <w:r w:rsidR="006F5CD7">
              <w:t xml:space="preserve"> </w:t>
            </w:r>
            <w:r w:rsidR="006F5CD7" w:rsidRPr="00497557">
              <w:t xml:space="preserve">In 2012, there was roughly one person aged 100 years old or more to every 100 babies. By 2060, </w:t>
            </w:r>
            <w:r w:rsidR="00D15AED">
              <w:t xml:space="preserve">it is projected </w:t>
            </w:r>
            <w:r w:rsidR="006F5CD7" w:rsidRPr="00497557">
              <w:t xml:space="preserve">there will be around 25 such </w:t>
            </w:r>
            <w:r w:rsidR="006F5CD7">
              <w:t>centenarians.</w:t>
            </w:r>
          </w:p>
          <w:p w:rsidR="00596F73" w:rsidRDefault="00A06E4A" w:rsidP="007F29D6">
            <w:pPr>
              <w:pStyle w:val="Box"/>
              <w:spacing w:line="260" w:lineRule="atLeast"/>
            </w:pPr>
            <w:r>
              <w:t>Total private and public i</w:t>
            </w:r>
            <w:r w:rsidR="00596F73" w:rsidRPr="0009442B">
              <w:t xml:space="preserve">nvestment </w:t>
            </w:r>
            <w:r w:rsidR="006F5CD7">
              <w:t xml:space="preserve">requirements </w:t>
            </w:r>
            <w:r w:rsidR="00596F73" w:rsidRPr="0009442B">
              <w:t xml:space="preserve">over this 50 year period </w:t>
            </w:r>
            <w:r w:rsidR="006F5CD7">
              <w:t>are</w:t>
            </w:r>
            <w:r w:rsidR="00596F73" w:rsidRPr="0009442B">
              <w:t xml:space="preserve"> estimated to be </w:t>
            </w:r>
            <w:r w:rsidR="00C05569" w:rsidRPr="0009442B">
              <w:t xml:space="preserve">more than </w:t>
            </w:r>
            <w:r w:rsidR="001832C9" w:rsidRPr="0009442B">
              <w:t>5</w:t>
            </w:r>
            <w:r w:rsidR="001832C9">
              <w:t> </w:t>
            </w:r>
            <w:r w:rsidR="00C05569" w:rsidRPr="0009442B">
              <w:t xml:space="preserve">times the cumulative investment </w:t>
            </w:r>
            <w:r w:rsidR="00170E4E" w:rsidRPr="0009442B">
              <w:t>made over the last half century</w:t>
            </w:r>
            <w:r w:rsidR="008E3042">
              <w:t xml:space="preserve">, </w:t>
            </w:r>
            <w:r w:rsidR="00170E4E">
              <w:t>which reveals the importance of an efficient investment environment</w:t>
            </w:r>
            <w:r>
              <w:t>.</w:t>
            </w:r>
          </w:p>
          <w:p w:rsidR="008A6284" w:rsidRDefault="008A6284" w:rsidP="007F29D6">
            <w:pPr>
              <w:pStyle w:val="Box"/>
              <w:spacing w:line="260" w:lineRule="atLeast"/>
            </w:pPr>
            <w:r>
              <w:t xml:space="preserve">Labour participation rates </w:t>
            </w:r>
            <w:r w:rsidR="00D15AED">
              <w:t>are expected to</w:t>
            </w:r>
            <w:r>
              <w:t xml:space="preserve"> fall from </w:t>
            </w:r>
            <w:r w:rsidR="00DA64C0">
              <w:t>around 65 to 60 per cent</w:t>
            </w:r>
            <w:r w:rsidR="00D15AED">
              <w:t xml:space="preserve"> from 2012 to 2060</w:t>
            </w:r>
            <w:r w:rsidR="00DA64C0">
              <w:t xml:space="preserve">, and overall labour supply per capita </w:t>
            </w:r>
            <w:r w:rsidR="00D15AED">
              <w:t xml:space="preserve">to contract by </w:t>
            </w:r>
            <w:r w:rsidR="00DA64C0">
              <w:t>5 per cent.</w:t>
            </w:r>
          </w:p>
          <w:p w:rsidR="00F20B9D" w:rsidRDefault="00F20B9D" w:rsidP="007F29D6">
            <w:pPr>
              <w:pStyle w:val="Box"/>
              <w:spacing w:line="260" w:lineRule="atLeast"/>
            </w:pPr>
            <w:r>
              <w:t>Average labour productivity growth is projected to be around 1.5 per cent per annum from 201</w:t>
            </w:r>
            <w:r w:rsidR="00A94FCD">
              <w:t>2</w:t>
            </w:r>
            <w:r>
              <w:noBreakHyphen/>
              <w:t>1</w:t>
            </w:r>
            <w:r w:rsidR="00A94FCD">
              <w:t>3</w:t>
            </w:r>
            <w:r w:rsidR="00170E4E">
              <w:t>,</w:t>
            </w:r>
            <w:r>
              <w:t xml:space="preserve"> well below the </w:t>
            </w:r>
            <w:r w:rsidR="00784704">
              <w:t xml:space="preserve">high productivity period from </w:t>
            </w:r>
            <w:r>
              <w:t>1988</w:t>
            </w:r>
            <w:r>
              <w:noBreakHyphen/>
              <w:t>89 to 2003</w:t>
            </w:r>
            <w:r>
              <w:noBreakHyphen/>
              <w:t>04.</w:t>
            </w:r>
            <w:r w:rsidR="00784704">
              <w:t xml:space="preserve"> Real disp</w:t>
            </w:r>
            <w:r w:rsidR="00170E4E">
              <w:t>os</w:t>
            </w:r>
            <w:r w:rsidR="00784704">
              <w:t>able income per capita is expected to grow at 1.1</w:t>
            </w:r>
            <w:r w:rsidR="00170E4E">
              <w:t> </w:t>
            </w:r>
            <w:r w:rsidR="00784704">
              <w:t>per cent per annum compared with the average 2.7 per cent annual growth over the last 20 years.</w:t>
            </w:r>
          </w:p>
          <w:p w:rsidR="00784704" w:rsidRDefault="00170E4E" w:rsidP="007F29D6">
            <w:pPr>
              <w:pStyle w:val="Box"/>
              <w:spacing w:line="260" w:lineRule="atLeast"/>
            </w:pPr>
            <w:r>
              <w:t xml:space="preserve">Collectively, </w:t>
            </w:r>
            <w:r w:rsidR="001D257D">
              <w:t xml:space="preserve">it is projected that </w:t>
            </w:r>
            <w:r>
              <w:t xml:space="preserve">Australian governments will face </w:t>
            </w:r>
            <w:r w:rsidR="0009442B">
              <w:t xml:space="preserve">additional </w:t>
            </w:r>
            <w:r>
              <w:t xml:space="preserve">pressures on their budgets equivalent to </w:t>
            </w:r>
            <w:r w:rsidR="006663F5">
              <w:t>a</w:t>
            </w:r>
            <w:r w:rsidR="001D257D">
              <w:t xml:space="preserve">round </w:t>
            </w:r>
            <w:r w:rsidR="00B826ED">
              <w:t>6 </w:t>
            </w:r>
            <w:r>
              <w:t xml:space="preserve">per cent of </w:t>
            </w:r>
            <w:r w:rsidR="00A06E4A">
              <w:t xml:space="preserve">national </w:t>
            </w:r>
            <w:r>
              <w:t>GDP by 2060, principally reflecting the growth of expenditure on health, aged care and the Age Pension.</w:t>
            </w:r>
          </w:p>
          <w:p w:rsidR="0006344C" w:rsidRDefault="0006344C" w:rsidP="007F29D6">
            <w:pPr>
              <w:pStyle w:val="Box"/>
              <w:spacing w:line="260" w:lineRule="atLeast"/>
            </w:pPr>
            <w:r>
              <w:t>Major impending economic and social changes can create the impetus for new reform approaches</w:t>
            </w:r>
            <w:r w:rsidR="0009442B">
              <w:t xml:space="preserve"> not currently on the policy horizon</w:t>
            </w:r>
            <w:r>
              <w:t>. For example:</w:t>
            </w:r>
          </w:p>
          <w:p w:rsidR="0006344C" w:rsidRDefault="00BB7AB5" w:rsidP="007F29D6">
            <w:pPr>
              <w:pStyle w:val="BoxListBullet"/>
              <w:spacing w:line="260" w:lineRule="atLeast"/>
            </w:pPr>
            <w:r>
              <w:t>Th</w:t>
            </w:r>
            <w:r w:rsidR="0006344C">
              <w:t xml:space="preserve">e design of the Age Pension and broader retirement income system might be </w:t>
            </w:r>
            <w:r w:rsidRPr="008E3042">
              <w:rPr>
                <w:spacing w:val="-1"/>
              </w:rPr>
              <w:t>li</w:t>
            </w:r>
            <w:r w:rsidR="0006344C" w:rsidRPr="008E3042">
              <w:rPr>
                <w:spacing w:val="-1"/>
              </w:rPr>
              <w:t>nked to life expectancy</w:t>
            </w:r>
            <w:r w:rsidR="0009442B" w:rsidRPr="008E3042">
              <w:rPr>
                <w:spacing w:val="-1"/>
              </w:rPr>
              <w:t xml:space="preserve"> after </w:t>
            </w:r>
            <w:r w:rsidR="004E171B" w:rsidRPr="008E3042">
              <w:rPr>
                <w:spacing w:val="-1"/>
              </w:rPr>
              <w:t xml:space="preserve">completion of the </w:t>
            </w:r>
            <w:r w:rsidR="00B826ED" w:rsidRPr="008E3042">
              <w:rPr>
                <w:spacing w:val="-1"/>
              </w:rPr>
              <w:t xml:space="preserve">current </w:t>
            </w:r>
            <w:r w:rsidR="004E171B" w:rsidRPr="008E3042">
              <w:rPr>
                <w:spacing w:val="-1"/>
              </w:rPr>
              <w:t xml:space="preserve">transition to 67 years in </w:t>
            </w:r>
            <w:r w:rsidRPr="008E3042">
              <w:rPr>
                <w:spacing w:val="-1"/>
              </w:rPr>
              <w:t>2</w:t>
            </w:r>
            <w:r w:rsidR="0009442B" w:rsidRPr="008E3042">
              <w:rPr>
                <w:spacing w:val="-1"/>
              </w:rPr>
              <w:t>023</w:t>
            </w:r>
            <w:r w:rsidR="00B826ED" w:rsidRPr="008E3042">
              <w:rPr>
                <w:spacing w:val="-1"/>
              </w:rPr>
              <w:t>.</w:t>
            </w:r>
          </w:p>
          <w:p w:rsidR="0006344C" w:rsidRDefault="0009442B" w:rsidP="007F29D6">
            <w:pPr>
              <w:pStyle w:val="BoxListBullet"/>
              <w:spacing w:line="260" w:lineRule="atLeast"/>
            </w:pPr>
            <w:r>
              <w:t>U</w:t>
            </w:r>
            <w:r w:rsidR="0006344C">
              <w:t xml:space="preserve">sing some of the annual </w:t>
            </w:r>
            <w:r w:rsidR="0006344C" w:rsidRPr="001832C9">
              <w:rPr>
                <w:i/>
              </w:rPr>
              <w:t>growth</w:t>
            </w:r>
            <w:r w:rsidR="0006344C">
              <w:t xml:space="preserve"> in the housing e</w:t>
            </w:r>
            <w:r w:rsidR="00763AE6">
              <w:t>q</w:t>
            </w:r>
            <w:r w:rsidR="0006344C">
              <w:t>uity of old</w:t>
            </w:r>
            <w:r w:rsidR="00A06E4A">
              <w:t>er Australians</w:t>
            </w:r>
            <w:r w:rsidR="0006344C">
              <w:t xml:space="preserve"> could help ensure </w:t>
            </w:r>
            <w:r w:rsidR="00E81CB4">
              <w:t xml:space="preserve">higher quality options for </w:t>
            </w:r>
            <w:r w:rsidR="0006344C">
              <w:t>aged care services and lower fiscal costs</w:t>
            </w:r>
            <w:r w:rsidR="00E81CB4">
              <w:t>.</w:t>
            </w:r>
            <w:r w:rsidR="0006344C">
              <w:t xml:space="preserve"> </w:t>
            </w:r>
          </w:p>
          <w:p w:rsidR="00791630" w:rsidRDefault="0006344C" w:rsidP="007F29D6">
            <w:pPr>
              <w:pStyle w:val="BoxListBullet"/>
              <w:spacing w:line="260" w:lineRule="atLeast"/>
            </w:pPr>
            <w:r>
              <w:t>Wide</w:t>
            </w:r>
            <w:r w:rsidR="00717B18">
              <w:noBreakHyphen/>
            </w:r>
            <w:r>
              <w:t>ranging health</w:t>
            </w:r>
            <w:r w:rsidR="006A7553">
              <w:t xml:space="preserve"> </w:t>
            </w:r>
            <w:r>
              <w:t xml:space="preserve">care reforms could improve productivity in the sector that is the largest contributor to fiscal pressures. Even modest improvements </w:t>
            </w:r>
            <w:r w:rsidR="00A06E4A">
              <w:t xml:space="preserve">in this area would </w:t>
            </w:r>
            <w:r w:rsidR="0085732B">
              <w:t xml:space="preserve">reduce </w:t>
            </w:r>
            <w:r>
              <w:t xml:space="preserve">fiscal pressures significantly. </w:t>
            </w:r>
          </w:p>
        </w:tc>
      </w:tr>
      <w:tr w:rsidR="00D96FC5">
        <w:trPr>
          <w:cantSplit/>
        </w:trPr>
        <w:tc>
          <w:tcPr>
            <w:tcW w:w="8771" w:type="dxa"/>
            <w:tcBorders>
              <w:top w:val="nil"/>
              <w:left w:val="single" w:sz="6" w:space="0" w:color="auto"/>
              <w:bottom w:val="single" w:sz="6" w:space="0" w:color="auto"/>
              <w:right w:val="single" w:sz="6" w:space="0" w:color="auto"/>
            </w:tcBorders>
          </w:tcPr>
          <w:p w:rsidR="00D96FC5" w:rsidRDefault="00D96FC5">
            <w:pPr>
              <w:pStyle w:val="Box"/>
              <w:spacing w:before="0" w:line="120" w:lineRule="exact"/>
            </w:pPr>
          </w:p>
        </w:tc>
      </w:tr>
      <w:tr w:rsidR="00D96FC5" w:rsidRPr="000863A5">
        <w:trPr>
          <w:hidden/>
        </w:trPr>
        <w:tc>
          <w:tcPr>
            <w:tcW w:w="8771" w:type="dxa"/>
            <w:tcBorders>
              <w:top w:val="nil"/>
              <w:left w:val="nil"/>
              <w:bottom w:val="nil"/>
              <w:right w:val="nil"/>
            </w:tcBorders>
          </w:tcPr>
          <w:p w:rsidR="00D96FC5" w:rsidRPr="00626D32" w:rsidRDefault="00D96FC5" w:rsidP="008D13B1">
            <w:pPr>
              <w:pStyle w:val="BoxSpaceBelow"/>
            </w:pPr>
            <w:r w:rsidRPr="00626D32">
              <w:rPr>
                <w:rFonts w:ascii="Times New Roman" w:hAnsi="Times New Roman"/>
                <w:b/>
                <w:vanish/>
                <w:color w:val="FF00FF"/>
              </w:rPr>
              <w:t>Do not delete this ROW as it gives space between the box and what follows it.</w:t>
            </w:r>
          </w:p>
        </w:tc>
      </w:tr>
    </w:tbl>
    <w:p w:rsidR="00355DF6" w:rsidRDefault="00355DF6" w:rsidP="00120072">
      <w:pPr>
        <w:pStyle w:val="BodyText"/>
      </w:pPr>
      <w:r>
        <w:lastRenderedPageBreak/>
        <w:t xml:space="preserve">In 2005, the Commission reported that timely action to address the consequences of </w:t>
      </w:r>
      <w:r w:rsidR="00E1010E">
        <w:t>demographic change</w:t>
      </w:r>
      <w:r w:rsidR="00234AAA">
        <w:t xml:space="preserve"> c</w:t>
      </w:r>
      <w:r>
        <w:t xml:space="preserve">ould avoid </w:t>
      </w:r>
      <w:r w:rsidR="00FF0749">
        <w:t xml:space="preserve">the future need for </w:t>
      </w:r>
      <w:r>
        <w:t xml:space="preserve">‘big bang’ </w:t>
      </w:r>
      <w:r w:rsidR="00E1010E">
        <w:t xml:space="preserve">policy </w:t>
      </w:r>
      <w:r>
        <w:t>interventions later</w:t>
      </w:r>
      <w:r w:rsidR="00E1010E">
        <w:t xml:space="preserve">. </w:t>
      </w:r>
      <w:r>
        <w:t xml:space="preserve">Over </w:t>
      </w:r>
      <w:r w:rsidR="00D33B3A">
        <w:t>eight</w:t>
      </w:r>
      <w:r>
        <w:t xml:space="preserve"> years</w:t>
      </w:r>
      <w:r w:rsidR="00D33B3A">
        <w:t xml:space="preserve"> later</w:t>
      </w:r>
      <w:r>
        <w:t xml:space="preserve">, the discussion of </w:t>
      </w:r>
      <w:r w:rsidR="00CA5DEF">
        <w:t xml:space="preserve">the </w:t>
      </w:r>
      <w:r>
        <w:t xml:space="preserve">possible </w:t>
      </w:r>
      <w:r w:rsidR="00CA5DEF">
        <w:t xml:space="preserve">opportunities </w:t>
      </w:r>
      <w:r w:rsidR="00FF0749">
        <w:t xml:space="preserve">and </w:t>
      </w:r>
      <w:r w:rsidR="00BC724D">
        <w:t xml:space="preserve">policy </w:t>
      </w:r>
      <w:r w:rsidR="00FF0749">
        <w:t xml:space="preserve">challenges </w:t>
      </w:r>
      <w:r w:rsidR="00CA5DEF">
        <w:t>presented by an ageing population</w:t>
      </w:r>
      <w:r>
        <w:t xml:space="preserve"> seems to have </w:t>
      </w:r>
      <w:r w:rsidR="00E1010E">
        <w:t>waned</w:t>
      </w:r>
      <w:r>
        <w:t>.</w:t>
      </w:r>
      <w:r w:rsidR="00E1010E">
        <w:t xml:space="preserve"> The most recent </w:t>
      </w:r>
      <w:r w:rsidR="0019011E">
        <w:t>Intergenerational</w:t>
      </w:r>
      <w:r w:rsidR="00E1010E">
        <w:t xml:space="preserve"> Report, which also </w:t>
      </w:r>
      <w:r w:rsidR="0019011E">
        <w:t>highlights</w:t>
      </w:r>
      <w:r w:rsidR="00E1010E">
        <w:t xml:space="preserve"> these issues</w:t>
      </w:r>
      <w:r w:rsidR="0019011E">
        <w:t>,</w:t>
      </w:r>
      <w:r w:rsidR="00E1010E">
        <w:t xml:space="preserve"> </w:t>
      </w:r>
      <w:r w:rsidR="0019011E">
        <w:t xml:space="preserve">is now nearly four years old. </w:t>
      </w:r>
      <w:r w:rsidR="00E81CB4">
        <w:t>Even with ever more information on trends, the near</w:t>
      </w:r>
      <w:r w:rsidR="00E41500">
        <w:t xml:space="preserve"> </w:t>
      </w:r>
      <w:r w:rsidR="00E81CB4">
        <w:t xml:space="preserve">inevitability of </w:t>
      </w:r>
      <w:r w:rsidR="00FA7080">
        <w:t xml:space="preserve">significant fiscal and policy consequences of </w:t>
      </w:r>
      <w:r w:rsidR="00E81CB4">
        <w:t xml:space="preserve">demographic change seems not to have created much genuine desire for reform. </w:t>
      </w:r>
      <w:r w:rsidR="004944C5">
        <w:t>Further, recent interventions to address the threats posed by global economic events have left Australian government</w:t>
      </w:r>
      <w:r w:rsidR="00E81CB4">
        <w:t>s</w:t>
      </w:r>
      <w:r w:rsidR="004944C5">
        <w:t xml:space="preserve"> less well placed to handle the effects of ageing than most</w:t>
      </w:r>
      <w:r w:rsidR="00EC095C">
        <w:t xml:space="preserve"> would </w:t>
      </w:r>
      <w:r w:rsidR="00C44F03">
        <w:t xml:space="preserve">have </w:t>
      </w:r>
      <w:r w:rsidR="00EC095C">
        <w:t xml:space="preserve">expected in initial debates. </w:t>
      </w:r>
      <w:r w:rsidR="00234AAA">
        <w:t xml:space="preserve">On top of these factors, Australia is much closer to </w:t>
      </w:r>
      <w:r w:rsidR="00F4104C">
        <w:t>the time when</w:t>
      </w:r>
      <w:r w:rsidR="00234AAA">
        <w:t xml:space="preserve"> the most significant effects of ageing are likely to be felt. </w:t>
      </w:r>
    </w:p>
    <w:p w:rsidR="00FA7080" w:rsidRDefault="00E41500" w:rsidP="00120072">
      <w:pPr>
        <w:pStyle w:val="BodyText"/>
      </w:pPr>
      <w:r>
        <w:t xml:space="preserve">Against this background, the Commission has looked afresh at the </w:t>
      </w:r>
      <w:r w:rsidR="0034066E">
        <w:t xml:space="preserve">economic </w:t>
      </w:r>
      <w:r>
        <w:t>issues raised by population ageing. Li</w:t>
      </w:r>
      <w:r w:rsidR="00FA7080">
        <w:t xml:space="preserve">ke any analysis associated with forecasting very long term trends, </w:t>
      </w:r>
      <w:r>
        <w:t xml:space="preserve">this study is </w:t>
      </w:r>
      <w:r w:rsidR="00FA7080">
        <w:t xml:space="preserve">exposed to the charge that it extrapolates in ways that </w:t>
      </w:r>
      <w:r w:rsidR="006C443E">
        <w:t xml:space="preserve">may </w:t>
      </w:r>
      <w:r w:rsidR="00FA7080">
        <w:t xml:space="preserve">not </w:t>
      </w:r>
      <w:r w:rsidR="006C443E">
        <w:t xml:space="preserve">be </w:t>
      </w:r>
      <w:r w:rsidR="00FA7080">
        <w:t xml:space="preserve">representative of reality. </w:t>
      </w:r>
      <w:r w:rsidR="006C443E">
        <w:t xml:space="preserve">The apparent neat precision of any particular number is not meant to convey that this shall inevitably be the result, when over a </w:t>
      </w:r>
      <w:r w:rsidR="00891CF2">
        <w:t>50</w:t>
      </w:r>
      <w:r w:rsidR="00CA2201">
        <w:t> </w:t>
      </w:r>
      <w:r w:rsidR="006C443E">
        <w:t>year period a wide variety of unknown factors will arise. But the existence of unknown factors is no basis for not considering the trends, which are t</w:t>
      </w:r>
      <w:r w:rsidR="00FA7080">
        <w:t xml:space="preserve">he </w:t>
      </w:r>
      <w:r w:rsidR="006C443E">
        <w:t>important aspect of this analysis.</w:t>
      </w:r>
      <w:r w:rsidR="00FA7080">
        <w:t xml:space="preserve"> The trends are</w:t>
      </w:r>
      <w:r w:rsidR="006C443E">
        <w:t xml:space="preserve"> unmistak</w:t>
      </w:r>
      <w:r w:rsidR="00FA7080">
        <w:t>able in most cases.</w:t>
      </w:r>
      <w:r w:rsidR="001832C9">
        <w:t xml:space="preserve"> </w:t>
      </w:r>
      <w:r w:rsidR="00FA7080">
        <w:t xml:space="preserve">They point to the need for serious contemplation of </w:t>
      </w:r>
      <w:r w:rsidR="006C443E">
        <w:t xml:space="preserve">future </w:t>
      </w:r>
      <w:r w:rsidR="00FA7080">
        <w:t xml:space="preserve">policy measures </w:t>
      </w:r>
      <w:r w:rsidR="006C443E">
        <w:t xml:space="preserve">sooner rather than later. </w:t>
      </w:r>
    </w:p>
    <w:p w:rsidR="009E1844" w:rsidRDefault="00EC095C" w:rsidP="00EC095C">
      <w:pPr>
        <w:pStyle w:val="Heading3"/>
      </w:pPr>
      <w:r>
        <w:t xml:space="preserve">How </w:t>
      </w:r>
      <w:r w:rsidR="006C11FC">
        <w:t>will</w:t>
      </w:r>
      <w:r>
        <w:t xml:space="preserve"> Australia’s population change over the next 50 years?</w:t>
      </w:r>
    </w:p>
    <w:p w:rsidR="00EC095C" w:rsidRDefault="00EC095C" w:rsidP="006C11FC">
      <w:pPr>
        <w:pStyle w:val="BodyText"/>
      </w:pPr>
      <w:r w:rsidRPr="008510CE">
        <w:t xml:space="preserve">Australia’s population is projected to increase to </w:t>
      </w:r>
      <w:r w:rsidR="00F4104C">
        <w:t>more than</w:t>
      </w:r>
      <w:r w:rsidRPr="008510CE">
        <w:t xml:space="preserve"> 38</w:t>
      </w:r>
      <w:r w:rsidR="00F4104C">
        <w:t> </w:t>
      </w:r>
      <w:r w:rsidRPr="008510CE">
        <w:t xml:space="preserve">million by </w:t>
      </w:r>
      <w:r w:rsidR="00266AAF">
        <w:t>20</w:t>
      </w:r>
      <w:r w:rsidRPr="008510CE">
        <w:t xml:space="preserve">60, </w:t>
      </w:r>
      <w:r w:rsidR="001D1BAA">
        <w:t>more than</w:t>
      </w:r>
      <w:r w:rsidRPr="008510CE">
        <w:t xml:space="preserve"> 15</w:t>
      </w:r>
      <w:r w:rsidR="00951719">
        <w:t> </w:t>
      </w:r>
      <w:r w:rsidRPr="008510CE">
        <w:t xml:space="preserve">million </w:t>
      </w:r>
      <w:r w:rsidR="00BC724D">
        <w:t>above</w:t>
      </w:r>
      <w:r w:rsidR="00BC724D" w:rsidRPr="008510CE">
        <w:t xml:space="preserve"> </w:t>
      </w:r>
      <w:r w:rsidRPr="008510CE">
        <w:t xml:space="preserve">the population </w:t>
      </w:r>
      <w:r w:rsidR="00266AAF">
        <w:t>in 2012</w:t>
      </w:r>
      <w:r w:rsidRPr="008510CE">
        <w:t xml:space="preserve">. </w:t>
      </w:r>
      <w:r w:rsidR="00B33774">
        <w:t xml:space="preserve">While </w:t>
      </w:r>
      <w:r w:rsidR="00E81CB4">
        <w:t xml:space="preserve">significant variations </w:t>
      </w:r>
      <w:r w:rsidR="006C443E">
        <w:t xml:space="preserve">are </w:t>
      </w:r>
      <w:r w:rsidR="00E81CB4">
        <w:t xml:space="preserve">possible around </w:t>
      </w:r>
      <w:r w:rsidR="00B33774">
        <w:t>that estimate, it is unlikely that the population would be less than 34 million or more than 42 million (figure 1).</w:t>
      </w:r>
      <w:r w:rsidR="001D1BAA">
        <w:t xml:space="preserve"> </w:t>
      </w:r>
      <w:r w:rsidR="00B33774">
        <w:t>Notwithstanding t</w:t>
      </w:r>
      <w:r w:rsidR="006C11FC">
        <w:t>h</w:t>
      </w:r>
      <w:r w:rsidR="00B33774">
        <w:t>e</w:t>
      </w:r>
      <w:r w:rsidR="006C11FC">
        <w:t xml:space="preserve"> </w:t>
      </w:r>
      <w:r w:rsidR="00B33774">
        <w:t xml:space="preserve">large projected increase in the population </w:t>
      </w:r>
      <w:r w:rsidR="00B33774" w:rsidRPr="00B33774">
        <w:rPr>
          <w:i/>
        </w:rPr>
        <w:t>level</w:t>
      </w:r>
      <w:r w:rsidR="006C11FC">
        <w:t xml:space="preserve">, </w:t>
      </w:r>
      <w:r w:rsidRPr="008510CE">
        <w:t xml:space="preserve">population </w:t>
      </w:r>
      <w:r w:rsidRPr="00B33774">
        <w:rPr>
          <w:i/>
        </w:rPr>
        <w:t>growth</w:t>
      </w:r>
      <w:r w:rsidRPr="008510CE">
        <w:t xml:space="preserve"> rates </w:t>
      </w:r>
      <w:r w:rsidR="006C11FC">
        <w:t xml:space="preserve">are projected to </w:t>
      </w:r>
      <w:r w:rsidRPr="008510CE">
        <w:t xml:space="preserve">fall over time, halving from </w:t>
      </w:r>
      <w:r w:rsidR="00266AAF">
        <w:t>20</w:t>
      </w:r>
      <w:r>
        <w:t xml:space="preserve">12 to </w:t>
      </w:r>
      <w:r w:rsidR="00266AAF">
        <w:t>20</w:t>
      </w:r>
      <w:r w:rsidRPr="008510CE">
        <w:t xml:space="preserve">60. </w:t>
      </w:r>
    </w:p>
    <w:p w:rsidR="0006344C" w:rsidRPr="00497557" w:rsidRDefault="0006344C" w:rsidP="0006344C">
      <w:pPr>
        <w:pStyle w:val="BodyText"/>
        <w:rPr>
          <w:b/>
        </w:rPr>
      </w:pPr>
      <w:r>
        <w:t>The likely population growth will place pressure on Australian cities. A</w:t>
      </w:r>
      <w:r w:rsidRPr="008510CE">
        <w:t xml:space="preserve">ll of Australia’s major cities </w:t>
      </w:r>
      <w:r>
        <w:t>are projected to</w:t>
      </w:r>
      <w:r w:rsidRPr="008510CE">
        <w:t xml:space="preserve"> grow</w:t>
      </w:r>
      <w:r>
        <w:t xml:space="preserve"> substantially</w:t>
      </w:r>
      <w:r w:rsidRPr="008510CE">
        <w:t xml:space="preserve">. </w:t>
      </w:r>
      <w:r>
        <w:t xml:space="preserve">Sydney and Melbourne </w:t>
      </w:r>
      <w:r w:rsidR="00496C78">
        <w:t xml:space="preserve">may </w:t>
      </w:r>
      <w:r>
        <w:t xml:space="preserve">grow by around 3 million each over the next 50 years (figure 2). In response to the significant increase in the size of Australian cities, </w:t>
      </w:r>
      <w:r w:rsidR="00503303">
        <w:t>significant</w:t>
      </w:r>
      <w:r>
        <w:t xml:space="preserve"> investment in transport and other infrastructure </w:t>
      </w:r>
      <w:r w:rsidR="00496C78">
        <w:t xml:space="preserve">is likely to be </w:t>
      </w:r>
      <w:r>
        <w:t xml:space="preserve">required. This is true both within the cities themselves </w:t>
      </w:r>
      <w:r w:rsidR="00B739A8">
        <w:t>and</w:t>
      </w:r>
      <w:r>
        <w:t xml:space="preserve"> for the links between regional and major cities. Policies will </w:t>
      </w:r>
      <w:r w:rsidR="00C44F03">
        <w:t xml:space="preserve">be </w:t>
      </w:r>
      <w:r>
        <w:t>need</w:t>
      </w:r>
      <w:r w:rsidR="00C44F03">
        <w:t>ed</w:t>
      </w:r>
      <w:r w:rsidR="00F70D7F">
        <w:t xml:space="preserve"> to reduce</w:t>
      </w:r>
      <w:r>
        <w:t xml:space="preserve"> congestion problems, and to ensure adequate infrastructure funding and investment efficiency. </w:t>
      </w:r>
    </w:p>
    <w:p w:rsidR="00B06D90" w:rsidRDefault="00B06D90" w:rsidP="00B06D90">
      <w:pPr>
        <w:pStyle w:val="FigureTitle"/>
      </w:pPr>
      <w:r>
        <w:rPr>
          <w:b w:val="0"/>
        </w:rPr>
        <w:lastRenderedPageBreak/>
        <w:t xml:space="preserve">Figure </w:t>
      </w:r>
      <w:r>
        <w:rPr>
          <w:b w:val="0"/>
        </w:rPr>
        <w:fldChar w:fldCharType="begin"/>
      </w:r>
      <w:r>
        <w:rPr>
          <w:b w:val="0"/>
        </w:rPr>
        <w:instrText xml:space="preserve"> SEQ Figure \* ARABIC </w:instrText>
      </w:r>
      <w:r>
        <w:rPr>
          <w:b w:val="0"/>
        </w:rPr>
        <w:fldChar w:fldCharType="separate"/>
      </w:r>
      <w:r w:rsidR="009A14A9">
        <w:rPr>
          <w:b w:val="0"/>
          <w:noProof/>
        </w:rPr>
        <w:t>1</w:t>
      </w:r>
      <w:r>
        <w:rPr>
          <w:b w:val="0"/>
        </w:rPr>
        <w:fldChar w:fldCharType="end"/>
      </w:r>
      <w:r>
        <w:tab/>
        <w:t xml:space="preserve">The Australian population will </w:t>
      </w:r>
      <w:r w:rsidR="001D1BAA">
        <w:t xml:space="preserve">probably </w:t>
      </w:r>
      <w:r>
        <w:t xml:space="preserve">grow by around 15 million over the next 50 years </w:t>
      </w:r>
    </w:p>
    <w:p w:rsidR="00B06D90" w:rsidRDefault="00266AAF" w:rsidP="00B06D90">
      <w:pPr>
        <w:pStyle w:val="Subtitle"/>
      </w:pPr>
      <w:r>
        <w:t xml:space="preserve">End June </w:t>
      </w:r>
      <w:r w:rsidR="00B06D90">
        <w:t>2011</w:t>
      </w:r>
      <w:r w:rsidR="00B06D90">
        <w:noBreakHyphen/>
        <w:t>12 to 2059</w:t>
      </w:r>
      <w:r w:rsidR="00B06D90">
        <w:noBreakHyphen/>
        <w:t>60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06D90" w:rsidTr="00E76AC4">
        <w:tc>
          <w:tcPr>
            <w:tcW w:w="8777" w:type="dxa"/>
          </w:tcPr>
          <w:p w:rsidR="00B06D90" w:rsidRDefault="00E76AC4" w:rsidP="008D13B1">
            <w:pPr>
              <w:pStyle w:val="Figure"/>
            </w:pPr>
            <w:r w:rsidRPr="00E76AC4">
              <w:rPr>
                <w:noProof/>
              </w:rPr>
              <w:drawing>
                <wp:inline distT="0" distB="0" distL="0" distR="0" wp14:anchorId="09686CBA" wp14:editId="061FD784">
                  <wp:extent cx="5350328" cy="3194181"/>
                  <wp:effectExtent l="0" t="0" r="3175" b="6350"/>
                  <wp:docPr id="1" name="Chart 1" descr="Figure 1 The Australian population will probably grow by around 15 million over the next 50 years. This figure projects that the total Australian population will rise to approximately 38 million people by 2059-60. The projection also includes a distribution with a 95 per cent and 90 per cent confidence interval."/>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542AE4" w:rsidRDefault="00542AE4" w:rsidP="00542AE4">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2</w:t>
      </w:r>
      <w:r>
        <w:rPr>
          <w:b w:val="0"/>
        </w:rPr>
        <w:fldChar w:fldCharType="end"/>
      </w:r>
      <w:r>
        <w:tab/>
        <w:t>Australia’s two biggest cities may exceed 7 million</w:t>
      </w:r>
    </w:p>
    <w:p w:rsidR="00542AE4" w:rsidRDefault="00542AE4">
      <w:pPr>
        <w:pStyle w:val="Subtitle"/>
      </w:pPr>
      <w:r>
        <w:t>Projected city populations</w:t>
      </w:r>
      <w:r w:rsidR="00266AAF">
        <w:t>, end June 2011</w:t>
      </w:r>
      <w:r w:rsidR="00266AAF">
        <w:noBreakHyphen/>
      </w:r>
      <w:r>
        <w:t>12 and 20</w:t>
      </w:r>
      <w:r w:rsidR="00266AAF">
        <w:t>59</w:t>
      </w:r>
      <w:r w:rsidR="00266AAF">
        <w:noBreakHyphen/>
      </w:r>
      <w:r>
        <w:t>60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42AE4" w:rsidTr="002D44CA">
        <w:tc>
          <w:tcPr>
            <w:tcW w:w="8777" w:type="dxa"/>
          </w:tcPr>
          <w:p w:rsidR="00542AE4" w:rsidRDefault="002D44CA">
            <w:pPr>
              <w:pStyle w:val="Figure"/>
            </w:pPr>
            <w:r w:rsidRPr="002D44CA">
              <w:rPr>
                <w:noProof/>
              </w:rPr>
              <w:drawing>
                <wp:inline distT="0" distB="0" distL="0" distR="0" wp14:anchorId="0E9BA26C" wp14:editId="03B2B6F2">
                  <wp:extent cx="5602061" cy="3254828"/>
                  <wp:effectExtent l="0" t="0" r="0" b="3175"/>
                  <wp:docPr id="22" name="Chart 22" descr="Figure 2 Australia’s two biggest cities may exceed 7 million. This figure compares the population in 2012 of Australia’s capital cities, then forecasts the growth in population by 2060. The figure shows that Sydney and Melbourne are forecast to exceed 7 million and Brisbane is forecast to exceed 4 mill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B45A2C" w:rsidRDefault="00B739A8" w:rsidP="00B739A8">
      <w:pPr>
        <w:pStyle w:val="BodyText"/>
      </w:pPr>
      <w:r>
        <w:lastRenderedPageBreak/>
        <w:t xml:space="preserve">While having relatively high rates of immigration and fertility compared with other developed economies, Australia’s population will still age dramatically over the coming years. The primary ‘culprit’ is a virtuous one — Australians are experiencing lower mortality rates and enjoying longer lives (figure 3). </w:t>
      </w:r>
      <w:r w:rsidR="00B45A2C">
        <w:t>Moreover, the figures for life expectancy usually quoted by statistical agencies can significantly understate people’s actual longevity because they do not take into account the likely future reductions in mortality rates as a person ages:</w:t>
      </w:r>
    </w:p>
    <w:p w:rsidR="00B739A8" w:rsidRDefault="00B45A2C" w:rsidP="00B45A2C">
      <w:pPr>
        <w:pStyle w:val="ListBullet"/>
      </w:pPr>
      <w:r>
        <w:t>Using such ‘cohort’ life expectancies, t</w:t>
      </w:r>
      <w:r w:rsidR="00B739A8">
        <w:t xml:space="preserve">he life expectancy of a </w:t>
      </w:r>
      <w:r w:rsidR="00B739A8" w:rsidRPr="0054025E">
        <w:t xml:space="preserve">girl born in 2012 </w:t>
      </w:r>
      <w:r w:rsidR="00B739A8">
        <w:t>is projected to be more than</w:t>
      </w:r>
      <w:r w:rsidR="00B739A8" w:rsidRPr="0054025E">
        <w:t xml:space="preserve"> 94 years</w:t>
      </w:r>
      <w:r w:rsidR="00B739A8">
        <w:t xml:space="preserve"> and for a boy </w:t>
      </w:r>
      <w:r w:rsidR="00FD1508">
        <w:t>nearly 92 years</w:t>
      </w:r>
      <w:r w:rsidR="00B739A8" w:rsidRPr="0054025E">
        <w:t xml:space="preserve">. </w:t>
      </w:r>
    </w:p>
    <w:p w:rsidR="00B45A2C" w:rsidRDefault="00B45A2C" w:rsidP="00B45A2C">
      <w:pPr>
        <w:pStyle w:val="ListBullet"/>
      </w:pPr>
      <w:r>
        <w:t>Such c</w:t>
      </w:r>
      <w:r w:rsidRPr="00B45A2C">
        <w:t xml:space="preserve">ohort life expectancies are particularly useful in considering the length of people’s customary retirement periods. Using </w:t>
      </w:r>
      <w:r>
        <w:t xml:space="preserve">the usually published </w:t>
      </w:r>
      <w:r w:rsidRPr="00B45A2C">
        <w:t xml:space="preserve">life expectancies, it might appear that a person born in 2012 could expect to live for 19 more years after they reach 65 years old. In fact, it is </w:t>
      </w:r>
      <w:r>
        <w:t>projected that</w:t>
      </w:r>
      <w:r w:rsidRPr="00B45A2C">
        <w:t xml:space="preserve"> they will live for around 29 years after that age. This raises issues about optimal retirement ages, provision for publicly funded pensions and rules about access to superannuation savings — an issue explored in more detail </w:t>
      </w:r>
      <w:r>
        <w:t>later</w:t>
      </w:r>
      <w:r w:rsidRPr="00B45A2C">
        <w:t>.</w:t>
      </w:r>
    </w:p>
    <w:p w:rsidR="006375D2" w:rsidRDefault="006375D2">
      <w:pPr>
        <w:pStyle w:val="FigureTitle"/>
      </w:pPr>
      <w:r>
        <w:rPr>
          <w:b w:val="0"/>
        </w:rPr>
        <w:t>Figure</w:t>
      </w:r>
      <w:r w:rsidR="007B4A49">
        <w:rPr>
          <w:b w:val="0"/>
        </w:rPr>
        <w:t> </w:t>
      </w:r>
      <w:r>
        <w:rPr>
          <w:b w:val="0"/>
        </w:rPr>
        <w:fldChar w:fldCharType="begin"/>
      </w:r>
      <w:r>
        <w:rPr>
          <w:b w:val="0"/>
        </w:rPr>
        <w:instrText xml:space="preserve"> SEQ Figure \* ARABIC </w:instrText>
      </w:r>
      <w:r>
        <w:rPr>
          <w:b w:val="0"/>
        </w:rPr>
        <w:fldChar w:fldCharType="separate"/>
      </w:r>
      <w:r w:rsidR="009A14A9">
        <w:rPr>
          <w:b w:val="0"/>
          <w:noProof/>
        </w:rPr>
        <w:t>3</w:t>
      </w:r>
      <w:r>
        <w:rPr>
          <w:b w:val="0"/>
        </w:rPr>
        <w:fldChar w:fldCharType="end"/>
      </w:r>
      <w:r>
        <w:tab/>
      </w:r>
      <w:r w:rsidR="00F116EC">
        <w:t xml:space="preserve">Death rates </w:t>
      </w:r>
      <w:r w:rsidR="003868EE">
        <w:t>have fallen</w:t>
      </w:r>
    </w:p>
    <w:p w:rsidR="006375D2" w:rsidRDefault="00F116EC">
      <w:pPr>
        <w:pStyle w:val="Subtitle"/>
      </w:pPr>
      <w:r>
        <w:t>The chance of dying over the next year (%),1921 to 2011</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2925"/>
        <w:gridCol w:w="2926"/>
        <w:gridCol w:w="2926"/>
      </w:tblGrid>
      <w:tr w:rsidR="006375D2" w:rsidTr="006375D2">
        <w:tc>
          <w:tcPr>
            <w:tcW w:w="2925" w:type="dxa"/>
            <w:tcBorders>
              <w:right w:val="single" w:sz="4" w:space="0" w:color="auto"/>
            </w:tcBorders>
          </w:tcPr>
          <w:p w:rsidR="006375D2" w:rsidRDefault="006375D2">
            <w:pPr>
              <w:pStyle w:val="Figure"/>
            </w:pPr>
            <w:r>
              <w:rPr>
                <w:noProof/>
              </w:rPr>
              <w:drawing>
                <wp:inline distT="0" distB="0" distL="0" distR="0" wp14:anchorId="7A210DBE" wp14:editId="61193C31">
                  <wp:extent cx="1767645" cy="1588250"/>
                  <wp:effectExtent l="0" t="0" r="4445" b="0"/>
                  <wp:docPr id="10" name="Chart 10" descr="Figure 3 Death rates have fallen. This figure is comprised of 6 charts. The charts depict the chance of dying over the next year for males and females of particular ages from 1921 to 2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2926" w:type="dxa"/>
            <w:tcBorders>
              <w:left w:val="single" w:sz="4" w:space="0" w:color="auto"/>
            </w:tcBorders>
          </w:tcPr>
          <w:p w:rsidR="006375D2" w:rsidRDefault="006375D2">
            <w:pPr>
              <w:pStyle w:val="Figure"/>
            </w:pPr>
            <w:r>
              <w:rPr>
                <w:noProof/>
              </w:rPr>
              <w:drawing>
                <wp:inline distT="0" distB="0" distL="0" distR="0" wp14:anchorId="2026FB8B" wp14:editId="128CD1E0">
                  <wp:extent cx="1768762" cy="1588250"/>
                  <wp:effectExtent l="0" t="0" r="3175" b="0"/>
                  <wp:docPr id="11" name="Chart 11" descr="At 20 yea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2926" w:type="dxa"/>
            <w:tcBorders>
              <w:left w:val="single" w:sz="4" w:space="0" w:color="auto"/>
            </w:tcBorders>
          </w:tcPr>
          <w:p w:rsidR="006375D2" w:rsidRDefault="006375D2">
            <w:pPr>
              <w:pStyle w:val="Figure"/>
            </w:pPr>
            <w:r>
              <w:rPr>
                <w:noProof/>
              </w:rPr>
              <w:drawing>
                <wp:inline distT="0" distB="0" distL="0" distR="0" wp14:anchorId="3F5C31B4" wp14:editId="4EEB8A20">
                  <wp:extent cx="1767645" cy="1588250"/>
                  <wp:effectExtent l="0" t="0" r="4445" b="0"/>
                  <wp:docPr id="18" name="Chart 18" descr="At 30 yea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6375D2" w:rsidTr="006375D2">
        <w:tc>
          <w:tcPr>
            <w:tcW w:w="2925" w:type="dxa"/>
            <w:tcBorders>
              <w:right w:val="single" w:sz="4" w:space="0" w:color="auto"/>
            </w:tcBorders>
          </w:tcPr>
          <w:p w:rsidR="006375D2" w:rsidRDefault="006375D2">
            <w:pPr>
              <w:pStyle w:val="Figure"/>
            </w:pPr>
            <w:r>
              <w:rPr>
                <w:noProof/>
              </w:rPr>
              <w:drawing>
                <wp:inline distT="0" distB="0" distL="0" distR="0" wp14:anchorId="3D1ECF42" wp14:editId="6201E473">
                  <wp:extent cx="1768763" cy="1588250"/>
                  <wp:effectExtent l="0" t="0" r="3175" b="0"/>
                  <wp:docPr id="23" name="Chart 23" descr="At 50 yea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2926" w:type="dxa"/>
            <w:tcBorders>
              <w:left w:val="single" w:sz="4" w:space="0" w:color="auto"/>
            </w:tcBorders>
          </w:tcPr>
          <w:p w:rsidR="006375D2" w:rsidRDefault="006375D2">
            <w:pPr>
              <w:pStyle w:val="Figure"/>
            </w:pPr>
            <w:r>
              <w:rPr>
                <w:noProof/>
              </w:rPr>
              <w:drawing>
                <wp:inline distT="0" distB="0" distL="0" distR="0" wp14:anchorId="7DA608EF" wp14:editId="65B1AE03">
                  <wp:extent cx="1767645" cy="1588250"/>
                  <wp:effectExtent l="0" t="0" r="4445" b="0"/>
                  <wp:docPr id="24" name="Chart 24" descr="At 70 yea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2926" w:type="dxa"/>
            <w:tcBorders>
              <w:left w:val="single" w:sz="4" w:space="0" w:color="auto"/>
            </w:tcBorders>
          </w:tcPr>
          <w:p w:rsidR="006375D2" w:rsidRDefault="006375D2">
            <w:pPr>
              <w:pStyle w:val="Figure"/>
            </w:pPr>
            <w:r>
              <w:rPr>
                <w:noProof/>
              </w:rPr>
              <w:drawing>
                <wp:inline distT="0" distB="0" distL="0" distR="0" wp14:anchorId="6C6D8639" wp14:editId="40C33071">
                  <wp:extent cx="1767645" cy="1588250"/>
                  <wp:effectExtent l="0" t="0" r="4445" b="0"/>
                  <wp:docPr id="25" name="Chart 25" descr="At 80 years"/>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06344C" w:rsidRDefault="00B724E3" w:rsidP="001F22F2">
      <w:pPr>
        <w:pStyle w:val="BodyText"/>
      </w:pPr>
      <w:r>
        <w:t xml:space="preserve">The pyramid age structure that characterised Australia’s young population at Federation has gradually shifted so that it currently bulges most at middle age. </w:t>
      </w:r>
      <w:r w:rsidR="00CC1A21" w:rsidRPr="00B826ED">
        <w:t xml:space="preserve">By the end of this century, the pyramid will have entirely disappeared, with </w:t>
      </w:r>
      <w:r w:rsidR="00D87972" w:rsidRPr="00B826ED">
        <w:t>the</w:t>
      </w:r>
      <w:r w:rsidR="00CC1A21" w:rsidRPr="00B826ED">
        <w:t xml:space="preserve"> much </w:t>
      </w:r>
      <w:r w:rsidR="00CC1A21" w:rsidRPr="00B826ED">
        <w:lastRenderedPageBreak/>
        <w:t>more uniform distribution across ages</w:t>
      </w:r>
      <w:r>
        <w:t xml:space="preserve"> </w:t>
      </w:r>
      <w:r w:rsidR="00D87972">
        <w:t>characteristic of a highly aged population</w:t>
      </w:r>
      <w:r w:rsidR="0003478E">
        <w:t xml:space="preserve"> </w:t>
      </w:r>
      <w:r>
        <w:t>(figure </w:t>
      </w:r>
      <w:r w:rsidR="00F12D72">
        <w:t>4</w:t>
      </w:r>
      <w:r>
        <w:t>).</w:t>
      </w:r>
      <w:r w:rsidR="00A80E47">
        <w:t xml:space="preserve"> </w:t>
      </w:r>
    </w:p>
    <w:p w:rsidR="00B06D90" w:rsidRDefault="00B06D90" w:rsidP="00A61E28">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4</w:t>
      </w:r>
      <w:r>
        <w:rPr>
          <w:b w:val="0"/>
        </w:rPr>
        <w:fldChar w:fldCharType="end"/>
      </w:r>
      <w:r>
        <w:tab/>
      </w:r>
      <w:r w:rsidR="00A61E28">
        <w:t>Population ageing until the 22</w:t>
      </w:r>
      <w:r w:rsidR="006F5CD7">
        <w:t>nd</w:t>
      </w:r>
      <w:r w:rsidR="00A61E28">
        <w:t xml:space="preserve"> century</w:t>
      </w:r>
      <w:r>
        <w:t xml:space="preserve"> </w:t>
      </w:r>
    </w:p>
    <w:tbl>
      <w:tblPr>
        <w:tblW w:w="8778" w:type="dxa"/>
        <w:tblInd w:w="119" w:type="dxa"/>
        <w:tblBorders>
          <w:top w:val="single" w:sz="6" w:space="0" w:color="auto"/>
          <w:bottom w:val="single" w:sz="6" w:space="0" w:color="auto"/>
        </w:tblBorders>
        <w:tblLayout w:type="fixed"/>
        <w:tblLook w:val="0000" w:firstRow="0" w:lastRow="0" w:firstColumn="0" w:lastColumn="0" w:noHBand="0" w:noVBand="0"/>
      </w:tblPr>
      <w:tblGrid>
        <w:gridCol w:w="4525"/>
        <w:gridCol w:w="4253"/>
      </w:tblGrid>
      <w:tr w:rsidR="00AA7071" w:rsidTr="007B4A49">
        <w:tc>
          <w:tcPr>
            <w:tcW w:w="4525" w:type="dxa"/>
            <w:tcBorders>
              <w:top w:val="single" w:sz="4" w:space="0" w:color="auto"/>
              <w:bottom w:val="nil"/>
              <w:right w:val="nil"/>
            </w:tcBorders>
          </w:tcPr>
          <w:p w:rsidR="00AA7071" w:rsidRPr="00AA7071" w:rsidRDefault="00A61E28" w:rsidP="00065149">
            <w:pPr>
              <w:pStyle w:val="Figure"/>
              <w:rPr>
                <w:b/>
                <w:noProof/>
              </w:rPr>
            </w:pPr>
            <w:r>
              <w:rPr>
                <w:rFonts w:ascii="Arial" w:hAnsi="Arial"/>
                <w:b/>
                <w:sz w:val="20"/>
                <w:szCs w:val="24"/>
              </w:rPr>
              <w:t xml:space="preserve">Growth rates of the oldest </w:t>
            </w:r>
            <w:r w:rsidR="00503303">
              <w:rPr>
                <w:rFonts w:ascii="Arial" w:hAnsi="Arial"/>
                <w:b/>
                <w:sz w:val="20"/>
                <w:szCs w:val="24"/>
              </w:rPr>
              <w:t>is set to</w:t>
            </w:r>
            <w:r>
              <w:rPr>
                <w:rFonts w:ascii="Arial" w:hAnsi="Arial"/>
                <w:b/>
                <w:sz w:val="20"/>
                <w:szCs w:val="24"/>
              </w:rPr>
              <w:t xml:space="preserve"> </w:t>
            </w:r>
            <w:r w:rsidR="00065149">
              <w:rPr>
                <w:rFonts w:ascii="Arial" w:hAnsi="Arial"/>
                <w:b/>
                <w:sz w:val="20"/>
                <w:szCs w:val="24"/>
              </w:rPr>
              <w:t>d</w:t>
            </w:r>
            <w:r>
              <w:rPr>
                <w:rFonts w:ascii="Arial" w:hAnsi="Arial"/>
                <w:b/>
                <w:sz w:val="20"/>
                <w:szCs w:val="24"/>
              </w:rPr>
              <w:t xml:space="preserve">ramatically increase over the next 20 years </w:t>
            </w:r>
          </w:p>
        </w:tc>
        <w:tc>
          <w:tcPr>
            <w:tcW w:w="4253" w:type="dxa"/>
            <w:tcBorders>
              <w:top w:val="single" w:sz="4" w:space="0" w:color="auto"/>
              <w:left w:val="nil"/>
              <w:bottom w:val="nil"/>
            </w:tcBorders>
          </w:tcPr>
          <w:p w:rsidR="00AA7071" w:rsidRDefault="006D13F9" w:rsidP="007233E2">
            <w:pPr>
              <w:pStyle w:val="Figure"/>
            </w:pPr>
            <w:r w:rsidRPr="00AA7071">
              <w:rPr>
                <w:rFonts w:ascii="Arial" w:hAnsi="Arial"/>
                <w:b/>
                <w:sz w:val="20"/>
                <w:szCs w:val="24"/>
              </w:rPr>
              <w:t xml:space="preserve">The </w:t>
            </w:r>
            <w:r w:rsidR="00C72920">
              <w:rPr>
                <w:rFonts w:ascii="Arial" w:hAnsi="Arial"/>
                <w:b/>
                <w:sz w:val="20"/>
                <w:szCs w:val="24"/>
              </w:rPr>
              <w:t xml:space="preserve">age structure </w:t>
            </w:r>
            <w:r w:rsidR="007233E2">
              <w:rPr>
                <w:rFonts w:ascii="Arial" w:hAnsi="Arial"/>
                <w:b/>
                <w:sz w:val="20"/>
                <w:szCs w:val="24"/>
              </w:rPr>
              <w:t>becomes more uniformly distributed across ages</w:t>
            </w:r>
          </w:p>
        </w:tc>
      </w:tr>
      <w:tr w:rsidR="00AA7071" w:rsidTr="007B4A49">
        <w:tc>
          <w:tcPr>
            <w:tcW w:w="4525" w:type="dxa"/>
            <w:tcBorders>
              <w:top w:val="nil"/>
              <w:bottom w:val="single" w:sz="4" w:space="0" w:color="auto"/>
              <w:right w:val="nil"/>
            </w:tcBorders>
          </w:tcPr>
          <w:p w:rsidR="00AA7071" w:rsidRDefault="00074A55" w:rsidP="008D13B1">
            <w:pPr>
              <w:pStyle w:val="Figure"/>
            </w:pPr>
            <w:r>
              <w:rPr>
                <w:noProof/>
              </w:rPr>
              <mc:AlternateContent>
                <mc:Choice Requires="wps">
                  <w:drawing>
                    <wp:anchor distT="0" distB="0" distL="114300" distR="114300" simplePos="0" relativeHeight="251667456" behindDoc="0" locked="0" layoutInCell="1" allowOverlap="1" wp14:anchorId="39A0721E" wp14:editId="5B46B09A">
                      <wp:simplePos x="0" y="0"/>
                      <wp:positionH relativeFrom="column">
                        <wp:posOffset>2798445</wp:posOffset>
                      </wp:positionH>
                      <wp:positionV relativeFrom="paragraph">
                        <wp:posOffset>2425700</wp:posOffset>
                      </wp:positionV>
                      <wp:extent cx="2682875" cy="23812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682875"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A55" w:rsidRPr="00074A55" w:rsidRDefault="00074A55" w:rsidP="00074A55">
                                  <w:pPr>
                                    <w:tabs>
                                      <w:tab w:val="center" w:pos="142"/>
                                      <w:tab w:val="center" w:pos="993"/>
                                      <w:tab w:val="center" w:pos="1843"/>
                                      <w:tab w:val="center" w:pos="2665"/>
                                      <w:tab w:val="center" w:pos="3459"/>
                                    </w:tabs>
                                    <w:rPr>
                                      <w:rFonts w:ascii="Arial" w:hAnsi="Arial" w:cs="Arial"/>
                                      <w:sz w:val="20"/>
                                      <w:szCs w:val="20"/>
                                    </w:rPr>
                                  </w:pPr>
                                  <w:r>
                                    <w:rPr>
                                      <w:rFonts w:ascii="Arial" w:hAnsi="Arial" w:cs="Arial"/>
                                      <w:sz w:val="20"/>
                                      <w:szCs w:val="20"/>
                                    </w:rPr>
                                    <w:tab/>
                                  </w:r>
                                  <w:r w:rsidRPr="00074A55">
                                    <w:rPr>
                                      <w:rFonts w:ascii="Arial" w:hAnsi="Arial" w:cs="Arial"/>
                                      <w:sz w:val="20"/>
                                      <w:szCs w:val="20"/>
                                    </w:rPr>
                                    <w:t>4</w:t>
                                  </w:r>
                                  <w:r>
                                    <w:rPr>
                                      <w:rFonts w:ascii="Arial" w:hAnsi="Arial" w:cs="Arial"/>
                                      <w:sz w:val="20"/>
                                      <w:szCs w:val="20"/>
                                    </w:rPr>
                                    <w:tab/>
                                    <w:t>2</w:t>
                                  </w:r>
                                  <w:r>
                                    <w:rPr>
                                      <w:rFonts w:ascii="Arial" w:hAnsi="Arial" w:cs="Arial"/>
                                      <w:sz w:val="20"/>
                                      <w:szCs w:val="20"/>
                                    </w:rPr>
                                    <w:tab/>
                                    <w:t>0</w:t>
                                  </w:r>
                                  <w:r>
                                    <w:rPr>
                                      <w:rFonts w:ascii="Arial" w:hAnsi="Arial" w:cs="Arial"/>
                                      <w:sz w:val="20"/>
                                      <w:szCs w:val="20"/>
                                    </w:rPr>
                                    <w:tab/>
                                    <w:t>2</w:t>
                                  </w:r>
                                  <w:r>
                                    <w:rPr>
                                      <w:rFonts w:ascii="Arial" w:hAnsi="Arial" w:cs="Arial"/>
                                      <w:sz w:val="20"/>
                                      <w:szCs w:val="20"/>
                                    </w:rPr>
                                    <w:tab/>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220.35pt;margin-top:191pt;width:211.2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SnmgwIAAGsFAAAOAAAAZHJzL2Uyb0RvYy54bWysVEtv2zAMvg/YfxB0X524zWNBnCJrkWFA&#10;0BZrh54VWWqMSaImKbGzX19KttMg26XDLjZFfqL4+Mj5daMV2QvnKzAFHV4MKBGGQ1mZl4L+eFp9&#10;mlLiAzMlU2BEQQ/C0+vFxw/z2s5EDltQpXAEnRg/q21BtyHYWZZ5vhWa+QuwwqBRgtMs4NG9ZKVj&#10;NXrXKssHg3FWgyutAy68R+1ta6SL5F9KwcO9lF4EogqKsYX0dem7id9sMWezF8fstuJdGOwfotCs&#10;Mvjo0dUtC4zsXPWHK11xBx5kuOCgM5Cy4iLlgNkMB2fZPG6ZFSkXLI63xzL5/+eW3+0fHKnKguYT&#10;SgzT2KMn0QTyBRqCKqxPbf0MYY8WgaFBPfa513tUxrQb6XT8Y0IE7Vjpw7G60RtHZT6e5tPJiBKO&#10;tvxyOsxH0U32dts6H74K0CQKBXXYvVRUtl/70EJ7SHzMwKpSKnVQGVIXdHw5GqQLRws6VyZiReJC&#10;5yZm1EaepHBQImKU+S4k1iIlEBWJheJGObJnyB/GuTAh5Z78IjqiJAbxnosd/i2q91xu8+hfBhOO&#10;l3VlwKXsz8Iuf/YhyxaPNT/JO4qh2TSJBJd9YzdQHrDfDtqJ8ZavKmzKmvnwwByOCLYYxz7c40cq&#10;wOJDJ1GyBff7b/qIR+ailZIaR66g/teOOUGJ+maQ05+HV1dxRtPhajTJ8eBOLZtTi9npG8CuDHHB&#10;WJ7EiA+qF6UD/YzbYRlfRRMzHN8uaOjFm9AuAtwuXCyXCYRTaVlYm0fLo+vYpEi5p+aZOdvxMiCj&#10;76AfTjY7o2eLjTcNLHcBZJW4G+vcVrWrP050Yn+3feLKOD0n1NuOXLwCAAD//wMAUEsDBBQABgAI&#10;AAAAIQBfgd3P4wAAAAsBAAAPAAAAZHJzL2Rvd25yZXYueG1sTI/LTsMwEEX3SPyDNUjsqNP0QQhx&#10;qipShYRg0dINOyeeJhHxOMRuG/r1TFewHN2jO+dmq9F24oSDbx0pmE4iEEiVMy3VCvYfm4cEhA+a&#10;jO4coYIf9LDKb28ynRp3pi2edqEWXEI+1QqaEPpUSl81aLWfuB6Js4MbrA58DrU0gz5zue1kHEVL&#10;aXVL/KHRPRYNVl+7o1XwWmze9baMbXLpipe3w7r/3n8ulLq/G9fPIAKO4Q+Gqz6rQ85OpTuS8aJT&#10;MJ9Hj4wqmCUxj2IiWc5iECVH06cFyDyT/zfkvwAAAP//AwBQSwECLQAUAAYACAAAACEAtoM4kv4A&#10;AADhAQAAEwAAAAAAAAAAAAAAAAAAAAAAW0NvbnRlbnRfVHlwZXNdLnhtbFBLAQItABQABgAIAAAA&#10;IQA4/SH/1gAAAJQBAAALAAAAAAAAAAAAAAAAAC8BAABfcmVscy8ucmVsc1BLAQItABQABgAIAAAA&#10;IQBJTSnmgwIAAGsFAAAOAAAAAAAAAAAAAAAAAC4CAABkcnMvZTJvRG9jLnhtbFBLAQItABQABgAI&#10;AAAAIQBfgd3P4wAAAAsBAAAPAAAAAAAAAAAAAAAAAN0EAABkcnMvZG93bnJldi54bWxQSwUGAAAA&#10;AAQABADzAAAA7QUAAAAA&#10;" filled="f" stroked="f" strokeweight=".5pt">
                      <v:textbox>
                        <w:txbxContent>
                          <w:p w:rsidR="00074A55" w:rsidRPr="00074A55" w:rsidRDefault="00074A55" w:rsidP="00074A55">
                            <w:pPr>
                              <w:tabs>
                                <w:tab w:val="center" w:pos="142"/>
                                <w:tab w:val="center" w:pos="993"/>
                                <w:tab w:val="center" w:pos="1843"/>
                                <w:tab w:val="center" w:pos="2665"/>
                                <w:tab w:val="center" w:pos="3459"/>
                              </w:tabs>
                              <w:rPr>
                                <w:rFonts w:ascii="Arial" w:hAnsi="Arial" w:cs="Arial"/>
                                <w:sz w:val="20"/>
                                <w:szCs w:val="20"/>
                              </w:rPr>
                            </w:pPr>
                            <w:r>
                              <w:rPr>
                                <w:rFonts w:ascii="Arial" w:hAnsi="Arial" w:cs="Arial"/>
                                <w:sz w:val="20"/>
                                <w:szCs w:val="20"/>
                              </w:rPr>
                              <w:tab/>
                            </w:r>
                            <w:r w:rsidRPr="00074A55">
                              <w:rPr>
                                <w:rFonts w:ascii="Arial" w:hAnsi="Arial" w:cs="Arial"/>
                                <w:sz w:val="20"/>
                                <w:szCs w:val="20"/>
                              </w:rPr>
                              <w:t>4</w:t>
                            </w:r>
                            <w:r>
                              <w:rPr>
                                <w:rFonts w:ascii="Arial" w:hAnsi="Arial" w:cs="Arial"/>
                                <w:sz w:val="20"/>
                                <w:szCs w:val="20"/>
                              </w:rPr>
                              <w:tab/>
                              <w:t>2</w:t>
                            </w:r>
                            <w:r>
                              <w:rPr>
                                <w:rFonts w:ascii="Arial" w:hAnsi="Arial" w:cs="Arial"/>
                                <w:sz w:val="20"/>
                                <w:szCs w:val="20"/>
                              </w:rPr>
                              <w:tab/>
                              <w:t>0</w:t>
                            </w:r>
                            <w:r>
                              <w:rPr>
                                <w:rFonts w:ascii="Arial" w:hAnsi="Arial" w:cs="Arial"/>
                                <w:sz w:val="20"/>
                                <w:szCs w:val="20"/>
                              </w:rPr>
                              <w:tab/>
                              <w:t>2</w:t>
                            </w:r>
                            <w:r>
                              <w:rPr>
                                <w:rFonts w:ascii="Arial" w:hAnsi="Arial" w:cs="Arial"/>
                                <w:sz w:val="20"/>
                                <w:szCs w:val="20"/>
                              </w:rPr>
                              <w:tab/>
                              <w:t>4</w:t>
                            </w:r>
                          </w:p>
                        </w:txbxContent>
                      </v:textbox>
                    </v:shape>
                  </w:pict>
                </mc:Fallback>
              </mc:AlternateContent>
            </w:r>
            <w:r w:rsidR="00B530F9" w:rsidRPr="00B530F9">
              <w:rPr>
                <w:noProof/>
              </w:rPr>
              <w:drawing>
                <wp:inline distT="0" distB="0" distL="0" distR="0" wp14:anchorId="532B6F1F" wp14:editId="4452DACB">
                  <wp:extent cx="2720687" cy="2767445"/>
                  <wp:effectExtent l="0" t="0" r="3810" b="0"/>
                  <wp:docPr id="21" name="Chart 21" descr="Figure 4 Population ageing until the 22nd century. This figure is comprised of two charts. This chart shows projections of the annual population growth rates of those aged 75+ and 85+ and the entire population between 2013 and 2100. For the 75+ age group, growth rates peak in 2022 and in 2032 for the 85+ population. In contrast, overall annual population growth rates fall across the period. "/>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253" w:type="dxa"/>
            <w:tcBorders>
              <w:top w:val="nil"/>
              <w:left w:val="nil"/>
              <w:bottom w:val="single" w:sz="4" w:space="0" w:color="auto"/>
            </w:tcBorders>
          </w:tcPr>
          <w:p w:rsidR="00AA7071" w:rsidRDefault="001F40E9" w:rsidP="008D13B1">
            <w:pPr>
              <w:pStyle w:val="Figure"/>
            </w:pPr>
            <w:r>
              <w:rPr>
                <w:noProof/>
              </w:rPr>
              <mc:AlternateContent>
                <mc:Choice Requires="wps">
                  <w:drawing>
                    <wp:anchor distT="0" distB="0" distL="114300" distR="114300" simplePos="0" relativeHeight="251670528" behindDoc="0" locked="0" layoutInCell="1" allowOverlap="1">
                      <wp:simplePos x="0" y="0"/>
                      <wp:positionH relativeFrom="column">
                        <wp:posOffset>1165860</wp:posOffset>
                      </wp:positionH>
                      <wp:positionV relativeFrom="paragraph">
                        <wp:posOffset>1198616</wp:posOffset>
                      </wp:positionV>
                      <wp:extent cx="766445" cy="37020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766445" cy="3702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40E9" w:rsidRPr="001F40E9" w:rsidRDefault="001F40E9" w:rsidP="001F40E9">
                                  <w:pPr>
                                    <w:jc w:val="center"/>
                                    <w:rPr>
                                      <w:rFonts w:ascii="Arial" w:hAnsi="Arial" w:cs="Arial"/>
                                      <w:b/>
                                      <w:color w:val="FFFFFF" w:themeColor="background1"/>
                                      <w:sz w:val="20"/>
                                      <w:szCs w:val="20"/>
                                    </w:rPr>
                                  </w:pPr>
                                  <w:r w:rsidRPr="001F40E9">
                                    <w:rPr>
                                      <w:rFonts w:ascii="Arial" w:hAnsi="Arial" w:cs="Arial"/>
                                      <w:b/>
                                      <w:color w:val="FFFFFF" w:themeColor="background1"/>
                                      <w:sz w:val="20"/>
                                      <w:szCs w:val="20"/>
                                    </w:rPr>
                                    <w:t>Males</w:t>
                                  </w:r>
                                </w:p>
                                <w:p w:rsidR="001F40E9" w:rsidRPr="001F40E9" w:rsidRDefault="001F40E9" w:rsidP="001F40E9">
                                  <w:pPr>
                                    <w:jc w:val="center"/>
                                    <w:rPr>
                                      <w:rFonts w:ascii="Arial" w:hAnsi="Arial" w:cs="Arial"/>
                                      <w:b/>
                                      <w:color w:val="FFFFFF" w:themeColor="background1"/>
                                      <w:sz w:val="20"/>
                                      <w:szCs w:val="20"/>
                                    </w:rPr>
                                  </w:pPr>
                                  <w:r w:rsidRPr="001F40E9">
                                    <w:rPr>
                                      <w:rFonts w:ascii="Arial" w:hAnsi="Arial" w:cs="Arial"/>
                                      <w:b/>
                                      <w:color w:val="FFFFFF" w:themeColor="background1"/>
                                      <w:sz w:val="20"/>
                                      <w:szCs w:val="20"/>
                                    </w:rPr>
                                    <w:t>2100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27" type="#_x0000_t202" style="position:absolute;left:0;text-align:left;margin-left:91.8pt;margin-top:94.4pt;width:60.35pt;height:29.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7KdgAIAAGoFAAAOAAAAZHJzL2Uyb0RvYy54bWysVN9v2jAQfp+0/8Hy+0igQDdEqFgrpklV&#10;W61MfTaODdFsn2cbEvbX7+wkFLG9dNpLcr77/Pl+z28archBOF+BKehwkFMiDIeyMtuCfl+vPnyk&#10;xAdmSqbAiIIehac3i/fv5rWdiRHsQJXCESQxflbbgu5CsLMs83wnNPMDsMKgUYLTLODRbbPSsRrZ&#10;tcpGeT7NanCldcCF96i9a410kfilFDw8SulFIKqg6FtIX5e+m/jNFnM22zpmdxXv3GD/4IVmlcFH&#10;T1R3LDCyd9UfVLriDjzIMOCgM5Cy4iLFgNEM84tonnfMihQLJsfbU5r8/6PlD4cnR6qyoFeYHsM0&#10;1mgtmkA+Q0NQhfmprZ8h7NkiMDSoxzr3eo/KGHYjnY5/DIigHamOp+xGNo7K6+l0PJ5QwtF0dZ2P&#10;8klkyV4vW+fDFwGaRKGgDouXcsoO9z600B4S3zKwqpRKBVSG1AWdXk3ydOFkQXJlIlakVuhoYkCt&#10;40kKRyUiRplvQmIqkv9RkZpQ3CpHDgzbh3EuTEihJ15ER5REJ95yscO/evWWy20c/ctgwumyrgy4&#10;FP2F2+WP3mXZ4jHnZ3FHMTSbJvXAtK/rBsojlttBOzDe8lWFRblnPjwxhxOCFcapD4/4kQow+dBJ&#10;lOzA/fqbPuKxcdFKSY0TV1D/c8+coER9NdjSn4bjcRzRdBhPrkd4cOeWzbnF7PUtYFWGuF8sT2LE&#10;B9WL0oF+weWwjK+iiRmObxc09OJtaPcALhculssEwqG0LNybZ8sjdSxSbLl188Kc7foyYEM/QD+b&#10;bHbRni023jSw3AeQVerdmOc2q13+caBT93fLJ26M83NCva7IxW8AAAD//wMAUEsDBBQABgAIAAAA&#10;IQDHn5Yr4QAAAAsBAAAPAAAAZHJzL2Rvd25yZXYueG1sTI9NS8NAEIbvgv9hGcGb3TSpNcRsSgkU&#10;QfTQ2ou3TXaaBLOzMbtto7/e6ane5mUe3o98NdlenHD0nSMF81kEAql2pqNGwf5j85CC8EGT0b0j&#10;VPCDHlbF7U2uM+POtMXTLjSCTchnWkEbwpBJ6esWrfYzNyDx7+BGqwPLsZFm1Gc2t72Mo2gpre6I&#10;E1o9YNli/bU7WgWv5eZdb6vYpr99+fJ2WA/f+89Hpe7vpvUziIBTuMJwqc/VoeBOlTuS8aJnnSZL&#10;Ri9HyhuYSKJFAqJSEC+e5iCLXP7fUPwBAAD//wMAUEsBAi0AFAAGAAgAAAAhALaDOJL+AAAA4QEA&#10;ABMAAAAAAAAAAAAAAAAAAAAAAFtDb250ZW50X1R5cGVzXS54bWxQSwECLQAUAAYACAAAACEAOP0h&#10;/9YAAACUAQAACwAAAAAAAAAAAAAAAAAvAQAAX3JlbHMvLnJlbHNQSwECLQAUAAYACAAAACEAENuy&#10;nYACAABqBQAADgAAAAAAAAAAAAAAAAAuAgAAZHJzL2Uyb0RvYy54bWxQSwECLQAUAAYACAAAACEA&#10;x5+WK+EAAAALAQAADwAAAAAAAAAAAAAAAADaBAAAZHJzL2Rvd25yZXYueG1sUEsFBgAAAAAEAAQA&#10;8wAAAOgFAAAAAA==&#10;" filled="f" stroked="f" strokeweight=".5pt">
                      <v:textbox>
                        <w:txbxContent>
                          <w:p w:rsidR="001F40E9" w:rsidRPr="001F40E9" w:rsidRDefault="001F40E9" w:rsidP="001F40E9">
                            <w:pPr>
                              <w:jc w:val="center"/>
                              <w:rPr>
                                <w:rFonts w:ascii="Arial" w:hAnsi="Arial" w:cs="Arial"/>
                                <w:b/>
                                <w:color w:val="FFFFFF" w:themeColor="background1"/>
                                <w:sz w:val="20"/>
                                <w:szCs w:val="20"/>
                              </w:rPr>
                            </w:pPr>
                            <w:r w:rsidRPr="001F40E9">
                              <w:rPr>
                                <w:rFonts w:ascii="Arial" w:hAnsi="Arial" w:cs="Arial"/>
                                <w:b/>
                                <w:color w:val="FFFFFF" w:themeColor="background1"/>
                                <w:sz w:val="20"/>
                                <w:szCs w:val="20"/>
                              </w:rPr>
                              <w:t>Males</w:t>
                            </w:r>
                          </w:p>
                          <w:p w:rsidR="001F40E9" w:rsidRPr="001F40E9" w:rsidRDefault="001F40E9" w:rsidP="001F40E9">
                            <w:pPr>
                              <w:jc w:val="center"/>
                              <w:rPr>
                                <w:rFonts w:ascii="Arial" w:hAnsi="Arial" w:cs="Arial"/>
                                <w:b/>
                                <w:color w:val="FFFFFF" w:themeColor="background1"/>
                                <w:sz w:val="20"/>
                                <w:szCs w:val="20"/>
                              </w:rPr>
                            </w:pPr>
                            <w:r w:rsidRPr="001F40E9">
                              <w:rPr>
                                <w:rFonts w:ascii="Arial" w:hAnsi="Arial" w:cs="Arial"/>
                                <w:b/>
                                <w:color w:val="FFFFFF" w:themeColor="background1"/>
                                <w:sz w:val="20"/>
                                <w:szCs w:val="20"/>
                              </w:rPr>
                              <w:t>2100</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422275</wp:posOffset>
                      </wp:positionH>
                      <wp:positionV relativeFrom="paragraph">
                        <wp:posOffset>1181735</wp:posOffset>
                      </wp:positionV>
                      <wp:extent cx="742950" cy="37084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742950"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40E9" w:rsidRPr="001F40E9" w:rsidRDefault="001F40E9" w:rsidP="001F40E9">
                                  <w:pPr>
                                    <w:jc w:val="center"/>
                                    <w:rPr>
                                      <w:rFonts w:ascii="Arial" w:hAnsi="Arial" w:cs="Arial"/>
                                      <w:b/>
                                      <w:color w:val="FFFFFF" w:themeColor="background1"/>
                                      <w:sz w:val="20"/>
                                      <w:szCs w:val="20"/>
                                    </w:rPr>
                                  </w:pPr>
                                  <w:r w:rsidRPr="001F40E9">
                                    <w:rPr>
                                      <w:rFonts w:ascii="Arial" w:hAnsi="Arial" w:cs="Arial"/>
                                      <w:b/>
                                      <w:color w:val="FFFFFF" w:themeColor="background1"/>
                                      <w:sz w:val="20"/>
                                      <w:szCs w:val="20"/>
                                    </w:rPr>
                                    <w:t>Females</w:t>
                                  </w:r>
                                </w:p>
                                <w:p w:rsidR="001F40E9" w:rsidRPr="001F40E9" w:rsidRDefault="001F40E9" w:rsidP="001F40E9">
                                  <w:pPr>
                                    <w:jc w:val="center"/>
                                    <w:rPr>
                                      <w:rFonts w:ascii="Arial" w:hAnsi="Arial" w:cs="Arial"/>
                                      <w:b/>
                                      <w:color w:val="FFFFFF" w:themeColor="background1"/>
                                      <w:sz w:val="20"/>
                                      <w:szCs w:val="20"/>
                                    </w:rPr>
                                  </w:pPr>
                                  <w:r w:rsidRPr="001F40E9">
                                    <w:rPr>
                                      <w:rFonts w:ascii="Arial" w:hAnsi="Arial" w:cs="Arial"/>
                                      <w:b/>
                                      <w:color w:val="FFFFFF" w:themeColor="background1"/>
                                      <w:sz w:val="20"/>
                                      <w:szCs w:val="20"/>
                                    </w:rPr>
                                    <w:t>2100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28" type="#_x0000_t202" style="position:absolute;left:0;text-align:left;margin-left:33.25pt;margin-top:93.05pt;width:58.5pt;height:2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Sk9gAIAAGoFAAAOAAAAZHJzL2Uyb0RvYy54bWysVE1PGzEQvVfqf7B8L5uE8BWxQSmIqhIC&#10;VKg4O16brOr1uLaTbPrrefZmQ0p7oepldzzzPJ5583F+0TaGrZQPNdmSDw8GnCkrqartc8m/P15/&#10;OuUsRGErYciqkm9U4BfTjx/O126iRrQgUynP4MSGydqVfBGjmxRFkAvViHBATlkYNflGRBz9c1F5&#10;sYb3xhSjweC4WJOvnCepQoD2qjPyafavtZLxTuugIjMlR2wxf33+ztO3mJ6LybMXblHLbRjiH6Jo&#10;RG3x6M7VlYiCLX39h6umlp4C6XggqSlI61qqnAOyGQ7eZPOwEE7lXEBOcDuawv9zK29X957VVclH&#10;Z5xZ0aBGj6qN7DO1DCrws3ZhAtiDAzC20KPOvT5AmdJutW/SHwkx2MH0Zsdu8iahPBmPzo5gkTAd&#10;ngxOx5n94vWy8yF+UdSwJJTco3iZU7G6CRGBANpD0luWrmtjcgGNZeuSHx/C/W8W3DA2aVRuha2b&#10;lFAXeJbixqiEMfab0qAix58UuQnVpfFsJdA+QkplY049+wU6oTSCeM/FLf41qvdc7vLoXyYbd5eb&#10;2pLP2b8Ju/rRh6w7PIjcyzuJsZ23uQeO+rrOqdqg3J66gQlOXtcoyo0I8V54TAjqiKmPd/hoQyCf&#10;thJnC/K//qZPeDQurJytMXElDz+XwivOzFeLlj4bjtESLObD+OhkhIPft8z3LXbZXBKqMsR+cTKL&#10;CR9NL2pPzROWwyy9CpOwEm+XPPbiZez2AJaLVLNZBmEonYg39sHJ5DoVKbXcY/skvNv2ZURD31I/&#10;m2Lypj07bLppabaMpOvcu4nnjtUt/xjo3NLb5ZM2xv45o15X5PQFAAD//wMAUEsDBBQABgAIAAAA&#10;IQANC8LO4AAAAAoBAAAPAAAAZHJzL2Rvd25yZXYueG1sTI/BToNAEIbvJr7DZky82aVYCEGWpiFp&#10;TIweWnvxNrBTILK7yG5b9OmdnvQ4/3z555tiPZtBnGnyvbMKlosIBNnG6d62Cg7v24cMhA9oNQ7O&#10;koJv8rAub28KzLW72B2d96EVXGJ9jgq6EMZcSt90ZNAv3EiWd0c3GQw8Tq3UE1643AwyjqJUGuwt&#10;X+hwpKqj5nN/Mgpequ0b7urYZD9D9fx63Ixfh49Eqfu7efMEItAc/mC46rM6lOxUu5PVXgwK0jRh&#10;kvMsXYK4AtkjJ7WCeLVKQJaF/P9C+QsAAP//AwBQSwECLQAUAAYACAAAACEAtoM4kv4AAADhAQAA&#10;EwAAAAAAAAAAAAAAAAAAAAAAW0NvbnRlbnRfVHlwZXNdLnhtbFBLAQItABQABgAIAAAAIQA4/SH/&#10;1gAAAJQBAAALAAAAAAAAAAAAAAAAAC8BAABfcmVscy8ucmVsc1BLAQItABQABgAIAAAAIQDIPSk9&#10;gAIAAGoFAAAOAAAAAAAAAAAAAAAAAC4CAABkcnMvZTJvRG9jLnhtbFBLAQItABQABgAIAAAAIQAN&#10;C8LO4AAAAAoBAAAPAAAAAAAAAAAAAAAAANoEAABkcnMvZG93bnJldi54bWxQSwUGAAAAAAQABADz&#10;AAAA5wUAAAAA&#10;" filled="f" stroked="f" strokeweight=".5pt">
                      <v:textbox>
                        <w:txbxContent>
                          <w:p w:rsidR="001F40E9" w:rsidRPr="001F40E9" w:rsidRDefault="001F40E9" w:rsidP="001F40E9">
                            <w:pPr>
                              <w:jc w:val="center"/>
                              <w:rPr>
                                <w:rFonts w:ascii="Arial" w:hAnsi="Arial" w:cs="Arial"/>
                                <w:b/>
                                <w:color w:val="FFFFFF" w:themeColor="background1"/>
                                <w:sz w:val="20"/>
                                <w:szCs w:val="20"/>
                              </w:rPr>
                            </w:pPr>
                            <w:r w:rsidRPr="001F40E9">
                              <w:rPr>
                                <w:rFonts w:ascii="Arial" w:hAnsi="Arial" w:cs="Arial"/>
                                <w:b/>
                                <w:color w:val="FFFFFF" w:themeColor="background1"/>
                                <w:sz w:val="20"/>
                                <w:szCs w:val="20"/>
                              </w:rPr>
                              <w:t>Females</w:t>
                            </w:r>
                          </w:p>
                          <w:p w:rsidR="001F40E9" w:rsidRPr="001F40E9" w:rsidRDefault="001F40E9" w:rsidP="001F40E9">
                            <w:pPr>
                              <w:jc w:val="center"/>
                              <w:rPr>
                                <w:rFonts w:ascii="Arial" w:hAnsi="Arial" w:cs="Arial"/>
                                <w:b/>
                                <w:color w:val="FFFFFF" w:themeColor="background1"/>
                                <w:sz w:val="20"/>
                                <w:szCs w:val="20"/>
                              </w:rPr>
                            </w:pPr>
                            <w:r w:rsidRPr="001F40E9">
                              <w:rPr>
                                <w:rFonts w:ascii="Arial" w:hAnsi="Arial" w:cs="Arial"/>
                                <w:b/>
                                <w:color w:val="FFFFFF" w:themeColor="background1"/>
                                <w:sz w:val="20"/>
                                <w:szCs w:val="20"/>
                              </w:rPr>
                              <w:t>2100</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0E7E0AA" wp14:editId="6AA2B70B">
                      <wp:simplePos x="0" y="0"/>
                      <wp:positionH relativeFrom="column">
                        <wp:posOffset>2019971</wp:posOffset>
                      </wp:positionH>
                      <wp:positionV relativeFrom="paragraph">
                        <wp:posOffset>897507</wp:posOffset>
                      </wp:positionV>
                      <wp:extent cx="0" cy="288925"/>
                      <wp:effectExtent l="95250" t="0" r="57150" b="53975"/>
                      <wp:wrapNone/>
                      <wp:docPr id="6" name="Straight Arrow Connector 6"/>
                      <wp:cNvGraphicFramePr/>
                      <a:graphic xmlns:a="http://schemas.openxmlformats.org/drawingml/2006/main">
                        <a:graphicData uri="http://schemas.microsoft.com/office/word/2010/wordprocessingShape">
                          <wps:wsp>
                            <wps:cNvCnPr/>
                            <wps:spPr>
                              <a:xfrm>
                                <a:off x="0" y="0"/>
                                <a:ext cx="0" cy="28892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159.05pt;margin-top:70.65pt;width:0;height:2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2036QEAADkEAAAOAAAAZHJzL2Uyb0RvYy54bWysU82O0zAQviPxDpbvNG2llhI1XaEuywVB&#10;xcIDeB27sWR7rLFp2rdn7KQpu3ABcXFiZ775fjLe3p2dZSeF0YBv+GI250x5Ca3xx4Z///bwZsNZ&#10;TMK3woJXDb+oyO92r19t+1CrJXRgW4WMmvhY96HhXUqhrqooO+VEnEFQnj5qQCcSbfFYtSh66u5s&#10;tZzP11UP2AYEqWKk0/vhI9+V/lormb5oHVVituGkLZUVy/qU12q3FfURReiMHGWIf1DhhPFEOrW6&#10;F0mwH2h+a+WMRIig00yCq0BrI1XxQG4W8xduHjsRVPFC4cQwxRT/X1v5+XRAZtqGrznzwtEvekwo&#10;zLFL7D0i9GwP3lOMgGyd0+pDrAm09wccdzEcMFs/a3T5SabYuSR8mRJW58TkcCjpdLnZvFuucrvq&#10;hgsY00cFjuWXhsdRxsS/KAGL06eYBuAVkEmtZz3N32rzdlXKIljTPhhr88cyTWpvkZ0EzUE6L0bq&#10;Z1VJGPvBtyxdAqUgsvmxzHoSmo0PVstbulg1EH9VmgIkc4PAF2RCSuXTldB6qs4wTdIm4HyQnGf+&#10;pvI5cKzPUFXG+m/AE6Iwg08T2BkP+Cf2W0Z6qL8mMPjOETxBeylDUKKh+Sx/c7xL+QL8ui/w243f&#10;/QQAAP//AwBQSwMEFAAGAAgAAAAhAKu2ynzdAAAACwEAAA8AAABkcnMvZG93bnJldi54bWxMj8FO&#10;wzAQRO9I/IO1SNzoJhRVIY1TVUgc4IJokbg68TYJxOsQu2ng61nEAY478zQ7U2xm16uJxtB51pAu&#10;ElDEtbcdNxpe9vdXGagQDVvTeyYNnxRgU56fFSa3/sTPNO1ioySEQ240tDEOOWKoW3ImLPxALN7B&#10;j85EOccG7WhOEu56vE6SFTrTsXxozUB3LdXvu6PT4Kro6AG/0G2f3tJb7/H18WPS+vJi3q5BRZrj&#10;Hww/9aU6lNKp8ke2QfUalmmWCirGTboEJcSvUomSrTLAssD/G8pvAAAA//8DAFBLAQItABQABgAI&#10;AAAAIQC2gziS/gAAAOEBAAATAAAAAAAAAAAAAAAAAAAAAABbQ29udGVudF9UeXBlc10ueG1sUEsB&#10;Ai0AFAAGAAgAAAAhADj9If/WAAAAlAEAAAsAAAAAAAAAAAAAAAAALwEAAF9yZWxzLy5yZWxzUEsB&#10;Ai0AFAAGAAgAAAAhANFzbTfpAQAAOQQAAA4AAAAAAAAAAAAAAAAALgIAAGRycy9lMm9Eb2MueG1s&#10;UEsBAi0AFAAGAAgAAAAhAKu2ynzdAAAACwEAAA8AAAAAAAAAAAAAAAAAQwQAAGRycy9kb3ducmV2&#10;LnhtbFBLBQYAAAAABAAEAPMAAABNBQAAAAA=&#10;" strokecolor="black [3213]" strokeweight="1.25pt">
                      <v:stroke endarrow="open"/>
                    </v:shape>
                  </w:pict>
                </mc:Fallback>
              </mc:AlternateContent>
            </w:r>
            <w:r>
              <w:rPr>
                <w:noProof/>
              </w:rPr>
              <mc:AlternateContent>
                <mc:Choice Requires="wps">
                  <w:drawing>
                    <wp:anchor distT="0" distB="0" distL="114300" distR="114300" simplePos="0" relativeHeight="251668480" behindDoc="0" locked="0" layoutInCell="1" allowOverlap="1" wp14:anchorId="6BD8F30C" wp14:editId="7CF116EE">
                      <wp:simplePos x="0" y="0"/>
                      <wp:positionH relativeFrom="column">
                        <wp:posOffset>130175</wp:posOffset>
                      </wp:positionH>
                      <wp:positionV relativeFrom="paragraph">
                        <wp:posOffset>2639324</wp:posOffset>
                      </wp:positionV>
                      <wp:extent cx="2104845" cy="241539"/>
                      <wp:effectExtent l="0" t="0" r="0" b="6350"/>
                      <wp:wrapNone/>
                      <wp:docPr id="28" name="Text Box 28"/>
                      <wp:cNvGraphicFramePr/>
                      <a:graphic xmlns:a="http://schemas.openxmlformats.org/drawingml/2006/main">
                        <a:graphicData uri="http://schemas.microsoft.com/office/word/2010/wordprocessingShape">
                          <wps:wsp>
                            <wps:cNvSpPr txBox="1"/>
                            <wps:spPr>
                              <a:xfrm>
                                <a:off x="0" y="0"/>
                                <a:ext cx="2104845" cy="2415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40E9" w:rsidRPr="001F40E9" w:rsidRDefault="001F40E9" w:rsidP="001F40E9">
                                  <w:pPr>
                                    <w:jc w:val="center"/>
                                    <w:rPr>
                                      <w:rFonts w:ascii="Arial" w:hAnsi="Arial" w:cs="Arial"/>
                                      <w:b/>
                                      <w:sz w:val="20"/>
                                      <w:szCs w:val="20"/>
                                    </w:rPr>
                                  </w:pPr>
                                  <w:r>
                                    <w:rPr>
                                      <w:rFonts w:ascii="Arial" w:hAnsi="Arial" w:cs="Arial"/>
                                      <w:b/>
                                      <w:sz w:val="20"/>
                                      <w:szCs w:val="20"/>
                                    </w:rPr>
                                    <w:t>Share of population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 o:spid="_x0000_s1029" type="#_x0000_t202" style="position:absolute;left:0;text-align:left;margin-left:10.25pt;margin-top:207.8pt;width:165.75pt;height:1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1OggIAAGsFAAAOAAAAZHJzL2Uyb0RvYy54bWysVN9v2jAQfp+0/8Hy+xqgoWsRoWKtmCah&#10;thpMfTaOXaLZPs82JOyv79lJKGJ76bSX5Hz3+Xw/vrvpbaMV2QvnKzAFHV4MKBGGQ1mZl4L+WC8+&#10;XVPiAzMlU2BEQQ/C09vZxw/T2k7ECLagSuEIOjF+UtuCbkOwkyzzfCs08xdghUGjBKdZwKN7yUrH&#10;avSuVTYaDK6yGlxpHXDhPWrvWyOdJf9SCh4epfQiEFVQjC2kr0vfTfxmsymbvDhmtxXvwmD/EIVm&#10;lcFHj67uWWBk56o/XOmKO/AgwwUHnYGUFRcpB8xmODjLZrVlVqRcsDjeHsvk/59b/rB/cqQqCzrC&#10;ThmmsUdr0QTyBRqCKqxPbf0EYSuLwNCgHvvc6z0qY9qNdDr+MSGCdqz04Vjd6I2jcjQc5Nf5mBKO&#10;tlE+HF/eRDfZ223rfPgqQJMoFNRh91JR2X7pQwvtIfExA4tKqdRBZUhd0KvL8SBdOFrQuTIRKxIX&#10;OjcxozbyJIWDEhGjzHchsRYpgahILBR3ypE9Q/4wzoUJKffkF9ERJTGI91zs8G9Rvedym0f/Mphw&#10;vKwrAy5lfxZ2+bMPWbZ4rPlJ3lEMzaZJJMj7xm6gPGC/HbQT4y1fVNiUJfPhiTkcEWwxjn14xI9U&#10;gMWHTqJkC+733/QRj8xFKyU1jlxB/a8dc4IS9c0gp2+GeR5nNB3y8ecRHtypZXNqMTt9B9iVIS4Y&#10;y5MY8UH1onSgn3E7zOOraGKG49sFDb14F9pFgNuFi/k8gXAqLQtLs7I8uo5NipRbN8/M2Y6XARn9&#10;AP1wsskZPVtsvGlgvgsgq8TdWOe2ql39caIT+7vtE1fG6Tmh3nbk7BUAAP//AwBQSwMEFAAGAAgA&#10;AAAhAILoKebhAAAACgEAAA8AAABkcnMvZG93bnJldi54bWxMj01Lw0AQhu9C/8MyBW9209QNJWZT&#10;SqAIoofWXrxtstMkuB8xu22jv97xZI8z8/DO8xabyRp2wTH03klYLhJg6Bqve9dKOL7vHtbAQlRO&#10;K+MdSvjGAJtydleoXPur2+PlEFtGIS7kSkIX45BzHpoOrQoLP6Cj28mPVkUax5brUV0p3BqeJknG&#10;reodfejUgFWHzefhbCW8VLs3ta9Tu/4x1fPraTt8HT+ElPfzafsELOIU/2H40yd1KMmp9menAzMS&#10;0kQQKeFxKTJgBKxESuVq2ohVBrws+G2F8hcAAP//AwBQSwECLQAUAAYACAAAACEAtoM4kv4AAADh&#10;AQAAEwAAAAAAAAAAAAAAAAAAAAAAW0NvbnRlbnRfVHlwZXNdLnhtbFBLAQItABQABgAIAAAAIQA4&#10;/SH/1gAAAJQBAAALAAAAAAAAAAAAAAAAAC8BAABfcmVscy8ucmVsc1BLAQItABQABgAIAAAAIQDS&#10;wX1OggIAAGsFAAAOAAAAAAAAAAAAAAAAAC4CAABkcnMvZTJvRG9jLnhtbFBLAQItABQABgAIAAAA&#10;IQCC6Cnm4QAAAAoBAAAPAAAAAAAAAAAAAAAAANwEAABkcnMvZG93bnJldi54bWxQSwUGAAAAAAQA&#10;BADzAAAA6gUAAAAA&#10;" filled="f" stroked="f" strokeweight=".5pt">
                      <v:textbox>
                        <w:txbxContent>
                          <w:p w:rsidR="001F40E9" w:rsidRPr="001F40E9" w:rsidRDefault="001F40E9" w:rsidP="001F40E9">
                            <w:pPr>
                              <w:jc w:val="center"/>
                              <w:rPr>
                                <w:rFonts w:ascii="Arial" w:hAnsi="Arial" w:cs="Arial"/>
                                <w:b/>
                                <w:sz w:val="20"/>
                                <w:szCs w:val="20"/>
                              </w:rPr>
                            </w:pPr>
                            <w:r>
                              <w:rPr>
                                <w:rFonts w:ascii="Arial" w:hAnsi="Arial" w:cs="Arial"/>
                                <w:b/>
                                <w:sz w:val="20"/>
                                <w:szCs w:val="20"/>
                              </w:rPr>
                              <w:t>Share of population (%)</w:t>
                            </w:r>
                          </w:p>
                        </w:txbxContent>
                      </v:textbox>
                    </v:shape>
                  </w:pict>
                </mc:Fallback>
              </mc:AlternateContent>
            </w:r>
            <w:r w:rsidR="00074A55">
              <w:rPr>
                <w:noProof/>
              </w:rPr>
              <mc:AlternateContent>
                <mc:Choice Requires="wps">
                  <w:drawing>
                    <wp:anchor distT="0" distB="0" distL="114300" distR="114300" simplePos="0" relativeHeight="251666432" behindDoc="0" locked="0" layoutInCell="1" allowOverlap="1" wp14:anchorId="4809A72A" wp14:editId="355ED618">
                      <wp:simplePos x="0" y="0"/>
                      <wp:positionH relativeFrom="column">
                        <wp:posOffset>2157095</wp:posOffset>
                      </wp:positionH>
                      <wp:positionV relativeFrom="paragraph">
                        <wp:posOffset>793750</wp:posOffset>
                      </wp:positionV>
                      <wp:extent cx="395288" cy="1273175"/>
                      <wp:effectExtent l="0" t="0" r="0" b="3175"/>
                      <wp:wrapNone/>
                      <wp:docPr id="26" name="Text Box 26"/>
                      <wp:cNvGraphicFramePr/>
                      <a:graphic xmlns:a="http://schemas.openxmlformats.org/drawingml/2006/main">
                        <a:graphicData uri="http://schemas.microsoft.com/office/word/2010/wordprocessingShape">
                          <wps:wsp>
                            <wps:cNvSpPr txBox="1"/>
                            <wps:spPr>
                              <a:xfrm>
                                <a:off x="0" y="0"/>
                                <a:ext cx="395288" cy="1273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74A55" w:rsidRPr="00074A55" w:rsidRDefault="00074A55" w:rsidP="00074A55">
                                  <w:pPr>
                                    <w:jc w:val="center"/>
                                    <w:rPr>
                                      <w:rFonts w:ascii="Arial" w:hAnsi="Arial" w:cs="Arial"/>
                                      <w:b/>
                                      <w:sz w:val="20"/>
                                      <w:szCs w:val="20"/>
                                    </w:rPr>
                                  </w:pPr>
                                  <w:r>
                                    <w:rPr>
                                      <w:rFonts w:ascii="Arial" w:hAnsi="Arial" w:cs="Arial"/>
                                      <w:b/>
                                      <w:sz w:val="20"/>
                                      <w:szCs w:val="20"/>
                                    </w:rPr>
                                    <w:t>5 year age groups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left:0;text-align:left;margin-left:169.85pt;margin-top:62.5pt;width:31.15pt;height:10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SyUhAIAAHAFAAAOAAAAZHJzL2Uyb0RvYy54bWysVN9v2jAQfp+0/8Hy+xpIC7SIULFWTJOq&#10;thpMfTaOXaLZPs82JOyv39lJKGJ76bQXx7777sv9nt02WpG9cL4CU9DhxYASYTiUlXkt6Pf18tM1&#10;JT4wUzIFRhT0IDy9nX/8MKvtVOSwBVUKR5DE+GltC7oNwU6zzPOt0MxfgBUGlRKcZgGf7jUrHauR&#10;XassHwzGWQ2utA648B6l962SzhO/lIKHJym9CEQVFH0L6XTp3MQzm8/Y9NUxu6145wb7By80qwz+&#10;9Eh1zwIjO1f9QaUr7sCDDBccdAZSVlykGDCa4eAsmtWWWZFiweR4e0yT/3+0/HH/7EhVFjQfU2KY&#10;xhqtRRPIZ2gIijA/tfVThK0sAkODcqxzL/cojGE30un4xYAI6jHTh2N2IxtH4eXNKL/GduCoGuaT&#10;y+FkFGmyN2vrfPgiQJN4KajD6qWksv2DDy20h8SfGVhWSqUKKkPqgo4vR4NkcNQguTIRK1IvdDQx&#10;otbzdAsHJSJGmW9CYi5SAFGQulDcKUf2DPuHcS5MSLEnXkRHlEQn3mPY4d+8eo9xG0f/ZzDhaKwr&#10;Ay5Ff+Z2+aN3WbZ4zPlJ3PEamk3TNkFf2A2UB6y3g3ZivOXLCovywHx4Zg5HBEuMYx+e8JAKMPnQ&#10;3SjZgvv1N3nEFzSe+QTNa5y6gvqfO+YEJeqrwba+GV5dxTFNj6vRJMeHO9VsTjVmp+8ACzPEHWN5&#10;ukZ8UP1VOtAvuCAW8ceoYoajcwXlwfWPu9BuA1wxXCwWCYajaVl4MCvLI3msVOy7dfPCnO2aM2Bb&#10;P0I/oWx61qMtNloaWOwCyCo1cEx2m9quCDjWaQS6FRT3xuk7od4W5fw3AAAA//8DAFBLAwQUAAYA&#10;CAAAACEA47phKt4AAAALAQAADwAAAGRycy9kb3ducmV2LnhtbEyPwU6EQBBE7yb+w6RNvLmDIK4i&#10;w8ZoNPFiIopeG2iBLNNDmNld9u9tT3rrSlWqX+WbxY5qT7MfHBu4XEWgiBvXDtwZ+Hh/urgB5QNy&#10;i6NjMnAkD5vi9CTHrHUHfqN9GTolJewzNNCHMGVa+6Yni37lJmLxvt1sMYicO93OeJByO+o4iq61&#10;xYHlQ48TPfTUbMudNbCusOK0OlJS4vYx/Xyd6q/nF2POz5b7O1CBlvAXhl98QYdCmGq349ar0UCS&#10;3K4lKkacyihJXEWxHLVYcZqCLnL9f0PxAwAA//8DAFBLAQItABQABgAIAAAAIQC2gziS/gAAAOEB&#10;AAATAAAAAAAAAAAAAAAAAAAAAABbQ29udGVudF9UeXBlc10ueG1sUEsBAi0AFAAGAAgAAAAhADj9&#10;If/WAAAAlAEAAAsAAAAAAAAAAAAAAAAALwEAAF9yZWxzLy5yZWxzUEsBAi0AFAAGAAgAAAAhAKQZ&#10;LJSEAgAAcAUAAA4AAAAAAAAAAAAAAAAALgIAAGRycy9lMm9Eb2MueG1sUEsBAi0AFAAGAAgAAAAh&#10;AOO6YSreAAAACwEAAA8AAAAAAAAAAAAAAAAA3gQAAGRycy9kb3ducmV2LnhtbFBLBQYAAAAABAAE&#10;APMAAADpBQAAAAA=&#10;" filled="f" stroked="f" strokeweight=".5pt">
                      <v:textbox style="layout-flow:vertical;mso-layout-flow-alt:bottom-to-top">
                        <w:txbxContent>
                          <w:p w:rsidR="00074A55" w:rsidRPr="00074A55" w:rsidRDefault="00074A55" w:rsidP="00074A55">
                            <w:pPr>
                              <w:jc w:val="center"/>
                              <w:rPr>
                                <w:rFonts w:ascii="Arial" w:hAnsi="Arial" w:cs="Arial"/>
                                <w:b/>
                                <w:sz w:val="20"/>
                                <w:szCs w:val="20"/>
                              </w:rPr>
                            </w:pPr>
                            <w:r>
                              <w:rPr>
                                <w:rFonts w:ascii="Arial" w:hAnsi="Arial" w:cs="Arial"/>
                                <w:b/>
                                <w:sz w:val="20"/>
                                <w:szCs w:val="20"/>
                              </w:rPr>
                              <w:t>5 year age groups</w:t>
                            </w:r>
                          </w:p>
                        </w:txbxContent>
                      </v:textbox>
                    </v:shape>
                  </w:pict>
                </mc:Fallback>
              </mc:AlternateContent>
            </w:r>
            <w:r w:rsidR="00074A55">
              <w:rPr>
                <w:noProof/>
              </w:rPr>
              <mc:AlternateContent>
                <mc:Choice Requires="wps">
                  <w:drawing>
                    <wp:anchor distT="0" distB="0" distL="114300" distR="114300" simplePos="0" relativeHeight="251664384" behindDoc="0" locked="0" layoutInCell="1" allowOverlap="1" wp14:anchorId="12481669" wp14:editId="72907CC1">
                      <wp:simplePos x="0" y="0"/>
                      <wp:positionH relativeFrom="column">
                        <wp:posOffset>1804670</wp:posOffset>
                      </wp:positionH>
                      <wp:positionV relativeFrom="paragraph">
                        <wp:posOffset>669925</wp:posOffset>
                      </wp:positionV>
                      <wp:extent cx="495300" cy="279400"/>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79400"/>
                              </a:xfrm>
                              <a:prstGeom prst="rect">
                                <a:avLst/>
                              </a:prstGeom>
                              <a:noFill/>
                              <a:ln w="9525">
                                <a:noFill/>
                                <a:miter lim="800000"/>
                                <a:headEnd/>
                                <a:tailEnd/>
                              </a:ln>
                            </wps:spPr>
                            <wps:txbx>
                              <w:txbxContent>
                                <w:p w:rsidR="00074A55" w:rsidRPr="00B3589D" w:rsidRDefault="00074A55" w:rsidP="00074A55">
                                  <w:pPr>
                                    <w:rPr>
                                      <w:rFonts w:ascii="Arial" w:hAnsi="Arial" w:cs="Arial"/>
                                      <w:sz w:val="20"/>
                                      <w:szCs w:val="20"/>
                                    </w:rPr>
                                  </w:pPr>
                                  <w:r w:rsidRPr="00B3589D">
                                    <w:rPr>
                                      <w:rFonts w:ascii="Arial" w:hAnsi="Arial" w:cs="Arial"/>
                                      <w:sz w:val="20"/>
                                      <w:szCs w:val="20"/>
                                    </w:rPr>
                                    <w:t>2012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left:0;text-align:left;margin-left:142.1pt;margin-top:52.75pt;width:39pt;height: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vRMCgIAAPMDAAAOAAAAZHJzL2Uyb0RvYy54bWysU9tuGyEQfa/Uf0C817ve2HW8Mo7SpKkq&#10;pRcp6QdglvWiAkMBe9f9+gys41jJW1Ue0MDMHOacGVZXg9FkL31QYBmdTkpKpBXQKLtl9Nfj3YdL&#10;SkLktuEarGT0IAO9Wr9/t+pdLSvoQDfSEwSxoe4do12Mri6KIDppeJiAkxadLXjDIx79tmg87xHd&#10;6KIqy49FD75xHoQMAW9vRyddZ/y2lSL+aNsgI9GMYm0x7z7vm7QX6xWvt567ToljGfwfqjBcWXz0&#10;BHXLIyc7r95AGSU8BGjjRIApoG2VkJkDspmWr9g8dNzJzAXFCe4kU/h/sOL7/qcnqmH0olxQYrnB&#10;Jj3KIZJPMJAq6dO7UGPYg8PAOOA19jlzDe4exO9ALNx03G7ltffQd5I3WN80ZRZnqSNOSCCb/hs0&#10;+AzfRchAQ+tNEg/lIIiOfTqcepNKEXg5W84vSvQIdFWL5Qzt9AKvn5OdD/GLBEOSwajH1mdwvr8P&#10;cQx9DklvWbhTWuM9r7UlPaPLeTXPCWceoyJOp1aG0csyrXFeEsfPtsnJkSs92liLtkfSiefIOA6b&#10;AQOTEhtoDkjfwziF+GvQ6MD/paTHCWQ0/NlxLynRXy1KuJzOZmlk82E2X1R48OeezbmHW4FQjEZK&#10;RvMm5jEfuV6j1K3KMrxUcqwVJysLefwFaXTPzznq5a+unwAAAP//AwBQSwMEFAAGAAgAAAAhAD3T&#10;XoTeAAAACwEAAA8AAABkcnMvZG93bnJldi54bWxMj8FOwzAQRO9I/IO1lbhRuyGp2hCnQiCuVBSo&#10;1Jsbb5OIeB3FbhP+nu0JjjvzNDtTbCbXiQsOofWkYTFXIJAqb1uqNXx+vN6vQIRoyJrOE2r4wQCb&#10;8vamMLn1I73jZRdrwSEUcqOhibHPpQxVg86Eue+R2Dv5wZnI51BLO5iRw10nE6WW0pmW+ENjenxu&#10;sPrenZ2Gr7fTYZ+qbf3isn70k5Lk1lLru9n09Agi4hT/YLjW5+pQcqejP5MNotOQrNKEUTZUloFg&#10;4mGZsHJkJV1nIMtC/t9Q/gIAAP//AwBQSwECLQAUAAYACAAAACEAtoM4kv4AAADhAQAAEwAAAAAA&#10;AAAAAAAAAAAAAAAAW0NvbnRlbnRfVHlwZXNdLnhtbFBLAQItABQABgAIAAAAIQA4/SH/1gAAAJQB&#10;AAALAAAAAAAAAAAAAAAAAC8BAABfcmVscy8ucmVsc1BLAQItABQABgAIAAAAIQBpAvRMCgIAAPMD&#10;AAAOAAAAAAAAAAAAAAAAAC4CAABkcnMvZTJvRG9jLnhtbFBLAQItABQABgAIAAAAIQA9016E3gAA&#10;AAsBAAAPAAAAAAAAAAAAAAAAAGQEAABkcnMvZG93bnJldi54bWxQSwUGAAAAAAQABADzAAAAbwUA&#10;AAAA&#10;" filled="f" stroked="f">
                      <v:textbox>
                        <w:txbxContent>
                          <w:p w:rsidR="00074A55" w:rsidRPr="00B3589D" w:rsidRDefault="00074A55" w:rsidP="00074A55">
                            <w:pPr>
                              <w:rPr>
                                <w:rFonts w:ascii="Arial" w:hAnsi="Arial" w:cs="Arial"/>
                                <w:sz w:val="20"/>
                                <w:szCs w:val="20"/>
                              </w:rPr>
                            </w:pPr>
                            <w:r w:rsidRPr="00B3589D">
                              <w:rPr>
                                <w:rFonts w:ascii="Arial" w:hAnsi="Arial" w:cs="Arial"/>
                                <w:sz w:val="20"/>
                                <w:szCs w:val="20"/>
                              </w:rPr>
                              <w:t>2012</w:t>
                            </w:r>
                          </w:p>
                        </w:txbxContent>
                      </v:textbox>
                    </v:shape>
                  </w:pict>
                </mc:Fallback>
              </mc:AlternateContent>
            </w:r>
            <w:r w:rsidR="00074A55">
              <w:rPr>
                <w:noProof/>
              </w:rPr>
              <mc:AlternateContent>
                <mc:Choice Requires="wps">
                  <w:drawing>
                    <wp:anchor distT="0" distB="0" distL="114300" distR="114300" simplePos="0" relativeHeight="251665408" behindDoc="0" locked="0" layoutInCell="1" allowOverlap="1" wp14:anchorId="2C0EE450" wp14:editId="52598FA0">
                      <wp:simplePos x="0" y="0"/>
                      <wp:positionH relativeFrom="column">
                        <wp:posOffset>90170</wp:posOffset>
                      </wp:positionH>
                      <wp:positionV relativeFrom="paragraph">
                        <wp:posOffset>609600</wp:posOffset>
                      </wp:positionV>
                      <wp:extent cx="476250" cy="279400"/>
                      <wp:effectExtent l="0" t="0" r="0" b="6350"/>
                      <wp:wrapNone/>
                      <wp:docPr id="17" name="Text Box 17"/>
                      <wp:cNvGraphicFramePr/>
                      <a:graphic xmlns:a="http://schemas.openxmlformats.org/drawingml/2006/main">
                        <a:graphicData uri="http://schemas.microsoft.com/office/word/2010/wordprocessingShape">
                          <wps:wsp>
                            <wps:cNvSpPr txBox="1"/>
                            <wps:spPr>
                              <a:xfrm>
                                <a:off x="0" y="0"/>
                                <a:ext cx="476250" cy="279400"/>
                              </a:xfrm>
                              <a:prstGeom prst="rect">
                                <a:avLst/>
                              </a:prstGeom>
                              <a:noFill/>
                              <a:ln w="9525">
                                <a:noFill/>
                                <a:miter lim="800000"/>
                                <a:headEnd/>
                                <a:tailEnd/>
                              </a:ln>
                            </wps:spPr>
                            <wps:txbx>
                              <w:txbxContent>
                                <w:p w:rsidR="00074A55" w:rsidRPr="00074A55" w:rsidRDefault="00074A55" w:rsidP="00074A55">
                                  <w:pPr>
                                    <w:jc w:val="center"/>
                                    <w:rPr>
                                      <w:rFonts w:ascii="Arial" w:hAnsi="Arial" w:cs="Arial"/>
                                      <w:sz w:val="20"/>
                                      <w:szCs w:val="20"/>
                                    </w:rPr>
                                  </w:pPr>
                                  <w:r w:rsidRPr="00074A55">
                                    <w:rPr>
                                      <w:rFonts w:ascii="Arial" w:hAnsi="Arial" w:cs="Arial"/>
                                      <w:sz w:val="20"/>
                                      <w:szCs w:val="20"/>
                                    </w:rPr>
                                    <w:t>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2" type="#_x0000_t202" style="position:absolute;left:0;text-align:left;margin-left:7.1pt;margin-top:48pt;width:37.5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6W3RwIAAIgEAAAOAAAAZHJzL2Uyb0RvYy54bWysVE1vGjEQvVfqf7B8LwsIQoJYIpqUqlKU&#10;RApRzsbrZS35q7ZhN/31ffZCgtKeqnIw45nxfLw3s4vrTityED5Ia0o6GgwpEYbbSppdSZ836y+X&#10;lITITMWUNaKkryLQ6+XnT4vWzcXYNlZVwhMEMWHeupI2Mbp5UQTeCM3CwDphYKyt1yzi6ndF5VmL&#10;6FoV4+Hwomitr5y3XIQA7W1vpMscv64Fjw91HUQkqqSoLebT53ObzmK5YPOdZ66R/FgG+4cqNJMG&#10;Sd9C3bLIyN7LP0Jpyb0Nto4DbnVh61pykXtAN6Phh26eGuZE7gXgBPcGU/h/Yfn94dETWYG7GSWG&#10;aXC0EV0kX21HoAI+rQtzuD05OMYOevie9AHK1HZXe53+0RCBHUi/vqGbonEoJ7OL8RQWDtN4djUZ&#10;ZvSL98fOh/hdWE2SUFIP8jKm7HAXIgqB68kl5TJ2LZXKBCpD2pJeTcfT/ODMomXEfCmpS3o5TL+e&#10;8Uaw6pup8uPIpOplJFAGeVLHfWdJit226xE6db211SvA8LYfp+D4WqLkOxbiI/OYH3SJnYgPOGpl&#10;UZo9SpQ01v/6mz75g1ZYKWkxjyUNP/fMC0rUDwPCr0aTSRrgfJlMZ2Nc/Llle24xe31jMfIjbJ/j&#10;WUz+UZ3E2lv9gtVZpawwMcORu6TxJN7EfkuwelysVtkJI+tYvDNPjqfQiYREyKZ7Yd4dWYug+96e&#10;JpfNP5DX+/b0rfbR1jIzm3DuUT3Cj3HPhB9XM+3T+T17vX9Alr8BAAD//wMAUEsDBBQABgAIAAAA&#10;IQAEsF6Y2gAAAAgBAAAPAAAAZHJzL2Rvd25yZXYueG1sTI/BTsMwEETvSPyDtUjc6JqqVE0ap0Ig&#10;riBaQOLmxtskaryOYrcJf8/2BMe3M5qdKTaT79SZhtgGNnA/06CIq+Barg187F7uVqBisuxsF5gM&#10;/FCETXl9VdjchZHf6bxNtZIQjrk10KTU54ixasjbOAs9sWiHMHibBIca3WBHCfcdzrVeorcty4fG&#10;9vTUUHXcnryBz9fD99dCv9XP/qEfw6SRfYbG3N5Mj2tQiab0Z4ZLfakOpXTahxO7qDrhxVycBrKl&#10;TBJ9lQnvL3etAcsC/w8ofwEAAP//AwBQSwECLQAUAAYACAAAACEAtoM4kv4AAADhAQAAEwAAAAAA&#10;AAAAAAAAAAAAAAAAW0NvbnRlbnRfVHlwZXNdLnhtbFBLAQItABQABgAIAAAAIQA4/SH/1gAAAJQB&#10;AAALAAAAAAAAAAAAAAAAAC8BAABfcmVscy8ucmVsc1BLAQItABQABgAIAAAAIQC7R6W3RwIAAIgE&#10;AAAOAAAAAAAAAAAAAAAAAC4CAABkcnMvZTJvRG9jLnhtbFBLAQItABQABgAIAAAAIQAEsF6Y2gAA&#10;AAgBAAAPAAAAAAAAAAAAAAAAAKEEAABkcnMvZG93bnJldi54bWxQSwUGAAAAAAQABADzAAAAqAUA&#10;AAAA&#10;" filled="f" stroked="f">
                      <v:textbox>
                        <w:txbxContent>
                          <w:p w:rsidR="00074A55" w:rsidRPr="00074A55" w:rsidRDefault="00074A55" w:rsidP="00074A55">
                            <w:pPr>
                              <w:jc w:val="center"/>
                              <w:rPr>
                                <w:rFonts w:ascii="Arial" w:hAnsi="Arial" w:cs="Arial"/>
                                <w:sz w:val="20"/>
                                <w:szCs w:val="20"/>
                              </w:rPr>
                            </w:pPr>
                            <w:r w:rsidRPr="00074A55">
                              <w:rPr>
                                <w:rFonts w:ascii="Arial" w:hAnsi="Arial" w:cs="Arial"/>
                                <w:sz w:val="20"/>
                                <w:szCs w:val="20"/>
                              </w:rPr>
                              <w:t>2012</w:t>
                            </w:r>
                          </w:p>
                        </w:txbxContent>
                      </v:textbox>
                    </v:shape>
                  </w:pict>
                </mc:Fallback>
              </mc:AlternateContent>
            </w:r>
            <w:r w:rsidR="00074A55">
              <w:rPr>
                <w:noProof/>
              </w:rPr>
              <mc:AlternateContent>
                <mc:Choice Requires="wps">
                  <w:drawing>
                    <wp:anchor distT="0" distB="0" distL="114300" distR="114300" simplePos="0" relativeHeight="251660288" behindDoc="0" locked="0" layoutInCell="1" allowOverlap="1" wp14:anchorId="6998B9F2" wp14:editId="23227B5E">
                      <wp:simplePos x="0" y="0"/>
                      <wp:positionH relativeFrom="column">
                        <wp:posOffset>347345</wp:posOffset>
                      </wp:positionH>
                      <wp:positionV relativeFrom="paragraph">
                        <wp:posOffset>828675</wp:posOffset>
                      </wp:positionV>
                      <wp:extent cx="76200" cy="241300"/>
                      <wp:effectExtent l="19050" t="0" r="57150" b="63500"/>
                      <wp:wrapNone/>
                      <wp:docPr id="3" name="Straight Arrow Connector 3"/>
                      <wp:cNvGraphicFramePr/>
                      <a:graphic xmlns:a="http://schemas.openxmlformats.org/drawingml/2006/main">
                        <a:graphicData uri="http://schemas.microsoft.com/office/word/2010/wordprocessingShape">
                          <wps:wsp>
                            <wps:cNvCnPr/>
                            <wps:spPr>
                              <a:xfrm>
                                <a:off x="0" y="0"/>
                                <a:ext cx="76200" cy="24130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27.35pt;margin-top:65.25pt;width:6pt;height: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kOl7wEAAD0EAAAOAAAAZHJzL2Uyb0RvYy54bWysU9uO0zAQfUfiHyy/0/TCXlQ1XaEuywuC&#10;ahc+wOvYjSXbY41Nk/49YydN2YUXEC+OnZkzc87xeHPXO8uOCqMBX/PFbM6Z8hIa4w81//7t4d0t&#10;ZzEJ3wgLXtX8pCK/2759s+nCWi2hBdsoZFTEx3UXat6mFNZVFWWrnIgzCMpTUAM6keiIh6pB0VF1&#10;Z6vlfH5ddYBNQJAqRvp7PwT5ttTXWsn0VeuoErM1J26prFjW57xW241YH1CE1siRhvgHFk4YT02n&#10;UvciCfYDzW+lnJEIEXSaSXAVaG2kKhpIzWL+Ss1TK4IqWsicGCab4v8rK78c98hMU/MVZ144uqKn&#10;hMIc2sQ+IELHduA92QjIVtmtLsQ1gXZ+j+Mphj1m6b1Gl78kivXF4dPksOoTk/Tz5poujTNJkeX7&#10;xYr2VKS6YAPG9EmBY3lT8zhSmTgsisni+DmmAXgG5MbWs45m8Or25qqkRbCmeTDW5mCZKLWzyI6C&#10;ZiH1i7H1i6wkjP3oG5ZOgZwQ2YAxzXoimsUPcssunawaGj8qTSaSwIHgq2ZCSuXTuaH1lJ1hmqhN&#10;wPlAOc/9heVL4JifoaqM9t+AJ0TpDD5NYGc84J+6XzzSQ/7ZgUF3tuAZmlMZhGINzWi5zfE95Ufw&#10;67nAL69++xMAAP//AwBQSwMEFAAGAAgAAAAhAC5On/bcAAAACQEAAA8AAABkcnMvZG93bnJldi54&#10;bWxMj8FOwzAMhu9IvENkJG7MHdCylabThMQBLoiBtGvamLbQOKXJusLTY05w9Odfvz8Xm9n1aqIx&#10;dJ41LBcJKOLa244bDa8v9xcrUCEatqb3TBq+KMCmPD0pTG79kZ9p2sVGSQmH3GhoYxxyxFC35ExY&#10;+IFYdm9+dCbKODZoR3OUctfjZZJk6EzHcqE1A921VH/sDk6Dq6KjB/xGt316X669x/3j56T1+dm8&#10;vQUVaY5/YfjVF3UoxanyB7ZB9RrS6xtJCr9KUlASyDIBlYBslQKWBf7/oPwBAAD//wMAUEsBAi0A&#10;FAAGAAgAAAAhALaDOJL+AAAA4QEAABMAAAAAAAAAAAAAAAAAAAAAAFtDb250ZW50X1R5cGVzXS54&#10;bWxQSwECLQAUAAYACAAAACEAOP0h/9YAAACUAQAACwAAAAAAAAAAAAAAAAAvAQAAX3JlbHMvLnJl&#10;bHNQSwECLQAUAAYACAAAACEAUA5Dpe8BAAA9BAAADgAAAAAAAAAAAAAAAAAuAgAAZHJzL2Uyb0Rv&#10;Yy54bWxQSwECLQAUAAYACAAAACEALk6f9twAAAAJAQAADwAAAAAAAAAAAAAAAABJBAAAZHJzL2Rv&#10;d25yZXYueG1sUEsFBgAAAAAEAAQA8wAAAFIFAAAAAA==&#10;" strokecolor="black [3213]" strokeweight="1.25pt">
                      <v:stroke endarrow="open"/>
                    </v:shape>
                  </w:pict>
                </mc:Fallback>
              </mc:AlternateContent>
            </w:r>
            <w:r w:rsidR="00C4754D">
              <w:rPr>
                <w:noProof/>
              </w:rPr>
              <w:drawing>
                <wp:inline distT="0" distB="0" distL="0" distR="0" wp14:anchorId="17F9AFF4" wp14:editId="60DFDA09">
                  <wp:extent cx="2816860" cy="2481580"/>
                  <wp:effectExtent l="0" t="3810" r="0" b="0"/>
                  <wp:docPr id="16" name="Picture 16" descr="Figure 4 Population ageing until the 22nd century. This figure is comprised of two charts. This chart compares the distribution of Australia’s population at 1950, 2012 and 2100. It shows that in 1950 the distribution was bottom heavy, with most of the population 50 years and younger and a significant number of under 10 year olds. In 2012 this is more evenly distributed between 0 to 65 year olds and in 2100 the distribution is almost completely even between 0 and 85 year ol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16200000">
                            <a:off x="0" y="0"/>
                            <a:ext cx="2816860" cy="2481580"/>
                          </a:xfrm>
                          <a:prstGeom prst="rect">
                            <a:avLst/>
                          </a:prstGeom>
                          <a:noFill/>
                        </pic:spPr>
                      </pic:pic>
                    </a:graphicData>
                  </a:graphic>
                </wp:inline>
              </w:drawing>
            </w:r>
          </w:p>
        </w:tc>
      </w:tr>
    </w:tbl>
    <w:p w:rsidR="00C4597B" w:rsidRDefault="00C4597B" w:rsidP="00C4597B">
      <w:pPr>
        <w:pStyle w:val="BodyText"/>
      </w:pPr>
      <w:r>
        <w:t>Growth rates of the oldest segments of the population will accelerate over the coming years, as the baby boomer generation enters old age (figure 4). The number</w:t>
      </w:r>
      <w:r w:rsidRPr="00497557">
        <w:t xml:space="preserve"> of </w:t>
      </w:r>
      <w:r>
        <w:t>people</w:t>
      </w:r>
      <w:r w:rsidRPr="00497557">
        <w:t xml:space="preserve"> aged </w:t>
      </w:r>
      <w:r>
        <w:t>7</w:t>
      </w:r>
      <w:r w:rsidRPr="00497557">
        <w:t xml:space="preserve">5 years </w:t>
      </w:r>
      <w:r>
        <w:t xml:space="preserve">and over </w:t>
      </w:r>
      <w:r w:rsidRPr="00497557">
        <w:t>is projected to increase by about 4</w:t>
      </w:r>
      <w:r>
        <w:t> </w:t>
      </w:r>
      <w:r w:rsidRPr="00497557">
        <w:t>million between 2012 and 2060 — an increase roughly equivalent to the current population of Sydney.</w:t>
      </w:r>
      <w:r>
        <w:t xml:space="preserve"> The most striking illustration of ageing is the growth in the population of people surviving past 100 years of age. </w:t>
      </w:r>
      <w:r w:rsidRPr="00497557">
        <w:t xml:space="preserve">In 2012, there was roughly one person aged 100 years old or more to every 100 babies. By 2060, </w:t>
      </w:r>
      <w:r>
        <w:t xml:space="preserve">it is projected that </w:t>
      </w:r>
      <w:r w:rsidRPr="00497557">
        <w:t xml:space="preserve">there will be around 25 </w:t>
      </w:r>
      <w:r>
        <w:t>centenarians for every 100 babies</w:t>
      </w:r>
      <w:r w:rsidR="009F3BE2">
        <w:t>,</w:t>
      </w:r>
      <w:r w:rsidRPr="00497557">
        <w:t xml:space="preserve"> and with continued small increases in longevity, by 2100, there will be more people aged 100 or more years than babies</w:t>
      </w:r>
      <w:r>
        <w:t xml:space="preserve"> born in that year</w:t>
      </w:r>
      <w:r w:rsidRPr="00497557">
        <w:t>.</w:t>
      </w:r>
    </w:p>
    <w:p w:rsidR="00B739A8" w:rsidRDefault="00B739A8" w:rsidP="00B739A8">
      <w:pPr>
        <w:pStyle w:val="Heading3"/>
      </w:pPr>
      <w:r>
        <w:t>Labour supply</w:t>
      </w:r>
    </w:p>
    <w:p w:rsidR="00B739A8" w:rsidRDefault="00B739A8" w:rsidP="00B739A8">
      <w:pPr>
        <w:pStyle w:val="BodyText"/>
      </w:pPr>
      <w:r>
        <w:t>With an aggregate labour force participation rate</w:t>
      </w:r>
      <w:r w:rsidRPr="00266AAF">
        <w:rPr>
          <w:rStyle w:val="FootnoteReference"/>
        </w:rPr>
        <w:footnoteReference w:id="1"/>
      </w:r>
      <w:r>
        <w:t xml:space="preserve"> always exceeding 65 per cent, the period from 2007</w:t>
      </w:r>
      <w:r w:rsidR="00717B18">
        <w:t>–</w:t>
      </w:r>
      <w:r>
        <w:t xml:space="preserve">2025 represents a peak in labour market engagement in Australia </w:t>
      </w:r>
      <w:r>
        <w:lastRenderedPageBreak/>
        <w:t>not exceeded since 1914. After 2025, aggregate participation rates gradually fall to a projected rate of just below 60 per cent by 2059</w:t>
      </w:r>
      <w:r>
        <w:noBreakHyphen/>
        <w:t xml:space="preserve">60 (figure 5). </w:t>
      </w:r>
    </w:p>
    <w:p w:rsidR="00881895" w:rsidRDefault="00881895">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5</w:t>
      </w:r>
      <w:r>
        <w:rPr>
          <w:b w:val="0"/>
        </w:rPr>
        <w:fldChar w:fldCharType="end"/>
      </w:r>
      <w:r>
        <w:tab/>
        <w:t xml:space="preserve">Labour </w:t>
      </w:r>
      <w:r w:rsidR="006A35E5">
        <w:t>force p</w:t>
      </w:r>
      <w:r>
        <w:t>articipation</w:t>
      </w:r>
      <w:r w:rsidR="006A35E5">
        <w:t xml:space="preserve"> rates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6A35E5" w:rsidTr="00CA76CC">
        <w:tc>
          <w:tcPr>
            <w:tcW w:w="4388" w:type="dxa"/>
            <w:tcBorders>
              <w:top w:val="single" w:sz="4" w:space="0" w:color="auto"/>
              <w:bottom w:val="nil"/>
              <w:right w:val="nil"/>
            </w:tcBorders>
          </w:tcPr>
          <w:p w:rsidR="006A35E5" w:rsidRPr="00AA7071" w:rsidRDefault="006A35E5" w:rsidP="008D13B1">
            <w:pPr>
              <w:pStyle w:val="Figure"/>
              <w:rPr>
                <w:b/>
                <w:noProof/>
              </w:rPr>
            </w:pPr>
            <w:r w:rsidRPr="006A35E5">
              <w:rPr>
                <w:rFonts w:ascii="Arial" w:hAnsi="Arial"/>
                <w:b/>
                <w:sz w:val="20"/>
                <w:szCs w:val="24"/>
              </w:rPr>
              <w:t>By age group, per cent</w:t>
            </w:r>
            <w:r>
              <w:rPr>
                <w:rFonts w:ascii="Arial" w:hAnsi="Arial"/>
                <w:b/>
                <w:sz w:val="20"/>
                <w:szCs w:val="24"/>
              </w:rPr>
              <w:br/>
              <w:t>2012</w:t>
            </w:r>
            <w:r w:rsidR="00717B18">
              <w:rPr>
                <w:rFonts w:ascii="Arial" w:hAnsi="Arial"/>
                <w:b/>
                <w:sz w:val="20"/>
                <w:szCs w:val="24"/>
              </w:rPr>
              <w:noBreakHyphen/>
            </w:r>
            <w:r>
              <w:rPr>
                <w:rFonts w:ascii="Arial" w:hAnsi="Arial"/>
                <w:b/>
                <w:sz w:val="20"/>
                <w:szCs w:val="24"/>
              </w:rPr>
              <w:t>13</w:t>
            </w:r>
          </w:p>
        </w:tc>
        <w:tc>
          <w:tcPr>
            <w:tcW w:w="4389" w:type="dxa"/>
            <w:tcBorders>
              <w:top w:val="single" w:sz="4" w:space="0" w:color="auto"/>
              <w:left w:val="nil"/>
              <w:bottom w:val="nil"/>
            </w:tcBorders>
          </w:tcPr>
          <w:p w:rsidR="006A35E5" w:rsidRDefault="006A35E5" w:rsidP="006A35E5">
            <w:pPr>
              <w:pStyle w:val="Figure"/>
            </w:pPr>
            <w:r>
              <w:rPr>
                <w:rFonts w:ascii="Arial" w:hAnsi="Arial"/>
                <w:b/>
                <w:sz w:val="20"/>
                <w:szCs w:val="24"/>
              </w:rPr>
              <w:t>Participation rates</w:t>
            </w:r>
            <w:r w:rsidRPr="00AA7071">
              <w:rPr>
                <w:rFonts w:ascii="Arial" w:hAnsi="Arial"/>
                <w:b/>
                <w:sz w:val="20"/>
                <w:szCs w:val="24"/>
              </w:rPr>
              <w:t xml:space="preserve"> </w:t>
            </w:r>
            <w:r>
              <w:rPr>
                <w:rFonts w:ascii="Arial" w:hAnsi="Arial"/>
                <w:b/>
                <w:sz w:val="20"/>
                <w:szCs w:val="24"/>
              </w:rPr>
              <w:br/>
              <w:t>are projected to fall</w:t>
            </w:r>
          </w:p>
        </w:tc>
      </w:tr>
      <w:tr w:rsidR="00881895" w:rsidTr="000960DC">
        <w:tc>
          <w:tcPr>
            <w:tcW w:w="4388" w:type="dxa"/>
            <w:tcBorders>
              <w:top w:val="nil"/>
              <w:bottom w:val="single" w:sz="4" w:space="0" w:color="auto"/>
              <w:right w:val="nil"/>
            </w:tcBorders>
          </w:tcPr>
          <w:p w:rsidR="00881895" w:rsidRDefault="000960DC">
            <w:pPr>
              <w:pStyle w:val="Figure"/>
            </w:pPr>
            <w:r w:rsidRPr="000960DC">
              <w:rPr>
                <w:noProof/>
              </w:rPr>
              <w:drawing>
                <wp:inline distT="0" distB="0" distL="0" distR="0" wp14:anchorId="121D3849" wp14:editId="0605158D">
                  <wp:extent cx="2678400" cy="2188800"/>
                  <wp:effectExtent l="0" t="0" r="8255" b="2540"/>
                  <wp:docPr id="15" name="Chart 15" descr="Figure 5 Labour force participation rates. This figure is comprised of two charts. This chart shows the age-specific profile of participation rates for males and femal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c>
          <w:tcPr>
            <w:tcW w:w="4389" w:type="dxa"/>
            <w:tcBorders>
              <w:top w:val="nil"/>
              <w:left w:val="nil"/>
              <w:bottom w:val="single" w:sz="4" w:space="0" w:color="auto"/>
            </w:tcBorders>
          </w:tcPr>
          <w:p w:rsidR="00881895" w:rsidRDefault="000960DC">
            <w:pPr>
              <w:pStyle w:val="Figure"/>
            </w:pPr>
            <w:r w:rsidRPr="000960DC">
              <w:rPr>
                <w:noProof/>
              </w:rPr>
              <w:drawing>
                <wp:inline distT="0" distB="0" distL="0" distR="0" wp14:anchorId="0C186B36" wp14:editId="1FD5B7CF">
                  <wp:extent cx="2682000" cy="2157402"/>
                  <wp:effectExtent l="0" t="0" r="4445" b="0"/>
                  <wp:docPr id="13" name="Chart 13" descr="Figure 5 Labour force participation rates. This figure is comprised of two charts. This chart shows that aggregate labour force participation rates fall between 2018-19 and 2059-60. The figure also shows the effect of the changes in age-specific participation rates if the age structure of the population was to stay as it is in 2012-13. Under this counterfactual, aggregate labour force participation rates would increase to close to 68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B77F67" w:rsidRDefault="00B77F67" w:rsidP="00B77F67">
      <w:pPr>
        <w:pStyle w:val="BodyText"/>
      </w:pPr>
      <w:r>
        <w:t xml:space="preserve">Paradoxically, this is despite the likelihood that in nearly every relevant age group, </w:t>
      </w:r>
      <w:r w:rsidR="00F808F8">
        <w:t xml:space="preserve">and especially among older Australians, </w:t>
      </w:r>
      <w:r>
        <w:t>people’s projected engagement in</w:t>
      </w:r>
      <w:r w:rsidR="00F808F8">
        <w:t xml:space="preserve"> the labour force will increase</w:t>
      </w:r>
      <w:r>
        <w:t>. The reason for the aggregate decline is that, even with those age</w:t>
      </w:r>
      <w:r>
        <w:noBreakHyphen/>
        <w:t>specific increases, older Australians have much lower participation rates than the prime</w:t>
      </w:r>
      <w:r w:rsidR="00717B18">
        <w:noBreakHyphen/>
      </w:r>
      <w:r>
        <w:t>aged working population (those between 25 and 54 years), with population ageing shifting many more into the older age brackets. In fact, were the age structure of the population not to change over the next fifty years, aggregate labour force participation rates would be expected to rise to more than 68 per cent.</w:t>
      </w:r>
    </w:p>
    <w:p w:rsidR="00B77F67" w:rsidRDefault="00B77F67" w:rsidP="00B77F67">
      <w:pPr>
        <w:pStyle w:val="BodyText"/>
      </w:pPr>
      <w:r>
        <w:t xml:space="preserve">In </w:t>
      </w:r>
      <w:r w:rsidR="00125948">
        <w:t>the Commission’s</w:t>
      </w:r>
      <w:r>
        <w:t xml:space="preserve"> analysis, small increases in hours worked per employee and falls in unemployment rates over the next 50 years partly offset the effect of lower aggregate participation rates on labour supply (best measured as hours worked per capita). The only other major factor determining labour supply per capita is the declining share of people aged 0</w:t>
      </w:r>
      <w:r>
        <w:noBreakHyphen/>
        <w:t>14 years, who are excluded from any count of the potential labour force. Given this offsetting influence, overall labour supply per capita is projected to fall by nearly 5 per cent by 2059</w:t>
      </w:r>
      <w:r>
        <w:noBreakHyphen/>
        <w:t xml:space="preserve">60 (figure 6). </w:t>
      </w:r>
    </w:p>
    <w:p w:rsidR="00B77F67" w:rsidRDefault="00B77F67" w:rsidP="00B77F67">
      <w:pPr>
        <w:pStyle w:val="BodyText"/>
      </w:pPr>
      <w:r>
        <w:t xml:space="preserve">While the projected labour force estimates take account of historical trends, </w:t>
      </w:r>
      <w:r w:rsidR="00E30398">
        <w:t>they</w:t>
      </w:r>
      <w:r>
        <w:t xml:space="preserve"> may not fully account for two important influences on future labour supply by older workers:</w:t>
      </w:r>
    </w:p>
    <w:p w:rsidR="00B77F67" w:rsidRDefault="00B77F67" w:rsidP="00B77F67">
      <w:pPr>
        <w:pStyle w:val="ListBullet"/>
      </w:pPr>
      <w:r>
        <w:t>the future old will be better educated than both previous generations of older workers and the future young, reflecting the long</w:t>
      </w:r>
      <w:r w:rsidR="00717B18">
        <w:noBreakHyphen/>
      </w:r>
      <w:r>
        <w:t xml:space="preserve">run impacts of the large </w:t>
      </w:r>
      <w:r>
        <w:lastRenderedPageBreak/>
        <w:t xml:space="preserve">expansion in tertiary education and the stabilisation of tertiary participation rates at younger ages. Higher levels of tertiary education </w:t>
      </w:r>
      <w:r w:rsidR="00E43BA4">
        <w:t>are</w:t>
      </w:r>
      <w:r>
        <w:t xml:space="preserve"> strongly associated with greater labour force participation, and this effect may not be fully reflected in historical labour force participation trends</w:t>
      </w:r>
    </w:p>
    <w:p w:rsidR="00B77F67" w:rsidRDefault="00B77F67" w:rsidP="00B77F67">
      <w:pPr>
        <w:pStyle w:val="ListBullet"/>
      </w:pPr>
      <w:r>
        <w:t>there is conflicting evidence on trends in disability rates among older Australians. Population surveys of disability suggest rates have been falling, but labour market surveys and usage of the Disability Support Pension tell, at best, a mixed story. Disability is highly associated with low labour force participation.</w:t>
      </w:r>
      <w:r w:rsidRPr="000074E8">
        <w:t xml:space="preserve"> </w:t>
      </w:r>
      <w:r>
        <w:t>If nothing else, the above evidence suggests an imperative to find out more about the real trends in disability rates relevant to people’s engagement in the labour market, and to understand the policies that may improve engagement. Current policy reforms in disability support should shed light on this over time.</w:t>
      </w:r>
    </w:p>
    <w:p w:rsidR="004E22A6" w:rsidRDefault="004E22A6">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6</w:t>
      </w:r>
      <w:r>
        <w:rPr>
          <w:b w:val="0"/>
        </w:rPr>
        <w:fldChar w:fldCharType="end"/>
      </w:r>
      <w:r>
        <w:tab/>
      </w:r>
      <w:r w:rsidRPr="004E22A6">
        <w:t>Contribution to the reduction in hours worked per capita</w:t>
      </w:r>
    </w:p>
    <w:p w:rsidR="004E22A6" w:rsidRDefault="004E22A6">
      <w:pPr>
        <w:pStyle w:val="Subtitle"/>
      </w:pPr>
      <w:r w:rsidRPr="004E22A6">
        <w:t xml:space="preserve">100 x change in </w:t>
      </w:r>
      <w:r w:rsidR="00F353CF">
        <w:t xml:space="preserve">natural </w:t>
      </w:r>
      <w:r w:rsidRPr="004E22A6">
        <w:t>log values, 2012</w:t>
      </w:r>
      <w:r w:rsidR="00C44F03">
        <w:noBreakHyphen/>
      </w:r>
      <w:r w:rsidRPr="004E22A6">
        <w:t>13 to 2059</w:t>
      </w:r>
      <w:r w:rsidR="00C44F03">
        <w:noBreakHyphen/>
      </w:r>
      <w:r w:rsidRPr="004E22A6">
        <w:t>60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E22A6" w:rsidTr="00D810C9">
        <w:tc>
          <w:tcPr>
            <w:tcW w:w="8777" w:type="dxa"/>
          </w:tcPr>
          <w:p w:rsidR="004E22A6" w:rsidRDefault="00D810C9">
            <w:pPr>
              <w:pStyle w:val="Figure"/>
            </w:pPr>
            <w:r>
              <w:rPr>
                <w:noProof/>
              </w:rPr>
              <w:t xml:space="preserve"> </w:t>
            </w:r>
            <w:r>
              <w:rPr>
                <w:noProof/>
              </w:rPr>
              <w:drawing>
                <wp:inline distT="0" distB="0" distL="0" distR="0" wp14:anchorId="64F934B9" wp14:editId="476883B5">
                  <wp:extent cx="4817128" cy="2730744"/>
                  <wp:effectExtent l="0" t="0" r="2540" b="0"/>
                  <wp:docPr id="12" name="Chart 12" descr="Figure 6 Contribution to the reduction in hours worked per capita. This figure shows that the change in the participation rate reduces hours worked per capita by 8.4 hours, with increases in the employment rate, average hours worked and the working age share increasing hours worked per capita by 0.7, 0.4 and 2.8 hours respectively."/>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EC095C" w:rsidRDefault="000074E8" w:rsidP="00EC095C">
      <w:pPr>
        <w:pStyle w:val="Heading3"/>
      </w:pPr>
      <w:r>
        <w:t>W</w:t>
      </w:r>
      <w:r w:rsidR="00EC095C">
        <w:t>hat about productivity?</w:t>
      </w:r>
    </w:p>
    <w:p w:rsidR="000074E8" w:rsidRDefault="00EC095C" w:rsidP="00D8700C">
      <w:pPr>
        <w:pStyle w:val="BodyText"/>
      </w:pPr>
      <w:r>
        <w:t>The remaining critical ingredient to future economic growth is productivity</w:t>
      </w:r>
      <w:r w:rsidR="00831B33">
        <w:t xml:space="preserve">, </w:t>
      </w:r>
      <w:r w:rsidR="000074E8">
        <w:t>which has</w:t>
      </w:r>
      <w:r w:rsidR="00D8700C">
        <w:t xml:space="preserve"> a greater impact than the reduction in labour supply per capita.</w:t>
      </w:r>
      <w:r w:rsidR="00831B33">
        <w:t xml:space="preserve"> </w:t>
      </w:r>
      <w:r w:rsidR="00D8700C">
        <w:t xml:space="preserve">Australia’s labour and multifactor productivity (MFP) growth has languished in recent years. </w:t>
      </w:r>
      <w:r w:rsidR="000074E8">
        <w:t xml:space="preserve">Without </w:t>
      </w:r>
      <w:r w:rsidR="00366C7C">
        <w:t xml:space="preserve">broader </w:t>
      </w:r>
      <w:r w:rsidR="00E85EBF">
        <w:t xml:space="preserve">policy reforms, it appears that it will be difficult to return to the higher growth rates experienced in the 1990s. </w:t>
      </w:r>
      <w:r w:rsidR="00366C7C">
        <w:t xml:space="preserve">In part, this </w:t>
      </w:r>
      <w:r w:rsidR="00E85EBF">
        <w:t xml:space="preserve">reflects </w:t>
      </w:r>
      <w:r w:rsidR="000074E8">
        <w:t>the structural shift to (often government</w:t>
      </w:r>
      <w:r w:rsidR="00717B18">
        <w:noBreakHyphen/>
      </w:r>
      <w:r w:rsidR="000074E8">
        <w:t>supplied) services, where productivity growth rates have</w:t>
      </w:r>
      <w:r w:rsidR="00C1763E">
        <w:t>,</w:t>
      </w:r>
      <w:r w:rsidR="000074E8">
        <w:t xml:space="preserve"> on average</w:t>
      </w:r>
      <w:r w:rsidR="00C1763E">
        <w:t>,</w:t>
      </w:r>
      <w:r w:rsidR="000074E8">
        <w:t xml:space="preserve"> been lower than other parts of the economy</w:t>
      </w:r>
      <w:r w:rsidR="00E85EBF">
        <w:t>.</w:t>
      </w:r>
      <w:r w:rsidR="00D8700C">
        <w:t xml:space="preserve"> </w:t>
      </w:r>
    </w:p>
    <w:p w:rsidR="00D8700C" w:rsidRDefault="00D8700C" w:rsidP="00EC095C">
      <w:pPr>
        <w:pStyle w:val="BodyText"/>
      </w:pPr>
      <w:r>
        <w:lastRenderedPageBreak/>
        <w:t>Average labour productivity growth is projected to be around 1.5 per cent per annum from 2011</w:t>
      </w:r>
      <w:r>
        <w:noBreakHyphen/>
        <w:t>12 to 2059</w:t>
      </w:r>
      <w:r>
        <w:noBreakHyphen/>
        <w:t>60</w:t>
      </w:r>
      <w:r w:rsidR="0019168A">
        <w:t xml:space="preserve"> (with multifactor productivity growth contributing 0.</w:t>
      </w:r>
      <w:r w:rsidR="00366C7C">
        <w:t>7 </w:t>
      </w:r>
      <w:r w:rsidR="0019168A">
        <w:t>percentage points)</w:t>
      </w:r>
      <w:r w:rsidR="00BA23D5">
        <w:t>. This is</w:t>
      </w:r>
      <w:r>
        <w:t xml:space="preserve"> considerably below the estimates used in most previous studies of future economic growth. In contrast, prior to the recent slowdown, average peak</w:t>
      </w:r>
      <w:r>
        <w:noBreakHyphen/>
        <w:t>to</w:t>
      </w:r>
      <w:r>
        <w:noBreakHyphen/>
        <w:t xml:space="preserve">peak labour productivity growth from </w:t>
      </w:r>
      <w:r w:rsidR="00A94FCD">
        <w:t>1998</w:t>
      </w:r>
      <w:r>
        <w:noBreakHyphen/>
      </w:r>
      <w:r w:rsidR="00A94FCD">
        <w:t>9</w:t>
      </w:r>
      <w:r>
        <w:t>9 to 2003</w:t>
      </w:r>
      <w:r>
        <w:noBreakHyphen/>
        <w:t>04 exceeded 1.8 per cent</w:t>
      </w:r>
      <w:r w:rsidR="00B739A8">
        <w:t xml:space="preserve"> per year</w:t>
      </w:r>
      <w:r>
        <w:t>.</w:t>
      </w:r>
    </w:p>
    <w:p w:rsidR="00F809B9" w:rsidRDefault="00EF562F" w:rsidP="00F809B9">
      <w:pPr>
        <w:pStyle w:val="BodyText"/>
      </w:pPr>
      <w:r>
        <w:t>Around 0.</w:t>
      </w:r>
      <w:r w:rsidR="009C0D82">
        <w:t>8 </w:t>
      </w:r>
      <w:r>
        <w:t xml:space="preserve">percentage points of the </w:t>
      </w:r>
      <w:r w:rsidR="009C0D82">
        <w:t>projected</w:t>
      </w:r>
      <w:r w:rsidR="00745466">
        <w:t xml:space="preserve"> </w:t>
      </w:r>
      <w:r w:rsidR="00B739A8">
        <w:t xml:space="preserve">annual </w:t>
      </w:r>
      <w:r w:rsidR="00366C7C">
        <w:t xml:space="preserve">labour </w:t>
      </w:r>
      <w:r w:rsidR="00604C41">
        <w:t>productivity growth</w:t>
      </w:r>
      <w:r>
        <w:t xml:space="preserve"> </w:t>
      </w:r>
      <w:r w:rsidR="00604C41">
        <w:t xml:space="preserve">rate </w:t>
      </w:r>
      <w:r>
        <w:t xml:space="preserve">reflects the contribution of capital accumulation. </w:t>
      </w:r>
      <w:r w:rsidR="00F809B9">
        <w:t xml:space="preserve">It is projected that </w:t>
      </w:r>
      <w:r w:rsidR="00575DB1">
        <w:t xml:space="preserve">the gross </w:t>
      </w:r>
      <w:r w:rsidR="00F809B9">
        <w:t xml:space="preserve">fixed capital spending </w:t>
      </w:r>
      <w:r w:rsidR="00575DB1">
        <w:t xml:space="preserve">(by the private and the public sectors) </w:t>
      </w:r>
      <w:r w:rsidR="00F809B9">
        <w:t>required to underpin capital deepening will be around $3</w:t>
      </w:r>
      <w:r w:rsidR="00A94FCD">
        <w:t>8</w:t>
      </w:r>
      <w:r w:rsidR="00F809B9">
        <w:t> trillion over the next 50 years</w:t>
      </w:r>
      <w:r w:rsidR="00855A58">
        <w:t xml:space="preserve"> in constant 201</w:t>
      </w:r>
      <w:r w:rsidR="00A94FCD">
        <w:t>1</w:t>
      </w:r>
      <w:r w:rsidR="00855A58">
        <w:noBreakHyphen/>
        <w:t>1</w:t>
      </w:r>
      <w:r w:rsidR="00A94FCD">
        <w:t>2</w:t>
      </w:r>
      <w:r w:rsidR="00855A58">
        <w:t xml:space="preserve"> prices</w:t>
      </w:r>
      <w:r w:rsidR="00B739A8">
        <w:t>. This</w:t>
      </w:r>
      <w:r w:rsidR="00F809B9">
        <w:t xml:space="preserve"> is around 5</w:t>
      </w:r>
      <w:r w:rsidR="00575DB1">
        <w:t> </w:t>
      </w:r>
      <w:r w:rsidR="00F809B9">
        <w:t xml:space="preserve">times more than the sum of investment required </w:t>
      </w:r>
      <w:r w:rsidR="00604C41">
        <w:t>over the previous half century</w:t>
      </w:r>
      <w:r w:rsidR="00F809B9">
        <w:t xml:space="preserve"> </w:t>
      </w:r>
      <w:r w:rsidR="00604C41">
        <w:t>(</w:t>
      </w:r>
      <w:r w:rsidR="00F809B9">
        <w:t>1959</w:t>
      </w:r>
      <w:r w:rsidR="00F809B9">
        <w:noBreakHyphen/>
        <w:t>60 to 2011</w:t>
      </w:r>
      <w:r w:rsidR="00F809B9">
        <w:noBreakHyphen/>
        <w:t>12</w:t>
      </w:r>
      <w:r w:rsidR="00604C41">
        <w:t>)</w:t>
      </w:r>
      <w:r w:rsidR="00F809B9">
        <w:t>.</w:t>
      </w:r>
      <w:r w:rsidR="00AF0DA5" w:rsidRPr="00AF0DA5">
        <w:t xml:space="preserve"> </w:t>
      </w:r>
      <w:r w:rsidR="00AF0DA5">
        <w:t xml:space="preserve">Given this, it is crucial to have economic settings conducive </w:t>
      </w:r>
      <w:r>
        <w:t>to efficient capital investment and to its financing.</w:t>
      </w:r>
    </w:p>
    <w:p w:rsidR="00E85EBF" w:rsidRDefault="00E85EBF" w:rsidP="00EC095C">
      <w:pPr>
        <w:pStyle w:val="BodyText"/>
      </w:pPr>
      <w:r>
        <w:t xml:space="preserve">Increases in productivity growth have sizable impacts on output growth. As an illustration, </w:t>
      </w:r>
      <w:r w:rsidR="00B739A8">
        <w:t>using</w:t>
      </w:r>
      <w:r w:rsidR="00B739A8" w:rsidRPr="00E85EBF">
        <w:t xml:space="preserve"> the </w:t>
      </w:r>
      <w:r w:rsidR="00B739A8">
        <w:t xml:space="preserve">Commission’s </w:t>
      </w:r>
      <w:r w:rsidR="00B739A8" w:rsidRPr="00E85EBF">
        <w:t>base case</w:t>
      </w:r>
      <w:r w:rsidR="00B739A8">
        <w:t xml:space="preserve"> value of labour productivity, </w:t>
      </w:r>
      <w:r>
        <w:t>t</w:t>
      </w:r>
      <w:r w:rsidRPr="00E85EBF">
        <w:t xml:space="preserve">he cumulative </w:t>
      </w:r>
      <w:r w:rsidR="00B06C3E">
        <w:t>sum</w:t>
      </w:r>
      <w:r w:rsidR="00B06C3E" w:rsidRPr="00E85EBF">
        <w:t xml:space="preserve"> </w:t>
      </w:r>
      <w:r w:rsidRPr="00E85EBF">
        <w:t xml:space="preserve">of annual GDP values </w:t>
      </w:r>
      <w:r>
        <w:t>from 201</w:t>
      </w:r>
      <w:r w:rsidR="00A94FCD">
        <w:t>2</w:t>
      </w:r>
      <w:r w:rsidR="00A94FCD">
        <w:noBreakHyphen/>
      </w:r>
      <w:r>
        <w:t>1</w:t>
      </w:r>
      <w:r w:rsidR="00A94FCD">
        <w:t>3</w:t>
      </w:r>
      <w:r>
        <w:t xml:space="preserve"> to 2059</w:t>
      </w:r>
      <w:r w:rsidR="00A94FCD">
        <w:noBreakHyphen/>
      </w:r>
      <w:r>
        <w:t>60</w:t>
      </w:r>
      <w:r w:rsidRPr="00E85EBF">
        <w:t xml:space="preserve"> is around $140</w:t>
      </w:r>
      <w:r w:rsidR="00604C41">
        <w:t> </w:t>
      </w:r>
      <w:r w:rsidRPr="00E85EBF">
        <w:t xml:space="preserve">trillion </w:t>
      </w:r>
      <w:r w:rsidR="00855A58">
        <w:t xml:space="preserve">in constant </w:t>
      </w:r>
      <w:r w:rsidR="00A94FCD">
        <w:t>2011</w:t>
      </w:r>
      <w:r w:rsidR="00855A58">
        <w:noBreakHyphen/>
        <w:t>1</w:t>
      </w:r>
      <w:r w:rsidR="00A94FCD">
        <w:t>2</w:t>
      </w:r>
      <w:r w:rsidR="00855A58">
        <w:t xml:space="preserve"> prices</w:t>
      </w:r>
      <w:r w:rsidRPr="00E85EBF">
        <w:t>. A</w:t>
      </w:r>
      <w:r w:rsidR="00B06C3E">
        <w:t xml:space="preserve">n increase in labour </w:t>
      </w:r>
      <w:r w:rsidR="00EF1EEF">
        <w:t>productivity of 0.3 </w:t>
      </w:r>
      <w:r w:rsidRPr="00E85EBF">
        <w:t>percentage points a year increases the cumulative value by $13</w:t>
      </w:r>
      <w:r w:rsidR="00F809B9">
        <w:t> </w:t>
      </w:r>
      <w:r w:rsidRPr="00E85EBF">
        <w:t xml:space="preserve">trillion. This is equivalent to around </w:t>
      </w:r>
      <w:r w:rsidR="00A94FCD">
        <w:t>8</w:t>
      </w:r>
      <w:r w:rsidR="001E6E94">
        <w:t> </w:t>
      </w:r>
      <w:r w:rsidRPr="00E85EBF">
        <w:t xml:space="preserve">years of Australia’s GDP value in </w:t>
      </w:r>
      <w:r w:rsidR="00A94FCD" w:rsidRPr="00E85EBF">
        <w:t>201</w:t>
      </w:r>
      <w:r w:rsidR="00A94FCD">
        <w:t>2</w:t>
      </w:r>
      <w:r>
        <w:noBreakHyphen/>
        <w:t>1</w:t>
      </w:r>
      <w:r w:rsidR="00A94FCD">
        <w:t>3</w:t>
      </w:r>
      <w:r>
        <w:t xml:space="preserve">. Where the improved productivity growth arises from ‘doing things better’ rather than capital </w:t>
      </w:r>
      <w:r w:rsidR="00B06C3E">
        <w:t>deepening</w:t>
      </w:r>
      <w:r>
        <w:t xml:space="preserve">, this value </w:t>
      </w:r>
      <w:r w:rsidR="00745466">
        <w:t xml:space="preserve">could support some or all of the very significant </w:t>
      </w:r>
      <w:r w:rsidR="009F78A8">
        <w:t xml:space="preserve">expected increase in consumption </w:t>
      </w:r>
      <w:r w:rsidR="00745466">
        <w:t xml:space="preserve">of health, aged care and </w:t>
      </w:r>
      <w:r w:rsidR="009F78A8">
        <w:t xml:space="preserve">training services, </w:t>
      </w:r>
      <w:r w:rsidR="00F809B9">
        <w:t xml:space="preserve">underlining the link between economic and social policy. </w:t>
      </w:r>
      <w:r>
        <w:t xml:space="preserve">Australia has </w:t>
      </w:r>
      <w:r w:rsidR="00F809B9">
        <w:t>instigated</w:t>
      </w:r>
      <w:r>
        <w:t xml:space="preserve"> important programs</w:t>
      </w:r>
      <w:r w:rsidR="00F809B9">
        <w:t xml:space="preserve">, </w:t>
      </w:r>
      <w:r>
        <w:t xml:space="preserve">such as </w:t>
      </w:r>
      <w:r w:rsidR="00752B70">
        <w:t>the National Disability Insurance Scheme</w:t>
      </w:r>
      <w:r w:rsidR="00604C41">
        <w:t xml:space="preserve">, </w:t>
      </w:r>
      <w:r>
        <w:t xml:space="preserve">to </w:t>
      </w:r>
      <w:r w:rsidR="00AC7B47">
        <w:t xml:space="preserve">support </w:t>
      </w:r>
      <w:r>
        <w:t>people in need</w:t>
      </w:r>
      <w:r w:rsidR="00F809B9">
        <w:t xml:space="preserve">, and will come under pressure to ensure adequate resourcing of future health and aged care services. The income that underpins such social programs needs to be </w:t>
      </w:r>
      <w:r w:rsidR="00604C41">
        <w:t>created</w:t>
      </w:r>
      <w:r w:rsidR="00F809B9">
        <w:t xml:space="preserve"> </w:t>
      </w:r>
      <w:r w:rsidR="009F78A8">
        <w:t xml:space="preserve">in order </w:t>
      </w:r>
      <w:r w:rsidR="00F809B9">
        <w:t xml:space="preserve">to be distributed. </w:t>
      </w:r>
    </w:p>
    <w:p w:rsidR="00D90F1D" w:rsidRDefault="00D90F1D" w:rsidP="00D90F1D">
      <w:pPr>
        <w:pStyle w:val="Heading3"/>
      </w:pPr>
      <w:r>
        <w:t>The implications for economic growth and national incomes</w:t>
      </w:r>
    </w:p>
    <w:p w:rsidR="00966EFC" w:rsidRDefault="00495E06" w:rsidP="00495E06">
      <w:pPr>
        <w:pStyle w:val="BodyText"/>
      </w:pPr>
      <w:r w:rsidRPr="004062AE">
        <w:t xml:space="preserve">While the </w:t>
      </w:r>
      <w:r>
        <w:t>supply</w:t>
      </w:r>
      <w:r>
        <w:noBreakHyphen/>
        <w:t>side of the</w:t>
      </w:r>
      <w:r w:rsidRPr="004062AE">
        <w:t xml:space="preserve"> economy is clearly critical to Australia’s future </w:t>
      </w:r>
      <w:r>
        <w:t>prosperity</w:t>
      </w:r>
      <w:r w:rsidRPr="004062AE">
        <w:t xml:space="preserve">, a country’s standard of living is ultimately dependent on </w:t>
      </w:r>
      <w:r>
        <w:t xml:space="preserve">the value of its </w:t>
      </w:r>
      <w:r w:rsidRPr="00495E06">
        <w:rPr>
          <w:i/>
        </w:rPr>
        <w:t>disposable</w:t>
      </w:r>
      <w:r>
        <w:t xml:space="preserve"> income</w:t>
      </w:r>
      <w:r w:rsidR="00966EFC">
        <w:t xml:space="preserve">. </w:t>
      </w:r>
      <w:r w:rsidR="00BE6A26">
        <w:t xml:space="preserve">This takes account of the </w:t>
      </w:r>
      <w:r w:rsidR="00752B70">
        <w:t xml:space="preserve">terms of trade, transfers to foreigners and the </w:t>
      </w:r>
      <w:r w:rsidR="00BE6A26">
        <w:t xml:space="preserve">need to </w:t>
      </w:r>
      <w:r w:rsidR="00966EFC">
        <w:t>pay for capital accumulation</w:t>
      </w:r>
      <w:r w:rsidR="00BE6A26">
        <w:t>. The terms o</w:t>
      </w:r>
      <w:r w:rsidR="005647E3">
        <w:t>f trade is projected to decline</w:t>
      </w:r>
      <w:r w:rsidR="00BE6A26">
        <w:t xml:space="preserve"> so that, with the additional impacts of contracting </w:t>
      </w:r>
      <w:r w:rsidR="00F23294">
        <w:t xml:space="preserve">growth rates of </w:t>
      </w:r>
      <w:r w:rsidR="00BE6A26">
        <w:t xml:space="preserve">labour supply and labour productivity, disposable income is projected to grow at a much slower rate </w:t>
      </w:r>
      <w:r w:rsidR="00C44F03">
        <w:t xml:space="preserve">compared with </w:t>
      </w:r>
      <w:r w:rsidR="00BE6A26">
        <w:t>the boom period from 1993 to 2012</w:t>
      </w:r>
      <w:r w:rsidR="00604C41">
        <w:t xml:space="preserve"> (figure </w:t>
      </w:r>
      <w:r w:rsidR="00F12D72">
        <w:t>7</w:t>
      </w:r>
      <w:r w:rsidR="00604C41">
        <w:t>)</w:t>
      </w:r>
      <w:r w:rsidR="00BE6A26">
        <w:t xml:space="preserve">. </w:t>
      </w:r>
    </w:p>
    <w:p w:rsidR="00F23294" w:rsidRDefault="00F23294" w:rsidP="00F23294">
      <w:pPr>
        <w:pStyle w:val="BodyText"/>
      </w:pPr>
      <w:r>
        <w:lastRenderedPageBreak/>
        <w:t>The bottom line is that the combined cocktail of falling labour supply per capita, a declining terms of trade and poorer productivity growth rates mean that Australians can expect that the growth in disposable income per capita will fall to less than half that of the boom years. A period of truly diminished o</w:t>
      </w:r>
      <w:r w:rsidR="005647E3">
        <w:t xml:space="preserve">utcomes is likely to be at hand, </w:t>
      </w:r>
      <w:r>
        <w:t xml:space="preserve">unless luck or appropriate policy initiatives intervene. </w:t>
      </w:r>
    </w:p>
    <w:p w:rsidR="00B93216" w:rsidRDefault="00B93216">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7</w:t>
      </w:r>
      <w:r>
        <w:rPr>
          <w:b w:val="0"/>
        </w:rPr>
        <w:fldChar w:fldCharType="end"/>
      </w:r>
      <w:r>
        <w:tab/>
        <w:t xml:space="preserve">A major </w:t>
      </w:r>
      <w:r w:rsidRPr="00B93216">
        <w:t>slowdown in income growth</w:t>
      </w:r>
      <w:r>
        <w:t xml:space="preserve"> is impending</w:t>
      </w:r>
    </w:p>
    <w:p w:rsidR="00B93216" w:rsidRDefault="00B93216">
      <w:pPr>
        <w:pStyle w:val="Subtitle"/>
      </w:pPr>
      <w:r w:rsidRPr="00B93216">
        <w:t xml:space="preserve">Percentage change in </w:t>
      </w:r>
      <w:r>
        <w:t xml:space="preserve">real net national disposable income </w:t>
      </w:r>
      <w:r w:rsidRPr="00B93216">
        <w:t>per capita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93216" w:rsidTr="00A94FCD">
        <w:tc>
          <w:tcPr>
            <w:tcW w:w="8777" w:type="dxa"/>
          </w:tcPr>
          <w:p w:rsidR="00B93216" w:rsidRDefault="00A94FCD">
            <w:pPr>
              <w:pStyle w:val="Figure"/>
            </w:pPr>
            <w:r>
              <w:rPr>
                <w:noProof/>
              </w:rPr>
              <w:t xml:space="preserve"> </w:t>
            </w:r>
            <w:r w:rsidRPr="00A94FCD">
              <w:rPr>
                <w:noProof/>
              </w:rPr>
              <w:drawing>
                <wp:inline distT="0" distB="0" distL="0" distR="0" wp14:anchorId="0F91A32E" wp14:editId="612DC8D1">
                  <wp:extent cx="5332942" cy="3169709"/>
                  <wp:effectExtent l="0" t="0" r="1270" b="0"/>
                  <wp:docPr id="2" name="Chart 2" descr="Figure 7 A major slowdown in income growth is impending. This figure shows that the projected annual growth in RNNDI of 1.1 per cent is lower than the average of the boom years of 2.7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B77F67" w:rsidRDefault="00B77F67" w:rsidP="00B77F67">
      <w:pPr>
        <w:pStyle w:val="Heading3"/>
      </w:pPr>
      <w:r>
        <w:t xml:space="preserve">Growing fiscal pressures coincide with lower economic growth </w:t>
      </w:r>
    </w:p>
    <w:p w:rsidR="00B77F67" w:rsidRDefault="00B77F67" w:rsidP="00B77F67">
      <w:pPr>
        <w:pStyle w:val="BodyText"/>
      </w:pPr>
      <w:r>
        <w:t>Diminishing economic expectations are likely to coincide with increasing expectations for public spending. Australian governments will face major fiscal pressures over the ensuing decades. This reflects that government expenditure is strongly weighted towards older Australians, and that population ageing will expand their relative importance dramatically (figure 8).</w:t>
      </w:r>
    </w:p>
    <w:p w:rsidR="00B77F67" w:rsidRDefault="00B77F67" w:rsidP="00B77F67">
      <w:pPr>
        <w:pStyle w:val="BodyText"/>
      </w:pPr>
      <w:r>
        <w:t>The principal indicator of future fiscal pressure is the degree to which government spending outpaces revenue when the ratio of government tax revenue to GDP is held constant. This provides a measure of the increase in revenue or reduction in aggregate spending required to provide a balanced budget</w:t>
      </w:r>
      <w:r w:rsidRPr="00BB0557">
        <w:t xml:space="preserve"> </w:t>
      </w:r>
      <w:r>
        <w:t>(table 1). Overall, the Australian Government must find funding sufficient to cover additional expenditure of 4.</w:t>
      </w:r>
      <w:r w:rsidR="00C96A1F">
        <w:t>4</w:t>
      </w:r>
      <w:r>
        <w:t xml:space="preserve"> per cent of GDP, and combined state and territory governments </w:t>
      </w:r>
      <w:r w:rsidR="005647E3">
        <w:t xml:space="preserve">must find </w:t>
      </w:r>
      <w:r>
        <w:t xml:space="preserve">an additional 1.4 per cent of GDP. It is possible that given the limited taxation options </w:t>
      </w:r>
      <w:r>
        <w:lastRenderedPageBreak/>
        <w:t>available to the states and territories, much of their fiscal pressure could be ‘passed on’ to the Australian Government in the form of greater demands on federally collected taxes.</w:t>
      </w:r>
    </w:p>
    <w:p w:rsidR="00B77F67" w:rsidRDefault="00B77F67" w:rsidP="00B77F67">
      <w:pPr>
        <w:pStyle w:val="BodyText"/>
      </w:pPr>
      <w:r>
        <w:t>The main sources of such pressures over the next 50 years are likely to be rising obligations for publicly</w:t>
      </w:r>
      <w:r w:rsidR="00717B18">
        <w:noBreakHyphen/>
      </w:r>
      <w:r>
        <w:t xml:space="preserve">funded health care, aged care and retirement. There is </w:t>
      </w:r>
      <w:r w:rsidR="00722FA2">
        <w:t xml:space="preserve">likely to be </w:t>
      </w:r>
      <w:r>
        <w:t xml:space="preserve">relatively minor fiscal relief from obligations that typically relate to lower age groups. </w:t>
      </w:r>
    </w:p>
    <w:p w:rsidR="00F42A3A" w:rsidRDefault="00F42A3A">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8</w:t>
      </w:r>
      <w:r>
        <w:rPr>
          <w:b w:val="0"/>
        </w:rPr>
        <w:fldChar w:fldCharType="end"/>
      </w:r>
      <w:r w:rsidR="00FF0275">
        <w:tab/>
      </w:r>
      <w:r w:rsidR="00DE30EC">
        <w:t>Age</w:t>
      </w:r>
      <w:r w:rsidR="00717B18">
        <w:noBreakHyphen/>
      </w:r>
      <w:r w:rsidR="00DE30EC">
        <w:t>related government spending</w:t>
      </w:r>
    </w:p>
    <w:p w:rsidR="00F42A3A" w:rsidRDefault="00DE30EC">
      <w:pPr>
        <w:pStyle w:val="Subtitle"/>
      </w:pPr>
      <w:r>
        <w:t>All governments, $’000 per person</w:t>
      </w:r>
      <w:r w:rsidR="00485220">
        <w:t>, 2011</w:t>
      </w:r>
      <w:r w:rsidR="00717B18">
        <w:noBreakHyphen/>
      </w:r>
      <w:r w:rsidR="00485220">
        <w:t>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42A3A" w:rsidTr="0065364C">
        <w:tc>
          <w:tcPr>
            <w:tcW w:w="8777" w:type="dxa"/>
          </w:tcPr>
          <w:p w:rsidR="00F42A3A" w:rsidRDefault="0065364C">
            <w:pPr>
              <w:pStyle w:val="Figure"/>
            </w:pPr>
            <w:r w:rsidRPr="0065364C">
              <w:rPr>
                <w:noProof/>
              </w:rPr>
              <w:drawing>
                <wp:inline distT="0" distB="0" distL="0" distR="0" wp14:anchorId="347DE11A" wp14:editId="5C3180DB">
                  <wp:extent cx="4991100" cy="2743200"/>
                  <wp:effectExtent l="0" t="0" r="0" b="0"/>
                  <wp:docPr id="8" name="Chart 8" descr="Figure 8 Age related government spending. This figure shows the expenditure per person across various government expenditures and for five year age groups up to 100 years and over. Spending is much higher for older people, increasing significantly between ages 60 and 95. Health, the Age Pension and aged care are make up most of the expenditure."/>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BB0557" w:rsidRDefault="00BB0557">
      <w:pPr>
        <w:pStyle w:val="TableTitle"/>
      </w:pPr>
      <w:r>
        <w:rPr>
          <w:b w:val="0"/>
        </w:rPr>
        <w:t xml:space="preserve">Table </w:t>
      </w:r>
      <w:r>
        <w:rPr>
          <w:b w:val="0"/>
        </w:rPr>
        <w:fldChar w:fldCharType="begin"/>
      </w:r>
      <w:r>
        <w:rPr>
          <w:b w:val="0"/>
        </w:rPr>
        <w:instrText xml:space="preserve"> SEQ Table \* ARABIC </w:instrText>
      </w:r>
      <w:r>
        <w:rPr>
          <w:b w:val="0"/>
        </w:rPr>
        <w:fldChar w:fldCharType="separate"/>
      </w:r>
      <w:r w:rsidR="009A14A9">
        <w:rPr>
          <w:b w:val="0"/>
          <w:noProof/>
        </w:rPr>
        <w:t>1</w:t>
      </w:r>
      <w:r>
        <w:rPr>
          <w:b w:val="0"/>
        </w:rPr>
        <w:fldChar w:fldCharType="end"/>
      </w:r>
      <w:r>
        <w:tab/>
      </w:r>
      <w:r w:rsidR="0062009D">
        <w:t>Budget pressures grow over the next 50 years</w:t>
      </w:r>
    </w:p>
    <w:tbl>
      <w:tblPr>
        <w:tblW w:w="8789" w:type="dxa"/>
        <w:tblLayout w:type="fixed"/>
        <w:tblCellMar>
          <w:left w:w="0" w:type="dxa"/>
          <w:right w:w="0" w:type="dxa"/>
        </w:tblCellMar>
        <w:tblLook w:val="0000" w:firstRow="0" w:lastRow="0" w:firstColumn="0" w:lastColumn="0" w:noHBand="0" w:noVBand="0"/>
      </w:tblPr>
      <w:tblGrid>
        <w:gridCol w:w="2552"/>
        <w:gridCol w:w="2126"/>
        <w:gridCol w:w="1984"/>
        <w:gridCol w:w="2127"/>
      </w:tblGrid>
      <w:tr w:rsidR="00BB0557" w:rsidTr="00C340D0">
        <w:tc>
          <w:tcPr>
            <w:tcW w:w="2552" w:type="dxa"/>
            <w:tcBorders>
              <w:top w:val="single" w:sz="6" w:space="0" w:color="auto"/>
              <w:bottom w:val="single" w:sz="6" w:space="0" w:color="auto"/>
            </w:tcBorders>
            <w:shd w:val="clear" w:color="auto" w:fill="auto"/>
          </w:tcPr>
          <w:p w:rsidR="00BB0557" w:rsidRDefault="00BB0557" w:rsidP="00BB0557">
            <w:pPr>
              <w:pStyle w:val="TableColumnHeading"/>
              <w:jc w:val="left"/>
            </w:pPr>
          </w:p>
        </w:tc>
        <w:tc>
          <w:tcPr>
            <w:tcW w:w="2126" w:type="dxa"/>
            <w:tcBorders>
              <w:top w:val="single" w:sz="6" w:space="0" w:color="auto"/>
              <w:bottom w:val="single" w:sz="6" w:space="0" w:color="auto"/>
            </w:tcBorders>
            <w:shd w:val="clear" w:color="auto" w:fill="auto"/>
          </w:tcPr>
          <w:p w:rsidR="00BB0557" w:rsidRDefault="00BB0557" w:rsidP="00151259">
            <w:pPr>
              <w:pStyle w:val="TableColumnHeading"/>
            </w:pPr>
            <w:r>
              <w:t>2011</w:t>
            </w:r>
            <w:r w:rsidR="00717B18">
              <w:noBreakHyphen/>
            </w:r>
            <w:r>
              <w:t>12</w:t>
            </w:r>
          </w:p>
        </w:tc>
        <w:tc>
          <w:tcPr>
            <w:tcW w:w="1984" w:type="dxa"/>
            <w:tcBorders>
              <w:top w:val="single" w:sz="6" w:space="0" w:color="auto"/>
              <w:bottom w:val="single" w:sz="6" w:space="0" w:color="auto"/>
            </w:tcBorders>
            <w:shd w:val="clear" w:color="auto" w:fill="auto"/>
          </w:tcPr>
          <w:p w:rsidR="00BB0557" w:rsidRDefault="00BB0557" w:rsidP="00151259">
            <w:pPr>
              <w:pStyle w:val="TableColumnHeading"/>
            </w:pPr>
            <w:r>
              <w:t>2059</w:t>
            </w:r>
            <w:r w:rsidR="00717B18">
              <w:noBreakHyphen/>
            </w:r>
            <w:r>
              <w:t>60</w:t>
            </w:r>
          </w:p>
        </w:tc>
        <w:tc>
          <w:tcPr>
            <w:tcW w:w="2127" w:type="dxa"/>
            <w:tcBorders>
              <w:top w:val="single" w:sz="6" w:space="0" w:color="auto"/>
              <w:bottom w:val="single" w:sz="6" w:space="0" w:color="auto"/>
            </w:tcBorders>
            <w:shd w:val="clear" w:color="auto" w:fill="auto"/>
          </w:tcPr>
          <w:p w:rsidR="00BB0557" w:rsidRDefault="00BB0557" w:rsidP="00151259">
            <w:pPr>
              <w:pStyle w:val="TableColumnHeading"/>
              <w:ind w:right="28"/>
            </w:pPr>
            <w:r>
              <w:t>Change</w:t>
            </w:r>
          </w:p>
        </w:tc>
      </w:tr>
      <w:tr w:rsidR="0062009D" w:rsidTr="00C340D0">
        <w:tc>
          <w:tcPr>
            <w:tcW w:w="2552" w:type="dxa"/>
            <w:tcBorders>
              <w:top w:val="single" w:sz="6" w:space="0" w:color="auto"/>
            </w:tcBorders>
          </w:tcPr>
          <w:p w:rsidR="0062009D" w:rsidRDefault="0062009D" w:rsidP="00151259">
            <w:pPr>
              <w:pStyle w:val="TableUnitsRow"/>
            </w:pPr>
          </w:p>
        </w:tc>
        <w:tc>
          <w:tcPr>
            <w:tcW w:w="2126" w:type="dxa"/>
            <w:tcBorders>
              <w:top w:val="single" w:sz="6" w:space="0" w:color="auto"/>
              <w:bottom w:val="single" w:sz="6" w:space="0" w:color="auto"/>
            </w:tcBorders>
          </w:tcPr>
          <w:p w:rsidR="0062009D" w:rsidRDefault="0062009D" w:rsidP="00151259">
            <w:pPr>
              <w:pStyle w:val="TableUnitsRow"/>
            </w:pPr>
            <w:r>
              <w:t>Share of GDP (%)</w:t>
            </w:r>
          </w:p>
        </w:tc>
        <w:tc>
          <w:tcPr>
            <w:tcW w:w="1984" w:type="dxa"/>
            <w:tcBorders>
              <w:top w:val="single" w:sz="6" w:space="0" w:color="auto"/>
              <w:bottom w:val="single" w:sz="6" w:space="0" w:color="auto"/>
            </w:tcBorders>
          </w:tcPr>
          <w:p w:rsidR="0062009D" w:rsidRDefault="0062009D" w:rsidP="00151259">
            <w:pPr>
              <w:pStyle w:val="TableUnitsRow"/>
            </w:pPr>
            <w:r w:rsidRPr="00DE0E47">
              <w:t>Share of GDP (%)</w:t>
            </w:r>
          </w:p>
        </w:tc>
        <w:tc>
          <w:tcPr>
            <w:tcW w:w="2127" w:type="dxa"/>
            <w:tcBorders>
              <w:top w:val="single" w:sz="6" w:space="0" w:color="auto"/>
              <w:bottom w:val="single" w:sz="6" w:space="0" w:color="auto"/>
            </w:tcBorders>
          </w:tcPr>
          <w:p w:rsidR="0062009D" w:rsidRDefault="0062009D" w:rsidP="00151259">
            <w:pPr>
              <w:pStyle w:val="TableUnitsRow"/>
              <w:ind w:right="28"/>
            </w:pPr>
            <w:r w:rsidRPr="00DE0E47">
              <w:t>Share of GDP (%)</w:t>
            </w:r>
          </w:p>
        </w:tc>
      </w:tr>
      <w:tr w:rsidR="0062009D" w:rsidRPr="0062009D" w:rsidTr="00C340D0">
        <w:tc>
          <w:tcPr>
            <w:tcW w:w="8789" w:type="dxa"/>
            <w:gridSpan w:val="4"/>
          </w:tcPr>
          <w:p w:rsidR="0062009D" w:rsidRPr="0062009D" w:rsidRDefault="0062009D" w:rsidP="00EC7926">
            <w:pPr>
              <w:pStyle w:val="TableBodyText"/>
              <w:spacing w:before="40"/>
              <w:ind w:right="6"/>
              <w:jc w:val="center"/>
              <w:rPr>
                <w:b/>
              </w:rPr>
            </w:pPr>
            <w:r w:rsidRPr="0062009D">
              <w:rPr>
                <w:b/>
              </w:rPr>
              <w:t>Australian Government</w:t>
            </w:r>
          </w:p>
        </w:tc>
      </w:tr>
      <w:tr w:rsidR="00BB0557" w:rsidTr="00C340D0">
        <w:tc>
          <w:tcPr>
            <w:tcW w:w="2552" w:type="dxa"/>
          </w:tcPr>
          <w:p w:rsidR="00BB0557" w:rsidRDefault="00BB0557" w:rsidP="00BB0557">
            <w:pPr>
              <w:pStyle w:val="TableBodyText"/>
              <w:jc w:val="left"/>
            </w:pPr>
            <w:r>
              <w:t>Health care</w:t>
            </w:r>
          </w:p>
        </w:tc>
        <w:tc>
          <w:tcPr>
            <w:tcW w:w="2126" w:type="dxa"/>
          </w:tcPr>
          <w:p w:rsidR="00BB0557" w:rsidRDefault="00BB0557" w:rsidP="00151259">
            <w:pPr>
              <w:pStyle w:val="TableBodyText"/>
            </w:pPr>
            <w:r>
              <w:t>4.</w:t>
            </w:r>
            <w:r w:rsidR="00A94FCD">
              <w:t>1</w:t>
            </w:r>
          </w:p>
        </w:tc>
        <w:tc>
          <w:tcPr>
            <w:tcW w:w="1984" w:type="dxa"/>
          </w:tcPr>
          <w:p w:rsidR="00BB0557" w:rsidRDefault="00BB0557" w:rsidP="00151259">
            <w:pPr>
              <w:pStyle w:val="TableBodyText"/>
            </w:pPr>
            <w:r>
              <w:t>7.</w:t>
            </w:r>
            <w:r w:rsidR="00EF1EEF">
              <w:t>0</w:t>
            </w:r>
          </w:p>
        </w:tc>
        <w:tc>
          <w:tcPr>
            <w:tcW w:w="2127" w:type="dxa"/>
          </w:tcPr>
          <w:p w:rsidR="00BB0557" w:rsidRDefault="00BB0557" w:rsidP="00151259">
            <w:pPr>
              <w:pStyle w:val="TableBodyText"/>
              <w:ind w:right="28"/>
            </w:pPr>
            <w:r>
              <w:t>2.9</w:t>
            </w:r>
          </w:p>
        </w:tc>
      </w:tr>
      <w:tr w:rsidR="00BB0557" w:rsidTr="00C340D0">
        <w:tc>
          <w:tcPr>
            <w:tcW w:w="2552" w:type="dxa"/>
          </w:tcPr>
          <w:p w:rsidR="00BB0557" w:rsidRDefault="00BB0557" w:rsidP="00BB0557">
            <w:pPr>
              <w:pStyle w:val="TableBodyText"/>
              <w:jc w:val="left"/>
            </w:pPr>
            <w:r>
              <w:t>Age Pension</w:t>
            </w:r>
          </w:p>
        </w:tc>
        <w:tc>
          <w:tcPr>
            <w:tcW w:w="2126" w:type="dxa"/>
          </w:tcPr>
          <w:p w:rsidR="00BB0557" w:rsidRDefault="00BB0557" w:rsidP="00151259">
            <w:pPr>
              <w:pStyle w:val="TableBodyText"/>
            </w:pPr>
            <w:r>
              <w:t>2.7</w:t>
            </w:r>
          </w:p>
        </w:tc>
        <w:tc>
          <w:tcPr>
            <w:tcW w:w="1984" w:type="dxa"/>
          </w:tcPr>
          <w:p w:rsidR="00BB0557" w:rsidRDefault="00CA2201" w:rsidP="00151259">
            <w:pPr>
              <w:pStyle w:val="TableBodyText"/>
            </w:pPr>
            <w:r>
              <w:t>3.7</w:t>
            </w:r>
          </w:p>
        </w:tc>
        <w:tc>
          <w:tcPr>
            <w:tcW w:w="2127" w:type="dxa"/>
          </w:tcPr>
          <w:p w:rsidR="00BB0557" w:rsidRDefault="00CA2201" w:rsidP="00151259">
            <w:pPr>
              <w:pStyle w:val="TableBodyText"/>
              <w:ind w:right="28"/>
            </w:pPr>
            <w:r>
              <w:t>1.0</w:t>
            </w:r>
          </w:p>
        </w:tc>
      </w:tr>
      <w:tr w:rsidR="00BB0557" w:rsidTr="00C340D0">
        <w:tc>
          <w:tcPr>
            <w:tcW w:w="2552" w:type="dxa"/>
          </w:tcPr>
          <w:p w:rsidR="00BB0557" w:rsidRDefault="00BB0557" w:rsidP="00BB0557">
            <w:pPr>
              <w:pStyle w:val="TableBodyText"/>
              <w:jc w:val="left"/>
            </w:pPr>
            <w:r>
              <w:t>Aged Care</w:t>
            </w:r>
          </w:p>
        </w:tc>
        <w:tc>
          <w:tcPr>
            <w:tcW w:w="2126" w:type="dxa"/>
          </w:tcPr>
          <w:p w:rsidR="00BB0557" w:rsidRDefault="00BB0557" w:rsidP="00151259">
            <w:pPr>
              <w:pStyle w:val="TableBodyText"/>
            </w:pPr>
            <w:r>
              <w:t>0.8</w:t>
            </w:r>
          </w:p>
        </w:tc>
        <w:tc>
          <w:tcPr>
            <w:tcW w:w="1984" w:type="dxa"/>
          </w:tcPr>
          <w:p w:rsidR="00BB0557" w:rsidRDefault="00BB0557" w:rsidP="00151259">
            <w:pPr>
              <w:pStyle w:val="TableBodyText"/>
            </w:pPr>
            <w:r>
              <w:t>2</w:t>
            </w:r>
            <w:r w:rsidR="00CE3845">
              <w:t>.6</w:t>
            </w:r>
          </w:p>
        </w:tc>
        <w:tc>
          <w:tcPr>
            <w:tcW w:w="2127" w:type="dxa"/>
          </w:tcPr>
          <w:p w:rsidR="00BB0557" w:rsidRDefault="00BB0557" w:rsidP="00151259">
            <w:pPr>
              <w:pStyle w:val="TableBodyText"/>
              <w:ind w:right="28"/>
            </w:pPr>
            <w:r>
              <w:t>1.8</w:t>
            </w:r>
          </w:p>
        </w:tc>
      </w:tr>
      <w:tr w:rsidR="00BB0557" w:rsidTr="00C340D0">
        <w:tc>
          <w:tcPr>
            <w:tcW w:w="2552" w:type="dxa"/>
          </w:tcPr>
          <w:p w:rsidR="00BB0557" w:rsidRDefault="00BB0557" w:rsidP="00BB0557">
            <w:pPr>
              <w:pStyle w:val="TableBodyText"/>
              <w:jc w:val="left"/>
            </w:pPr>
            <w:r>
              <w:t>Education</w:t>
            </w:r>
          </w:p>
        </w:tc>
        <w:tc>
          <w:tcPr>
            <w:tcW w:w="2126" w:type="dxa"/>
          </w:tcPr>
          <w:p w:rsidR="00BB0557" w:rsidRDefault="00CA2201" w:rsidP="00151259">
            <w:pPr>
              <w:pStyle w:val="TableBodyText"/>
            </w:pPr>
            <w:r>
              <w:t>1.9</w:t>
            </w:r>
          </w:p>
        </w:tc>
        <w:tc>
          <w:tcPr>
            <w:tcW w:w="1984" w:type="dxa"/>
          </w:tcPr>
          <w:p w:rsidR="00BB0557" w:rsidRDefault="00BB0557" w:rsidP="00151259">
            <w:pPr>
              <w:pStyle w:val="TableBodyText"/>
            </w:pPr>
            <w:r>
              <w:t>1.7</w:t>
            </w:r>
          </w:p>
        </w:tc>
        <w:tc>
          <w:tcPr>
            <w:tcW w:w="2127" w:type="dxa"/>
          </w:tcPr>
          <w:p w:rsidR="00BB0557" w:rsidRDefault="00717B18" w:rsidP="00151259">
            <w:pPr>
              <w:pStyle w:val="TableBodyText"/>
              <w:ind w:right="28"/>
            </w:pPr>
            <w:r>
              <w:noBreakHyphen/>
            </w:r>
            <w:r w:rsidR="00BB0557">
              <w:t>0.</w:t>
            </w:r>
            <w:r w:rsidR="00EF1EEF">
              <w:t>2</w:t>
            </w:r>
          </w:p>
        </w:tc>
      </w:tr>
      <w:tr w:rsidR="00BB0557" w:rsidTr="00C340D0">
        <w:tc>
          <w:tcPr>
            <w:tcW w:w="2552" w:type="dxa"/>
          </w:tcPr>
          <w:p w:rsidR="00BB0557" w:rsidRDefault="00BB0557" w:rsidP="00BB0557">
            <w:pPr>
              <w:pStyle w:val="TableBodyText"/>
              <w:jc w:val="left"/>
            </w:pPr>
            <w:r>
              <w:t>Other</w:t>
            </w:r>
            <w:r w:rsidR="00C340D0">
              <w:t xml:space="preserve"> (including disability)</w:t>
            </w:r>
          </w:p>
        </w:tc>
        <w:tc>
          <w:tcPr>
            <w:tcW w:w="2126" w:type="dxa"/>
          </w:tcPr>
          <w:p w:rsidR="00BB0557" w:rsidRDefault="00BB0557" w:rsidP="00151259">
            <w:pPr>
              <w:pStyle w:val="TableBodyText"/>
            </w:pPr>
            <w:r>
              <w:t>11.</w:t>
            </w:r>
            <w:r w:rsidR="00EF1EEF">
              <w:t>2</w:t>
            </w:r>
          </w:p>
        </w:tc>
        <w:tc>
          <w:tcPr>
            <w:tcW w:w="1984" w:type="dxa"/>
          </w:tcPr>
          <w:p w:rsidR="00BB0557" w:rsidRDefault="00CA2201" w:rsidP="00151259">
            <w:pPr>
              <w:pStyle w:val="TableBodyText"/>
            </w:pPr>
            <w:r>
              <w:t>10.2</w:t>
            </w:r>
          </w:p>
        </w:tc>
        <w:tc>
          <w:tcPr>
            <w:tcW w:w="2127" w:type="dxa"/>
          </w:tcPr>
          <w:p w:rsidR="00BB0557" w:rsidRDefault="00717B18" w:rsidP="00151259">
            <w:pPr>
              <w:pStyle w:val="TableBodyText"/>
              <w:ind w:right="28"/>
            </w:pPr>
            <w:r>
              <w:noBreakHyphen/>
            </w:r>
            <w:r w:rsidR="00BB0557">
              <w:t>1.0</w:t>
            </w:r>
          </w:p>
        </w:tc>
      </w:tr>
      <w:tr w:rsidR="00BB0557" w:rsidTr="00C340D0">
        <w:tc>
          <w:tcPr>
            <w:tcW w:w="2552" w:type="dxa"/>
            <w:tcBorders>
              <w:bottom w:val="single" w:sz="6" w:space="0" w:color="auto"/>
            </w:tcBorders>
          </w:tcPr>
          <w:p w:rsidR="00BB0557" w:rsidRDefault="0045618D" w:rsidP="00BB0557">
            <w:pPr>
              <w:pStyle w:val="TableBodyText"/>
              <w:jc w:val="left"/>
            </w:pPr>
            <w:r>
              <w:t>Sum</w:t>
            </w:r>
          </w:p>
        </w:tc>
        <w:tc>
          <w:tcPr>
            <w:tcW w:w="2126" w:type="dxa"/>
            <w:tcBorders>
              <w:bottom w:val="single" w:sz="6" w:space="0" w:color="auto"/>
            </w:tcBorders>
          </w:tcPr>
          <w:p w:rsidR="00BB0557" w:rsidRDefault="00EF1EEF" w:rsidP="00151259">
            <w:pPr>
              <w:pStyle w:val="TableBodyText"/>
            </w:pPr>
            <w:r>
              <w:t>20.</w:t>
            </w:r>
            <w:r w:rsidR="00CA2201">
              <w:t>7</w:t>
            </w:r>
          </w:p>
        </w:tc>
        <w:tc>
          <w:tcPr>
            <w:tcW w:w="1984" w:type="dxa"/>
            <w:tcBorders>
              <w:bottom w:val="single" w:sz="6" w:space="0" w:color="auto"/>
            </w:tcBorders>
          </w:tcPr>
          <w:p w:rsidR="00BB0557" w:rsidRDefault="00BB0557" w:rsidP="001D257D">
            <w:pPr>
              <w:pStyle w:val="TableBodyText"/>
            </w:pPr>
            <w:r>
              <w:t>25.</w:t>
            </w:r>
            <w:r w:rsidR="001D257D">
              <w:t>1</w:t>
            </w:r>
          </w:p>
        </w:tc>
        <w:tc>
          <w:tcPr>
            <w:tcW w:w="2127" w:type="dxa"/>
            <w:tcBorders>
              <w:bottom w:val="single" w:sz="6" w:space="0" w:color="auto"/>
            </w:tcBorders>
          </w:tcPr>
          <w:p w:rsidR="00BB0557" w:rsidRDefault="00BB0557" w:rsidP="00FE157F">
            <w:pPr>
              <w:pStyle w:val="TableBodyText"/>
              <w:ind w:right="28"/>
            </w:pPr>
            <w:r>
              <w:t>4.</w:t>
            </w:r>
            <w:r w:rsidR="00FE157F">
              <w:t>4</w:t>
            </w:r>
            <w:bookmarkStart w:id="4" w:name="_GoBack"/>
            <w:bookmarkEnd w:id="4"/>
          </w:p>
        </w:tc>
      </w:tr>
      <w:tr w:rsidR="0062009D" w:rsidRPr="00EC7926" w:rsidTr="00C340D0">
        <w:tc>
          <w:tcPr>
            <w:tcW w:w="8789" w:type="dxa"/>
            <w:gridSpan w:val="4"/>
            <w:tcBorders>
              <w:top w:val="single" w:sz="6" w:space="0" w:color="auto"/>
            </w:tcBorders>
          </w:tcPr>
          <w:p w:rsidR="0062009D" w:rsidRPr="0062009D" w:rsidRDefault="0062009D" w:rsidP="00EC7926">
            <w:pPr>
              <w:pStyle w:val="TableBodyText"/>
              <w:spacing w:before="40"/>
              <w:ind w:right="6"/>
              <w:jc w:val="center"/>
              <w:rPr>
                <w:b/>
              </w:rPr>
            </w:pPr>
            <w:r w:rsidRPr="0062009D">
              <w:rPr>
                <w:b/>
              </w:rPr>
              <w:t xml:space="preserve">State and </w:t>
            </w:r>
            <w:r w:rsidR="00C340D0">
              <w:rPr>
                <w:b/>
              </w:rPr>
              <w:t>t</w:t>
            </w:r>
            <w:r w:rsidRPr="0062009D">
              <w:rPr>
                <w:b/>
              </w:rPr>
              <w:t xml:space="preserve">erritory </w:t>
            </w:r>
            <w:r w:rsidR="00C340D0">
              <w:rPr>
                <w:b/>
              </w:rPr>
              <w:t>g</w:t>
            </w:r>
            <w:r w:rsidRPr="0062009D">
              <w:rPr>
                <w:b/>
              </w:rPr>
              <w:t>overnments</w:t>
            </w:r>
          </w:p>
        </w:tc>
      </w:tr>
      <w:tr w:rsidR="00BB0557" w:rsidTr="00C340D0">
        <w:tc>
          <w:tcPr>
            <w:tcW w:w="2552" w:type="dxa"/>
          </w:tcPr>
          <w:p w:rsidR="00BB0557" w:rsidRDefault="00BB0557" w:rsidP="00BB0557">
            <w:pPr>
              <w:pStyle w:val="TableBodyText"/>
              <w:jc w:val="left"/>
            </w:pPr>
            <w:r>
              <w:t>Health care</w:t>
            </w:r>
          </w:p>
        </w:tc>
        <w:tc>
          <w:tcPr>
            <w:tcW w:w="2126" w:type="dxa"/>
          </w:tcPr>
          <w:p w:rsidR="00BB0557" w:rsidRDefault="007541D7" w:rsidP="00151259">
            <w:pPr>
              <w:pStyle w:val="TableBodyText"/>
            </w:pPr>
            <w:r>
              <w:t>2.4</w:t>
            </w:r>
          </w:p>
        </w:tc>
        <w:tc>
          <w:tcPr>
            <w:tcW w:w="1984" w:type="dxa"/>
          </w:tcPr>
          <w:p w:rsidR="00BB0557" w:rsidRDefault="007541D7" w:rsidP="00151259">
            <w:pPr>
              <w:pStyle w:val="TableBodyText"/>
            </w:pPr>
            <w:r>
              <w:t>3.</w:t>
            </w:r>
            <w:r w:rsidR="00CA2201">
              <w:t>8</w:t>
            </w:r>
          </w:p>
        </w:tc>
        <w:tc>
          <w:tcPr>
            <w:tcW w:w="2127" w:type="dxa"/>
          </w:tcPr>
          <w:p w:rsidR="00BB0557" w:rsidRDefault="007541D7" w:rsidP="00151259">
            <w:pPr>
              <w:pStyle w:val="TableBodyText"/>
              <w:ind w:right="28"/>
            </w:pPr>
            <w:r>
              <w:t>1.4</w:t>
            </w:r>
          </w:p>
        </w:tc>
      </w:tr>
      <w:tr w:rsidR="0045618D" w:rsidTr="00276ED8">
        <w:tc>
          <w:tcPr>
            <w:tcW w:w="2552" w:type="dxa"/>
            <w:shd w:val="clear" w:color="auto" w:fill="auto"/>
          </w:tcPr>
          <w:p w:rsidR="0045618D" w:rsidRDefault="0045618D" w:rsidP="008D13B1">
            <w:pPr>
              <w:pStyle w:val="TableBodyText"/>
              <w:jc w:val="left"/>
            </w:pPr>
            <w:r>
              <w:t>Education</w:t>
            </w:r>
          </w:p>
        </w:tc>
        <w:tc>
          <w:tcPr>
            <w:tcW w:w="2126" w:type="dxa"/>
            <w:shd w:val="clear" w:color="auto" w:fill="auto"/>
          </w:tcPr>
          <w:p w:rsidR="0045618D" w:rsidRDefault="0045618D" w:rsidP="00151259">
            <w:pPr>
              <w:pStyle w:val="TableBodyText"/>
            </w:pPr>
            <w:r>
              <w:t>3.</w:t>
            </w:r>
            <w:r w:rsidR="00EF1EEF">
              <w:t>5</w:t>
            </w:r>
          </w:p>
        </w:tc>
        <w:tc>
          <w:tcPr>
            <w:tcW w:w="1984" w:type="dxa"/>
            <w:shd w:val="clear" w:color="auto" w:fill="auto"/>
          </w:tcPr>
          <w:p w:rsidR="0045618D" w:rsidRDefault="0045618D" w:rsidP="00151259">
            <w:pPr>
              <w:pStyle w:val="TableBodyText"/>
            </w:pPr>
            <w:r>
              <w:t>3.</w:t>
            </w:r>
            <w:r w:rsidR="00EF1EEF">
              <w:t>2</w:t>
            </w:r>
          </w:p>
        </w:tc>
        <w:tc>
          <w:tcPr>
            <w:tcW w:w="2127" w:type="dxa"/>
            <w:shd w:val="clear" w:color="auto" w:fill="auto"/>
          </w:tcPr>
          <w:p w:rsidR="0045618D" w:rsidRDefault="00717B18" w:rsidP="00151259">
            <w:pPr>
              <w:pStyle w:val="TableBodyText"/>
              <w:ind w:right="28"/>
            </w:pPr>
            <w:r>
              <w:noBreakHyphen/>
            </w:r>
            <w:r w:rsidR="0045618D">
              <w:t>0.3</w:t>
            </w:r>
          </w:p>
        </w:tc>
      </w:tr>
      <w:tr w:rsidR="00C340D0" w:rsidTr="00276ED8">
        <w:tc>
          <w:tcPr>
            <w:tcW w:w="2552" w:type="dxa"/>
            <w:shd w:val="clear" w:color="auto" w:fill="auto"/>
          </w:tcPr>
          <w:p w:rsidR="00C340D0" w:rsidRDefault="00C340D0" w:rsidP="00BB0557">
            <w:pPr>
              <w:pStyle w:val="TableBodyText"/>
              <w:jc w:val="left"/>
            </w:pPr>
            <w:r>
              <w:t>Disability</w:t>
            </w:r>
          </w:p>
        </w:tc>
        <w:tc>
          <w:tcPr>
            <w:tcW w:w="2126" w:type="dxa"/>
            <w:shd w:val="clear" w:color="auto" w:fill="auto"/>
          </w:tcPr>
          <w:p w:rsidR="00C340D0" w:rsidRDefault="00C340D0" w:rsidP="00151259">
            <w:pPr>
              <w:pStyle w:val="TableBodyText"/>
            </w:pPr>
            <w:r>
              <w:t>0.2</w:t>
            </w:r>
          </w:p>
        </w:tc>
        <w:tc>
          <w:tcPr>
            <w:tcW w:w="1984" w:type="dxa"/>
            <w:shd w:val="clear" w:color="auto" w:fill="auto"/>
          </w:tcPr>
          <w:p w:rsidR="00C340D0" w:rsidRDefault="00C340D0" w:rsidP="00151259">
            <w:pPr>
              <w:pStyle w:val="TableBodyText"/>
            </w:pPr>
            <w:r>
              <w:t>0.5</w:t>
            </w:r>
          </w:p>
        </w:tc>
        <w:tc>
          <w:tcPr>
            <w:tcW w:w="2127" w:type="dxa"/>
            <w:shd w:val="clear" w:color="auto" w:fill="auto"/>
          </w:tcPr>
          <w:p w:rsidR="00C340D0" w:rsidRDefault="00C340D0" w:rsidP="00151259">
            <w:pPr>
              <w:pStyle w:val="TableBodyText"/>
              <w:ind w:right="28"/>
            </w:pPr>
            <w:r>
              <w:t>0.3</w:t>
            </w:r>
          </w:p>
        </w:tc>
      </w:tr>
      <w:tr w:rsidR="0045618D" w:rsidTr="00276ED8">
        <w:tc>
          <w:tcPr>
            <w:tcW w:w="2552" w:type="dxa"/>
            <w:tcBorders>
              <w:bottom w:val="single" w:sz="6" w:space="0" w:color="auto"/>
            </w:tcBorders>
            <w:shd w:val="clear" w:color="auto" w:fill="auto"/>
          </w:tcPr>
          <w:p w:rsidR="0045618D" w:rsidRDefault="0045618D" w:rsidP="00BB0557">
            <w:pPr>
              <w:pStyle w:val="TableBodyText"/>
              <w:jc w:val="left"/>
            </w:pPr>
            <w:r>
              <w:t>Sum</w:t>
            </w:r>
          </w:p>
        </w:tc>
        <w:tc>
          <w:tcPr>
            <w:tcW w:w="2126" w:type="dxa"/>
            <w:tcBorders>
              <w:bottom w:val="single" w:sz="6" w:space="0" w:color="auto"/>
            </w:tcBorders>
            <w:shd w:val="clear" w:color="auto" w:fill="auto"/>
          </w:tcPr>
          <w:p w:rsidR="0045618D" w:rsidRDefault="00C340D0" w:rsidP="00151259">
            <w:pPr>
              <w:pStyle w:val="TableBodyText"/>
            </w:pPr>
            <w:r>
              <w:t>6.</w:t>
            </w:r>
            <w:r w:rsidR="00EF1EEF">
              <w:t>1</w:t>
            </w:r>
          </w:p>
        </w:tc>
        <w:tc>
          <w:tcPr>
            <w:tcW w:w="1984" w:type="dxa"/>
            <w:tcBorders>
              <w:bottom w:val="single" w:sz="6" w:space="0" w:color="auto"/>
            </w:tcBorders>
            <w:shd w:val="clear" w:color="auto" w:fill="auto"/>
          </w:tcPr>
          <w:p w:rsidR="0045618D" w:rsidRDefault="00C340D0" w:rsidP="00151259">
            <w:pPr>
              <w:pStyle w:val="TableBodyText"/>
            </w:pPr>
            <w:r>
              <w:t>7.</w:t>
            </w:r>
            <w:r w:rsidR="00EF1EEF">
              <w:t>5</w:t>
            </w:r>
          </w:p>
        </w:tc>
        <w:tc>
          <w:tcPr>
            <w:tcW w:w="2127" w:type="dxa"/>
            <w:tcBorders>
              <w:bottom w:val="single" w:sz="6" w:space="0" w:color="auto"/>
            </w:tcBorders>
            <w:shd w:val="clear" w:color="auto" w:fill="auto"/>
          </w:tcPr>
          <w:p w:rsidR="0045618D" w:rsidRDefault="00C340D0" w:rsidP="00151259">
            <w:pPr>
              <w:pStyle w:val="TableBodyText"/>
              <w:ind w:right="28"/>
            </w:pPr>
            <w:r>
              <w:t>1.</w:t>
            </w:r>
            <w:r w:rsidR="00CA2201">
              <w:t>4</w:t>
            </w:r>
          </w:p>
        </w:tc>
      </w:tr>
    </w:tbl>
    <w:p w:rsidR="00341BA0" w:rsidRPr="00341BA0" w:rsidRDefault="00341BA0" w:rsidP="00341BA0">
      <w:pPr>
        <w:pStyle w:val="Note"/>
        <w:rPr>
          <w:sz w:val="14"/>
          <w:szCs w:val="14"/>
        </w:rPr>
      </w:pPr>
      <w:r w:rsidRPr="00341BA0">
        <w:rPr>
          <w:sz w:val="14"/>
          <w:szCs w:val="14"/>
        </w:rPr>
        <w:t>Numbers may not add to totals due to rounding.</w:t>
      </w:r>
    </w:p>
    <w:p w:rsidR="00485220" w:rsidRDefault="00485220" w:rsidP="00485220">
      <w:pPr>
        <w:pStyle w:val="BodyText"/>
      </w:pPr>
      <w:r>
        <w:lastRenderedPageBreak/>
        <w:t>The pressures on health care, the most important driver of fiscal pressure, reflect two related factors:</w:t>
      </w:r>
    </w:p>
    <w:p w:rsidR="00485220" w:rsidRDefault="00485220" w:rsidP="00485220">
      <w:pPr>
        <w:pStyle w:val="ListBullet"/>
      </w:pPr>
      <w:r>
        <w:t xml:space="preserve">Health care costs rise with age, </w:t>
      </w:r>
      <w:r w:rsidR="00B5329E">
        <w:t>given</w:t>
      </w:r>
      <w:r>
        <w:t xml:space="preserve"> greater service use</w:t>
      </w:r>
      <w:r w:rsidR="00B5329E">
        <w:t xml:space="preserve"> at older ages</w:t>
      </w:r>
      <w:r>
        <w:t>. For example, in 2010</w:t>
      </w:r>
      <w:r w:rsidR="00372420">
        <w:noBreakHyphen/>
      </w:r>
      <w:r>
        <w:t>11, the cost of Pharmaceutical Benefits Scheme drugs per person aged 75 or more years was nearly 50 times greater than the cost per person aged under 18 years. Similarly, dramatic relationships between age and per person costs are apparent for other health services, such as hospitals (figure </w:t>
      </w:r>
      <w:r w:rsidR="00F12D72">
        <w:t>9</w:t>
      </w:r>
      <w:r>
        <w:t xml:space="preserve">). </w:t>
      </w:r>
    </w:p>
    <w:p w:rsidR="00485220" w:rsidRDefault="009744CC" w:rsidP="00485220">
      <w:pPr>
        <w:pStyle w:val="ListBullet"/>
      </w:pPr>
      <w:r>
        <w:t xml:space="preserve">This pressure is </w:t>
      </w:r>
      <w:r w:rsidR="00684D14">
        <w:t xml:space="preserve">compounded by </w:t>
      </w:r>
      <w:r w:rsidR="00485220">
        <w:t>non</w:t>
      </w:r>
      <w:r w:rsidR="00717B18">
        <w:noBreakHyphen/>
      </w:r>
      <w:r w:rsidR="00485220">
        <w:t xml:space="preserve">demographic factors </w:t>
      </w:r>
      <w:r w:rsidR="00684D14">
        <w:t xml:space="preserve">that </w:t>
      </w:r>
      <w:r w:rsidR="00485220">
        <w:t xml:space="preserve">affect costs, such as advances in the quality of services, and new technologies. Even for a given population age structure, costs per capita in health care tend to rise at around 0.6 to 0.9 percentage points above real GDP per capita growth, depending on the segment of the health care sector. </w:t>
      </w:r>
    </w:p>
    <w:p w:rsidR="00AD1FE6" w:rsidRDefault="00AD1FE6">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9</w:t>
      </w:r>
      <w:r>
        <w:rPr>
          <w:b w:val="0"/>
        </w:rPr>
        <w:fldChar w:fldCharType="end"/>
      </w:r>
      <w:r>
        <w:tab/>
        <w:t>Hospital costs by age and sex, 2010</w:t>
      </w:r>
      <w:r>
        <w:noBreakHyphen/>
        <w:t>11</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D1FE6" w:rsidTr="007A3898">
        <w:tc>
          <w:tcPr>
            <w:tcW w:w="8777" w:type="dxa"/>
          </w:tcPr>
          <w:p w:rsidR="00AD1FE6" w:rsidRDefault="007A3898">
            <w:pPr>
              <w:pStyle w:val="Figure"/>
            </w:pPr>
            <w:r>
              <w:rPr>
                <w:noProof/>
              </w:rPr>
              <w:drawing>
                <wp:inline distT="0" distB="0" distL="0" distR="0" wp14:anchorId="7229264D" wp14:editId="2FAF4286">
                  <wp:extent cx="5372101" cy="3609976"/>
                  <wp:effectExtent l="0" t="0" r="0" b="0"/>
                  <wp:docPr id="4" name="Chart 4" descr="Figure 9 Hospital costs by age and sex, 2010-11. This figure shows the age specific hospital costs are greatest for those in older age groups."/>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485220" w:rsidRDefault="00485220" w:rsidP="00485220">
      <w:pPr>
        <w:pStyle w:val="BodyText"/>
      </w:pPr>
      <w:r>
        <w:t xml:space="preserve">The two factors are interlinked because many technological innovations occur for health interventions intensively used by older Australians. This trend may be accentuated as businesses develop technologies targeting the needs of the aged. The budgetary impact of a new drug (costing some $2100 per script) that targets macular degeneration among the aged provides a vivid example of this process. Over just a </w:t>
      </w:r>
      <w:r>
        <w:lastRenderedPageBreak/>
        <w:t xml:space="preserve">few years, prescription numbers increased more than sixfold, with </w:t>
      </w:r>
      <w:r w:rsidR="00F439DA">
        <w:t xml:space="preserve">annual </w:t>
      </w:r>
      <w:r>
        <w:t>costs to government rising from $45 million to nearly $310 million (figure </w:t>
      </w:r>
      <w:r w:rsidR="00F12D72">
        <w:t>10</w:t>
      </w:r>
      <w:r>
        <w:t>).</w:t>
      </w:r>
    </w:p>
    <w:p w:rsidR="00D67F08" w:rsidRDefault="00D67F08" w:rsidP="00D67F08">
      <w:pPr>
        <w:pStyle w:val="Heading3"/>
      </w:pPr>
      <w:r>
        <w:t>Closing the fiscal gap</w:t>
      </w:r>
    </w:p>
    <w:p w:rsidR="00D67F08" w:rsidRDefault="00D67F08" w:rsidP="00D67F08">
      <w:pPr>
        <w:pStyle w:val="BodyText"/>
      </w:pPr>
      <w:r>
        <w:t>All governments face the long</w:t>
      </w:r>
      <w:r w:rsidR="00717B18">
        <w:noBreakHyphen/>
      </w:r>
      <w:r>
        <w:t xml:space="preserve">run fiscal reality most bluntly put by the character </w:t>
      </w:r>
      <w:proofErr w:type="spellStart"/>
      <w:r>
        <w:t>Micawber</w:t>
      </w:r>
      <w:proofErr w:type="spellEnd"/>
      <w:r>
        <w:t xml:space="preserve"> in Charles Dickens’ novel </w:t>
      </w:r>
      <w:r w:rsidRPr="00CF4DD5">
        <w:rPr>
          <w:i/>
        </w:rPr>
        <w:t>David Copperfield</w:t>
      </w:r>
      <w:r>
        <w:t xml:space="preserve">: ‘Annual income twenty </w:t>
      </w:r>
      <w:r w:rsidR="00F439DA">
        <w:t>po</w:t>
      </w:r>
      <w:r w:rsidR="00F439DA" w:rsidRPr="00F439DA">
        <w:t>un</w:t>
      </w:r>
      <w:r w:rsidRPr="00F439DA">
        <w:t xml:space="preserve">ds, annual expenditure nineteen six, result happiness. Annual income twenty </w:t>
      </w:r>
      <w:r w:rsidR="00F439DA" w:rsidRPr="00F439DA">
        <w:t>po</w:t>
      </w:r>
      <w:r w:rsidRPr="00F439DA">
        <w:t>unds, annual expenditure twenty pounds ought and six, result misery’. While</w:t>
      </w:r>
      <w:r w:rsidR="00F439DA" w:rsidRPr="00F439DA">
        <w:t xml:space="preserve"> </w:t>
      </w:r>
      <w:r w:rsidR="00F439DA">
        <w:t>governments</w:t>
      </w:r>
      <w:r w:rsidRPr="00F439DA">
        <w:t>, unlike</w:t>
      </w:r>
      <w:r>
        <w:t xml:space="preserve"> </w:t>
      </w:r>
      <w:proofErr w:type="spellStart"/>
      <w:r>
        <w:t>Micawber</w:t>
      </w:r>
      <w:proofErr w:type="spellEnd"/>
      <w:r>
        <w:t xml:space="preserve">, have the capacity to borrow over reasonably lengthy periods, neither that strategy nor selling assets </w:t>
      </w:r>
      <w:r w:rsidR="00CA2201">
        <w:t xml:space="preserve">purely on revenue raising grounds </w:t>
      </w:r>
      <w:r>
        <w:t xml:space="preserve">are </w:t>
      </w:r>
      <w:r w:rsidR="00B5329E">
        <w:t>sustainable</w:t>
      </w:r>
      <w:r w:rsidR="00AD5671">
        <w:t xml:space="preserve"> </w:t>
      </w:r>
      <w:r>
        <w:t>long</w:t>
      </w:r>
      <w:r w:rsidR="00717B18">
        <w:noBreakHyphen/>
      </w:r>
      <w:r>
        <w:t xml:space="preserve">term options to </w:t>
      </w:r>
      <w:r w:rsidR="00763AE6">
        <w:t xml:space="preserve">address </w:t>
      </w:r>
      <w:r>
        <w:t xml:space="preserve">the widening fiscal gap. </w:t>
      </w:r>
      <w:r w:rsidR="00F90E03">
        <w:t xml:space="preserve">(There may of course </w:t>
      </w:r>
      <w:r w:rsidR="00F439DA">
        <w:t xml:space="preserve">still </w:t>
      </w:r>
      <w:r w:rsidR="00F90E03">
        <w:t>be strong efficiency grounds for privatisation.)</w:t>
      </w:r>
    </w:p>
    <w:p w:rsidR="00B707D8" w:rsidRDefault="00B707D8">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10</w:t>
      </w:r>
      <w:r>
        <w:rPr>
          <w:b w:val="0"/>
        </w:rPr>
        <w:fldChar w:fldCharType="end"/>
      </w:r>
      <w:r>
        <w:tab/>
      </w:r>
      <w:r w:rsidR="00507607">
        <w:t>The rising costs of a drug for age</w:t>
      </w:r>
      <w:r w:rsidR="00717B18">
        <w:noBreakHyphen/>
      </w:r>
      <w:r w:rsidR="00507607">
        <w:t>related macular degeneration</w:t>
      </w:r>
    </w:p>
    <w:tbl>
      <w:tblPr>
        <w:tblW w:w="8778" w:type="dxa"/>
        <w:tblInd w:w="119" w:type="dxa"/>
        <w:tblBorders>
          <w:top w:val="single" w:sz="4" w:space="0" w:color="auto"/>
          <w:bottom w:val="single" w:sz="4" w:space="0" w:color="auto"/>
        </w:tblBorders>
        <w:tblLayout w:type="fixed"/>
        <w:tblLook w:val="0000" w:firstRow="0" w:lastRow="0" w:firstColumn="0" w:lastColumn="0" w:noHBand="0" w:noVBand="0"/>
      </w:tblPr>
      <w:tblGrid>
        <w:gridCol w:w="4525"/>
        <w:gridCol w:w="4253"/>
      </w:tblGrid>
      <w:tr w:rsidR="00507607" w:rsidTr="00AD1B1F">
        <w:tc>
          <w:tcPr>
            <w:tcW w:w="4525" w:type="dxa"/>
          </w:tcPr>
          <w:p w:rsidR="00507607" w:rsidRDefault="00AD1B1F">
            <w:pPr>
              <w:pStyle w:val="Figure"/>
            </w:pPr>
            <w:r>
              <w:rPr>
                <w:noProof/>
              </w:rPr>
              <w:drawing>
                <wp:inline distT="0" distB="0" distL="0" distR="0" wp14:anchorId="7197CD64" wp14:editId="67AF76CD">
                  <wp:extent cx="2381251" cy="1908000"/>
                  <wp:effectExtent l="0" t="0" r="0" b="0"/>
                  <wp:docPr id="19" name="Chart 19" descr="Figure 10 The rising costs of a drug for age related macular degeneration. This figure is comprised of two charts. This chart shows that the number of scripts for Ranibizumab have increased by 534 per cent between 2007-08 and 201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4253" w:type="dxa"/>
          </w:tcPr>
          <w:p w:rsidR="00507607" w:rsidRDefault="00AD1B1F">
            <w:pPr>
              <w:pStyle w:val="Figure"/>
            </w:pPr>
            <w:r>
              <w:rPr>
                <w:noProof/>
              </w:rPr>
              <w:drawing>
                <wp:inline distT="0" distB="0" distL="0" distR="0" wp14:anchorId="516D91E1" wp14:editId="738244CB">
                  <wp:extent cx="2447925" cy="1908000"/>
                  <wp:effectExtent l="0" t="0" r="0" b="0"/>
                  <wp:docPr id="20" name="Chart 20" descr="Figure 10 The rising costs of a drug for age related macular degeneration. This chart shows that the number PBS cost of Ranibizumab has increased by 557 per cent between 2007-08 and 201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rsidR="00485220" w:rsidRDefault="005779C1" w:rsidP="00485220">
      <w:pPr>
        <w:pStyle w:val="BodyText"/>
      </w:pPr>
      <w:r>
        <w:t xml:space="preserve">Accordingly, </w:t>
      </w:r>
      <w:r w:rsidR="00485220">
        <w:t xml:space="preserve">governments can respond to </w:t>
      </w:r>
      <w:r w:rsidR="00485220" w:rsidRPr="00B77F67">
        <w:rPr>
          <w:i/>
        </w:rPr>
        <w:t>long</w:t>
      </w:r>
      <w:r w:rsidR="00717B18">
        <w:rPr>
          <w:i/>
        </w:rPr>
        <w:noBreakHyphen/>
      </w:r>
      <w:r w:rsidR="00485220" w:rsidRPr="00B77F67">
        <w:rPr>
          <w:i/>
        </w:rPr>
        <w:t>term</w:t>
      </w:r>
      <w:r w:rsidR="00485220">
        <w:t xml:space="preserve"> pressures </w:t>
      </w:r>
      <w:r w:rsidR="00B77977">
        <w:t xml:space="preserve">only </w:t>
      </w:r>
      <w:r w:rsidR="00485220">
        <w:t xml:space="preserve">by raising taxes, cutting aggregate spending or some hybrid. To give a picture of the size of the aggregate funding gap facing all governments, </w:t>
      </w:r>
      <w:r w:rsidR="00B86850">
        <w:t xml:space="preserve">its closure would require that </w:t>
      </w:r>
      <w:r w:rsidR="00E60EA0">
        <w:t>total taxes collected by all Australian governments increase</w:t>
      </w:r>
      <w:r w:rsidR="00B86850">
        <w:t>d</w:t>
      </w:r>
      <w:r w:rsidR="00E60EA0">
        <w:t xml:space="preserve"> </w:t>
      </w:r>
      <w:r w:rsidR="008B6A36">
        <w:t xml:space="preserve">from around </w:t>
      </w:r>
      <w:r w:rsidR="00866A97">
        <w:t>28</w:t>
      </w:r>
      <w:r w:rsidR="008B6A36">
        <w:t xml:space="preserve"> to </w:t>
      </w:r>
      <w:r w:rsidR="00866A97">
        <w:t>34</w:t>
      </w:r>
      <w:r w:rsidR="008B6A36">
        <w:t> per cent o</w:t>
      </w:r>
      <w:r w:rsidR="00866A97">
        <w:t>f</w:t>
      </w:r>
      <w:r w:rsidR="008B6A36">
        <w:t xml:space="preserve"> GDP (a</w:t>
      </w:r>
      <w:r w:rsidR="00866A97">
        <w:t>bout a</w:t>
      </w:r>
      <w:r w:rsidR="008B6A36">
        <w:t xml:space="preserve"> </w:t>
      </w:r>
      <w:r w:rsidR="00CA2201">
        <w:t>21 </w:t>
      </w:r>
      <w:r w:rsidR="008B6A36">
        <w:t>per cent increase)</w:t>
      </w:r>
      <w:r w:rsidR="00485220">
        <w:t xml:space="preserve">, or roughly an equivalent reduction in the existing expenditure to GDP, or some mix of the two. The key issue will be how governments can manage to close a gap of this size in an orderly, efficient and equitable way. Taxation will inevitably be part of the story, as will be targeting of any wasteful or inefficient spending. But some creative options also warrant exploration in the policy debate </w:t>
      </w:r>
      <w:r w:rsidR="00763AE6">
        <w:t xml:space="preserve">that </w:t>
      </w:r>
      <w:r w:rsidR="00485220">
        <w:t>Australia must have</w:t>
      </w:r>
      <w:r w:rsidR="00AD5671">
        <w:t>.</w:t>
      </w:r>
      <w:r w:rsidR="00485220">
        <w:t xml:space="preserve"> </w:t>
      </w:r>
    </w:p>
    <w:p w:rsidR="00EC095C" w:rsidRDefault="00EC095C" w:rsidP="00EC095C">
      <w:pPr>
        <w:pStyle w:val="Heading3"/>
      </w:pPr>
      <w:r>
        <w:lastRenderedPageBreak/>
        <w:t>Some reforms represent opportunities to overcome ageing fiscal pressure and warrant further debate</w:t>
      </w:r>
    </w:p>
    <w:p w:rsidR="00F056FC" w:rsidRDefault="00EC095C" w:rsidP="00EC095C">
      <w:pPr>
        <w:pStyle w:val="Heading4"/>
      </w:pPr>
      <w:r>
        <w:t>Increasing workforce participation amongst older workers</w:t>
      </w:r>
    </w:p>
    <w:p w:rsidR="00261BEB" w:rsidRDefault="007F2F50" w:rsidP="007F2F50">
      <w:pPr>
        <w:pStyle w:val="BodyText"/>
      </w:pPr>
      <w:r>
        <w:t xml:space="preserve">People are living </w:t>
      </w:r>
      <w:r w:rsidR="003B3F05">
        <w:t xml:space="preserve">much </w:t>
      </w:r>
      <w:r>
        <w:t>longer, yet for the last hundred years</w:t>
      </w:r>
      <w:r w:rsidR="00261BEB">
        <w:t>,</w:t>
      </w:r>
      <w:r>
        <w:t xml:space="preserve"> t</w:t>
      </w:r>
      <w:r w:rsidR="00047AB9">
        <w:t xml:space="preserve">here has been little change in </w:t>
      </w:r>
      <w:r>
        <w:t>the age at which people a</w:t>
      </w:r>
      <w:r w:rsidR="00047AB9">
        <w:t xml:space="preserve">re eligible for the Age Pension or </w:t>
      </w:r>
      <w:r>
        <w:t xml:space="preserve">the period spent </w:t>
      </w:r>
      <w:r w:rsidR="00261BEB">
        <w:t>in the labour force (figure </w:t>
      </w:r>
      <w:r w:rsidR="00F12D72">
        <w:t>11</w:t>
      </w:r>
      <w:r w:rsidR="00261BEB">
        <w:t>)</w:t>
      </w:r>
      <w:r>
        <w:t xml:space="preserve">. </w:t>
      </w:r>
      <w:r w:rsidR="00990CE5">
        <w:t>The average life expectancy from age 15</w:t>
      </w:r>
      <w:r w:rsidR="003B3F05">
        <w:t> </w:t>
      </w:r>
      <w:r w:rsidR="00990CE5">
        <w:t xml:space="preserve">years of a </w:t>
      </w:r>
      <w:r w:rsidR="00261BEB">
        <w:t>male</w:t>
      </w:r>
      <w:r w:rsidR="00990CE5">
        <w:t xml:space="preserve"> born in the so</w:t>
      </w:r>
      <w:r w:rsidR="00717B18">
        <w:noBreakHyphen/>
      </w:r>
      <w:r w:rsidR="00990CE5">
        <w:t>called ‘</w:t>
      </w:r>
      <w:r w:rsidR="00261BEB">
        <w:t>Oldest Genera</w:t>
      </w:r>
      <w:r w:rsidR="00990CE5">
        <w:t xml:space="preserve">tion’ between 1901 to 1925 was just over 55 years. </w:t>
      </w:r>
      <w:r w:rsidR="00E639D4">
        <w:t>After age 15 years, h</w:t>
      </w:r>
      <w:r w:rsidR="00261BEB">
        <w:t>e would spend just 13 years</w:t>
      </w:r>
      <w:r w:rsidR="00E639D4" w:rsidRPr="00E639D4">
        <w:t xml:space="preserve"> </w:t>
      </w:r>
      <w:r w:rsidR="00E639D4">
        <w:t>(or less than 25 per cent) of his remaining lifetime outside the labour force</w:t>
      </w:r>
      <w:r w:rsidR="00990CE5">
        <w:t xml:space="preserve">. In contrast, it is estimated that the </w:t>
      </w:r>
      <w:r w:rsidR="00261BEB">
        <w:t xml:space="preserve">male </w:t>
      </w:r>
      <w:r w:rsidR="00990CE5">
        <w:t>generations born between 2006–2060 (‘</w:t>
      </w:r>
      <w:proofErr w:type="spellStart"/>
      <w:r w:rsidR="00990CE5">
        <w:t>Gen</w:t>
      </w:r>
      <w:r w:rsidR="00D721C0">
        <w:t>W</w:t>
      </w:r>
      <w:r w:rsidR="00990CE5">
        <w:t>hats</w:t>
      </w:r>
      <w:proofErr w:type="spellEnd"/>
      <w:r w:rsidR="00990CE5">
        <w:t>’) will live an additional 78 years once they reach 15 years old</w:t>
      </w:r>
      <w:r w:rsidR="00B826ED">
        <w:t>, of which 33 years will be spent outside the labour force</w:t>
      </w:r>
      <w:r w:rsidR="00261BEB">
        <w:t xml:space="preserve"> (mostly not in education). </w:t>
      </w:r>
    </w:p>
    <w:p w:rsidR="00261BEB" w:rsidRDefault="007F2F50" w:rsidP="007F2F50">
      <w:pPr>
        <w:pStyle w:val="BodyText"/>
      </w:pPr>
      <w:r>
        <w:t>If time in full</w:t>
      </w:r>
      <w:r w:rsidR="00717B18">
        <w:noBreakHyphen/>
      </w:r>
      <w:r>
        <w:t xml:space="preserve">time equivalent work is </w:t>
      </w:r>
      <w:r w:rsidR="00261BEB">
        <w:t>considered</w:t>
      </w:r>
      <w:r>
        <w:t xml:space="preserve">, </w:t>
      </w:r>
      <w:r w:rsidR="00261BEB">
        <w:t>the average male ‘</w:t>
      </w:r>
      <w:proofErr w:type="spellStart"/>
      <w:r w:rsidR="00261BEB">
        <w:t>Gen</w:t>
      </w:r>
      <w:r w:rsidR="00D721C0">
        <w:t>W</w:t>
      </w:r>
      <w:r w:rsidR="00261BEB">
        <w:t>hat</w:t>
      </w:r>
      <w:proofErr w:type="spellEnd"/>
      <w:r w:rsidR="00261BEB">
        <w:t xml:space="preserve">’ aged 15 years </w:t>
      </w:r>
      <w:r w:rsidR="00C24F37">
        <w:t xml:space="preserve">is </w:t>
      </w:r>
      <w:r w:rsidR="003D5D4A">
        <w:t>projected</w:t>
      </w:r>
      <w:r w:rsidR="00C24F37">
        <w:t xml:space="preserve"> to</w:t>
      </w:r>
      <w:r w:rsidR="00261BEB">
        <w:t xml:space="preserve"> work for an estimated 39</w:t>
      </w:r>
      <w:r w:rsidR="003B3F05">
        <w:t> </w:t>
      </w:r>
      <w:r w:rsidR="00261BEB">
        <w:t>years compared with around 44 years for their ‘Oldest Generation’ counterpart.</w:t>
      </w:r>
      <w:r w:rsidR="003B3F05">
        <w:t xml:space="preserve"> The additional years in retirement appear likely to be mainly healthy ones.</w:t>
      </w:r>
    </w:p>
    <w:p w:rsidR="00990CE5" w:rsidRDefault="00990CE5" w:rsidP="00990CE5">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11</w:t>
      </w:r>
      <w:r>
        <w:rPr>
          <w:b w:val="0"/>
        </w:rPr>
        <w:fldChar w:fldCharType="end"/>
      </w:r>
      <w:r>
        <w:tab/>
        <w:t>What is the future of people’s lives once they</w:t>
      </w:r>
      <w:r>
        <w:br/>
        <w:t>have reached 15 years old?</w:t>
      </w:r>
    </w:p>
    <w:p w:rsidR="00990CE5" w:rsidRPr="00990CE5" w:rsidRDefault="00990CE5" w:rsidP="00990CE5">
      <w:pPr>
        <w:pStyle w:val="Subtitle"/>
      </w:pPr>
      <w:r>
        <w:t>Successive male generations 1901 to 2060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90CE5" w:rsidTr="00577264">
        <w:tc>
          <w:tcPr>
            <w:tcW w:w="8777" w:type="dxa"/>
          </w:tcPr>
          <w:p w:rsidR="00990CE5" w:rsidRDefault="00577264">
            <w:pPr>
              <w:pStyle w:val="Figure"/>
            </w:pPr>
            <w:r w:rsidRPr="00577264">
              <w:rPr>
                <w:noProof/>
              </w:rPr>
              <w:drawing>
                <wp:inline distT="0" distB="0" distL="0" distR="0" wp14:anchorId="67961AB4" wp14:editId="048B4815">
                  <wp:extent cx="4842556" cy="2895147"/>
                  <wp:effectExtent l="0" t="0" r="0" b="635"/>
                  <wp:docPr id="7" name="Chart 7" descr="Figure 11 What is the future of people’s lives once they have reached 15 years old? This figure shows that for successive generations average years in the labour force have remained fairly stable, however, increases in life expectancy have been translated into an expected greater number of years outside the workforce."/>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bl>
    <w:p w:rsidR="00D67F08" w:rsidRDefault="00D67F08" w:rsidP="00D67F08">
      <w:pPr>
        <w:pStyle w:val="BodyText"/>
      </w:pPr>
      <w:r>
        <w:t xml:space="preserve">In part, the tendency for people to spend a greater proportion of their lives outside the labour force reflects participation in education in the years from 16 to 20 years </w:t>
      </w:r>
      <w:r>
        <w:lastRenderedPageBreak/>
        <w:t xml:space="preserve">(though many students still work), </w:t>
      </w:r>
      <w:r w:rsidR="00C24F37">
        <w:t xml:space="preserve">greater wealth and savings, </w:t>
      </w:r>
      <w:r>
        <w:t xml:space="preserve">and the high value of leisure. However, there are several major obstacles to the employment of older people, of which the financial incentives of (and the social norms established by) the tax, superannuation and pension systems figure prominently. </w:t>
      </w:r>
    </w:p>
    <w:p w:rsidR="00D67F08" w:rsidRDefault="007A4010" w:rsidP="00D67F08">
      <w:pPr>
        <w:pStyle w:val="BodyText"/>
      </w:pPr>
      <w:r>
        <w:t xml:space="preserve">Only </w:t>
      </w:r>
      <w:r w:rsidR="00D67F08">
        <w:t xml:space="preserve">in </w:t>
      </w:r>
      <w:r w:rsidR="0092581F">
        <w:t>recent times</w:t>
      </w:r>
      <w:r w:rsidR="00D67F08">
        <w:t xml:space="preserve"> </w:t>
      </w:r>
      <w:r>
        <w:t>has</w:t>
      </w:r>
      <w:r w:rsidR="00D67F08">
        <w:t xml:space="preserve"> the eligibility age for the Age Pension (and indeed the former statutory provision for mandatory retirement) been seen as out of step with older people’s greater life expectancy and their capacity to contribute to society through paid work. Older Australians are characteristically neither infirm nor inept. While the pension age is </w:t>
      </w:r>
      <w:r w:rsidR="0092581F">
        <w:t xml:space="preserve">scheduled to </w:t>
      </w:r>
      <w:r w:rsidR="00D67F08">
        <w:t>gradually increas</w:t>
      </w:r>
      <w:r w:rsidR="0092581F">
        <w:t>e</w:t>
      </w:r>
      <w:r w:rsidR="00D67F08">
        <w:t xml:space="preserve"> to 67 years </w:t>
      </w:r>
      <w:r w:rsidR="00E23EAC">
        <w:t xml:space="preserve">by 2023 </w:t>
      </w:r>
      <w:r w:rsidR="00D67F08">
        <w:t xml:space="preserve">for both men and women, an important issue is whether there are grounds to make slow and automatic changes to the eligibility age in line with future life expectancy gains — a position advocated by the OECD. </w:t>
      </w:r>
    </w:p>
    <w:p w:rsidR="003B3F05" w:rsidRDefault="0092581F" w:rsidP="003B3F05">
      <w:pPr>
        <w:pStyle w:val="BodyText"/>
      </w:pPr>
      <w:r w:rsidRPr="0092581F">
        <w:t>The Age Pension serves a number of purposes and</w:t>
      </w:r>
      <w:r w:rsidR="00982085">
        <w:t>,</w:t>
      </w:r>
      <w:r w:rsidRPr="0092581F">
        <w:t xml:space="preserve"> consequently, it is difficult to determine the optimal eligibility age. Nevertheless, increasing the eligibility age in line with inc</w:t>
      </w:r>
      <w:r>
        <w:t>reases in life expectancy would</w:t>
      </w:r>
      <w:r w:rsidRPr="0092581F">
        <w:t xml:space="preserve"> </w:t>
      </w:r>
      <w:r>
        <w:t>p</w:t>
      </w:r>
      <w:r w:rsidR="003B3F05">
        <w:t xml:space="preserve">rima facie have some benefits. As an illustration of the impacts of rising pension eligibility ages, gradually increasing the pensionable age from 67 to 70 years </w:t>
      </w:r>
      <w:r w:rsidR="00E23EAC">
        <w:t>c</w:t>
      </w:r>
      <w:r w:rsidR="003B3F05">
        <w:t xml:space="preserve">ould: </w:t>
      </w:r>
    </w:p>
    <w:p w:rsidR="003B3F05" w:rsidRDefault="003B3F05" w:rsidP="003B3F05">
      <w:pPr>
        <w:pStyle w:val="ListBullet"/>
      </w:pPr>
      <w:r>
        <w:t xml:space="preserve">increase participation rates for people in the relevant ages by around 3–10 per cent, taking account of the fact that some people </w:t>
      </w:r>
      <w:r w:rsidR="00C24F37">
        <w:t>would be</w:t>
      </w:r>
      <w:r>
        <w:t xml:space="preserve"> unable to work (and would transfer to the Disability Support Pension), some </w:t>
      </w:r>
      <w:r w:rsidR="00C24F37">
        <w:t>would</w:t>
      </w:r>
      <w:r>
        <w:t xml:space="preserve"> </w:t>
      </w:r>
      <w:r w:rsidR="00C24F37">
        <w:t xml:space="preserve">be </w:t>
      </w:r>
      <w:r>
        <w:t>already working, and others with sufficient privately</w:t>
      </w:r>
      <w:r w:rsidR="00717B18">
        <w:noBreakHyphen/>
      </w:r>
      <w:r>
        <w:t>funded superannuation would largely not be affected by a change in the publicly</w:t>
      </w:r>
      <w:r w:rsidR="00717B18">
        <w:noBreakHyphen/>
      </w:r>
      <w:r>
        <w:t>provided pension</w:t>
      </w:r>
    </w:p>
    <w:p w:rsidR="003B3F05" w:rsidRDefault="003B3F05" w:rsidP="003B3F05">
      <w:pPr>
        <w:pStyle w:val="ListBullet"/>
      </w:pPr>
      <w:r>
        <w:t>yield ongoing fiscal savings of around 0.</w:t>
      </w:r>
      <w:r w:rsidR="00D34C75">
        <w:t>1</w:t>
      </w:r>
      <w:r w:rsidR="00067B5D">
        <w:t>5</w:t>
      </w:r>
      <w:r w:rsidR="00D34C75">
        <w:t xml:space="preserve"> </w:t>
      </w:r>
      <w:r>
        <w:t xml:space="preserve">per cent of GDP per annum in </w:t>
      </w:r>
      <w:r w:rsidR="00067B5D">
        <w:t xml:space="preserve">the late </w:t>
      </w:r>
      <w:proofErr w:type="spellStart"/>
      <w:r>
        <w:t>203</w:t>
      </w:r>
      <w:r w:rsidR="00067B5D">
        <w:t>0s</w:t>
      </w:r>
      <w:proofErr w:type="spellEnd"/>
      <w:r>
        <w:t xml:space="preserve"> after accounting for some increase in Disability Support Pension recipients (and then falling to 0.1 per cent of GDP in the long run). </w:t>
      </w:r>
      <w:r w:rsidRPr="00193CF6">
        <w:t>Over the full period from 2025</w:t>
      </w:r>
      <w:r>
        <w:noBreakHyphen/>
      </w:r>
      <w:r w:rsidRPr="00193CF6">
        <w:t>26 to 2059</w:t>
      </w:r>
      <w:r>
        <w:noBreakHyphen/>
      </w:r>
      <w:r w:rsidRPr="00193CF6">
        <w:t>60, the accumulated (undisc</w:t>
      </w:r>
      <w:r>
        <w:t>ounted) savings would be around $</w:t>
      </w:r>
      <w:r w:rsidR="00D34C75">
        <w:t>1</w:t>
      </w:r>
      <w:r w:rsidR="00067B5D">
        <w:t>5</w:t>
      </w:r>
      <w:r w:rsidR="00D34C75">
        <w:t>0 </w:t>
      </w:r>
      <w:r w:rsidRPr="00193CF6">
        <w:t xml:space="preserve">billion in constant </w:t>
      </w:r>
      <w:r w:rsidR="00D34C75">
        <w:t>2011</w:t>
      </w:r>
      <w:r w:rsidR="00C24F37">
        <w:noBreakHyphen/>
      </w:r>
      <w:r w:rsidR="00D34C75">
        <w:t xml:space="preserve">12 </w:t>
      </w:r>
      <w:r w:rsidRPr="00193CF6">
        <w:t>price</w:t>
      </w:r>
      <w:r w:rsidR="00C24F37">
        <w:t>s</w:t>
      </w:r>
      <w:r>
        <w:t>.</w:t>
      </w:r>
    </w:p>
    <w:p w:rsidR="003B3F05" w:rsidRDefault="003B3F05" w:rsidP="003B3F05">
      <w:pPr>
        <w:pStyle w:val="BodyText"/>
      </w:pPr>
      <w:r>
        <w:t xml:space="preserve">There are several complexities in implementing any link between the pensionable age and life expectancy, but these are surmountable (as suggested by the operation of such links in some countries). Shifts in attitudes and expectations amongst employers and the labour force will be important to the effectiveness of any policies in this area. </w:t>
      </w:r>
    </w:p>
    <w:p w:rsidR="003B3F05" w:rsidRDefault="003B3F05" w:rsidP="003B3F05">
      <w:pPr>
        <w:pStyle w:val="BodyText"/>
      </w:pPr>
      <w:r>
        <w:t xml:space="preserve">Aspects of the superannuation system, particularly the </w:t>
      </w:r>
      <w:r w:rsidR="00B93C9F">
        <w:t xml:space="preserve">taxation arrangements and </w:t>
      </w:r>
      <w:r>
        <w:t xml:space="preserve">preservation age, also have incentive effects on labour supply and entail taxpayer costs of a similar magnitude to those posed by the Age Pension eligibility age. </w:t>
      </w:r>
      <w:r w:rsidR="00B93C9F">
        <w:t>T</w:t>
      </w:r>
      <w:r>
        <w:t xml:space="preserve">he issues raised by growing longevity should be considered for the whole retirement income system. </w:t>
      </w:r>
    </w:p>
    <w:p w:rsidR="00EC095C" w:rsidRDefault="00EC095C" w:rsidP="00EC095C">
      <w:pPr>
        <w:pStyle w:val="Heading4"/>
      </w:pPr>
      <w:r>
        <w:lastRenderedPageBreak/>
        <w:t>Examining new wa</w:t>
      </w:r>
      <w:r w:rsidR="003B3F05">
        <w:t>y</w:t>
      </w:r>
      <w:r>
        <w:t xml:space="preserve">s to help </w:t>
      </w:r>
      <w:r w:rsidR="00A05A98">
        <w:t>fund</w:t>
      </w:r>
      <w:r>
        <w:t xml:space="preserve"> government</w:t>
      </w:r>
      <w:r w:rsidR="00717B18">
        <w:noBreakHyphen/>
      </w:r>
      <w:r>
        <w:t>provided services</w:t>
      </w:r>
    </w:p>
    <w:p w:rsidR="004629C9" w:rsidRDefault="00777CF7" w:rsidP="002B3BE2">
      <w:pPr>
        <w:pStyle w:val="BodyText"/>
      </w:pPr>
      <w:r w:rsidRPr="00777CF7">
        <w:rPr>
          <w:spacing w:val="-1"/>
        </w:rPr>
        <w:t>A</w:t>
      </w:r>
      <w:r w:rsidR="002B3BE2" w:rsidRPr="00777CF7">
        <w:rPr>
          <w:spacing w:val="-1"/>
        </w:rPr>
        <w:t>mong other concerns, affordability has been an obstacle to greater co</w:t>
      </w:r>
      <w:r w:rsidR="00717B18" w:rsidRPr="00777CF7">
        <w:rPr>
          <w:spacing w:val="-1"/>
        </w:rPr>
        <w:noBreakHyphen/>
      </w:r>
      <w:r w:rsidR="002B3BE2" w:rsidRPr="00777CF7">
        <w:rPr>
          <w:spacing w:val="-1"/>
        </w:rPr>
        <w:t>contributions</w:t>
      </w:r>
      <w:r w:rsidR="002B3BE2">
        <w:t xml:space="preserve"> by older people for the taxpayer</w:t>
      </w:r>
      <w:r w:rsidR="00717B18">
        <w:noBreakHyphen/>
      </w:r>
      <w:r w:rsidR="002B3BE2">
        <w:t xml:space="preserve">funded services they use. </w:t>
      </w:r>
      <w:r w:rsidR="004629C9">
        <w:t>However,</w:t>
      </w:r>
      <w:r w:rsidR="002B3BE2">
        <w:t xml:space="preserve"> many people may be able to tap certain assets in innovative ways without compromising their current living standards. </w:t>
      </w:r>
      <w:r w:rsidR="008B4973">
        <w:t>M</w:t>
      </w:r>
      <w:r w:rsidR="004629C9">
        <w:t xml:space="preserve">any may </w:t>
      </w:r>
      <w:r w:rsidR="008B4973">
        <w:t>also</w:t>
      </w:r>
      <w:r w:rsidR="004629C9">
        <w:t xml:space="preserve"> wish to </w:t>
      </w:r>
      <w:r w:rsidR="008B4973">
        <w:t>contribute</w:t>
      </w:r>
      <w:r w:rsidR="004629C9">
        <w:t xml:space="preserve"> if it </w:t>
      </w:r>
      <w:r w:rsidR="008B4973">
        <w:t>underpins</w:t>
      </w:r>
      <w:r w:rsidR="008B4973" w:rsidRPr="008B4973">
        <w:t xml:space="preserve"> </w:t>
      </w:r>
      <w:r w:rsidR="008B4973">
        <w:t>more consumer</w:t>
      </w:r>
      <w:r w:rsidR="00717B18">
        <w:noBreakHyphen/>
      </w:r>
      <w:r w:rsidR="008B4973">
        <w:t xml:space="preserve">directed service delivery and reduces the risk of </w:t>
      </w:r>
      <w:r w:rsidR="004629C9">
        <w:t>rationing of services central to their wellbeing — such as high quality aged and health care.</w:t>
      </w:r>
    </w:p>
    <w:p w:rsidR="002B3BE2" w:rsidRDefault="002B3BE2" w:rsidP="002B3BE2">
      <w:pPr>
        <w:pStyle w:val="BodyText"/>
      </w:pPr>
      <w:r>
        <w:t xml:space="preserve">Any future policy debate about </w:t>
      </w:r>
      <w:r w:rsidR="008B4973">
        <w:t>the</w:t>
      </w:r>
      <w:r>
        <w:t xml:space="preserve"> possibility </w:t>
      </w:r>
      <w:r w:rsidR="008B4973">
        <w:t>of innovative arrangements for greater co</w:t>
      </w:r>
      <w:r w:rsidR="00717B18">
        <w:noBreakHyphen/>
      </w:r>
      <w:r w:rsidR="008B4973">
        <w:t xml:space="preserve">contributions </w:t>
      </w:r>
      <w:r>
        <w:t>should be informed by facts and analysis.</w:t>
      </w:r>
      <w:r w:rsidR="008B4973">
        <w:t xml:space="preserve"> </w:t>
      </w:r>
    </w:p>
    <w:p w:rsidR="00157D54" w:rsidRDefault="00157D54" w:rsidP="00157D54">
      <w:pPr>
        <w:pStyle w:val="BodyText"/>
      </w:pPr>
      <w:r>
        <w:t>Most households and individuals al</w:t>
      </w:r>
      <w:r w:rsidR="008C549E">
        <w:t xml:space="preserve">ready save for their retirement, </w:t>
      </w:r>
      <w:r>
        <w:t xml:space="preserve">consistently building wealth over their working lives and then using it to fund their retirement. But retirees tend not to </w:t>
      </w:r>
      <w:r w:rsidR="00DD253F">
        <w:t>draw down</w:t>
      </w:r>
      <w:r>
        <w:t xml:space="preserve"> the wealth in their home, which represents a significant share of their total wealth</w:t>
      </w:r>
      <w:r w:rsidR="00DD253F">
        <w:t xml:space="preserve"> (figure 12)</w:t>
      </w:r>
      <w:r>
        <w:t>. Over 80 per cent of older households own their home, overwhelmingly without any mortgage. Even those on the Age Pension often fully own their own home. Evidence on bequests over the past ten years, which most commonly relate to the family home, suggests this trend is continuing.</w:t>
      </w:r>
    </w:p>
    <w:p w:rsidR="00763E0B" w:rsidRDefault="00763E0B">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9A14A9">
        <w:rPr>
          <w:b w:val="0"/>
          <w:noProof/>
        </w:rPr>
        <w:t>12</w:t>
      </w:r>
      <w:r>
        <w:rPr>
          <w:b w:val="0"/>
        </w:rPr>
        <w:fldChar w:fldCharType="end"/>
      </w:r>
      <w:r>
        <w:tab/>
        <w:t>Older Au</w:t>
      </w:r>
      <w:r w:rsidR="00B00138">
        <w:t>stralians are often income poor</w:t>
      </w:r>
      <w:r>
        <w:t xml:space="preserve"> but asset rich</w:t>
      </w:r>
    </w:p>
    <w:p w:rsidR="00763E0B" w:rsidRDefault="00763E0B">
      <w:pPr>
        <w:pStyle w:val="Subtitle"/>
      </w:pPr>
      <w:r>
        <w:t>2009</w:t>
      </w:r>
      <w:r w:rsidR="00CA2201">
        <w:noBreakHyphen/>
        <w:t>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63E0B" w:rsidTr="008C549E">
        <w:tc>
          <w:tcPr>
            <w:tcW w:w="8777" w:type="dxa"/>
          </w:tcPr>
          <w:p w:rsidR="00763E0B" w:rsidRDefault="008C549E">
            <w:pPr>
              <w:pStyle w:val="Figure"/>
            </w:pPr>
            <w:r>
              <w:rPr>
                <w:noProof/>
              </w:rPr>
              <w:drawing>
                <wp:inline distT="0" distB="0" distL="0" distR="0" wp14:anchorId="6E58F530" wp14:editId="65C32F0B">
                  <wp:extent cx="5474277" cy="2847975"/>
                  <wp:effectExtent l="0" t="0" r="0" b="0"/>
                  <wp:docPr id="5" name="Chart 5" descr="Figure 12 Older Australians are often income poor, but asset rich. This figure shows that across Australian households, average incomes peak for those aged 40–50 years,  and then start to decrease around retirement. It also shows that older household have a strong equity position in their home which remain so throughout retirem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B77F67" w:rsidRDefault="00B77F67" w:rsidP="00B77F67">
      <w:pPr>
        <w:pStyle w:val="BodyText"/>
      </w:pPr>
      <w:r>
        <w:t xml:space="preserve">One option, which is already in use to help households pay their council rates, is a government equity release scheme targeted at older households. Having individuals contribute even half the annual real increase in their home values towards aged care </w:t>
      </w:r>
      <w:r>
        <w:lastRenderedPageBreak/>
        <w:t xml:space="preserve">services could reduce government expenditures by around 30 per cent (a conservative estimate). An equity release scheme of this kind would still leave older households with an appreciating asset base and provide a means to increase the quality of services provided over the longer term. </w:t>
      </w:r>
    </w:p>
    <w:p w:rsidR="00B77F67" w:rsidRDefault="00B77F67" w:rsidP="00B77F67">
      <w:pPr>
        <w:pStyle w:val="BodyText"/>
      </w:pPr>
      <w:r>
        <w:t>The viability of any such scheme depends on many other matters, but the evidence suggests that further investigation is warranted.</w:t>
      </w:r>
    </w:p>
    <w:p w:rsidR="00EC095C" w:rsidRDefault="00EC095C" w:rsidP="00EC095C">
      <w:pPr>
        <w:pStyle w:val="Heading4"/>
      </w:pPr>
      <w:r>
        <w:t>Productivity reforms in health care delivery</w:t>
      </w:r>
    </w:p>
    <w:p w:rsidR="00157D54" w:rsidRDefault="00DB3073" w:rsidP="00120072">
      <w:pPr>
        <w:pStyle w:val="BodyText"/>
      </w:pPr>
      <w:r>
        <w:t>I</w:t>
      </w:r>
      <w:r w:rsidR="00EC3E27">
        <w:t xml:space="preserve">mprovements in the productivity of the health sector and </w:t>
      </w:r>
      <w:r w:rsidR="00F12D72">
        <w:t>more</w:t>
      </w:r>
      <w:r w:rsidR="00EC3E27">
        <w:t xml:space="preserve"> efficient allocation of resources would </w:t>
      </w:r>
      <w:r w:rsidR="00DA75E2">
        <w:t xml:space="preserve">generally </w:t>
      </w:r>
      <w:r>
        <w:t xml:space="preserve">help </w:t>
      </w:r>
      <w:r w:rsidR="00EC3E27">
        <w:t xml:space="preserve">directly </w:t>
      </w:r>
      <w:r w:rsidR="00F12D72">
        <w:t>reduce</w:t>
      </w:r>
      <w:r w:rsidR="00DE58DD">
        <w:t xml:space="preserve"> fiscal pressures</w:t>
      </w:r>
      <w:r w:rsidR="00EC3E27">
        <w:t xml:space="preserve"> and</w:t>
      </w:r>
      <w:r w:rsidR="00DE58DD">
        <w:t>,</w:t>
      </w:r>
      <w:r w:rsidR="00EC3E27">
        <w:t xml:space="preserve"> in some cases, </w:t>
      </w:r>
      <w:r w:rsidR="00701557">
        <w:t xml:space="preserve">improve outcomes for people (such as by avoiding adverse hospital outcomes). </w:t>
      </w:r>
    </w:p>
    <w:p w:rsidR="005F166A" w:rsidRDefault="00701557" w:rsidP="00120072">
      <w:pPr>
        <w:pStyle w:val="BodyText"/>
      </w:pPr>
      <w:r>
        <w:t xml:space="preserve">The evidence suggests that </w:t>
      </w:r>
      <w:r w:rsidR="00DA75E2">
        <w:t xml:space="preserve">there are </w:t>
      </w:r>
      <w:r>
        <w:t xml:space="preserve">significant </w:t>
      </w:r>
      <w:r w:rsidR="00DA75E2">
        <w:t>variations</w:t>
      </w:r>
      <w:r>
        <w:t xml:space="preserve"> in the productivity of different heal</w:t>
      </w:r>
      <w:r w:rsidR="00DA75E2">
        <w:t xml:space="preserve">th service providers, providing scope for productivity improvements from shifting </w:t>
      </w:r>
      <w:r w:rsidR="005F166A">
        <w:t>the performance of laggards</w:t>
      </w:r>
      <w:r w:rsidR="00DA75E2">
        <w:t xml:space="preserve">. In Australia, for example, a study found that there were around </w:t>
      </w:r>
      <w:r w:rsidR="00DA75E2" w:rsidRPr="00DA75E2">
        <w:t>200 procedures where the cost can vary from half to around one</w:t>
      </w:r>
      <w:r w:rsidR="00717B18">
        <w:noBreakHyphen/>
      </w:r>
      <w:r w:rsidR="00DA75E2" w:rsidRPr="00DA75E2">
        <w:t>and</w:t>
      </w:r>
      <w:r w:rsidR="00717B18">
        <w:noBreakHyphen/>
      </w:r>
      <w:r w:rsidR="00DA75E2" w:rsidRPr="00DA75E2">
        <w:t>a</w:t>
      </w:r>
      <w:r w:rsidR="00717B18">
        <w:noBreakHyphen/>
      </w:r>
      <w:r w:rsidR="00DA75E2" w:rsidRPr="00DA75E2">
        <w:t>half times the average cost</w:t>
      </w:r>
      <w:r w:rsidR="00F12D72">
        <w:t>,</w:t>
      </w:r>
      <w:r w:rsidR="00DA75E2" w:rsidRPr="00DA75E2">
        <w:t xml:space="preserve"> depending on the hospital </w:t>
      </w:r>
      <w:r w:rsidR="005F166A">
        <w:t>undertaking the procedure</w:t>
      </w:r>
      <w:r w:rsidR="00DA75E2">
        <w:t xml:space="preserve">. </w:t>
      </w:r>
    </w:p>
    <w:p w:rsidR="00C654D3" w:rsidRDefault="00C654D3" w:rsidP="00C654D3">
      <w:pPr>
        <w:pStyle w:val="BodyText"/>
      </w:pPr>
      <w:r w:rsidRPr="00C654D3">
        <w:t xml:space="preserve">Productivity improving reform can be </w:t>
      </w:r>
      <w:r>
        <w:t>instituted at an organisational</w:t>
      </w:r>
      <w:r w:rsidRPr="00C654D3">
        <w:t xml:space="preserve"> or governmental level (such as funding initiatives, or coordinating databases of clinical evidence). </w:t>
      </w:r>
    </w:p>
    <w:p w:rsidR="005330BB" w:rsidRDefault="00C654D3" w:rsidP="00C654D3">
      <w:pPr>
        <w:pStyle w:val="BodyText"/>
      </w:pPr>
      <w:r>
        <w:t xml:space="preserve">An illustration of organisational reform </w:t>
      </w:r>
      <w:r w:rsidR="005330BB">
        <w:t>a</w:t>
      </w:r>
      <w:r w:rsidR="00DC35CD">
        <w:t>t the point of service delivery</w:t>
      </w:r>
      <w:r>
        <w:t xml:space="preserve"> is the application of ‘lean’ care models, which apply to hospital care some of the </w:t>
      </w:r>
      <w:r w:rsidR="00F12D72">
        <w:t xml:space="preserve">management </w:t>
      </w:r>
      <w:r>
        <w:t xml:space="preserve">techniques used in modern </w:t>
      </w:r>
      <w:r w:rsidR="00B93C9F">
        <w:t>logistics</w:t>
      </w:r>
      <w:r>
        <w:t xml:space="preserve">. As an example, one hospital found that the major source of delays or cancellation of surgery was a bottleneck in just one link of the chain — the </w:t>
      </w:r>
      <w:r w:rsidRPr="00C654D3">
        <w:t>post</w:t>
      </w:r>
      <w:r w:rsidR="00717B18">
        <w:noBreakHyphen/>
      </w:r>
      <w:r w:rsidRPr="00C654D3">
        <w:t>anaesthesia (and surgery) care unit</w:t>
      </w:r>
      <w:r>
        <w:t xml:space="preserve">. </w:t>
      </w:r>
      <w:r w:rsidR="005330BB">
        <w:t>Instead</w:t>
      </w:r>
      <w:r>
        <w:t xml:space="preserve"> of just providing more beds</w:t>
      </w:r>
      <w:r w:rsidR="00953A02">
        <w:t xml:space="preserve"> at that point</w:t>
      </w:r>
      <w:r>
        <w:t xml:space="preserve">, the usual response to a bottleneck, hospital </w:t>
      </w:r>
      <w:r w:rsidR="005330BB">
        <w:t>management</w:t>
      </w:r>
      <w:r>
        <w:t xml:space="preserve"> </w:t>
      </w:r>
      <w:r w:rsidR="00B93C9F">
        <w:t xml:space="preserve">managed the </w:t>
      </w:r>
      <w:r>
        <w:t xml:space="preserve">flow of patients </w:t>
      </w:r>
      <w:r w:rsidR="00B93C9F">
        <w:t>in</w:t>
      </w:r>
      <w:r>
        <w:t>to the care unit</w:t>
      </w:r>
      <w:r w:rsidR="00B93C9F">
        <w:t xml:space="preserve"> from </w:t>
      </w:r>
      <w:r w:rsidR="00B93C9F" w:rsidRPr="00965842">
        <w:t xml:space="preserve">areas </w:t>
      </w:r>
      <w:r w:rsidR="00B93C9F">
        <w:t>providing</w:t>
      </w:r>
      <w:r w:rsidR="00B93C9F" w:rsidRPr="00965842">
        <w:t xml:space="preserve"> anaesthesia</w:t>
      </w:r>
      <w:r>
        <w:t xml:space="preserve">, resolving the bottleneck without more </w:t>
      </w:r>
      <w:r w:rsidR="005330BB">
        <w:t>resources</w:t>
      </w:r>
      <w:r>
        <w:t xml:space="preserve">. </w:t>
      </w:r>
    </w:p>
    <w:p w:rsidR="0094339C" w:rsidRDefault="005330BB" w:rsidP="00C654D3">
      <w:pPr>
        <w:pStyle w:val="BodyText"/>
      </w:pPr>
      <w:r>
        <w:t>More broadly, across the whole health system, decisions about what resources to use, for whom and when</w:t>
      </w:r>
      <w:r w:rsidR="00AE0BF2">
        <w:t>,</w:t>
      </w:r>
      <w:r>
        <w:t xml:space="preserve"> are informed by a messy assortment of sound evidence, and information that is out of date or not well founded. In the United Kingdom, frustration with the costs of poorly founded practices led to the development of so</w:t>
      </w:r>
      <w:r w:rsidR="00717B18">
        <w:noBreakHyphen/>
      </w:r>
      <w:r>
        <w:t>called ‘do not do’ lists, which identified health</w:t>
      </w:r>
      <w:r w:rsidR="006A7553">
        <w:t xml:space="preserve"> </w:t>
      </w:r>
      <w:r>
        <w:t xml:space="preserve">care practices that </w:t>
      </w:r>
      <w:r w:rsidR="00AE0BF2">
        <w:t>were not cost effective</w:t>
      </w:r>
      <w:r>
        <w:t xml:space="preserve">. </w:t>
      </w:r>
      <w:r w:rsidR="00953A02">
        <w:t xml:space="preserve">The basic </w:t>
      </w:r>
      <w:r w:rsidR="00D55081">
        <w:t>infrastructure</w:t>
      </w:r>
      <w:r w:rsidR="00953A02">
        <w:t xml:space="preserve"> for evidence</w:t>
      </w:r>
      <w:r w:rsidR="00717B18">
        <w:noBreakHyphen/>
      </w:r>
      <w:r w:rsidR="00953A02">
        <w:t>based pr</w:t>
      </w:r>
      <w:r w:rsidR="00D55081">
        <w:t>actices already exists — such a</w:t>
      </w:r>
      <w:r w:rsidR="00953A02">
        <w:t>s</w:t>
      </w:r>
      <w:r w:rsidR="00D55081">
        <w:t xml:space="preserve"> </w:t>
      </w:r>
      <w:r w:rsidR="00953A02">
        <w:t xml:space="preserve">through the </w:t>
      </w:r>
      <w:r w:rsidR="00D55081">
        <w:t>international</w:t>
      </w:r>
      <w:r w:rsidR="00953A02">
        <w:t xml:space="preserve"> Cochrane collaboration, and the practices of </w:t>
      </w:r>
      <w:r w:rsidR="00953A02">
        <w:lastRenderedPageBreak/>
        <w:t xml:space="preserve">bodies like </w:t>
      </w:r>
      <w:r w:rsidR="00D55081">
        <w:t>Australia’s</w:t>
      </w:r>
      <w:r w:rsidR="00953A02">
        <w:t xml:space="preserve"> </w:t>
      </w:r>
      <w:r w:rsidR="00D55081">
        <w:t>Pharmaceutical</w:t>
      </w:r>
      <w:r w:rsidR="00953A02">
        <w:t xml:space="preserve"> Benefits </w:t>
      </w:r>
      <w:r w:rsidR="00D55081">
        <w:t>Advisory</w:t>
      </w:r>
      <w:r w:rsidR="00953A02">
        <w:t xml:space="preserve"> C</w:t>
      </w:r>
      <w:r w:rsidR="00D55081">
        <w:t>ommittee</w:t>
      </w:r>
      <w:r w:rsidR="00953A02">
        <w:t xml:space="preserve"> and the United K</w:t>
      </w:r>
      <w:r w:rsidR="00D55081">
        <w:t>i</w:t>
      </w:r>
      <w:r w:rsidR="00953A02">
        <w:t xml:space="preserve">ngdom’s </w:t>
      </w:r>
      <w:r w:rsidR="0094339C" w:rsidRPr="0094339C">
        <w:t>National Institute for Clinical Evidence</w:t>
      </w:r>
      <w:r w:rsidR="00953A02">
        <w:t>. However, diffusing the results of such evidence has prove</w:t>
      </w:r>
      <w:r w:rsidR="00F12D72">
        <w:t>d</w:t>
      </w:r>
      <w:r w:rsidR="00953A02">
        <w:t xml:space="preserve"> </w:t>
      </w:r>
      <w:r w:rsidR="0094339C">
        <w:t>more difficult</w:t>
      </w:r>
      <w:r w:rsidR="00E2639A">
        <w:t>,</w:t>
      </w:r>
      <w:r w:rsidR="0094339C">
        <w:t xml:space="preserve"> indicating that there may need to be complementary reforms to incentives and institutional arrangements. </w:t>
      </w:r>
    </w:p>
    <w:p w:rsidR="00381F1A" w:rsidRDefault="005330BB" w:rsidP="00C654D3">
      <w:pPr>
        <w:pStyle w:val="BodyText"/>
      </w:pPr>
      <w:r>
        <w:t>Of course, effective preventi</w:t>
      </w:r>
      <w:r w:rsidR="00890FDA">
        <w:t>ve and early intervention</w:t>
      </w:r>
      <w:r>
        <w:t xml:space="preserve"> may avoid the use of cost</w:t>
      </w:r>
      <w:r w:rsidR="00890FDA">
        <w:t>l</w:t>
      </w:r>
      <w:r>
        <w:t xml:space="preserve">y </w:t>
      </w:r>
      <w:r w:rsidR="00890FDA">
        <w:t>procedures at a later time</w:t>
      </w:r>
      <w:r>
        <w:t xml:space="preserve"> </w:t>
      </w:r>
      <w:r w:rsidR="00890FDA">
        <w:t xml:space="preserve">(or simply the avoidance of poor outcomes) </w:t>
      </w:r>
      <w:r>
        <w:t xml:space="preserve">— the principle behind </w:t>
      </w:r>
      <w:r w:rsidR="00890FDA">
        <w:t xml:space="preserve">public health. Many adverse health outcomes — </w:t>
      </w:r>
      <w:r w:rsidR="00DB3073">
        <w:t xml:space="preserve">examples cover areas </w:t>
      </w:r>
      <w:r w:rsidR="00890FDA">
        <w:t xml:space="preserve">such as those arising from accident trauma, </w:t>
      </w:r>
      <w:r w:rsidR="0094339C">
        <w:t xml:space="preserve">lung cancer, </w:t>
      </w:r>
      <w:r w:rsidR="00890FDA">
        <w:t xml:space="preserve">cardiovascular disease, diabetes and illicit drug use — </w:t>
      </w:r>
      <w:r w:rsidR="00DB3073">
        <w:t xml:space="preserve">can benefit from preventative </w:t>
      </w:r>
      <w:r w:rsidR="00AD2BE4">
        <w:t>approaches</w:t>
      </w:r>
      <w:r w:rsidR="00890FDA">
        <w:t xml:space="preserve">. </w:t>
      </w:r>
      <w:r w:rsidR="0094339C">
        <w:t>Nevertheless, while it is likely that many prevention strategies are warranted and effective, crafting cost</w:t>
      </w:r>
      <w:r w:rsidR="00717B18">
        <w:noBreakHyphen/>
      </w:r>
      <w:r w:rsidR="0094339C">
        <w:t>effective prevention strategies is not straightforward</w:t>
      </w:r>
      <w:r w:rsidR="00DC35CD">
        <w:t xml:space="preserve">, </w:t>
      </w:r>
      <w:r w:rsidR="002239BF">
        <w:t xml:space="preserve">as reflected, </w:t>
      </w:r>
      <w:r w:rsidR="00DC35CD">
        <w:t xml:space="preserve">for example, </w:t>
      </w:r>
      <w:r w:rsidR="002239BF">
        <w:t>in the case of</w:t>
      </w:r>
      <w:r w:rsidR="00DC35CD">
        <w:t xml:space="preserve"> o</w:t>
      </w:r>
      <w:r w:rsidR="0094339C">
        <w:t>besity preve</w:t>
      </w:r>
      <w:r w:rsidR="00381F1A">
        <w:t>n</w:t>
      </w:r>
      <w:r w:rsidR="0094339C">
        <w:t xml:space="preserve">tion. </w:t>
      </w:r>
      <w:r w:rsidR="00124073">
        <w:t>T</w:t>
      </w:r>
      <w:r w:rsidR="0094339C">
        <w:t>he analytical methods used to establish cost</w:t>
      </w:r>
      <w:r w:rsidR="00717B18">
        <w:noBreakHyphen/>
      </w:r>
      <w:r w:rsidR="0094339C">
        <w:t xml:space="preserve">effectiveness </w:t>
      </w:r>
      <w:r w:rsidR="00124073">
        <w:t xml:space="preserve">need improvement if they are to make a significant contribution to the health reform agenda. </w:t>
      </w:r>
    </w:p>
    <w:p w:rsidR="00EF65F5" w:rsidRDefault="00EF65F5" w:rsidP="00C654D3">
      <w:pPr>
        <w:pStyle w:val="BodyText"/>
      </w:pPr>
      <w:r>
        <w:t>There are s</w:t>
      </w:r>
      <w:r w:rsidRPr="00EF65F5">
        <w:t>everal other</w:t>
      </w:r>
      <w:r>
        <w:t xml:space="preserve"> well</w:t>
      </w:r>
      <w:r w:rsidR="00717B18">
        <w:noBreakHyphen/>
      </w:r>
      <w:r>
        <w:t>known and promising areas for reforms</w:t>
      </w:r>
      <w:r w:rsidRPr="00EF65F5">
        <w:t xml:space="preserve"> </w:t>
      </w:r>
      <w:r>
        <w:t xml:space="preserve">that may lead to </w:t>
      </w:r>
      <w:r w:rsidRPr="00EF65F5">
        <w:t>improvements in both productivity and cost effectiveness</w:t>
      </w:r>
      <w:r>
        <w:t xml:space="preserve">. These have often been frustrated by problems in </w:t>
      </w:r>
      <w:r w:rsidRPr="00EF65F5">
        <w:t xml:space="preserve">implementation (such as the </w:t>
      </w:r>
      <w:r w:rsidR="007B5C29">
        <w:t xml:space="preserve">divided </w:t>
      </w:r>
      <w:r w:rsidRPr="00EF65F5">
        <w:t>responsibility for, and structure of, associated funding)</w:t>
      </w:r>
      <w:r>
        <w:t xml:space="preserve"> or the </w:t>
      </w:r>
      <w:r w:rsidR="007B5C29">
        <w:t xml:space="preserve">actions </w:t>
      </w:r>
      <w:r>
        <w:t>of interest groups adversely affected by them. The potential reform areas include:</w:t>
      </w:r>
    </w:p>
    <w:p w:rsidR="00C654D3" w:rsidRDefault="00C654D3" w:rsidP="00EF65F5">
      <w:pPr>
        <w:pStyle w:val="ListBullet"/>
      </w:pPr>
      <w:r w:rsidRPr="00EF65F5">
        <w:rPr>
          <w:i/>
        </w:rPr>
        <w:t>Workforce demarcation and regulation</w:t>
      </w:r>
      <w:r>
        <w:t xml:space="preserve">: current arrangements </w:t>
      </w:r>
      <w:r w:rsidR="007B5C29">
        <w:t xml:space="preserve">likely </w:t>
      </w:r>
      <w:r>
        <w:t xml:space="preserve">inhibit more efficient skill mixes and create unnecessary regulatory burdens. </w:t>
      </w:r>
    </w:p>
    <w:p w:rsidR="00C654D3" w:rsidRDefault="00C654D3" w:rsidP="00EF65F5">
      <w:pPr>
        <w:pStyle w:val="ListBullet"/>
      </w:pPr>
      <w:r w:rsidRPr="00EF65F5">
        <w:rPr>
          <w:i/>
        </w:rPr>
        <w:t>Procurement in the health sector</w:t>
      </w:r>
      <w:r>
        <w:t xml:space="preserve">: particularly in hospitals, increased purchasing power </w:t>
      </w:r>
      <w:r w:rsidR="007B5C29">
        <w:t>could be</w:t>
      </w:r>
      <w:r w:rsidR="00FA7080">
        <w:t xml:space="preserve"> leveraged </w:t>
      </w:r>
      <w:r>
        <w:t>by aggregating some purchases, and achieving efficiencies in the purchasing process itself.</w:t>
      </w:r>
    </w:p>
    <w:p w:rsidR="00C654D3" w:rsidRDefault="00CE3646" w:rsidP="00EF65F5">
      <w:pPr>
        <w:pStyle w:val="ListBullet"/>
      </w:pPr>
      <w:r>
        <w:rPr>
          <w:i/>
        </w:rPr>
        <w:t>Financial and regulatory</w:t>
      </w:r>
      <w:r w:rsidR="00C654D3" w:rsidRPr="00EF65F5">
        <w:rPr>
          <w:i/>
        </w:rPr>
        <w:t xml:space="preserve"> incentives</w:t>
      </w:r>
      <w:r w:rsidR="00C654D3" w:rsidRPr="00CE3646">
        <w:t>:</w:t>
      </w:r>
      <w:r w:rsidR="00C654D3">
        <w:t xml:space="preserve"> regulation of the health sector and differentiated health funding can distort choices between procedures, and providers (such as emergency departments and general practitioners). The split in funding responsibilities between levels of government can contribute to this issue.</w:t>
      </w:r>
    </w:p>
    <w:p w:rsidR="00EF65F5" w:rsidRDefault="00EF65F5" w:rsidP="00C654D3">
      <w:pPr>
        <w:pStyle w:val="BodyText"/>
      </w:pPr>
      <w:r w:rsidRPr="00EF65F5">
        <w:t>However, as with all significant policy change, careful consideration and analysis of the policies, and the best manner of implementation, is warranted.</w:t>
      </w:r>
    </w:p>
    <w:p w:rsidR="00C654D3" w:rsidRDefault="00C654D3" w:rsidP="00C654D3">
      <w:pPr>
        <w:pStyle w:val="BodyText"/>
      </w:pPr>
      <w:r>
        <w:t>Estimates of the benefits from some recent health reforms</w:t>
      </w:r>
      <w:r w:rsidR="00F61C21">
        <w:t xml:space="preserve"> </w:t>
      </w:r>
      <w:r>
        <w:t>suggest that these could bring significant benefits and help</w:t>
      </w:r>
      <w:r w:rsidR="00F61C21">
        <w:t xml:space="preserve"> to alleviate fiscal pressures. Just a </w:t>
      </w:r>
      <w:r>
        <w:t>5</w:t>
      </w:r>
      <w:r w:rsidR="00F61C21">
        <w:t> </w:t>
      </w:r>
      <w:r>
        <w:t>per</w:t>
      </w:r>
      <w:r w:rsidR="00F61C21">
        <w:t> </w:t>
      </w:r>
      <w:r>
        <w:t xml:space="preserve">cent improvement in health sector productivity </w:t>
      </w:r>
      <w:r w:rsidR="00D17A56">
        <w:t>w</w:t>
      </w:r>
      <w:r>
        <w:t xml:space="preserve">ould reduce the projected fiscal </w:t>
      </w:r>
      <w:r w:rsidR="00D17A56">
        <w:t>pressure</w:t>
      </w:r>
      <w:r w:rsidR="008664EF">
        <w:t>s</w:t>
      </w:r>
      <w:r w:rsidR="008664EF" w:rsidRPr="008664EF">
        <w:t xml:space="preserve"> </w:t>
      </w:r>
      <w:r w:rsidR="008664EF">
        <w:t>for all Australian governments</w:t>
      </w:r>
      <w:r>
        <w:t xml:space="preserve"> </w:t>
      </w:r>
      <w:r w:rsidR="00D17A56">
        <w:t>by 0.5</w:t>
      </w:r>
      <w:r>
        <w:t xml:space="preserve"> per</w:t>
      </w:r>
      <w:r w:rsidR="00D17A56">
        <w:t>cent</w:t>
      </w:r>
      <w:r w:rsidR="008664EF">
        <w:t>age points</w:t>
      </w:r>
      <w:r w:rsidR="00D17A56">
        <w:t xml:space="preserve"> of GDP</w:t>
      </w:r>
      <w:r w:rsidR="008664EF" w:rsidRPr="008664EF">
        <w:t xml:space="preserve"> </w:t>
      </w:r>
      <w:r w:rsidR="008664EF">
        <w:t>in 2059</w:t>
      </w:r>
      <w:r w:rsidR="008664EF">
        <w:noBreakHyphen/>
        <w:t>60.</w:t>
      </w:r>
      <w:r w:rsidR="00D17A56">
        <w:t xml:space="preserve"> </w:t>
      </w:r>
    </w:p>
    <w:p w:rsidR="008664EF" w:rsidRDefault="00B960D6" w:rsidP="00B960D6">
      <w:pPr>
        <w:pStyle w:val="Heading3"/>
      </w:pPr>
      <w:r>
        <w:lastRenderedPageBreak/>
        <w:t>Planning for the future</w:t>
      </w:r>
    </w:p>
    <w:p w:rsidR="00A947FE" w:rsidRDefault="005949D2" w:rsidP="00C654D3">
      <w:pPr>
        <w:pStyle w:val="BodyText"/>
      </w:pPr>
      <w:r>
        <w:t>P</w:t>
      </w:r>
      <w:r w:rsidR="00B960D6">
        <w:t xml:space="preserve">opulation ageing is </w:t>
      </w:r>
      <w:r w:rsidR="00D805F9">
        <w:t>a desirable</w:t>
      </w:r>
      <w:r w:rsidR="00B960D6">
        <w:t xml:space="preserve"> side product of </w:t>
      </w:r>
      <w:r w:rsidR="00A947FE">
        <w:t>success. All highly</w:t>
      </w:r>
      <w:r w:rsidR="00A947FE">
        <w:noBreakHyphen/>
        <w:t>developed countries</w:t>
      </w:r>
      <w:r w:rsidR="00590C7E">
        <w:t xml:space="preserve"> </w:t>
      </w:r>
      <w:r w:rsidR="00A947FE">
        <w:t xml:space="preserve">have longer life expectancy and lower fertility rates than poor countries. </w:t>
      </w:r>
      <w:r w:rsidR="00B960D6">
        <w:t xml:space="preserve">However, </w:t>
      </w:r>
      <w:r w:rsidR="00A947FE">
        <w:t>population ageing</w:t>
      </w:r>
      <w:r w:rsidR="00B960D6">
        <w:t xml:space="preserve"> entails major </w:t>
      </w:r>
      <w:r w:rsidR="00A947FE">
        <w:t xml:space="preserve">economic and social </w:t>
      </w:r>
      <w:r w:rsidR="00B960D6">
        <w:t xml:space="preserve">transformation </w:t>
      </w:r>
      <w:r w:rsidR="00A947FE">
        <w:t>for</w:t>
      </w:r>
      <w:r w:rsidR="00B960D6">
        <w:t xml:space="preserve"> </w:t>
      </w:r>
      <w:r w:rsidR="00A947FE">
        <w:t xml:space="preserve">Australia at </w:t>
      </w:r>
      <w:r w:rsidR="00C96B34">
        <w:t>a</w:t>
      </w:r>
      <w:r w:rsidR="00A947FE">
        <w:t xml:space="preserve"> time </w:t>
      </w:r>
      <w:r w:rsidR="00712F3F">
        <w:t>when</w:t>
      </w:r>
      <w:r w:rsidR="00A947FE">
        <w:t xml:space="preserve"> it is likely that the terms of trade </w:t>
      </w:r>
      <w:r w:rsidR="00AE0BF2">
        <w:t xml:space="preserve">reverts </w:t>
      </w:r>
      <w:r w:rsidR="00A947FE">
        <w:t>to its lower long</w:t>
      </w:r>
      <w:r w:rsidR="00717B18">
        <w:noBreakHyphen/>
      </w:r>
      <w:r w:rsidR="00A947FE">
        <w:t xml:space="preserve">term average and </w:t>
      </w:r>
      <w:r w:rsidR="00B960D6">
        <w:t>productivity growth rates</w:t>
      </w:r>
      <w:r w:rsidR="00A947FE">
        <w:t xml:space="preserve"> fall below the historical norm. Growth rates in output and income per capita are likely to slow, while increased demands on governments to fund age</w:t>
      </w:r>
      <w:r w:rsidR="00717B18">
        <w:noBreakHyphen/>
      </w:r>
      <w:r w:rsidR="00A947FE">
        <w:t xml:space="preserve">related expenditure will generate fiscal pressures. Any </w:t>
      </w:r>
      <w:r w:rsidR="00AC46C3">
        <w:t>cyclical</w:t>
      </w:r>
      <w:r w:rsidR="00A947FE">
        <w:t xml:space="preserve"> downturns will add to these pressures</w:t>
      </w:r>
      <w:r w:rsidR="00AC46C3">
        <w:t>.</w:t>
      </w:r>
    </w:p>
    <w:p w:rsidR="00B960D6" w:rsidRDefault="00907208" w:rsidP="00C654D3">
      <w:pPr>
        <w:pStyle w:val="BodyText"/>
      </w:pPr>
      <w:r>
        <w:t>The preferable time to contemplate the policy implications of these developments is while these near</w:t>
      </w:r>
      <w:r w:rsidR="00717B18">
        <w:noBreakHyphen/>
      </w:r>
      <w:r w:rsidR="00B826ED">
        <w:t xml:space="preserve">inescapable </w:t>
      </w:r>
      <w:r>
        <w:t>trends are still in their infancy.</w:t>
      </w:r>
    </w:p>
    <w:sectPr w:rsidR="00B960D6" w:rsidSect="00BD51DE">
      <w:headerReference w:type="even" r:id="rId29"/>
      <w:headerReference w:type="default" r:id="rId30"/>
      <w:footerReference w:type="even" r:id="rId31"/>
      <w:footerReference w:type="default" r:id="rId32"/>
      <w:pgSz w:w="11907" w:h="16840" w:code="9"/>
      <w:pgMar w:top="1984" w:right="1304" w:bottom="1417" w:left="1814" w:header="1701" w:footer="567" w:gutter="0"/>
      <w:pgNumType w:start="1" w:chapStyle="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3B1" w:rsidRDefault="008D13B1">
      <w:r>
        <w:separator/>
      </w:r>
    </w:p>
  </w:endnote>
  <w:endnote w:type="continuationSeparator" w:id="0">
    <w:p w:rsidR="008D13B1" w:rsidRDefault="008D1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D13B1">
      <w:trPr>
        <w:trHeight w:hRule="exact" w:val="740"/>
      </w:trPr>
      <w:tc>
        <w:tcPr>
          <w:tcW w:w="510" w:type="dxa"/>
          <w:tcBorders>
            <w:top w:val="single" w:sz="6" w:space="0" w:color="auto"/>
          </w:tcBorders>
        </w:tcPr>
        <w:p w:rsidR="008D13B1" w:rsidRDefault="008D13B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E157F">
            <w:rPr>
              <w:rStyle w:val="PageNumber"/>
              <w:noProof/>
            </w:rPr>
            <w:t>12</w:t>
          </w:r>
          <w:r>
            <w:rPr>
              <w:rStyle w:val="PageNumber"/>
            </w:rPr>
            <w:fldChar w:fldCharType="end"/>
          </w:r>
        </w:p>
      </w:tc>
      <w:tc>
        <w:tcPr>
          <w:tcW w:w="1644" w:type="dxa"/>
          <w:tcBorders>
            <w:top w:val="single" w:sz="6" w:space="0" w:color="auto"/>
          </w:tcBorders>
        </w:tcPr>
        <w:p w:rsidR="008D13B1" w:rsidRDefault="00C96A1F" w:rsidP="0019293B">
          <w:pPr>
            <w:pStyle w:val="Footer"/>
          </w:pPr>
          <w:fldSimple w:instr=" SUBJECT  \* MERGEFORMAT ">
            <w:r w:rsidR="009A14A9">
              <w:t>Ageing</w:t>
            </w:r>
          </w:fldSimple>
        </w:p>
      </w:tc>
      <w:tc>
        <w:tcPr>
          <w:tcW w:w="6634" w:type="dxa"/>
        </w:tcPr>
        <w:p w:rsidR="008D13B1" w:rsidRDefault="008D13B1" w:rsidP="0019293B">
          <w:pPr>
            <w:pStyle w:val="Footer"/>
          </w:pPr>
        </w:p>
      </w:tc>
    </w:tr>
  </w:tbl>
  <w:p w:rsidR="008D13B1" w:rsidRDefault="008D13B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D13B1">
      <w:trPr>
        <w:trHeight w:hRule="exact" w:val="740"/>
      </w:trPr>
      <w:tc>
        <w:tcPr>
          <w:tcW w:w="6634" w:type="dxa"/>
        </w:tcPr>
        <w:p w:rsidR="008D13B1" w:rsidRDefault="008D13B1">
          <w:pPr>
            <w:pStyle w:val="Footer"/>
            <w:ind w:right="360" w:firstLine="360"/>
          </w:pPr>
        </w:p>
      </w:tc>
      <w:tc>
        <w:tcPr>
          <w:tcW w:w="1644" w:type="dxa"/>
          <w:tcBorders>
            <w:top w:val="single" w:sz="6" w:space="0" w:color="auto"/>
          </w:tcBorders>
        </w:tcPr>
        <w:p w:rsidR="008D13B1" w:rsidRDefault="00C96A1F">
          <w:pPr>
            <w:pStyle w:val="Footer"/>
          </w:pPr>
          <w:fldSimple w:instr=" TITLE  \* MERGEFORMAT ">
            <w:r w:rsidR="009A14A9">
              <w:t>Overview</w:t>
            </w:r>
          </w:fldSimple>
        </w:p>
      </w:tc>
      <w:tc>
        <w:tcPr>
          <w:tcW w:w="510" w:type="dxa"/>
          <w:tcBorders>
            <w:top w:val="single" w:sz="6" w:space="0" w:color="auto"/>
          </w:tcBorders>
        </w:tcPr>
        <w:p w:rsidR="008D13B1" w:rsidRDefault="008D13B1">
          <w:pPr>
            <w:pStyle w:val="Footer"/>
            <w:jc w:val="right"/>
          </w:pPr>
          <w:r>
            <w:rPr>
              <w:rStyle w:val="PageNumber"/>
            </w:rPr>
            <w:fldChar w:fldCharType="begin"/>
          </w:r>
          <w:r>
            <w:rPr>
              <w:rStyle w:val="PageNumber"/>
            </w:rPr>
            <w:instrText xml:space="preserve">PAGE  </w:instrText>
          </w:r>
          <w:r>
            <w:rPr>
              <w:rStyle w:val="PageNumber"/>
            </w:rPr>
            <w:fldChar w:fldCharType="separate"/>
          </w:r>
          <w:r w:rsidR="00FE157F">
            <w:rPr>
              <w:rStyle w:val="PageNumber"/>
              <w:noProof/>
            </w:rPr>
            <w:t>11</w:t>
          </w:r>
          <w:r>
            <w:rPr>
              <w:rStyle w:val="PageNumber"/>
            </w:rPr>
            <w:fldChar w:fldCharType="end"/>
          </w:r>
        </w:p>
      </w:tc>
    </w:tr>
  </w:tbl>
  <w:p w:rsidR="008D13B1" w:rsidRDefault="008D13B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3B1" w:rsidRDefault="008D13B1">
      <w:r>
        <w:separator/>
      </w:r>
    </w:p>
  </w:footnote>
  <w:footnote w:type="continuationSeparator" w:id="0">
    <w:p w:rsidR="008D13B1" w:rsidRDefault="008D13B1">
      <w:r>
        <w:continuationSeparator/>
      </w:r>
    </w:p>
  </w:footnote>
  <w:footnote w:id="1">
    <w:p w:rsidR="00B739A8" w:rsidRDefault="00B739A8" w:rsidP="00B739A8">
      <w:pPr>
        <w:pStyle w:val="FootnoteText"/>
      </w:pPr>
      <w:r w:rsidRPr="00266AAF">
        <w:rPr>
          <w:rStyle w:val="FootnoteReference"/>
        </w:rPr>
        <w:footnoteRef/>
      </w:r>
      <w:r>
        <w:tab/>
        <w:t>This is the number of people aged 15 years or more who are in, or looking actively for, work, divided by the population aged 15 years or more.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D13B1">
      <w:tc>
        <w:tcPr>
          <w:tcW w:w="2155" w:type="dxa"/>
          <w:tcBorders>
            <w:top w:val="single" w:sz="24" w:space="0" w:color="auto"/>
          </w:tcBorders>
        </w:tcPr>
        <w:p w:rsidR="008D13B1" w:rsidRDefault="008D13B1" w:rsidP="0019293B">
          <w:pPr>
            <w:pStyle w:val="HeaderEven"/>
          </w:pPr>
        </w:p>
      </w:tc>
      <w:tc>
        <w:tcPr>
          <w:tcW w:w="6634" w:type="dxa"/>
          <w:tcBorders>
            <w:top w:val="single" w:sz="6" w:space="0" w:color="auto"/>
          </w:tcBorders>
        </w:tcPr>
        <w:p w:rsidR="008D13B1" w:rsidRDefault="008D13B1" w:rsidP="0019293B">
          <w:pPr>
            <w:pStyle w:val="HeaderEven"/>
          </w:pPr>
        </w:p>
      </w:tc>
    </w:tr>
  </w:tbl>
  <w:p w:rsidR="008D13B1" w:rsidRDefault="008D13B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D13B1">
      <w:tc>
        <w:tcPr>
          <w:tcW w:w="6634" w:type="dxa"/>
          <w:tcBorders>
            <w:top w:val="single" w:sz="6" w:space="0" w:color="auto"/>
          </w:tcBorders>
        </w:tcPr>
        <w:p w:rsidR="008D13B1" w:rsidRDefault="008D13B1" w:rsidP="00E669E2">
          <w:pPr>
            <w:pStyle w:val="HeaderOdd"/>
          </w:pPr>
        </w:p>
      </w:tc>
      <w:tc>
        <w:tcPr>
          <w:tcW w:w="2155" w:type="dxa"/>
          <w:tcBorders>
            <w:top w:val="single" w:sz="24" w:space="0" w:color="auto"/>
          </w:tcBorders>
        </w:tcPr>
        <w:p w:rsidR="008D13B1" w:rsidRDefault="008D13B1" w:rsidP="00E669E2">
          <w:pPr>
            <w:pStyle w:val="HeaderOdd"/>
          </w:pPr>
        </w:p>
      </w:tc>
    </w:tr>
  </w:tbl>
  <w:p w:rsidR="008D13B1" w:rsidRDefault="008D13B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hideSpellingErrors/>
  <w:hideGrammaticalError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Ageing"/>
  </w:docVars>
  <w:rsids>
    <w:rsidRoot w:val="00BD51DE"/>
    <w:rsid w:val="000074E8"/>
    <w:rsid w:val="000129D3"/>
    <w:rsid w:val="000227D5"/>
    <w:rsid w:val="000245AA"/>
    <w:rsid w:val="0003478E"/>
    <w:rsid w:val="00034F5C"/>
    <w:rsid w:val="0003664B"/>
    <w:rsid w:val="0004111F"/>
    <w:rsid w:val="00047AB9"/>
    <w:rsid w:val="000565B3"/>
    <w:rsid w:val="0006344C"/>
    <w:rsid w:val="00065149"/>
    <w:rsid w:val="00067B5D"/>
    <w:rsid w:val="0007150B"/>
    <w:rsid w:val="00074A55"/>
    <w:rsid w:val="00082692"/>
    <w:rsid w:val="000938F5"/>
    <w:rsid w:val="0009442B"/>
    <w:rsid w:val="000960DC"/>
    <w:rsid w:val="00096E55"/>
    <w:rsid w:val="000B3BA3"/>
    <w:rsid w:val="000B601B"/>
    <w:rsid w:val="000C207E"/>
    <w:rsid w:val="000E15C5"/>
    <w:rsid w:val="000F0035"/>
    <w:rsid w:val="000F420B"/>
    <w:rsid w:val="00105415"/>
    <w:rsid w:val="00110116"/>
    <w:rsid w:val="00113853"/>
    <w:rsid w:val="00116DD8"/>
    <w:rsid w:val="001179FC"/>
    <w:rsid w:val="00120072"/>
    <w:rsid w:val="00124073"/>
    <w:rsid w:val="00125948"/>
    <w:rsid w:val="001268AC"/>
    <w:rsid w:val="00126EB8"/>
    <w:rsid w:val="001274D4"/>
    <w:rsid w:val="001339B7"/>
    <w:rsid w:val="001363AA"/>
    <w:rsid w:val="00140A77"/>
    <w:rsid w:val="0014399A"/>
    <w:rsid w:val="00145900"/>
    <w:rsid w:val="001473A2"/>
    <w:rsid w:val="00151259"/>
    <w:rsid w:val="00157D54"/>
    <w:rsid w:val="00170E4E"/>
    <w:rsid w:val="00173910"/>
    <w:rsid w:val="001832C9"/>
    <w:rsid w:val="00183E82"/>
    <w:rsid w:val="00183E9C"/>
    <w:rsid w:val="001853D0"/>
    <w:rsid w:val="001878BB"/>
    <w:rsid w:val="0019011E"/>
    <w:rsid w:val="0019168A"/>
    <w:rsid w:val="00191AE0"/>
    <w:rsid w:val="0019293B"/>
    <w:rsid w:val="00193CF6"/>
    <w:rsid w:val="0019426B"/>
    <w:rsid w:val="001C0865"/>
    <w:rsid w:val="001C3ABA"/>
    <w:rsid w:val="001C69B2"/>
    <w:rsid w:val="001C6D5A"/>
    <w:rsid w:val="001D1BAA"/>
    <w:rsid w:val="001D257D"/>
    <w:rsid w:val="001E0E83"/>
    <w:rsid w:val="001E5373"/>
    <w:rsid w:val="001E6883"/>
    <w:rsid w:val="001E6E94"/>
    <w:rsid w:val="001E7BE8"/>
    <w:rsid w:val="001F0248"/>
    <w:rsid w:val="001F22F2"/>
    <w:rsid w:val="001F3EB3"/>
    <w:rsid w:val="001F40E9"/>
    <w:rsid w:val="001F4F86"/>
    <w:rsid w:val="001F671B"/>
    <w:rsid w:val="001F7B17"/>
    <w:rsid w:val="00202719"/>
    <w:rsid w:val="00202C2C"/>
    <w:rsid w:val="002135AB"/>
    <w:rsid w:val="002144BE"/>
    <w:rsid w:val="002209CD"/>
    <w:rsid w:val="002239BF"/>
    <w:rsid w:val="00234AAA"/>
    <w:rsid w:val="00242279"/>
    <w:rsid w:val="00245C82"/>
    <w:rsid w:val="00261BEB"/>
    <w:rsid w:val="00266AAF"/>
    <w:rsid w:val="002675FB"/>
    <w:rsid w:val="00276697"/>
    <w:rsid w:val="00276ED8"/>
    <w:rsid w:val="00291B40"/>
    <w:rsid w:val="00291CF0"/>
    <w:rsid w:val="002A35C6"/>
    <w:rsid w:val="002B1F88"/>
    <w:rsid w:val="002B3BE2"/>
    <w:rsid w:val="002B4008"/>
    <w:rsid w:val="002C5C22"/>
    <w:rsid w:val="002C6AD7"/>
    <w:rsid w:val="002D0E8E"/>
    <w:rsid w:val="002D44CA"/>
    <w:rsid w:val="00301189"/>
    <w:rsid w:val="003135D2"/>
    <w:rsid w:val="00322E68"/>
    <w:rsid w:val="00323E09"/>
    <w:rsid w:val="003316D7"/>
    <w:rsid w:val="00333932"/>
    <w:rsid w:val="0034066E"/>
    <w:rsid w:val="003414A7"/>
    <w:rsid w:val="00341BA0"/>
    <w:rsid w:val="003518AA"/>
    <w:rsid w:val="00352165"/>
    <w:rsid w:val="00353182"/>
    <w:rsid w:val="00355DF6"/>
    <w:rsid w:val="003565D9"/>
    <w:rsid w:val="003602E1"/>
    <w:rsid w:val="00366C7C"/>
    <w:rsid w:val="0037026F"/>
    <w:rsid w:val="00371240"/>
    <w:rsid w:val="00372420"/>
    <w:rsid w:val="00374731"/>
    <w:rsid w:val="00376E59"/>
    <w:rsid w:val="00377300"/>
    <w:rsid w:val="00381F1A"/>
    <w:rsid w:val="003868EE"/>
    <w:rsid w:val="003919F9"/>
    <w:rsid w:val="00391BD5"/>
    <w:rsid w:val="00393E3F"/>
    <w:rsid w:val="003A699F"/>
    <w:rsid w:val="003B3F05"/>
    <w:rsid w:val="003C38B5"/>
    <w:rsid w:val="003C5D99"/>
    <w:rsid w:val="003D5D4A"/>
    <w:rsid w:val="003E2F59"/>
    <w:rsid w:val="003F0789"/>
    <w:rsid w:val="003F20C6"/>
    <w:rsid w:val="003F49D9"/>
    <w:rsid w:val="003F7645"/>
    <w:rsid w:val="00401882"/>
    <w:rsid w:val="004100C8"/>
    <w:rsid w:val="00411DBD"/>
    <w:rsid w:val="00412ACE"/>
    <w:rsid w:val="00431249"/>
    <w:rsid w:val="00434C19"/>
    <w:rsid w:val="00444C9B"/>
    <w:rsid w:val="00450810"/>
    <w:rsid w:val="0045618D"/>
    <w:rsid w:val="00460D63"/>
    <w:rsid w:val="004629C9"/>
    <w:rsid w:val="00474A76"/>
    <w:rsid w:val="00477144"/>
    <w:rsid w:val="00481079"/>
    <w:rsid w:val="00485220"/>
    <w:rsid w:val="00486D93"/>
    <w:rsid w:val="00491380"/>
    <w:rsid w:val="00492482"/>
    <w:rsid w:val="004944C5"/>
    <w:rsid w:val="0049459F"/>
    <w:rsid w:val="00495E06"/>
    <w:rsid w:val="00496C78"/>
    <w:rsid w:val="004A38DD"/>
    <w:rsid w:val="004B09C5"/>
    <w:rsid w:val="004B43AE"/>
    <w:rsid w:val="004C1EF2"/>
    <w:rsid w:val="004C30ED"/>
    <w:rsid w:val="004D5675"/>
    <w:rsid w:val="004E171B"/>
    <w:rsid w:val="004E22A6"/>
    <w:rsid w:val="004E5190"/>
    <w:rsid w:val="004F2696"/>
    <w:rsid w:val="00503303"/>
    <w:rsid w:val="00507607"/>
    <w:rsid w:val="00512D1E"/>
    <w:rsid w:val="00517389"/>
    <w:rsid w:val="005213EA"/>
    <w:rsid w:val="00523639"/>
    <w:rsid w:val="00531FE5"/>
    <w:rsid w:val="005330BB"/>
    <w:rsid w:val="005402FA"/>
    <w:rsid w:val="00542AE4"/>
    <w:rsid w:val="005647E3"/>
    <w:rsid w:val="00575DB1"/>
    <w:rsid w:val="00577264"/>
    <w:rsid w:val="005779C1"/>
    <w:rsid w:val="00583C39"/>
    <w:rsid w:val="00587F28"/>
    <w:rsid w:val="005909CF"/>
    <w:rsid w:val="00590C7E"/>
    <w:rsid w:val="00591E71"/>
    <w:rsid w:val="005949D2"/>
    <w:rsid w:val="00596F73"/>
    <w:rsid w:val="005973C0"/>
    <w:rsid w:val="005A0D41"/>
    <w:rsid w:val="005B3BCD"/>
    <w:rsid w:val="005B7E00"/>
    <w:rsid w:val="005C7A00"/>
    <w:rsid w:val="005D2F4C"/>
    <w:rsid w:val="005D6FBC"/>
    <w:rsid w:val="005E25E1"/>
    <w:rsid w:val="005E347A"/>
    <w:rsid w:val="005F166A"/>
    <w:rsid w:val="005F30EF"/>
    <w:rsid w:val="005F5806"/>
    <w:rsid w:val="005F6175"/>
    <w:rsid w:val="00604126"/>
    <w:rsid w:val="00604C41"/>
    <w:rsid w:val="00607BF1"/>
    <w:rsid w:val="0061031E"/>
    <w:rsid w:val="0062009D"/>
    <w:rsid w:val="00630D4D"/>
    <w:rsid w:val="00632A74"/>
    <w:rsid w:val="006375D2"/>
    <w:rsid w:val="0065364C"/>
    <w:rsid w:val="00655654"/>
    <w:rsid w:val="006663F5"/>
    <w:rsid w:val="00670E94"/>
    <w:rsid w:val="0067182A"/>
    <w:rsid w:val="00683553"/>
    <w:rsid w:val="00684D14"/>
    <w:rsid w:val="006A05CD"/>
    <w:rsid w:val="006A35E5"/>
    <w:rsid w:val="006A4655"/>
    <w:rsid w:val="006A7553"/>
    <w:rsid w:val="006A75CC"/>
    <w:rsid w:val="006B2B3C"/>
    <w:rsid w:val="006C11FC"/>
    <w:rsid w:val="006C1D81"/>
    <w:rsid w:val="006C443E"/>
    <w:rsid w:val="006C7038"/>
    <w:rsid w:val="006D0AF0"/>
    <w:rsid w:val="006D0ECA"/>
    <w:rsid w:val="006D13F9"/>
    <w:rsid w:val="006D1C80"/>
    <w:rsid w:val="006E73EF"/>
    <w:rsid w:val="006F0D65"/>
    <w:rsid w:val="006F533B"/>
    <w:rsid w:val="006F5CD7"/>
    <w:rsid w:val="00701557"/>
    <w:rsid w:val="00701E83"/>
    <w:rsid w:val="00712F3F"/>
    <w:rsid w:val="00714D4D"/>
    <w:rsid w:val="00717B18"/>
    <w:rsid w:val="00722FA2"/>
    <w:rsid w:val="007233E2"/>
    <w:rsid w:val="0073532A"/>
    <w:rsid w:val="00743BCA"/>
    <w:rsid w:val="00745466"/>
    <w:rsid w:val="00752B70"/>
    <w:rsid w:val="007541D7"/>
    <w:rsid w:val="00754F02"/>
    <w:rsid w:val="007604BB"/>
    <w:rsid w:val="00763AE6"/>
    <w:rsid w:val="00763E0B"/>
    <w:rsid w:val="007702B1"/>
    <w:rsid w:val="00777CF7"/>
    <w:rsid w:val="00784704"/>
    <w:rsid w:val="00785232"/>
    <w:rsid w:val="00791630"/>
    <w:rsid w:val="007A21EB"/>
    <w:rsid w:val="007A3898"/>
    <w:rsid w:val="007A4010"/>
    <w:rsid w:val="007A4E79"/>
    <w:rsid w:val="007A6303"/>
    <w:rsid w:val="007B1A93"/>
    <w:rsid w:val="007B4A49"/>
    <w:rsid w:val="007B5C29"/>
    <w:rsid w:val="007C36C9"/>
    <w:rsid w:val="007C3974"/>
    <w:rsid w:val="007C399E"/>
    <w:rsid w:val="007D6401"/>
    <w:rsid w:val="007D65FA"/>
    <w:rsid w:val="007E01E4"/>
    <w:rsid w:val="007F29D6"/>
    <w:rsid w:val="007F2F50"/>
    <w:rsid w:val="007F7107"/>
    <w:rsid w:val="00800D4C"/>
    <w:rsid w:val="00803F78"/>
    <w:rsid w:val="0081030F"/>
    <w:rsid w:val="00811155"/>
    <w:rsid w:val="0082087D"/>
    <w:rsid w:val="00831B33"/>
    <w:rsid w:val="00835771"/>
    <w:rsid w:val="00842933"/>
    <w:rsid w:val="00855A58"/>
    <w:rsid w:val="0085732B"/>
    <w:rsid w:val="0085766F"/>
    <w:rsid w:val="0086082C"/>
    <w:rsid w:val="008610FB"/>
    <w:rsid w:val="008634E0"/>
    <w:rsid w:val="00864ADC"/>
    <w:rsid w:val="008664EF"/>
    <w:rsid w:val="00866A97"/>
    <w:rsid w:val="00872B55"/>
    <w:rsid w:val="0087423E"/>
    <w:rsid w:val="00880153"/>
    <w:rsid w:val="00880F97"/>
    <w:rsid w:val="0088133A"/>
    <w:rsid w:val="00881895"/>
    <w:rsid w:val="00890FDA"/>
    <w:rsid w:val="00891CF2"/>
    <w:rsid w:val="0089285E"/>
    <w:rsid w:val="0089436C"/>
    <w:rsid w:val="00894CB3"/>
    <w:rsid w:val="008A6284"/>
    <w:rsid w:val="008B4045"/>
    <w:rsid w:val="008B4973"/>
    <w:rsid w:val="008B6A36"/>
    <w:rsid w:val="008C549E"/>
    <w:rsid w:val="008D13B1"/>
    <w:rsid w:val="008D365C"/>
    <w:rsid w:val="008E3042"/>
    <w:rsid w:val="008F600A"/>
    <w:rsid w:val="009030BF"/>
    <w:rsid w:val="00907208"/>
    <w:rsid w:val="0091032F"/>
    <w:rsid w:val="00914368"/>
    <w:rsid w:val="0092581F"/>
    <w:rsid w:val="00925F60"/>
    <w:rsid w:val="00925FBA"/>
    <w:rsid w:val="00931076"/>
    <w:rsid w:val="009345D9"/>
    <w:rsid w:val="00934B15"/>
    <w:rsid w:val="00937CFB"/>
    <w:rsid w:val="00940C87"/>
    <w:rsid w:val="00942B62"/>
    <w:rsid w:val="0094339C"/>
    <w:rsid w:val="00951719"/>
    <w:rsid w:val="0095323B"/>
    <w:rsid w:val="00953A02"/>
    <w:rsid w:val="00956A0C"/>
    <w:rsid w:val="00956BD9"/>
    <w:rsid w:val="00962489"/>
    <w:rsid w:val="00966B90"/>
    <w:rsid w:val="00966EFC"/>
    <w:rsid w:val="009744CC"/>
    <w:rsid w:val="009758F4"/>
    <w:rsid w:val="00982085"/>
    <w:rsid w:val="00990C2C"/>
    <w:rsid w:val="00990CE5"/>
    <w:rsid w:val="009A0118"/>
    <w:rsid w:val="009A14A9"/>
    <w:rsid w:val="009C0D82"/>
    <w:rsid w:val="009E1844"/>
    <w:rsid w:val="009F0D1B"/>
    <w:rsid w:val="009F16F5"/>
    <w:rsid w:val="009F3BE2"/>
    <w:rsid w:val="009F696D"/>
    <w:rsid w:val="009F6BC6"/>
    <w:rsid w:val="009F78A8"/>
    <w:rsid w:val="00A00EF3"/>
    <w:rsid w:val="00A05A98"/>
    <w:rsid w:val="00A06E4A"/>
    <w:rsid w:val="00A17328"/>
    <w:rsid w:val="00A17C27"/>
    <w:rsid w:val="00A23A20"/>
    <w:rsid w:val="00A25C75"/>
    <w:rsid w:val="00A268B9"/>
    <w:rsid w:val="00A2703A"/>
    <w:rsid w:val="00A33DFF"/>
    <w:rsid w:val="00A35115"/>
    <w:rsid w:val="00A36D9A"/>
    <w:rsid w:val="00A41294"/>
    <w:rsid w:val="00A554AB"/>
    <w:rsid w:val="00A57062"/>
    <w:rsid w:val="00A61E28"/>
    <w:rsid w:val="00A755C2"/>
    <w:rsid w:val="00A80E47"/>
    <w:rsid w:val="00A92B53"/>
    <w:rsid w:val="00A947FE"/>
    <w:rsid w:val="00A94FA6"/>
    <w:rsid w:val="00A94FCD"/>
    <w:rsid w:val="00AA49A0"/>
    <w:rsid w:val="00AA6710"/>
    <w:rsid w:val="00AA7071"/>
    <w:rsid w:val="00AB0681"/>
    <w:rsid w:val="00AB285B"/>
    <w:rsid w:val="00AC46C3"/>
    <w:rsid w:val="00AC7B47"/>
    <w:rsid w:val="00AD1B1F"/>
    <w:rsid w:val="00AD1FE6"/>
    <w:rsid w:val="00AD2BE4"/>
    <w:rsid w:val="00AD520B"/>
    <w:rsid w:val="00AD5671"/>
    <w:rsid w:val="00AE0BF2"/>
    <w:rsid w:val="00AF0DA5"/>
    <w:rsid w:val="00AF0F8A"/>
    <w:rsid w:val="00AF6154"/>
    <w:rsid w:val="00B00138"/>
    <w:rsid w:val="00B017FC"/>
    <w:rsid w:val="00B06C3E"/>
    <w:rsid w:val="00B06D90"/>
    <w:rsid w:val="00B07EA0"/>
    <w:rsid w:val="00B11B8E"/>
    <w:rsid w:val="00B122CA"/>
    <w:rsid w:val="00B169C2"/>
    <w:rsid w:val="00B21130"/>
    <w:rsid w:val="00B33774"/>
    <w:rsid w:val="00B3589D"/>
    <w:rsid w:val="00B41020"/>
    <w:rsid w:val="00B425C3"/>
    <w:rsid w:val="00B440AD"/>
    <w:rsid w:val="00B45A2C"/>
    <w:rsid w:val="00B479BB"/>
    <w:rsid w:val="00B530F9"/>
    <w:rsid w:val="00B5329E"/>
    <w:rsid w:val="00B53E7E"/>
    <w:rsid w:val="00B6342E"/>
    <w:rsid w:val="00B707D8"/>
    <w:rsid w:val="00B7113F"/>
    <w:rsid w:val="00B724E3"/>
    <w:rsid w:val="00B739A8"/>
    <w:rsid w:val="00B77977"/>
    <w:rsid w:val="00B77F67"/>
    <w:rsid w:val="00B826ED"/>
    <w:rsid w:val="00B86850"/>
    <w:rsid w:val="00B904F8"/>
    <w:rsid w:val="00B93216"/>
    <w:rsid w:val="00B93C9F"/>
    <w:rsid w:val="00B960D6"/>
    <w:rsid w:val="00BA23D5"/>
    <w:rsid w:val="00BA693B"/>
    <w:rsid w:val="00BA73B6"/>
    <w:rsid w:val="00BA7E27"/>
    <w:rsid w:val="00BB0557"/>
    <w:rsid w:val="00BB2603"/>
    <w:rsid w:val="00BB456F"/>
    <w:rsid w:val="00BB4FCD"/>
    <w:rsid w:val="00BB5EE6"/>
    <w:rsid w:val="00BB7AB5"/>
    <w:rsid w:val="00BC04E9"/>
    <w:rsid w:val="00BC25B2"/>
    <w:rsid w:val="00BC724D"/>
    <w:rsid w:val="00BC7ECC"/>
    <w:rsid w:val="00BD13EA"/>
    <w:rsid w:val="00BD17F1"/>
    <w:rsid w:val="00BD51DE"/>
    <w:rsid w:val="00BE3808"/>
    <w:rsid w:val="00BE5693"/>
    <w:rsid w:val="00BE6A26"/>
    <w:rsid w:val="00C05569"/>
    <w:rsid w:val="00C062E9"/>
    <w:rsid w:val="00C07B64"/>
    <w:rsid w:val="00C11296"/>
    <w:rsid w:val="00C13721"/>
    <w:rsid w:val="00C14FE4"/>
    <w:rsid w:val="00C1763E"/>
    <w:rsid w:val="00C17AB0"/>
    <w:rsid w:val="00C24F37"/>
    <w:rsid w:val="00C26089"/>
    <w:rsid w:val="00C3066D"/>
    <w:rsid w:val="00C340D0"/>
    <w:rsid w:val="00C44F03"/>
    <w:rsid w:val="00C44FBD"/>
    <w:rsid w:val="00C4597B"/>
    <w:rsid w:val="00C4754D"/>
    <w:rsid w:val="00C50B79"/>
    <w:rsid w:val="00C52416"/>
    <w:rsid w:val="00C543F4"/>
    <w:rsid w:val="00C6291C"/>
    <w:rsid w:val="00C633CB"/>
    <w:rsid w:val="00C654D3"/>
    <w:rsid w:val="00C65F4E"/>
    <w:rsid w:val="00C72920"/>
    <w:rsid w:val="00C736B7"/>
    <w:rsid w:val="00C81D4A"/>
    <w:rsid w:val="00C82BA4"/>
    <w:rsid w:val="00C8762C"/>
    <w:rsid w:val="00C91A2F"/>
    <w:rsid w:val="00C946BE"/>
    <w:rsid w:val="00C94D44"/>
    <w:rsid w:val="00C96A1F"/>
    <w:rsid w:val="00C96B34"/>
    <w:rsid w:val="00CA00F9"/>
    <w:rsid w:val="00CA2201"/>
    <w:rsid w:val="00CA2961"/>
    <w:rsid w:val="00CA5DEF"/>
    <w:rsid w:val="00CA76CC"/>
    <w:rsid w:val="00CB50D7"/>
    <w:rsid w:val="00CB7177"/>
    <w:rsid w:val="00CB7F95"/>
    <w:rsid w:val="00CC1998"/>
    <w:rsid w:val="00CC1A21"/>
    <w:rsid w:val="00CC3B47"/>
    <w:rsid w:val="00CC4946"/>
    <w:rsid w:val="00CD08B8"/>
    <w:rsid w:val="00CE1C90"/>
    <w:rsid w:val="00CE3646"/>
    <w:rsid w:val="00CE3845"/>
    <w:rsid w:val="00CE39A5"/>
    <w:rsid w:val="00CF1DB2"/>
    <w:rsid w:val="00CF4AD6"/>
    <w:rsid w:val="00CF4DD5"/>
    <w:rsid w:val="00D02EEC"/>
    <w:rsid w:val="00D119E2"/>
    <w:rsid w:val="00D15AED"/>
    <w:rsid w:val="00D17A56"/>
    <w:rsid w:val="00D2001A"/>
    <w:rsid w:val="00D23FDC"/>
    <w:rsid w:val="00D270A4"/>
    <w:rsid w:val="00D3145A"/>
    <w:rsid w:val="00D31FE9"/>
    <w:rsid w:val="00D33B3A"/>
    <w:rsid w:val="00D34560"/>
    <w:rsid w:val="00D34C75"/>
    <w:rsid w:val="00D34E1B"/>
    <w:rsid w:val="00D376BA"/>
    <w:rsid w:val="00D44405"/>
    <w:rsid w:val="00D45634"/>
    <w:rsid w:val="00D52FE3"/>
    <w:rsid w:val="00D55081"/>
    <w:rsid w:val="00D552B9"/>
    <w:rsid w:val="00D5568A"/>
    <w:rsid w:val="00D55CE5"/>
    <w:rsid w:val="00D63D73"/>
    <w:rsid w:val="00D64452"/>
    <w:rsid w:val="00D66E1E"/>
    <w:rsid w:val="00D67F08"/>
    <w:rsid w:val="00D721A3"/>
    <w:rsid w:val="00D721C0"/>
    <w:rsid w:val="00D7320E"/>
    <w:rsid w:val="00D75722"/>
    <w:rsid w:val="00D805F9"/>
    <w:rsid w:val="00D80CF5"/>
    <w:rsid w:val="00D810C9"/>
    <w:rsid w:val="00D8700C"/>
    <w:rsid w:val="00D878A3"/>
    <w:rsid w:val="00D87972"/>
    <w:rsid w:val="00D90F1D"/>
    <w:rsid w:val="00D96FC5"/>
    <w:rsid w:val="00DA5BBA"/>
    <w:rsid w:val="00DA64C0"/>
    <w:rsid w:val="00DA70AC"/>
    <w:rsid w:val="00DA75E2"/>
    <w:rsid w:val="00DB26D2"/>
    <w:rsid w:val="00DB3073"/>
    <w:rsid w:val="00DB67C9"/>
    <w:rsid w:val="00DB6A6B"/>
    <w:rsid w:val="00DC0C95"/>
    <w:rsid w:val="00DC2D8A"/>
    <w:rsid w:val="00DC35CD"/>
    <w:rsid w:val="00DD253F"/>
    <w:rsid w:val="00DD6580"/>
    <w:rsid w:val="00DE30EC"/>
    <w:rsid w:val="00DE3EF5"/>
    <w:rsid w:val="00DE58DD"/>
    <w:rsid w:val="00DF0FCB"/>
    <w:rsid w:val="00DF62EC"/>
    <w:rsid w:val="00E1010E"/>
    <w:rsid w:val="00E10A13"/>
    <w:rsid w:val="00E17C72"/>
    <w:rsid w:val="00E21EF8"/>
    <w:rsid w:val="00E21FC6"/>
    <w:rsid w:val="00E23EAC"/>
    <w:rsid w:val="00E2639A"/>
    <w:rsid w:val="00E30398"/>
    <w:rsid w:val="00E315DB"/>
    <w:rsid w:val="00E31F51"/>
    <w:rsid w:val="00E41500"/>
    <w:rsid w:val="00E431A9"/>
    <w:rsid w:val="00E43BA4"/>
    <w:rsid w:val="00E53961"/>
    <w:rsid w:val="00E60EA0"/>
    <w:rsid w:val="00E639D4"/>
    <w:rsid w:val="00E669E2"/>
    <w:rsid w:val="00E76135"/>
    <w:rsid w:val="00E76AC4"/>
    <w:rsid w:val="00E81CB4"/>
    <w:rsid w:val="00E82F4F"/>
    <w:rsid w:val="00E85EBF"/>
    <w:rsid w:val="00E92EF2"/>
    <w:rsid w:val="00EC095C"/>
    <w:rsid w:val="00EC19BE"/>
    <w:rsid w:val="00EC2844"/>
    <w:rsid w:val="00EC3E27"/>
    <w:rsid w:val="00EC3F45"/>
    <w:rsid w:val="00EC5500"/>
    <w:rsid w:val="00EC7926"/>
    <w:rsid w:val="00ED18F8"/>
    <w:rsid w:val="00ED5616"/>
    <w:rsid w:val="00EE4036"/>
    <w:rsid w:val="00EF1EEF"/>
    <w:rsid w:val="00EF2CD8"/>
    <w:rsid w:val="00EF562F"/>
    <w:rsid w:val="00EF65F5"/>
    <w:rsid w:val="00EF6C6C"/>
    <w:rsid w:val="00F056FC"/>
    <w:rsid w:val="00F10476"/>
    <w:rsid w:val="00F116EC"/>
    <w:rsid w:val="00F12D72"/>
    <w:rsid w:val="00F135D8"/>
    <w:rsid w:val="00F13FF2"/>
    <w:rsid w:val="00F20B9D"/>
    <w:rsid w:val="00F23294"/>
    <w:rsid w:val="00F31299"/>
    <w:rsid w:val="00F3534A"/>
    <w:rsid w:val="00F353CF"/>
    <w:rsid w:val="00F37E79"/>
    <w:rsid w:val="00F4104C"/>
    <w:rsid w:val="00F42A3A"/>
    <w:rsid w:val="00F42F01"/>
    <w:rsid w:val="00F439DA"/>
    <w:rsid w:val="00F51609"/>
    <w:rsid w:val="00F5542B"/>
    <w:rsid w:val="00F61C21"/>
    <w:rsid w:val="00F70D7F"/>
    <w:rsid w:val="00F80004"/>
    <w:rsid w:val="00F808F8"/>
    <w:rsid w:val="00F809B9"/>
    <w:rsid w:val="00F81006"/>
    <w:rsid w:val="00F822D7"/>
    <w:rsid w:val="00F85325"/>
    <w:rsid w:val="00F90E03"/>
    <w:rsid w:val="00F92B7F"/>
    <w:rsid w:val="00FA7080"/>
    <w:rsid w:val="00FB25AA"/>
    <w:rsid w:val="00FC0E8E"/>
    <w:rsid w:val="00FC6F2D"/>
    <w:rsid w:val="00FD1508"/>
    <w:rsid w:val="00FD15D1"/>
    <w:rsid w:val="00FD22B1"/>
    <w:rsid w:val="00FD7BA1"/>
    <w:rsid w:val="00FE157F"/>
    <w:rsid w:val="00FE179D"/>
    <w:rsid w:val="00FE19E1"/>
    <w:rsid w:val="00FE5397"/>
    <w:rsid w:val="00FF0275"/>
    <w:rsid w:val="00FF0749"/>
    <w:rsid w:val="00FF08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C095C"/>
    <w:rPr>
      <w:sz w:val="26"/>
    </w:rPr>
  </w:style>
  <w:style w:type="character" w:customStyle="1" w:styleId="FootnoteTextChar">
    <w:name w:val="Footnote Text Char"/>
    <w:basedOn w:val="DefaultParagraphFont"/>
    <w:link w:val="FootnoteText"/>
    <w:rsid w:val="00655654"/>
    <w:rPr>
      <w:sz w:val="22"/>
    </w:rPr>
  </w:style>
  <w:style w:type="character" w:customStyle="1" w:styleId="CommentTextChar">
    <w:name w:val="Comment Text Char"/>
    <w:basedOn w:val="DefaultParagraphFont"/>
    <w:link w:val="CommentText"/>
    <w:semiHidden/>
    <w:rsid w:val="00B06D90"/>
    <w:rPr>
      <w:szCs w:val="24"/>
    </w:rPr>
  </w:style>
  <w:style w:type="table" w:styleId="TableGrid">
    <w:name w:val="Table Grid"/>
    <w:basedOn w:val="TableNormal"/>
    <w:rsid w:val="00D90F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3A699F"/>
    <w:pPr>
      <w:spacing w:before="0" w:line="240" w:lineRule="auto"/>
      <w:ind w:left="0" w:firstLine="0"/>
    </w:pPr>
    <w:rPr>
      <w:b/>
      <w:bCs/>
      <w:szCs w:val="20"/>
    </w:rPr>
  </w:style>
  <w:style w:type="character" w:customStyle="1" w:styleId="CommentSubjectChar">
    <w:name w:val="Comment Subject Char"/>
    <w:basedOn w:val="CommentTextChar"/>
    <w:link w:val="CommentSubject"/>
    <w:rsid w:val="003A699F"/>
    <w:rPr>
      <w:b/>
      <w:bCs/>
      <w:szCs w:val="24"/>
    </w:rPr>
  </w:style>
  <w:style w:type="character" w:styleId="EndnoteReference">
    <w:name w:val="endnote reference"/>
    <w:basedOn w:val="DefaultParagraphFont"/>
    <w:rsid w:val="00266A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C095C"/>
    <w:rPr>
      <w:sz w:val="26"/>
    </w:rPr>
  </w:style>
  <w:style w:type="character" w:customStyle="1" w:styleId="FootnoteTextChar">
    <w:name w:val="Footnote Text Char"/>
    <w:basedOn w:val="DefaultParagraphFont"/>
    <w:link w:val="FootnoteText"/>
    <w:rsid w:val="00655654"/>
    <w:rPr>
      <w:sz w:val="22"/>
    </w:rPr>
  </w:style>
  <w:style w:type="character" w:customStyle="1" w:styleId="CommentTextChar">
    <w:name w:val="Comment Text Char"/>
    <w:basedOn w:val="DefaultParagraphFont"/>
    <w:link w:val="CommentText"/>
    <w:semiHidden/>
    <w:rsid w:val="00B06D90"/>
    <w:rPr>
      <w:szCs w:val="24"/>
    </w:rPr>
  </w:style>
  <w:style w:type="table" w:styleId="TableGrid">
    <w:name w:val="Table Grid"/>
    <w:basedOn w:val="TableNormal"/>
    <w:rsid w:val="00D90F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3A699F"/>
    <w:pPr>
      <w:spacing w:before="0" w:line="240" w:lineRule="auto"/>
      <w:ind w:left="0" w:firstLine="0"/>
    </w:pPr>
    <w:rPr>
      <w:b/>
      <w:bCs/>
      <w:szCs w:val="20"/>
    </w:rPr>
  </w:style>
  <w:style w:type="character" w:customStyle="1" w:styleId="CommentSubjectChar">
    <w:name w:val="Comment Subject Char"/>
    <w:basedOn w:val="CommentTextChar"/>
    <w:link w:val="CommentSubject"/>
    <w:rsid w:val="003A699F"/>
    <w:rPr>
      <w:b/>
      <w:bCs/>
      <w:szCs w:val="24"/>
    </w:rPr>
  </w:style>
  <w:style w:type="character" w:styleId="EndnoteReference">
    <w:name w:val="endnote reference"/>
    <w:basedOn w:val="DefaultParagraphFont"/>
    <w:rsid w:val="00266A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638312">
      <w:bodyDiv w:val="1"/>
      <w:marLeft w:val="0"/>
      <w:marRight w:val="0"/>
      <w:marTop w:val="0"/>
      <w:marBottom w:val="0"/>
      <w:divBdr>
        <w:top w:val="none" w:sz="0" w:space="0" w:color="auto"/>
        <w:left w:val="none" w:sz="0" w:space="0" w:color="auto"/>
        <w:bottom w:val="none" w:sz="0" w:space="0" w:color="auto"/>
        <w:right w:val="none" w:sz="0" w:space="0" w:color="auto"/>
      </w:divBdr>
    </w:div>
    <w:div w:id="59259493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image" Target="media/image1.png"/><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chart" Target="charts/chart12.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1.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5.xm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4.xml"/><Relationship Id="rId28" Type="http://schemas.openxmlformats.org/officeDocument/2006/relationships/chart" Target="charts/chart19.xml"/><Relationship Id="rId10" Type="http://schemas.openxmlformats.org/officeDocument/2006/relationships/chart" Target="charts/chart2.xml"/><Relationship Id="rId19" Type="http://schemas.openxmlformats.org/officeDocument/2006/relationships/chart" Target="charts/chart10.xm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NULL"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NULL"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NULL"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NULL"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NULL"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NULL"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NULL"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NULL"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19.xml"/><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NULL"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976922804099984E-2"/>
          <c:y val="4.540763673890609E-2"/>
          <c:w val="0.80573055975451069"/>
          <c:h val="0.85671111544493472"/>
        </c:manualLayout>
      </c:layout>
      <c:areaChart>
        <c:grouping val="stacked"/>
        <c:varyColors val="0"/>
        <c:ser>
          <c:idx val="0"/>
          <c:order val="0"/>
          <c:tx>
            <c:strRef>
              <c:f>POP!$I$1</c:f>
              <c:strCache>
                <c:ptCount val="1"/>
                <c:pt idx="0">
                  <c:v>95% lower</c:v>
                </c:pt>
              </c:strCache>
            </c:strRef>
          </c:tx>
          <c:spPr>
            <a:noFill/>
          </c:spPr>
          <c:cat>
            <c:numRef>
              <c:f>POP!$H$2:$H$50</c:f>
              <c:numCache>
                <c:formatCode>General</c:formatCode>
                <c:ptCount val="49"/>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numCache>
            </c:numRef>
          </c:cat>
          <c:val>
            <c:numRef>
              <c:f>POP!$I$2:$I$50</c:f>
              <c:numCache>
                <c:formatCode>General</c:formatCode>
                <c:ptCount val="49"/>
                <c:pt idx="0">
                  <c:v>22.710352</c:v>
                </c:pt>
                <c:pt idx="1">
                  <c:v>23.10091195</c:v>
                </c:pt>
                <c:pt idx="2">
                  <c:v>23.469708100000002</c:v>
                </c:pt>
                <c:pt idx="3">
                  <c:v>23.812681225000002</c:v>
                </c:pt>
                <c:pt idx="4">
                  <c:v>24.130288024999999</c:v>
                </c:pt>
                <c:pt idx="5">
                  <c:v>24.422625649999997</c:v>
                </c:pt>
                <c:pt idx="6">
                  <c:v>24.688163875000001</c:v>
                </c:pt>
                <c:pt idx="7">
                  <c:v>24.950956949999998</c:v>
                </c:pt>
                <c:pt idx="8">
                  <c:v>25.212556450000001</c:v>
                </c:pt>
                <c:pt idx="9">
                  <c:v>25.470537674999999</c:v>
                </c:pt>
                <c:pt idx="10">
                  <c:v>25.721784374999999</c:v>
                </c:pt>
                <c:pt idx="11">
                  <c:v>25.964735125000001</c:v>
                </c:pt>
                <c:pt idx="12">
                  <c:v>26.211213300000001</c:v>
                </c:pt>
                <c:pt idx="13">
                  <c:v>26.453472524999999</c:v>
                </c:pt>
                <c:pt idx="14">
                  <c:v>26.691020975000001</c:v>
                </c:pt>
                <c:pt idx="15">
                  <c:v>26.923781774999998</c:v>
                </c:pt>
                <c:pt idx="16">
                  <c:v>27.144460475000002</c:v>
                </c:pt>
                <c:pt idx="17">
                  <c:v>27.366671399999998</c:v>
                </c:pt>
                <c:pt idx="18">
                  <c:v>27.582603600000002</c:v>
                </c:pt>
                <c:pt idx="19">
                  <c:v>27.792181525</c:v>
                </c:pt>
                <c:pt idx="20">
                  <c:v>27.995651225000003</c:v>
                </c:pt>
                <c:pt idx="21">
                  <c:v>28.193370000000002</c:v>
                </c:pt>
                <c:pt idx="22">
                  <c:v>28.385801799999999</c:v>
                </c:pt>
                <c:pt idx="23">
                  <c:v>28.575600649999998</c:v>
                </c:pt>
                <c:pt idx="24">
                  <c:v>28.764050075</c:v>
                </c:pt>
                <c:pt idx="25">
                  <c:v>28.949184975000001</c:v>
                </c:pt>
                <c:pt idx="26">
                  <c:v>29.131318499999999</c:v>
                </c:pt>
                <c:pt idx="27">
                  <c:v>29.310773425000001</c:v>
                </c:pt>
                <c:pt idx="28">
                  <c:v>29.487840175000002</c:v>
                </c:pt>
                <c:pt idx="29">
                  <c:v>29.660456524999997</c:v>
                </c:pt>
                <c:pt idx="30">
                  <c:v>29.83099275</c:v>
                </c:pt>
                <c:pt idx="31">
                  <c:v>29.999977600000001</c:v>
                </c:pt>
                <c:pt idx="32">
                  <c:v>30.167552725</c:v>
                </c:pt>
                <c:pt idx="33">
                  <c:v>30.333786374999999</c:v>
                </c:pt>
                <c:pt idx="34">
                  <c:v>30.498657025</c:v>
                </c:pt>
                <c:pt idx="35">
                  <c:v>30.662121525</c:v>
                </c:pt>
                <c:pt idx="36">
                  <c:v>30.82415245</c:v>
                </c:pt>
                <c:pt idx="37">
                  <c:v>30.984684874999999</c:v>
                </c:pt>
                <c:pt idx="38">
                  <c:v>31.139175225000002</c:v>
                </c:pt>
                <c:pt idx="39">
                  <c:v>31.285710325</c:v>
                </c:pt>
                <c:pt idx="40">
                  <c:v>31.430328850000002</c:v>
                </c:pt>
                <c:pt idx="41">
                  <c:v>31.590208975000003</c:v>
                </c:pt>
                <c:pt idx="42">
                  <c:v>31.750825825</c:v>
                </c:pt>
                <c:pt idx="43">
                  <c:v>31.901278274999999</c:v>
                </c:pt>
                <c:pt idx="44">
                  <c:v>32.051969925000002</c:v>
                </c:pt>
                <c:pt idx="45">
                  <c:v>32.202434500000003</c:v>
                </c:pt>
                <c:pt idx="46">
                  <c:v>32.352280425000004</c:v>
                </c:pt>
                <c:pt idx="47">
                  <c:v>32.501213100000001</c:v>
                </c:pt>
                <c:pt idx="48">
                  <c:v>32.648970050000003</c:v>
                </c:pt>
              </c:numCache>
            </c:numRef>
          </c:val>
        </c:ser>
        <c:ser>
          <c:idx val="1"/>
          <c:order val="1"/>
          <c:tx>
            <c:strRef>
              <c:f>POP!$J$1</c:f>
              <c:strCache>
                <c:ptCount val="1"/>
                <c:pt idx="0">
                  <c:v>90% lower</c:v>
                </c:pt>
              </c:strCache>
            </c:strRef>
          </c:tx>
          <c:spPr>
            <a:solidFill>
              <a:srgbClr val="B4C98B"/>
            </a:solidFill>
          </c:spPr>
          <c:cat>
            <c:numRef>
              <c:f>POP!$H$2:$H$50</c:f>
              <c:numCache>
                <c:formatCode>General</c:formatCode>
                <c:ptCount val="49"/>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numCache>
            </c:numRef>
          </c:cat>
          <c:val>
            <c:numRef>
              <c:f>POP!$J$2:$J$50</c:f>
              <c:numCache>
                <c:formatCode>General</c:formatCode>
                <c:ptCount val="49"/>
                <c:pt idx="0">
                  <c:v>0</c:v>
                </c:pt>
                <c:pt idx="1">
                  <c:v>3.5594999999943866E-4</c:v>
                </c:pt>
                <c:pt idx="2">
                  <c:v>4.1031999999994184E-3</c:v>
                </c:pt>
                <c:pt idx="3">
                  <c:v>1.2618074999998896E-2</c:v>
                </c:pt>
                <c:pt idx="4">
                  <c:v>2.6450075000003181E-2</c:v>
                </c:pt>
                <c:pt idx="5">
                  <c:v>4.3240250000000202E-2</c:v>
                </c:pt>
                <c:pt idx="6">
                  <c:v>6.2793424999998848E-2</c:v>
                </c:pt>
                <c:pt idx="7">
                  <c:v>8.632815000000349E-2</c:v>
                </c:pt>
                <c:pt idx="8">
                  <c:v>0.11215135000000132</c:v>
                </c:pt>
                <c:pt idx="9">
                  <c:v>0.13482422499999913</c:v>
                </c:pt>
                <c:pt idx="10">
                  <c:v>0.16021642500000155</c:v>
                </c:pt>
                <c:pt idx="11">
                  <c:v>0.19268747499999961</c:v>
                </c:pt>
                <c:pt idx="12">
                  <c:v>0.21967659999999611</c:v>
                </c:pt>
                <c:pt idx="13">
                  <c:v>0.24684117500000013</c:v>
                </c:pt>
                <c:pt idx="14">
                  <c:v>0.26614572499999767</c:v>
                </c:pt>
                <c:pt idx="15">
                  <c:v>0.29702432500000242</c:v>
                </c:pt>
                <c:pt idx="16">
                  <c:v>0.33137132499999922</c:v>
                </c:pt>
                <c:pt idx="17">
                  <c:v>0.36018200000000178</c:v>
                </c:pt>
                <c:pt idx="18">
                  <c:v>0.38704269999999852</c:v>
                </c:pt>
                <c:pt idx="19">
                  <c:v>0.41725917499999809</c:v>
                </c:pt>
                <c:pt idx="20">
                  <c:v>0.45704067499999468</c:v>
                </c:pt>
                <c:pt idx="21">
                  <c:v>0.49428399999999684</c:v>
                </c:pt>
                <c:pt idx="22">
                  <c:v>0.53489100000000178</c:v>
                </c:pt>
                <c:pt idx="23">
                  <c:v>0.58005525000000091</c:v>
                </c:pt>
                <c:pt idx="24">
                  <c:v>0.62043802500000211</c:v>
                </c:pt>
                <c:pt idx="25">
                  <c:v>0.65701722499999704</c:v>
                </c:pt>
                <c:pt idx="26">
                  <c:v>0.69103680000000267</c:v>
                </c:pt>
                <c:pt idx="27">
                  <c:v>0.72671107500000076</c:v>
                </c:pt>
                <c:pt idx="28">
                  <c:v>0.7631321249999985</c:v>
                </c:pt>
                <c:pt idx="29">
                  <c:v>0.80242057500000286</c:v>
                </c:pt>
                <c:pt idx="30">
                  <c:v>0.83688525000000169</c:v>
                </c:pt>
                <c:pt idx="31">
                  <c:v>0.87243769999999898</c:v>
                </c:pt>
                <c:pt idx="32">
                  <c:v>0.91298247499999974</c:v>
                </c:pt>
                <c:pt idx="33">
                  <c:v>0.95320642500000119</c:v>
                </c:pt>
                <c:pt idx="34">
                  <c:v>0.99372687500000012</c:v>
                </c:pt>
                <c:pt idx="35">
                  <c:v>1.0366132750000006</c:v>
                </c:pt>
                <c:pt idx="36">
                  <c:v>1.079190650000001</c:v>
                </c:pt>
                <c:pt idx="37">
                  <c:v>1.122972824999998</c:v>
                </c:pt>
                <c:pt idx="38">
                  <c:v>1.1731474749999933</c:v>
                </c:pt>
                <c:pt idx="39">
                  <c:v>1.2207246750000031</c:v>
                </c:pt>
                <c:pt idx="40">
                  <c:v>1.2682675499999974</c:v>
                </c:pt>
                <c:pt idx="41">
                  <c:v>1.3026719249999985</c:v>
                </c:pt>
                <c:pt idx="42">
                  <c:v>1.3379751749999969</c:v>
                </c:pt>
                <c:pt idx="43">
                  <c:v>1.3844092250000024</c:v>
                </c:pt>
                <c:pt idx="44">
                  <c:v>1.4226082749999946</c:v>
                </c:pt>
                <c:pt idx="45">
                  <c:v>1.4520149999999958</c:v>
                </c:pt>
                <c:pt idx="46">
                  <c:v>1.4890053749999907</c:v>
                </c:pt>
                <c:pt idx="47">
                  <c:v>1.5279224000000013</c:v>
                </c:pt>
                <c:pt idx="48">
                  <c:v>1.5668712499999913</c:v>
                </c:pt>
              </c:numCache>
            </c:numRef>
          </c:val>
        </c:ser>
        <c:ser>
          <c:idx val="2"/>
          <c:order val="2"/>
          <c:tx>
            <c:strRef>
              <c:f>POP!$K$1</c:f>
              <c:strCache>
                <c:ptCount val="1"/>
                <c:pt idx="0">
                  <c:v>90% upper</c:v>
                </c:pt>
              </c:strCache>
            </c:strRef>
          </c:tx>
          <c:spPr>
            <a:solidFill>
              <a:srgbClr val="78A22F"/>
            </a:solidFill>
          </c:spPr>
          <c:cat>
            <c:numRef>
              <c:f>POP!$H$2:$H$50</c:f>
              <c:numCache>
                <c:formatCode>General</c:formatCode>
                <c:ptCount val="49"/>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numCache>
            </c:numRef>
          </c:cat>
          <c:val>
            <c:numRef>
              <c:f>POP!$K$2:$K$50</c:f>
              <c:numCache>
                <c:formatCode>General</c:formatCode>
                <c:ptCount val="49"/>
                <c:pt idx="0">
                  <c:v>0</c:v>
                </c:pt>
                <c:pt idx="1">
                  <c:v>1.8425999999998055E-3</c:v>
                </c:pt>
                <c:pt idx="2">
                  <c:v>2.3384599999996425E-2</c:v>
                </c:pt>
                <c:pt idx="3">
                  <c:v>6.9591399999996639E-2</c:v>
                </c:pt>
                <c:pt idx="4">
                  <c:v>0.1385597999999959</c:v>
                </c:pt>
                <c:pt idx="5">
                  <c:v>0.2327359000000051</c:v>
                </c:pt>
                <c:pt idx="6">
                  <c:v>0.35323139999999853</c:v>
                </c:pt>
                <c:pt idx="7">
                  <c:v>0.47549659999999605</c:v>
                </c:pt>
                <c:pt idx="8">
                  <c:v>0.59702549999999732</c:v>
                </c:pt>
                <c:pt idx="9">
                  <c:v>0.72737470000000215</c:v>
                </c:pt>
                <c:pt idx="10">
                  <c:v>0.86458950000000101</c:v>
                </c:pt>
                <c:pt idx="11">
                  <c:v>1.0009675000000016</c:v>
                </c:pt>
                <c:pt idx="12">
                  <c:v>1.1408941000000041</c:v>
                </c:pt>
                <c:pt idx="13">
                  <c:v>1.2895886999999995</c:v>
                </c:pt>
                <c:pt idx="14">
                  <c:v>1.4480716000000022</c:v>
                </c:pt>
                <c:pt idx="15">
                  <c:v>1.5984954000000009</c:v>
                </c:pt>
                <c:pt idx="16">
                  <c:v>1.7623548999999983</c:v>
                </c:pt>
                <c:pt idx="17">
                  <c:v>1.9285350000000001</c:v>
                </c:pt>
                <c:pt idx="18">
                  <c:v>2.0927574</c:v>
                </c:pt>
                <c:pt idx="19">
                  <c:v>2.2587931999999995</c:v>
                </c:pt>
                <c:pt idx="20">
                  <c:v>2.4276270000000011</c:v>
                </c:pt>
                <c:pt idx="21">
                  <c:v>2.6015198999999996</c:v>
                </c:pt>
                <c:pt idx="22">
                  <c:v>2.7795221999999988</c:v>
                </c:pt>
                <c:pt idx="23">
                  <c:v>2.9527398000000034</c:v>
                </c:pt>
                <c:pt idx="24">
                  <c:v>3.1272290999999974</c:v>
                </c:pt>
                <c:pt idx="25">
                  <c:v>3.3154605000000004</c:v>
                </c:pt>
                <c:pt idx="26">
                  <c:v>3.5057156999999997</c:v>
                </c:pt>
                <c:pt idx="27">
                  <c:v>3.6961527000000025</c:v>
                </c:pt>
                <c:pt idx="28">
                  <c:v>3.8880216999999959</c:v>
                </c:pt>
                <c:pt idx="29">
                  <c:v>4.0813136000000014</c:v>
                </c:pt>
                <c:pt idx="30">
                  <c:v>4.282617700000003</c:v>
                </c:pt>
                <c:pt idx="31">
                  <c:v>4.4718264999999988</c:v>
                </c:pt>
                <c:pt idx="32">
                  <c:v>4.6658620999999982</c:v>
                </c:pt>
                <c:pt idx="33">
                  <c:v>4.8721981999999997</c:v>
                </c:pt>
                <c:pt idx="34">
                  <c:v>5.0782104999999973</c:v>
                </c:pt>
                <c:pt idx="35">
                  <c:v>5.2736550999999956</c:v>
                </c:pt>
                <c:pt idx="36">
                  <c:v>5.4806151999999955</c:v>
                </c:pt>
                <c:pt idx="37">
                  <c:v>5.6933691999999994</c:v>
                </c:pt>
                <c:pt idx="38">
                  <c:v>5.9013945000000092</c:v>
                </c:pt>
                <c:pt idx="39">
                  <c:v>6.1176913999999982</c:v>
                </c:pt>
                <c:pt idx="40">
                  <c:v>6.3363209999999981</c:v>
                </c:pt>
                <c:pt idx="41">
                  <c:v>6.5522323999999941</c:v>
                </c:pt>
                <c:pt idx="42">
                  <c:v>6.7666561000000058</c:v>
                </c:pt>
                <c:pt idx="43">
                  <c:v>6.9787262000000041</c:v>
                </c:pt>
                <c:pt idx="44">
                  <c:v>7.1984985000000066</c:v>
                </c:pt>
                <c:pt idx="45">
                  <c:v>7.4212129000000004</c:v>
                </c:pt>
                <c:pt idx="46">
                  <c:v>7.638652900000011</c:v>
                </c:pt>
                <c:pt idx="47">
                  <c:v>7.8736867000000004</c:v>
                </c:pt>
                <c:pt idx="48">
                  <c:v>8.096809300000011</c:v>
                </c:pt>
              </c:numCache>
            </c:numRef>
          </c:val>
        </c:ser>
        <c:ser>
          <c:idx val="3"/>
          <c:order val="3"/>
          <c:tx>
            <c:strRef>
              <c:f>POP!$L$1</c:f>
              <c:strCache>
                <c:ptCount val="1"/>
                <c:pt idx="0">
                  <c:v>95% upper</c:v>
                </c:pt>
              </c:strCache>
            </c:strRef>
          </c:tx>
          <c:spPr>
            <a:solidFill>
              <a:srgbClr val="B4C98B"/>
            </a:solidFill>
          </c:spPr>
          <c:cat>
            <c:numRef>
              <c:f>POP!$H$2:$H$50</c:f>
              <c:numCache>
                <c:formatCode>General</c:formatCode>
                <c:ptCount val="49"/>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numCache>
            </c:numRef>
          </c:cat>
          <c:val>
            <c:numRef>
              <c:f>POP!$L$2:$L$50</c:f>
              <c:numCache>
                <c:formatCode>General</c:formatCode>
                <c:ptCount val="49"/>
                <c:pt idx="0">
                  <c:v>0</c:v>
                </c:pt>
                <c:pt idx="1">
                  <c:v>2.4455000000145333E-4</c:v>
                </c:pt>
                <c:pt idx="2">
                  <c:v>4.9797500000003936E-3</c:v>
                </c:pt>
                <c:pt idx="3">
                  <c:v>1.2970900000002672E-2</c:v>
                </c:pt>
                <c:pt idx="4">
                  <c:v>2.6879825000005297E-2</c:v>
                </c:pt>
                <c:pt idx="5">
                  <c:v>4.5445649999997784E-2</c:v>
                </c:pt>
                <c:pt idx="6">
                  <c:v>6.7613350000002015E-2</c:v>
                </c:pt>
                <c:pt idx="7">
                  <c:v>9.2103375000000653E-2</c:v>
                </c:pt>
                <c:pt idx="8">
                  <c:v>0.11818022499999969</c:v>
                </c:pt>
                <c:pt idx="9">
                  <c:v>0.143520125000002</c:v>
                </c:pt>
                <c:pt idx="10">
                  <c:v>0.16864564999999843</c:v>
                </c:pt>
                <c:pt idx="11">
                  <c:v>0.19895945000000026</c:v>
                </c:pt>
                <c:pt idx="12">
                  <c:v>0.23105217499999853</c:v>
                </c:pt>
                <c:pt idx="13">
                  <c:v>0.26779285000000286</c:v>
                </c:pt>
                <c:pt idx="14">
                  <c:v>0.30298902499999869</c:v>
                </c:pt>
                <c:pt idx="15">
                  <c:v>0.34642372500000107</c:v>
                </c:pt>
                <c:pt idx="16">
                  <c:v>0.37927655000000016</c:v>
                </c:pt>
                <c:pt idx="17">
                  <c:v>0.41120867500000102</c:v>
                </c:pt>
                <c:pt idx="18">
                  <c:v>0.45354919999999765</c:v>
                </c:pt>
                <c:pt idx="19">
                  <c:v>0.49968587500000083</c:v>
                </c:pt>
                <c:pt idx="20">
                  <c:v>0.53868780000000172</c:v>
                </c:pt>
                <c:pt idx="21">
                  <c:v>0.58022080000000287</c:v>
                </c:pt>
                <c:pt idx="22">
                  <c:v>0.61905680000000274</c:v>
                </c:pt>
                <c:pt idx="23">
                  <c:v>0.66040712499999898</c:v>
                </c:pt>
                <c:pt idx="24">
                  <c:v>0.70646357500000079</c:v>
                </c:pt>
                <c:pt idx="25">
                  <c:v>0.74800387500000198</c:v>
                </c:pt>
                <c:pt idx="26">
                  <c:v>0.79428949999999787</c:v>
                </c:pt>
                <c:pt idx="27">
                  <c:v>0.83409474999999844</c:v>
                </c:pt>
                <c:pt idx="28">
                  <c:v>0.8798563750000028</c:v>
                </c:pt>
                <c:pt idx="29">
                  <c:v>0.92668189999999839</c:v>
                </c:pt>
                <c:pt idx="30">
                  <c:v>0.98549579999999537</c:v>
                </c:pt>
                <c:pt idx="31">
                  <c:v>1.0605609750000013</c:v>
                </c:pt>
                <c:pt idx="32">
                  <c:v>1.129829050000005</c:v>
                </c:pt>
                <c:pt idx="33">
                  <c:v>1.1792617750000005</c:v>
                </c:pt>
                <c:pt idx="34">
                  <c:v>1.2255346000000031</c:v>
                </c:pt>
                <c:pt idx="35">
                  <c:v>1.2829998250000045</c:v>
                </c:pt>
                <c:pt idx="36">
                  <c:v>1.3323345000000018</c:v>
                </c:pt>
                <c:pt idx="37">
                  <c:v>1.377776075000007</c:v>
                </c:pt>
                <c:pt idx="38">
                  <c:v>1.4291730749999942</c:v>
                </c:pt>
                <c:pt idx="39">
                  <c:v>1.484424274999995</c:v>
                </c:pt>
                <c:pt idx="40">
                  <c:v>1.5406229500000066</c:v>
                </c:pt>
                <c:pt idx="41">
                  <c:v>1.5988991500000083</c:v>
                </c:pt>
                <c:pt idx="42">
                  <c:v>1.6595263249999945</c:v>
                </c:pt>
                <c:pt idx="43">
                  <c:v>1.7339060749999931</c:v>
                </c:pt>
                <c:pt idx="44">
                  <c:v>1.8110219249999986</c:v>
                </c:pt>
                <c:pt idx="45">
                  <c:v>1.8964311000000009</c:v>
                </c:pt>
                <c:pt idx="46">
                  <c:v>1.9821236749999969</c:v>
                </c:pt>
                <c:pt idx="47">
                  <c:v>2.0509248749999998</c:v>
                </c:pt>
                <c:pt idx="48">
                  <c:v>2.1342254999999994</c:v>
                </c:pt>
              </c:numCache>
            </c:numRef>
          </c:val>
        </c:ser>
        <c:dLbls>
          <c:showLegendKey val="0"/>
          <c:showVal val="0"/>
          <c:showCatName val="0"/>
          <c:showSerName val="0"/>
          <c:showPercent val="0"/>
          <c:showBubbleSize val="0"/>
        </c:dLbls>
        <c:axId val="117994240"/>
        <c:axId val="117996544"/>
      </c:areaChart>
      <c:lineChart>
        <c:grouping val="standard"/>
        <c:varyColors val="0"/>
        <c:ser>
          <c:idx val="4"/>
          <c:order val="4"/>
          <c:tx>
            <c:strRef>
              <c:f>POP!$M$1</c:f>
              <c:strCache>
                <c:ptCount val="1"/>
                <c:pt idx="0">
                  <c:v>Forecast</c:v>
                </c:pt>
              </c:strCache>
            </c:strRef>
          </c:tx>
          <c:spPr>
            <a:ln w="34925">
              <a:noFill/>
              <a:prstDash val="sysDot"/>
            </a:ln>
          </c:spPr>
          <c:marker>
            <c:symbol val="circle"/>
            <c:size val="5"/>
            <c:spPr>
              <a:solidFill>
                <a:schemeClr val="bg1"/>
              </a:solidFill>
              <a:ln w="3175">
                <a:solidFill>
                  <a:schemeClr val="tx1"/>
                </a:solidFill>
              </a:ln>
            </c:spPr>
          </c:marker>
          <c:cat>
            <c:numRef>
              <c:f>POP!$H$2:$H$50</c:f>
              <c:numCache>
                <c:formatCode>General</c:formatCode>
                <c:ptCount val="49"/>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numCache>
            </c:numRef>
          </c:cat>
          <c:val>
            <c:numRef>
              <c:f>POP!$M$2:$M$50</c:f>
              <c:numCache>
                <c:formatCode>General</c:formatCode>
                <c:ptCount val="49"/>
                <c:pt idx="0">
                  <c:v>22.710352</c:v>
                </c:pt>
                <c:pt idx="1">
                  <c:v>23.102235</c:v>
                </c:pt>
                <c:pt idx="2">
                  <c:v>23.485786999999998</c:v>
                </c:pt>
                <c:pt idx="3">
                  <c:v>23.860779000000001</c:v>
                </c:pt>
                <c:pt idx="4">
                  <c:v>24.226859999999999</c:v>
                </c:pt>
                <c:pt idx="5">
                  <c:v>24.583629999999999</c:v>
                </c:pt>
                <c:pt idx="6">
                  <c:v>24.930534999999999</c:v>
                </c:pt>
                <c:pt idx="7">
                  <c:v>25.278428999999999</c:v>
                </c:pt>
                <c:pt idx="8">
                  <c:v>25.626874000000001</c:v>
                </c:pt>
                <c:pt idx="9">
                  <c:v>25.975411999999999</c:v>
                </c:pt>
                <c:pt idx="10">
                  <c:v>26.323532</c:v>
                </c:pt>
                <c:pt idx="11">
                  <c:v>26.670784999999999</c:v>
                </c:pt>
                <c:pt idx="12">
                  <c:v>27.016753000000001</c:v>
                </c:pt>
                <c:pt idx="13">
                  <c:v>27.361065</c:v>
                </c:pt>
                <c:pt idx="14">
                  <c:v>27.703351000000001</c:v>
                </c:pt>
                <c:pt idx="15">
                  <c:v>28.043295000000001</c:v>
                </c:pt>
                <c:pt idx="16">
                  <c:v>28.380704000000001</c:v>
                </c:pt>
                <c:pt idx="17">
                  <c:v>28.715464000000001</c:v>
                </c:pt>
                <c:pt idx="18">
                  <c:v>29.047471000000002</c:v>
                </c:pt>
                <c:pt idx="19">
                  <c:v>29.376695000000002</c:v>
                </c:pt>
                <c:pt idx="20">
                  <c:v>29.703177</c:v>
                </c:pt>
                <c:pt idx="21">
                  <c:v>30.027055000000001</c:v>
                </c:pt>
                <c:pt idx="22">
                  <c:v>30.348527000000001</c:v>
                </c:pt>
                <c:pt idx="23">
                  <c:v>30.667798999999999</c:v>
                </c:pt>
                <c:pt idx="24">
                  <c:v>30.985105000000001</c:v>
                </c:pt>
                <c:pt idx="25">
                  <c:v>31.300684</c:v>
                </c:pt>
                <c:pt idx="26">
                  <c:v>31.614746</c:v>
                </c:pt>
                <c:pt idx="27">
                  <c:v>31.927515</c:v>
                </c:pt>
                <c:pt idx="28">
                  <c:v>32.23921</c:v>
                </c:pt>
                <c:pt idx="29">
                  <c:v>32.549988999999997</c:v>
                </c:pt>
                <c:pt idx="30">
                  <c:v>32.860019000000001</c:v>
                </c:pt>
                <c:pt idx="31">
                  <c:v>33.169418</c:v>
                </c:pt>
                <c:pt idx="32">
                  <c:v>33.478285999999997</c:v>
                </c:pt>
                <c:pt idx="33">
                  <c:v>33.786627000000003</c:v>
                </c:pt>
                <c:pt idx="34">
                  <c:v>34.094400999999998</c:v>
                </c:pt>
                <c:pt idx="35">
                  <c:v>34.401560000000003</c:v>
                </c:pt>
                <c:pt idx="36">
                  <c:v>34.708038000000002</c:v>
                </c:pt>
                <c:pt idx="37">
                  <c:v>35.013719999999999</c:v>
                </c:pt>
                <c:pt idx="38">
                  <c:v>35.318503</c:v>
                </c:pt>
                <c:pt idx="39">
                  <c:v>35.622320999999999</c:v>
                </c:pt>
                <c:pt idx="40">
                  <c:v>35.925092999999997</c:v>
                </c:pt>
                <c:pt idx="41">
                  <c:v>36.226790000000001</c:v>
                </c:pt>
                <c:pt idx="42">
                  <c:v>36.528094000000003</c:v>
                </c:pt>
                <c:pt idx="43">
                  <c:v>36.828792999999997</c:v>
                </c:pt>
                <c:pt idx="44">
                  <c:v>37.128770000000003</c:v>
                </c:pt>
                <c:pt idx="45">
                  <c:v>37.427892</c:v>
                </c:pt>
                <c:pt idx="46">
                  <c:v>37.726058000000002</c:v>
                </c:pt>
                <c:pt idx="47">
                  <c:v>38.023166000000003</c:v>
                </c:pt>
                <c:pt idx="48">
                  <c:v>38.319127000000002</c:v>
                </c:pt>
              </c:numCache>
            </c:numRef>
          </c:val>
          <c:smooth val="0"/>
        </c:ser>
        <c:dLbls>
          <c:showLegendKey val="0"/>
          <c:showVal val="0"/>
          <c:showCatName val="0"/>
          <c:showSerName val="0"/>
          <c:showPercent val="0"/>
          <c:showBubbleSize val="0"/>
        </c:dLbls>
        <c:marker val="1"/>
        <c:smooth val="0"/>
        <c:axId val="117994240"/>
        <c:axId val="117996544"/>
      </c:lineChart>
      <c:catAx>
        <c:axId val="117994240"/>
        <c:scaling>
          <c:orientation val="minMax"/>
        </c:scaling>
        <c:delete val="0"/>
        <c:axPos val="b"/>
        <c:numFmt formatCode="General" sourceLinked="1"/>
        <c:majorTickMark val="out"/>
        <c:minorTickMark val="none"/>
        <c:tickLblPos val="nextTo"/>
        <c:crossAx val="117996544"/>
        <c:crosses val="autoZero"/>
        <c:auto val="1"/>
        <c:lblAlgn val="ctr"/>
        <c:lblOffset val="100"/>
        <c:tickLblSkip val="12"/>
        <c:tickMarkSkip val="11"/>
        <c:noMultiLvlLbl val="0"/>
      </c:catAx>
      <c:valAx>
        <c:axId val="117996544"/>
        <c:scaling>
          <c:orientation val="minMax"/>
          <c:max val="45"/>
          <c:min val="20"/>
        </c:scaling>
        <c:delete val="0"/>
        <c:axPos val="l"/>
        <c:majorGridlines>
          <c:spPr>
            <a:ln w="9525" cap="flat" cmpd="sng" algn="ctr">
              <a:solidFill>
                <a:srgbClr val="CDCDCD"/>
              </a:solidFill>
              <a:prstDash val="solid"/>
              <a:round/>
              <a:headEnd type="none" w="med" len="med"/>
              <a:tailEnd type="none" w="med" len="med"/>
            </a:ln>
          </c:spPr>
        </c:majorGridlines>
        <c:title>
          <c:tx>
            <c:rich>
              <a:bodyPr rot="-5400000" vert="horz"/>
              <a:lstStyle/>
              <a:p>
                <a:pPr>
                  <a:defRPr b="1"/>
                </a:pPr>
                <a:r>
                  <a:rPr lang="en-AU" b="1"/>
                  <a:t>million</a:t>
                </a:r>
              </a:p>
            </c:rich>
          </c:tx>
          <c:layout>
            <c:manualLayout>
              <c:xMode val="edge"/>
              <c:yMode val="edge"/>
              <c:x val="0"/>
              <c:y val="0.39776205543768495"/>
            </c:manualLayout>
          </c:layout>
          <c:overlay val="0"/>
        </c:title>
        <c:numFmt formatCode="#,##0" sourceLinked="0"/>
        <c:majorTickMark val="out"/>
        <c:minorTickMark val="none"/>
        <c:tickLblPos val="nextTo"/>
        <c:spPr>
          <a:ln w="9525" cap="flat" cmpd="sng" algn="ctr">
            <a:solidFill>
              <a:srgbClr val="787878"/>
            </a:solidFill>
            <a:prstDash val="solid"/>
            <a:round/>
            <a:headEnd type="none" w="med" len="med"/>
            <a:tailEnd type="none" w="med" len="med"/>
          </a:ln>
        </c:spPr>
        <c:crossAx val="117994240"/>
        <c:crosses val="autoZero"/>
        <c:crossBetween val="between"/>
      </c:valAx>
      <c:spPr>
        <a:ln w="9525" cap="flat" cmpd="sng" algn="ctr">
          <a:solidFill>
            <a:srgbClr val="787878"/>
          </a:solidFill>
          <a:prstDash val="solid"/>
          <a:round/>
          <a:headEnd type="none" w="med" len="med"/>
          <a:tailEnd type="none" w="med" len="med"/>
        </a:ln>
      </c:spPr>
    </c:plotArea>
    <c:plotVisOnly val="1"/>
    <c:dispBlanksAs val="zero"/>
    <c:showDLblsOverMax val="0"/>
  </c:chart>
  <c:spPr>
    <a:ln w="9525">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700866188769414"/>
          <c:y val="8.4371601851955649E-2"/>
          <c:w val="0.84609916367980886"/>
          <c:h val="0.73242603948297702"/>
        </c:manualLayout>
      </c:layout>
      <c:barChart>
        <c:barDir val="col"/>
        <c:grouping val="clustered"/>
        <c:varyColors val="0"/>
        <c:ser>
          <c:idx val="2"/>
          <c:order val="0"/>
          <c:tx>
            <c:strRef>
              <c:f>'PR graph'!$D$2</c:f>
              <c:strCache>
                <c:ptCount val="1"/>
                <c:pt idx="0">
                  <c:v>Males</c:v>
                </c:pt>
              </c:strCache>
            </c:strRef>
          </c:tx>
          <c:spPr>
            <a:solidFill>
              <a:srgbClr val="78A22F"/>
            </a:solidFill>
            <a:ln w="9525" cap="rnd" cmpd="sng" algn="ctr">
              <a:solidFill>
                <a:srgbClr val="78A22F"/>
              </a:solidFill>
              <a:prstDash val="solid"/>
              <a:round/>
              <a:headEnd type="none" w="med" len="med"/>
              <a:tailEnd type="none" w="med" len="med"/>
            </a:ln>
          </c:spPr>
          <c:invertIfNegative val="0"/>
          <c:cat>
            <c:strRef>
              <c:f>'PR graph'!$A$3:$A$14</c:f>
              <c:strCache>
                <c:ptCount val="12"/>
                <c:pt idx="0">
                  <c:v>15-19</c:v>
                </c:pt>
                <c:pt idx="1">
                  <c:v>20-24</c:v>
                </c:pt>
                <c:pt idx="2">
                  <c:v>25-29</c:v>
                </c:pt>
                <c:pt idx="3">
                  <c:v>30-34</c:v>
                </c:pt>
                <c:pt idx="4">
                  <c:v>35-39</c:v>
                </c:pt>
                <c:pt idx="5">
                  <c:v>40-44</c:v>
                </c:pt>
                <c:pt idx="6">
                  <c:v>45-49</c:v>
                </c:pt>
                <c:pt idx="7">
                  <c:v>50-54</c:v>
                </c:pt>
                <c:pt idx="8">
                  <c:v>55-59</c:v>
                </c:pt>
                <c:pt idx="9">
                  <c:v>60-64</c:v>
                </c:pt>
                <c:pt idx="10">
                  <c:v>65-69</c:v>
                </c:pt>
                <c:pt idx="11">
                  <c:v>70+</c:v>
                </c:pt>
              </c:strCache>
            </c:strRef>
          </c:cat>
          <c:val>
            <c:numRef>
              <c:f>'PR graph'!$D$3:$D$14</c:f>
              <c:numCache>
                <c:formatCode>0.00</c:formatCode>
                <c:ptCount val="12"/>
                <c:pt idx="0">
                  <c:v>52.814937160233214</c:v>
                </c:pt>
                <c:pt idx="1">
                  <c:v>82.145306346376159</c:v>
                </c:pt>
                <c:pt idx="2">
                  <c:v>89.918823417056629</c:v>
                </c:pt>
                <c:pt idx="3">
                  <c:v>92.11922407159922</c:v>
                </c:pt>
                <c:pt idx="4">
                  <c:v>91.647566760833627</c:v>
                </c:pt>
                <c:pt idx="5">
                  <c:v>90.604615133724721</c:v>
                </c:pt>
                <c:pt idx="6">
                  <c:v>89.408864320079914</c:v>
                </c:pt>
                <c:pt idx="7">
                  <c:v>87.004376367614881</c:v>
                </c:pt>
                <c:pt idx="8">
                  <c:v>80.539520155888439</c:v>
                </c:pt>
                <c:pt idx="9">
                  <c:v>63.196002310492595</c:v>
                </c:pt>
                <c:pt idx="10">
                  <c:v>33.541091762616176</c:v>
                </c:pt>
                <c:pt idx="11">
                  <c:v>8.2142530949791173</c:v>
                </c:pt>
              </c:numCache>
            </c:numRef>
          </c:val>
        </c:ser>
        <c:ser>
          <c:idx val="3"/>
          <c:order val="1"/>
          <c:tx>
            <c:strRef>
              <c:f>'PR graph'!$E$2</c:f>
              <c:strCache>
                <c:ptCount val="1"/>
                <c:pt idx="0">
                  <c:v>Females</c:v>
                </c:pt>
              </c:strCache>
            </c:strRef>
          </c:tx>
          <c:spPr>
            <a:solidFill>
              <a:srgbClr val="39580D"/>
            </a:solidFill>
            <a:ln w="6350" cap="rnd" cmpd="sng" algn="ctr">
              <a:solidFill>
                <a:schemeClr val="tx1"/>
              </a:solidFill>
              <a:prstDash val="solid"/>
              <a:round/>
              <a:headEnd type="none" w="med" len="med"/>
              <a:tailEnd type="none" w="med" len="med"/>
            </a:ln>
          </c:spPr>
          <c:invertIfNegative val="0"/>
          <c:cat>
            <c:strRef>
              <c:f>'PR graph'!$A$3:$A$14</c:f>
              <c:strCache>
                <c:ptCount val="12"/>
                <c:pt idx="0">
                  <c:v>15-19</c:v>
                </c:pt>
                <c:pt idx="1">
                  <c:v>20-24</c:v>
                </c:pt>
                <c:pt idx="2">
                  <c:v>25-29</c:v>
                </c:pt>
                <c:pt idx="3">
                  <c:v>30-34</c:v>
                </c:pt>
                <c:pt idx="4">
                  <c:v>35-39</c:v>
                </c:pt>
                <c:pt idx="5">
                  <c:v>40-44</c:v>
                </c:pt>
                <c:pt idx="6">
                  <c:v>45-49</c:v>
                </c:pt>
                <c:pt idx="7">
                  <c:v>50-54</c:v>
                </c:pt>
                <c:pt idx="8">
                  <c:v>55-59</c:v>
                </c:pt>
                <c:pt idx="9">
                  <c:v>60-64</c:v>
                </c:pt>
                <c:pt idx="10">
                  <c:v>65-69</c:v>
                </c:pt>
                <c:pt idx="11">
                  <c:v>70+</c:v>
                </c:pt>
              </c:strCache>
            </c:strRef>
          </c:cat>
          <c:val>
            <c:numRef>
              <c:f>'PR graph'!$E$3:$E$14</c:f>
              <c:numCache>
                <c:formatCode>0.00</c:formatCode>
                <c:ptCount val="12"/>
                <c:pt idx="0">
                  <c:v>56.499235113467762</c:v>
                </c:pt>
                <c:pt idx="1">
                  <c:v>74.907220921554398</c:v>
                </c:pt>
                <c:pt idx="2">
                  <c:v>75.61507955840942</c:v>
                </c:pt>
                <c:pt idx="3">
                  <c:v>72.724324543446102</c:v>
                </c:pt>
                <c:pt idx="4">
                  <c:v>73.697754622061439</c:v>
                </c:pt>
                <c:pt idx="5">
                  <c:v>78.086472132653171</c:v>
                </c:pt>
                <c:pt idx="6">
                  <c:v>78.29211853652815</c:v>
                </c:pt>
                <c:pt idx="7">
                  <c:v>76.737436344499841</c:v>
                </c:pt>
                <c:pt idx="8">
                  <c:v>65.488336899849855</c:v>
                </c:pt>
                <c:pt idx="9">
                  <c:v>45.255101372160986</c:v>
                </c:pt>
                <c:pt idx="10">
                  <c:v>20.063783447417553</c:v>
                </c:pt>
                <c:pt idx="11">
                  <c:v>2.9166582700226371</c:v>
                </c:pt>
              </c:numCache>
            </c:numRef>
          </c:val>
        </c:ser>
        <c:dLbls>
          <c:showLegendKey val="0"/>
          <c:showVal val="0"/>
          <c:showCatName val="0"/>
          <c:showSerName val="0"/>
          <c:showPercent val="0"/>
          <c:showBubbleSize val="0"/>
        </c:dLbls>
        <c:gapWidth val="0"/>
        <c:overlap val="-1"/>
        <c:axId val="321412480"/>
        <c:axId val="321491328"/>
      </c:barChart>
      <c:catAx>
        <c:axId val="321412480"/>
        <c:scaling>
          <c:orientation val="minMax"/>
        </c:scaling>
        <c:delete val="0"/>
        <c:axPos val="b"/>
        <c:majorTickMark val="out"/>
        <c:minorTickMark val="none"/>
        <c:tickLblPos val="nextTo"/>
        <c:txPr>
          <a:bodyPr rot="-5400000" vert="horz"/>
          <a:lstStyle/>
          <a:p>
            <a:pPr>
              <a:defRPr sz="900"/>
            </a:pPr>
            <a:endParaRPr lang="en-US"/>
          </a:p>
        </c:txPr>
        <c:crossAx val="321491328"/>
        <c:crosses val="autoZero"/>
        <c:auto val="1"/>
        <c:lblAlgn val="ctr"/>
        <c:lblOffset val="100"/>
        <c:noMultiLvlLbl val="0"/>
      </c:catAx>
      <c:valAx>
        <c:axId val="321491328"/>
        <c:scaling>
          <c:orientation val="minMax"/>
          <c:max val="100"/>
        </c:scaling>
        <c:delete val="0"/>
        <c:axPos val="l"/>
        <c:majorGridlines>
          <c:spPr>
            <a:ln w="6350"/>
          </c:spPr>
        </c:majorGridlines>
        <c:numFmt formatCode="0" sourceLinked="0"/>
        <c:majorTickMark val="out"/>
        <c:minorTickMark val="none"/>
        <c:tickLblPos val="nextTo"/>
        <c:spPr>
          <a:ln w="9525" cap="flat" cmpd="sng" algn="ctr">
            <a:solidFill>
              <a:srgbClr val="CDCDCD"/>
            </a:solidFill>
            <a:prstDash val="solid"/>
            <a:round/>
            <a:headEnd type="none" w="med" len="med"/>
            <a:tailEnd type="none" w="med" len="med"/>
          </a:ln>
        </c:spPr>
        <c:crossAx val="321412480"/>
        <c:crosses val="autoZero"/>
        <c:crossBetween val="between"/>
        <c:majorUnit val="20"/>
      </c:valAx>
      <c:spPr>
        <a:ln w="9525" cap="flat" cmpd="sng" algn="ctr">
          <a:solidFill>
            <a:srgbClr val="787878"/>
          </a:solidFill>
          <a:prstDash val="solid"/>
          <a:round/>
          <a:headEnd type="none" w="med" len="med"/>
          <a:tailEnd type="none" w="med" len="med"/>
        </a:ln>
      </c:spPr>
    </c:plotArea>
    <c:plotVisOnly val="1"/>
    <c:dispBlanksAs val="gap"/>
    <c:showDLblsOverMax val="0"/>
  </c:chart>
  <c:spPr>
    <a:solidFill>
      <a:schemeClr val="bg1"/>
    </a:solidFill>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223638481653875E-2"/>
          <c:y val="4.3456769846165526E-2"/>
          <c:w val="0.83913087248322149"/>
          <c:h val="0.86286729447234245"/>
        </c:manualLayout>
      </c:layout>
      <c:lineChart>
        <c:grouping val="standard"/>
        <c:varyColors val="0"/>
        <c:ser>
          <c:idx val="1"/>
          <c:order val="0"/>
          <c:tx>
            <c:strRef>
              <c:f>'Ageing and PRs'!$B$1</c:f>
              <c:strCache>
                <c:ptCount val="1"/>
                <c:pt idx="0">
                  <c:v>PR historical</c:v>
                </c:pt>
              </c:strCache>
            </c:strRef>
          </c:tx>
          <c:spPr>
            <a:ln w="22225" cap="rnd" cmpd="sng" algn="ctr">
              <a:solidFill>
                <a:srgbClr val="78A22F"/>
              </a:solidFill>
              <a:prstDash val="solid"/>
              <a:round/>
              <a:headEnd type="none" w="med" len="med"/>
              <a:tailEnd type="none" w="med" len="med"/>
            </a:ln>
          </c:spPr>
          <c:marker>
            <c:symbol val="none"/>
          </c:marker>
          <c:cat>
            <c:numRef>
              <c:f>'Ageing and PRs'!$A$2:$A$83</c:f>
              <c:numCache>
                <c:formatCode>General</c:formatCode>
                <c:ptCount val="82"/>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pt idx="34">
                  <c:v>2013</c:v>
                </c:pt>
                <c:pt idx="35">
                  <c:v>2014</c:v>
                </c:pt>
                <c:pt idx="36">
                  <c:v>2015</c:v>
                </c:pt>
                <c:pt idx="37">
                  <c:v>2016</c:v>
                </c:pt>
                <c:pt idx="38">
                  <c:v>2017</c:v>
                </c:pt>
                <c:pt idx="39">
                  <c:v>2018</c:v>
                </c:pt>
                <c:pt idx="40">
                  <c:v>2019</c:v>
                </c:pt>
                <c:pt idx="41">
                  <c:v>2020</c:v>
                </c:pt>
                <c:pt idx="42">
                  <c:v>2021</c:v>
                </c:pt>
                <c:pt idx="43">
                  <c:v>2022</c:v>
                </c:pt>
                <c:pt idx="44">
                  <c:v>2023</c:v>
                </c:pt>
                <c:pt idx="45">
                  <c:v>2024</c:v>
                </c:pt>
                <c:pt idx="46">
                  <c:v>2025</c:v>
                </c:pt>
                <c:pt idx="47">
                  <c:v>2026</c:v>
                </c:pt>
                <c:pt idx="48">
                  <c:v>2027</c:v>
                </c:pt>
                <c:pt idx="49">
                  <c:v>2028</c:v>
                </c:pt>
                <c:pt idx="50">
                  <c:v>2029</c:v>
                </c:pt>
                <c:pt idx="51">
                  <c:v>2030</c:v>
                </c:pt>
                <c:pt idx="52">
                  <c:v>2031</c:v>
                </c:pt>
                <c:pt idx="53">
                  <c:v>2032</c:v>
                </c:pt>
                <c:pt idx="54">
                  <c:v>2033</c:v>
                </c:pt>
                <c:pt idx="55">
                  <c:v>2034</c:v>
                </c:pt>
                <c:pt idx="56">
                  <c:v>2035</c:v>
                </c:pt>
                <c:pt idx="57">
                  <c:v>2036</c:v>
                </c:pt>
                <c:pt idx="58">
                  <c:v>2037</c:v>
                </c:pt>
                <c:pt idx="59">
                  <c:v>2038</c:v>
                </c:pt>
                <c:pt idx="60">
                  <c:v>2039</c:v>
                </c:pt>
                <c:pt idx="61">
                  <c:v>2040</c:v>
                </c:pt>
                <c:pt idx="62">
                  <c:v>2041</c:v>
                </c:pt>
                <c:pt idx="63">
                  <c:v>2042</c:v>
                </c:pt>
                <c:pt idx="64">
                  <c:v>2043</c:v>
                </c:pt>
                <c:pt idx="65">
                  <c:v>2044</c:v>
                </c:pt>
                <c:pt idx="66">
                  <c:v>2045</c:v>
                </c:pt>
                <c:pt idx="67">
                  <c:v>2046</c:v>
                </c:pt>
                <c:pt idx="68">
                  <c:v>2047</c:v>
                </c:pt>
                <c:pt idx="69">
                  <c:v>2048</c:v>
                </c:pt>
                <c:pt idx="70">
                  <c:v>2049</c:v>
                </c:pt>
                <c:pt idx="71">
                  <c:v>2050</c:v>
                </c:pt>
                <c:pt idx="72">
                  <c:v>2051</c:v>
                </c:pt>
                <c:pt idx="73">
                  <c:v>2052</c:v>
                </c:pt>
                <c:pt idx="74">
                  <c:v>2053</c:v>
                </c:pt>
                <c:pt idx="75">
                  <c:v>2054</c:v>
                </c:pt>
                <c:pt idx="76">
                  <c:v>2055</c:v>
                </c:pt>
                <c:pt idx="77">
                  <c:v>2056</c:v>
                </c:pt>
                <c:pt idx="78">
                  <c:v>2057</c:v>
                </c:pt>
                <c:pt idx="79">
                  <c:v>2058</c:v>
                </c:pt>
                <c:pt idx="80">
                  <c:v>2059</c:v>
                </c:pt>
                <c:pt idx="81">
                  <c:v>2060</c:v>
                </c:pt>
              </c:numCache>
            </c:numRef>
          </c:cat>
          <c:val>
            <c:numRef>
              <c:f>'Ageing and PRs'!$B$2:$B$83</c:f>
              <c:numCache>
                <c:formatCode>General</c:formatCode>
                <c:ptCount val="82"/>
                <c:pt idx="0">
                  <c:v>60.748564745657042</c:v>
                </c:pt>
                <c:pt idx="1">
                  <c:v>60.994635786373998</c:v>
                </c:pt>
                <c:pt idx="2">
                  <c:v>61.278345498047948</c:v>
                </c:pt>
                <c:pt idx="3">
                  <c:v>60.979049869839073</c:v>
                </c:pt>
                <c:pt idx="4">
                  <c:v>60.605448762876193</c:v>
                </c:pt>
                <c:pt idx="5">
                  <c:v>60.506704069242303</c:v>
                </c:pt>
                <c:pt idx="6">
                  <c:v>60.53433943013232</c:v>
                </c:pt>
                <c:pt idx="7">
                  <c:v>61.429060176667704</c:v>
                </c:pt>
                <c:pt idx="8">
                  <c:v>61.977666045232858</c:v>
                </c:pt>
                <c:pt idx="9">
                  <c:v>62.175475433676397</c:v>
                </c:pt>
                <c:pt idx="10">
                  <c:v>62.619858426161159</c:v>
                </c:pt>
                <c:pt idx="11">
                  <c:v>63.514164001423133</c:v>
                </c:pt>
                <c:pt idx="12">
                  <c:v>63.637839799200954</c:v>
                </c:pt>
                <c:pt idx="13">
                  <c:v>62.970453415601881</c:v>
                </c:pt>
                <c:pt idx="14">
                  <c:v>62.627874688739603</c:v>
                </c:pt>
                <c:pt idx="15">
                  <c:v>62.771178625845828</c:v>
                </c:pt>
                <c:pt idx="16">
                  <c:v>63.330258932638536</c:v>
                </c:pt>
                <c:pt idx="17">
                  <c:v>63.65081556876838</c:v>
                </c:pt>
                <c:pt idx="18">
                  <c:v>63.457935412609622</c:v>
                </c:pt>
                <c:pt idx="19">
                  <c:v>63.125157335275986</c:v>
                </c:pt>
                <c:pt idx="20">
                  <c:v>63.085409795264916</c:v>
                </c:pt>
                <c:pt idx="21">
                  <c:v>63.124633310046171</c:v>
                </c:pt>
                <c:pt idx="22">
                  <c:v>63.369249579703499</c:v>
                </c:pt>
                <c:pt idx="23">
                  <c:v>63.350864108907167</c:v>
                </c:pt>
                <c:pt idx="24">
                  <c:v>63.59919347880291</c:v>
                </c:pt>
                <c:pt idx="25">
                  <c:v>63.398022496011919</c:v>
                </c:pt>
                <c:pt idx="26">
                  <c:v>63.942382812500007</c:v>
                </c:pt>
                <c:pt idx="27">
                  <c:v>64.569334672923702</c:v>
                </c:pt>
                <c:pt idx="28">
                  <c:v>65.042324274558055</c:v>
                </c:pt>
                <c:pt idx="29">
                  <c:v>65.473656258343908</c:v>
                </c:pt>
                <c:pt idx="30">
                  <c:v>65.569967615638419</c:v>
                </c:pt>
                <c:pt idx="31">
                  <c:v>65.326641127429511</c:v>
                </c:pt>
                <c:pt idx="32">
                  <c:v>65.626979282232284</c:v>
                </c:pt>
                <c:pt idx="33">
                  <c:v>65.383589568165291</c:v>
                </c:pt>
                <c:pt idx="34">
                  <c:v>65.215056743233262</c:v>
                </c:pt>
              </c:numCache>
            </c:numRef>
          </c:val>
          <c:smooth val="0"/>
        </c:ser>
        <c:ser>
          <c:idx val="3"/>
          <c:order val="1"/>
          <c:tx>
            <c:strRef>
              <c:f>'Ageing and PRs'!$C$1</c:f>
              <c:strCache>
                <c:ptCount val="1"/>
                <c:pt idx="0">
                  <c:v>Projected PR</c:v>
                </c:pt>
              </c:strCache>
            </c:strRef>
          </c:tx>
          <c:spPr>
            <a:ln w="19050" cap="rnd" cmpd="sng" algn="ctr">
              <a:solidFill>
                <a:srgbClr val="78A22F"/>
              </a:solidFill>
              <a:prstDash val="dash"/>
              <a:round/>
              <a:headEnd type="none" w="med" len="med"/>
              <a:tailEnd type="none" w="med" len="med"/>
            </a:ln>
          </c:spPr>
          <c:marker>
            <c:symbol val="none"/>
          </c:marker>
          <c:cat>
            <c:numRef>
              <c:f>'Ageing and PRs'!$A$2:$A$83</c:f>
              <c:numCache>
                <c:formatCode>General</c:formatCode>
                <c:ptCount val="82"/>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pt idx="34">
                  <c:v>2013</c:v>
                </c:pt>
                <c:pt idx="35">
                  <c:v>2014</c:v>
                </c:pt>
                <c:pt idx="36">
                  <c:v>2015</c:v>
                </c:pt>
                <c:pt idx="37">
                  <c:v>2016</c:v>
                </c:pt>
                <c:pt idx="38">
                  <c:v>2017</c:v>
                </c:pt>
                <c:pt idx="39">
                  <c:v>2018</c:v>
                </c:pt>
                <c:pt idx="40">
                  <c:v>2019</c:v>
                </c:pt>
                <c:pt idx="41">
                  <c:v>2020</c:v>
                </c:pt>
                <c:pt idx="42">
                  <c:v>2021</c:v>
                </c:pt>
                <c:pt idx="43">
                  <c:v>2022</c:v>
                </c:pt>
                <c:pt idx="44">
                  <c:v>2023</c:v>
                </c:pt>
                <c:pt idx="45">
                  <c:v>2024</c:v>
                </c:pt>
                <c:pt idx="46">
                  <c:v>2025</c:v>
                </c:pt>
                <c:pt idx="47">
                  <c:v>2026</c:v>
                </c:pt>
                <c:pt idx="48">
                  <c:v>2027</c:v>
                </c:pt>
                <c:pt idx="49">
                  <c:v>2028</c:v>
                </c:pt>
                <c:pt idx="50">
                  <c:v>2029</c:v>
                </c:pt>
                <c:pt idx="51">
                  <c:v>2030</c:v>
                </c:pt>
                <c:pt idx="52">
                  <c:v>2031</c:v>
                </c:pt>
                <c:pt idx="53">
                  <c:v>2032</c:v>
                </c:pt>
                <c:pt idx="54">
                  <c:v>2033</c:v>
                </c:pt>
                <c:pt idx="55">
                  <c:v>2034</c:v>
                </c:pt>
                <c:pt idx="56">
                  <c:v>2035</c:v>
                </c:pt>
                <c:pt idx="57">
                  <c:v>2036</c:v>
                </c:pt>
                <c:pt idx="58">
                  <c:v>2037</c:v>
                </c:pt>
                <c:pt idx="59">
                  <c:v>2038</c:v>
                </c:pt>
                <c:pt idx="60">
                  <c:v>2039</c:v>
                </c:pt>
                <c:pt idx="61">
                  <c:v>2040</c:v>
                </c:pt>
                <c:pt idx="62">
                  <c:v>2041</c:v>
                </c:pt>
                <c:pt idx="63">
                  <c:v>2042</c:v>
                </c:pt>
                <c:pt idx="64">
                  <c:v>2043</c:v>
                </c:pt>
                <c:pt idx="65">
                  <c:v>2044</c:v>
                </c:pt>
                <c:pt idx="66">
                  <c:v>2045</c:v>
                </c:pt>
                <c:pt idx="67">
                  <c:v>2046</c:v>
                </c:pt>
                <c:pt idx="68">
                  <c:v>2047</c:v>
                </c:pt>
                <c:pt idx="69">
                  <c:v>2048</c:v>
                </c:pt>
                <c:pt idx="70">
                  <c:v>2049</c:v>
                </c:pt>
                <c:pt idx="71">
                  <c:v>2050</c:v>
                </c:pt>
                <c:pt idx="72">
                  <c:v>2051</c:v>
                </c:pt>
                <c:pt idx="73">
                  <c:v>2052</c:v>
                </c:pt>
                <c:pt idx="74">
                  <c:v>2053</c:v>
                </c:pt>
                <c:pt idx="75">
                  <c:v>2054</c:v>
                </c:pt>
                <c:pt idx="76">
                  <c:v>2055</c:v>
                </c:pt>
                <c:pt idx="77">
                  <c:v>2056</c:v>
                </c:pt>
                <c:pt idx="78">
                  <c:v>2057</c:v>
                </c:pt>
                <c:pt idx="79">
                  <c:v>2058</c:v>
                </c:pt>
                <c:pt idx="80">
                  <c:v>2059</c:v>
                </c:pt>
                <c:pt idx="81">
                  <c:v>2060</c:v>
                </c:pt>
              </c:numCache>
            </c:numRef>
          </c:cat>
          <c:val>
            <c:numRef>
              <c:f>'Ageing and PRs'!$C$2:$C$83</c:f>
              <c:numCache>
                <c:formatCode>General</c:formatCode>
                <c:ptCount val="82"/>
                <c:pt idx="34">
                  <c:v>65.215056743233262</c:v>
                </c:pt>
                <c:pt idx="35">
                  <c:v>65.789485906759495</c:v>
                </c:pt>
                <c:pt idx="36">
                  <c:v>65.913973950064971</c:v>
                </c:pt>
                <c:pt idx="37">
                  <c:v>65.990460357907423</c:v>
                </c:pt>
                <c:pt idx="38">
                  <c:v>66.004849768794983</c:v>
                </c:pt>
                <c:pt idx="39">
                  <c:v>65.968816531995842</c:v>
                </c:pt>
                <c:pt idx="40">
                  <c:v>65.910825381464051</c:v>
                </c:pt>
                <c:pt idx="41">
                  <c:v>65.829662368341133</c:v>
                </c:pt>
                <c:pt idx="42">
                  <c:v>65.716388473694437</c:v>
                </c:pt>
                <c:pt idx="43">
                  <c:v>65.578277308470646</c:v>
                </c:pt>
                <c:pt idx="44">
                  <c:v>65.421193290043959</c:v>
                </c:pt>
                <c:pt idx="45">
                  <c:v>65.24885850852958</c:v>
                </c:pt>
                <c:pt idx="46">
                  <c:v>65.070419614280766</c:v>
                </c:pt>
                <c:pt idx="47">
                  <c:v>64.884367650607786</c:v>
                </c:pt>
                <c:pt idx="48">
                  <c:v>64.691755987154636</c:v>
                </c:pt>
                <c:pt idx="49">
                  <c:v>64.498434814120984</c:v>
                </c:pt>
                <c:pt idx="50">
                  <c:v>64.3052575350669</c:v>
                </c:pt>
                <c:pt idx="51">
                  <c:v>64.119564001256819</c:v>
                </c:pt>
                <c:pt idx="52">
                  <c:v>63.935463499900912</c:v>
                </c:pt>
                <c:pt idx="53">
                  <c:v>63.751657953650998</c:v>
                </c:pt>
                <c:pt idx="54">
                  <c:v>63.579230567618893</c:v>
                </c:pt>
                <c:pt idx="55">
                  <c:v>63.4144136943926</c:v>
                </c:pt>
                <c:pt idx="56">
                  <c:v>63.260502266972928</c:v>
                </c:pt>
                <c:pt idx="57">
                  <c:v>63.111013596632951</c:v>
                </c:pt>
                <c:pt idx="58">
                  <c:v>62.96409634182892</c:v>
                </c:pt>
                <c:pt idx="59">
                  <c:v>62.830159871038063</c:v>
                </c:pt>
                <c:pt idx="60">
                  <c:v>62.702939847181582</c:v>
                </c:pt>
                <c:pt idx="61">
                  <c:v>62.579125273012295</c:v>
                </c:pt>
                <c:pt idx="62">
                  <c:v>62.451806708721733</c:v>
                </c:pt>
                <c:pt idx="63">
                  <c:v>62.322090403640729</c:v>
                </c:pt>
                <c:pt idx="64">
                  <c:v>62.202209837643473</c:v>
                </c:pt>
                <c:pt idx="65">
                  <c:v>62.090091703439377</c:v>
                </c:pt>
                <c:pt idx="66">
                  <c:v>61.980217681792446</c:v>
                </c:pt>
                <c:pt idx="67">
                  <c:v>61.867975969325393</c:v>
                </c:pt>
                <c:pt idx="68">
                  <c:v>61.752078322525648</c:v>
                </c:pt>
                <c:pt idx="69">
                  <c:v>61.630147962851311</c:v>
                </c:pt>
                <c:pt idx="70">
                  <c:v>61.500678812303974</c:v>
                </c:pt>
                <c:pt idx="71">
                  <c:v>61.363954642325794</c:v>
                </c:pt>
                <c:pt idx="72">
                  <c:v>61.220287572042331</c:v>
                </c:pt>
                <c:pt idx="73">
                  <c:v>61.075404440641769</c:v>
                </c:pt>
                <c:pt idx="74">
                  <c:v>60.928390101057971</c:v>
                </c:pt>
                <c:pt idx="75">
                  <c:v>60.777491013038542</c:v>
                </c:pt>
                <c:pt idx="76">
                  <c:v>60.623011318517918</c:v>
                </c:pt>
                <c:pt idx="77">
                  <c:v>60.472292392439627</c:v>
                </c:pt>
                <c:pt idx="78">
                  <c:v>60.334372819211268</c:v>
                </c:pt>
                <c:pt idx="79">
                  <c:v>60.204621704639493</c:v>
                </c:pt>
                <c:pt idx="80">
                  <c:v>60.077154331806383</c:v>
                </c:pt>
                <c:pt idx="81">
                  <c:v>59.948899833070591</c:v>
                </c:pt>
              </c:numCache>
            </c:numRef>
          </c:val>
          <c:smooth val="0"/>
        </c:ser>
        <c:ser>
          <c:idx val="2"/>
          <c:order val="2"/>
          <c:tx>
            <c:strRef>
              <c:f>'Ageing and PRs'!$D$1</c:f>
              <c:strCache>
                <c:ptCount val="1"/>
                <c:pt idx="0">
                  <c:v>PR without ageing</c:v>
                </c:pt>
              </c:strCache>
            </c:strRef>
          </c:tx>
          <c:spPr>
            <a:ln w="19050" cap="rnd" cmpd="sng" algn="ctr">
              <a:solidFill>
                <a:schemeClr val="tx1"/>
              </a:solidFill>
              <a:prstDash val="dash"/>
              <a:round/>
              <a:headEnd type="none" w="med" len="med"/>
              <a:tailEnd type="none" w="med" len="med"/>
            </a:ln>
          </c:spPr>
          <c:marker>
            <c:symbol val="none"/>
          </c:marker>
          <c:cat>
            <c:numRef>
              <c:f>'Ageing and PRs'!$A$2:$A$83</c:f>
              <c:numCache>
                <c:formatCode>General</c:formatCode>
                <c:ptCount val="82"/>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pt idx="34">
                  <c:v>2013</c:v>
                </c:pt>
                <c:pt idx="35">
                  <c:v>2014</c:v>
                </c:pt>
                <c:pt idx="36">
                  <c:v>2015</c:v>
                </c:pt>
                <c:pt idx="37">
                  <c:v>2016</c:v>
                </c:pt>
                <c:pt idx="38">
                  <c:v>2017</c:v>
                </c:pt>
                <c:pt idx="39">
                  <c:v>2018</c:v>
                </c:pt>
                <c:pt idx="40">
                  <c:v>2019</c:v>
                </c:pt>
                <c:pt idx="41">
                  <c:v>2020</c:v>
                </c:pt>
                <c:pt idx="42">
                  <c:v>2021</c:v>
                </c:pt>
                <c:pt idx="43">
                  <c:v>2022</c:v>
                </c:pt>
                <c:pt idx="44">
                  <c:v>2023</c:v>
                </c:pt>
                <c:pt idx="45">
                  <c:v>2024</c:v>
                </c:pt>
                <c:pt idx="46">
                  <c:v>2025</c:v>
                </c:pt>
                <c:pt idx="47">
                  <c:v>2026</c:v>
                </c:pt>
                <c:pt idx="48">
                  <c:v>2027</c:v>
                </c:pt>
                <c:pt idx="49">
                  <c:v>2028</c:v>
                </c:pt>
                <c:pt idx="50">
                  <c:v>2029</c:v>
                </c:pt>
                <c:pt idx="51">
                  <c:v>2030</c:v>
                </c:pt>
                <c:pt idx="52">
                  <c:v>2031</c:v>
                </c:pt>
                <c:pt idx="53">
                  <c:v>2032</c:v>
                </c:pt>
                <c:pt idx="54">
                  <c:v>2033</c:v>
                </c:pt>
                <c:pt idx="55">
                  <c:v>2034</c:v>
                </c:pt>
                <c:pt idx="56">
                  <c:v>2035</c:v>
                </c:pt>
                <c:pt idx="57">
                  <c:v>2036</c:v>
                </c:pt>
                <c:pt idx="58">
                  <c:v>2037</c:v>
                </c:pt>
                <c:pt idx="59">
                  <c:v>2038</c:v>
                </c:pt>
                <c:pt idx="60">
                  <c:v>2039</c:v>
                </c:pt>
                <c:pt idx="61">
                  <c:v>2040</c:v>
                </c:pt>
                <c:pt idx="62">
                  <c:v>2041</c:v>
                </c:pt>
                <c:pt idx="63">
                  <c:v>2042</c:v>
                </c:pt>
                <c:pt idx="64">
                  <c:v>2043</c:v>
                </c:pt>
                <c:pt idx="65">
                  <c:v>2044</c:v>
                </c:pt>
                <c:pt idx="66">
                  <c:v>2045</c:v>
                </c:pt>
                <c:pt idx="67">
                  <c:v>2046</c:v>
                </c:pt>
                <c:pt idx="68">
                  <c:v>2047</c:v>
                </c:pt>
                <c:pt idx="69">
                  <c:v>2048</c:v>
                </c:pt>
                <c:pt idx="70">
                  <c:v>2049</c:v>
                </c:pt>
                <c:pt idx="71">
                  <c:v>2050</c:v>
                </c:pt>
                <c:pt idx="72">
                  <c:v>2051</c:v>
                </c:pt>
                <c:pt idx="73">
                  <c:v>2052</c:v>
                </c:pt>
                <c:pt idx="74">
                  <c:v>2053</c:v>
                </c:pt>
                <c:pt idx="75">
                  <c:v>2054</c:v>
                </c:pt>
                <c:pt idx="76">
                  <c:v>2055</c:v>
                </c:pt>
                <c:pt idx="77">
                  <c:v>2056</c:v>
                </c:pt>
                <c:pt idx="78">
                  <c:v>2057</c:v>
                </c:pt>
                <c:pt idx="79">
                  <c:v>2058</c:v>
                </c:pt>
                <c:pt idx="80">
                  <c:v>2059</c:v>
                </c:pt>
                <c:pt idx="81">
                  <c:v>2060</c:v>
                </c:pt>
              </c:numCache>
            </c:numRef>
          </c:cat>
          <c:val>
            <c:numRef>
              <c:f>'Ageing and PRs'!$D$2:$D$83</c:f>
              <c:numCache>
                <c:formatCode>General</c:formatCode>
                <c:ptCount val="82"/>
                <c:pt idx="34">
                  <c:v>65.215056743233262</c:v>
                </c:pt>
                <c:pt idx="35">
                  <c:v>65.980384397556918</c:v>
                </c:pt>
                <c:pt idx="36">
                  <c:v>66.299970470257435</c:v>
                </c:pt>
                <c:pt idx="37">
                  <c:v>66.583660392651211</c:v>
                </c:pt>
                <c:pt idx="38">
                  <c:v>66.83367259173184</c:v>
                </c:pt>
                <c:pt idx="39">
                  <c:v>67.051939503768267</c:v>
                </c:pt>
                <c:pt idx="40">
                  <c:v>67.241165273178936</c:v>
                </c:pt>
                <c:pt idx="41">
                  <c:v>67.404509145651303</c:v>
                </c:pt>
                <c:pt idx="42">
                  <c:v>67.545135874177817</c:v>
                </c:pt>
                <c:pt idx="43">
                  <c:v>67.665988819258232</c:v>
                </c:pt>
                <c:pt idx="44">
                  <c:v>67.769714795669387</c:v>
                </c:pt>
                <c:pt idx="45">
                  <c:v>67.85865280133973</c:v>
                </c:pt>
                <c:pt idx="46">
                  <c:v>67.93484094947577</c:v>
                </c:pt>
                <c:pt idx="47">
                  <c:v>68.000021997368137</c:v>
                </c:pt>
                <c:pt idx="48">
                  <c:v>68.055646351009045</c:v>
                </c:pt>
                <c:pt idx="49">
                  <c:v>68.102905721349188</c:v>
                </c:pt>
                <c:pt idx="50">
                  <c:v>68.142851732136506</c:v>
                </c:pt>
                <c:pt idx="51">
                  <c:v>68.176530451714584</c:v>
                </c:pt>
                <c:pt idx="52">
                  <c:v>68.204962307690025</c:v>
                </c:pt>
                <c:pt idx="53">
                  <c:v>68.229034937836119</c:v>
                </c:pt>
                <c:pt idx="54">
                  <c:v>68.249468319716811</c:v>
                </c:pt>
                <c:pt idx="55">
                  <c:v>68.266842242744218</c:v>
                </c:pt>
                <c:pt idx="56">
                  <c:v>68.281631286037893</c:v>
                </c:pt>
                <c:pt idx="57">
                  <c:v>68.294230017477759</c:v>
                </c:pt>
                <c:pt idx="58">
                  <c:v>68.304969683393438</c:v>
                </c:pt>
                <c:pt idx="59">
                  <c:v>68.314129837455866</c:v>
                </c:pt>
                <c:pt idx="60">
                  <c:v>68.321947046627258</c:v>
                </c:pt>
                <c:pt idx="61">
                  <c:v>68.328621786765183</c:v>
                </c:pt>
                <c:pt idx="62">
                  <c:v>68.334324091133752</c:v>
                </c:pt>
                <c:pt idx="63">
                  <c:v>68.339198256303177</c:v>
                </c:pt>
                <c:pt idx="64">
                  <c:v>68.343366798047427</c:v>
                </c:pt>
                <c:pt idx="65">
                  <c:v>68.346933784902987</c:v>
                </c:pt>
                <c:pt idx="66">
                  <c:v>68.349987658712223</c:v>
                </c:pt>
                <c:pt idx="67">
                  <c:v>68.352603619614484</c:v>
                </c:pt>
                <c:pt idx="68">
                  <c:v>68.354845639575586</c:v>
                </c:pt>
                <c:pt idx="69">
                  <c:v>68.356768169713632</c:v>
                </c:pt>
                <c:pt idx="70">
                  <c:v>68.358417579907396</c:v>
                </c:pt>
                <c:pt idx="71">
                  <c:v>68.359833383565217</c:v>
                </c:pt>
                <c:pt idx="72">
                  <c:v>68.361049268452049</c:v>
                </c:pt>
                <c:pt idx="73">
                  <c:v>68.362093971629008</c:v>
                </c:pt>
                <c:pt idx="74">
                  <c:v>68.362992023105946</c:v>
                </c:pt>
                <c:pt idx="75">
                  <c:v>68.363764369978469</c:v>
                </c:pt>
                <c:pt idx="76">
                  <c:v>68.364428913534809</c:v>
                </c:pt>
                <c:pt idx="77">
                  <c:v>68.36500095856006</c:v>
                </c:pt>
                <c:pt idx="78">
                  <c:v>68.365493597201933</c:v>
                </c:pt>
                <c:pt idx="79">
                  <c:v>68.365918035652612</c:v>
                </c:pt>
                <c:pt idx="80">
                  <c:v>68.366283869598959</c:v>
                </c:pt>
                <c:pt idx="81">
                  <c:v>68.366599322297063</c:v>
                </c:pt>
              </c:numCache>
            </c:numRef>
          </c:val>
          <c:smooth val="0"/>
        </c:ser>
        <c:dLbls>
          <c:showLegendKey val="0"/>
          <c:showVal val="0"/>
          <c:showCatName val="0"/>
          <c:showSerName val="0"/>
          <c:showPercent val="0"/>
          <c:showBubbleSize val="0"/>
        </c:dLbls>
        <c:marker val="1"/>
        <c:smooth val="0"/>
        <c:axId val="329023488"/>
        <c:axId val="329025792"/>
      </c:lineChart>
      <c:catAx>
        <c:axId val="329023488"/>
        <c:scaling>
          <c:orientation val="minMax"/>
        </c:scaling>
        <c:delete val="0"/>
        <c:axPos val="b"/>
        <c:numFmt formatCode="General" sourceLinked="1"/>
        <c:majorTickMark val="in"/>
        <c:minorTickMark val="none"/>
        <c:tickLblPos val="nextTo"/>
        <c:txPr>
          <a:bodyPr/>
          <a:lstStyle/>
          <a:p>
            <a:pPr>
              <a:defRPr sz="900"/>
            </a:pPr>
            <a:endParaRPr lang="en-US"/>
          </a:p>
        </c:txPr>
        <c:crossAx val="329025792"/>
        <c:crosses val="autoZero"/>
        <c:auto val="1"/>
        <c:lblAlgn val="ctr"/>
        <c:lblOffset val="100"/>
        <c:tickLblSkip val="20"/>
        <c:tickMarkSkip val="5"/>
        <c:noMultiLvlLbl val="0"/>
      </c:catAx>
      <c:valAx>
        <c:axId val="329025792"/>
        <c:scaling>
          <c:orientation val="minMax"/>
          <c:max val="70"/>
          <c:min val="60"/>
        </c:scaling>
        <c:delete val="0"/>
        <c:axPos val="l"/>
        <c:majorGridlines>
          <c:spPr>
            <a:ln w="6350"/>
          </c:spPr>
        </c:majorGridlines>
        <c:numFmt formatCode="#,##0" sourceLinked="0"/>
        <c:majorTickMark val="out"/>
        <c:minorTickMark val="none"/>
        <c:tickLblPos val="nextTo"/>
        <c:spPr>
          <a:ln w="9525" cap="flat" cmpd="sng" algn="ctr">
            <a:solidFill>
              <a:srgbClr val="787878"/>
            </a:solidFill>
            <a:prstDash val="solid"/>
            <a:round/>
            <a:headEnd type="none" w="med" len="med"/>
            <a:tailEnd type="none" w="med" len="med"/>
          </a:ln>
        </c:spPr>
        <c:txPr>
          <a:bodyPr/>
          <a:lstStyle/>
          <a:p>
            <a:pPr>
              <a:defRPr sz="900"/>
            </a:pPr>
            <a:endParaRPr lang="en-US"/>
          </a:p>
        </c:txPr>
        <c:crossAx val="329023488"/>
        <c:crosses val="autoZero"/>
        <c:crossBetween val="between"/>
        <c:majorUnit val="2"/>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0240645620827736E-2"/>
          <c:y val="3.7205977565088491E-2"/>
          <c:w val="0.88989562873724115"/>
          <c:h val="0.79903279106353431"/>
        </c:manualLayout>
      </c:layout>
      <c:barChart>
        <c:barDir val="col"/>
        <c:grouping val="stacked"/>
        <c:varyColors val="0"/>
        <c:ser>
          <c:idx val="0"/>
          <c:order val="0"/>
          <c:tx>
            <c:strRef>
              <c:f>Decomposition!$A$17</c:f>
              <c:strCache>
                <c:ptCount val="1"/>
                <c:pt idx="0">
                  <c:v>Participation rate</c:v>
                </c:pt>
              </c:strCache>
            </c:strRef>
          </c:tx>
          <c:spPr>
            <a:solidFill>
              <a:srgbClr val="78A22F"/>
            </a:solidFill>
          </c:spPr>
          <c:invertIfNegative val="0"/>
          <c:dPt>
            <c:idx val="0"/>
            <c:invertIfNegative val="0"/>
            <c:bubble3D val="0"/>
            <c:spPr>
              <a:solidFill>
                <a:srgbClr val="78A22F"/>
              </a:solidFill>
              <a:ln>
                <a:solidFill>
                  <a:schemeClr val="tx1"/>
                </a:solidFill>
              </a:ln>
            </c:spPr>
          </c:dPt>
          <c:dPt>
            <c:idx val="1"/>
            <c:invertIfNegative val="0"/>
            <c:bubble3D val="0"/>
            <c:spPr>
              <a:noFill/>
              <a:ln>
                <a:noFill/>
              </a:ln>
            </c:spPr>
          </c:dPt>
          <c:dPt>
            <c:idx val="2"/>
            <c:invertIfNegative val="0"/>
            <c:bubble3D val="0"/>
            <c:spPr>
              <a:noFill/>
              <a:ln>
                <a:noFill/>
              </a:ln>
            </c:spPr>
          </c:dPt>
          <c:dPt>
            <c:idx val="3"/>
            <c:invertIfNegative val="0"/>
            <c:bubble3D val="0"/>
            <c:spPr>
              <a:noFill/>
              <a:ln>
                <a:noFill/>
              </a:ln>
            </c:spPr>
          </c:dPt>
          <c:dPt>
            <c:idx val="4"/>
            <c:invertIfNegative val="0"/>
            <c:bubble3D val="0"/>
            <c:spPr>
              <a:solidFill>
                <a:srgbClr val="953735"/>
              </a:solidFill>
              <a:ln w="22225" cap="flat" cmpd="sng" algn="ctr">
                <a:solidFill>
                  <a:srgbClr val="953735"/>
                </a:solidFill>
                <a:prstDash val="solid"/>
                <a:round/>
                <a:headEnd type="none" w="med" len="med"/>
                <a:tailEnd type="none" w="med" len="med"/>
              </a:ln>
            </c:spPr>
          </c:dPt>
          <c:dLbls>
            <c:dLbl>
              <c:idx val="0"/>
              <c:layout/>
              <c:showLegendKey val="0"/>
              <c:showVal val="1"/>
              <c:showCatName val="0"/>
              <c:showSerName val="0"/>
              <c:showPercent val="0"/>
              <c:showBubbleSize val="0"/>
            </c:dLbl>
            <c:dLbl>
              <c:idx val="4"/>
              <c:layout/>
              <c:showLegendKey val="0"/>
              <c:showVal val="1"/>
              <c:showCatName val="0"/>
              <c:showSerName val="0"/>
              <c:showPercent val="0"/>
              <c:showBubbleSize val="0"/>
            </c:dLbl>
            <c:txPr>
              <a:bodyPr/>
              <a:lstStyle/>
              <a:p>
                <a:pPr>
                  <a:defRPr sz="1100" b="1">
                    <a:solidFill>
                      <a:schemeClr val="bg1"/>
                    </a:solidFill>
                  </a:defRPr>
                </a:pPr>
                <a:endParaRPr lang="en-US"/>
              </a:p>
            </c:txPr>
            <c:showLegendKey val="0"/>
            <c:showVal val="0"/>
            <c:showCatName val="0"/>
            <c:showSerName val="0"/>
            <c:showPercent val="0"/>
            <c:showBubbleSize val="0"/>
          </c:dLbls>
          <c:cat>
            <c:strRef>
              <c:f>Decomposition!$B$16:$F$16</c:f>
              <c:strCache>
                <c:ptCount val="5"/>
                <c:pt idx="0">
                  <c:v>Participation rate</c:v>
                </c:pt>
                <c:pt idx="1">
                  <c:v>Employment rate</c:v>
                </c:pt>
                <c:pt idx="2">
                  <c:v>Average hours</c:v>
                </c:pt>
                <c:pt idx="3">
                  <c:v>Working age share</c:v>
                </c:pt>
                <c:pt idx="4">
                  <c:v>Total (hours per capita)</c:v>
                </c:pt>
              </c:strCache>
            </c:strRef>
          </c:cat>
          <c:val>
            <c:numRef>
              <c:f>Decomposition!$B$17:$F$17</c:f>
              <c:numCache>
                <c:formatCode>0.0</c:formatCode>
                <c:ptCount val="5"/>
                <c:pt idx="0">
                  <c:v>-8.4197844019877639</c:v>
                </c:pt>
                <c:pt idx="1">
                  <c:v>-8.4197844019877639</c:v>
                </c:pt>
                <c:pt idx="2">
                  <c:v>-8.4197844019877639</c:v>
                </c:pt>
                <c:pt idx="3">
                  <c:v>-8.4197844019877639</c:v>
                </c:pt>
                <c:pt idx="4">
                  <c:v>-4.5999999999999996</c:v>
                </c:pt>
              </c:numCache>
            </c:numRef>
          </c:val>
        </c:ser>
        <c:ser>
          <c:idx val="1"/>
          <c:order val="1"/>
          <c:tx>
            <c:strRef>
              <c:f>Decomposition!$A$18</c:f>
              <c:strCache>
                <c:ptCount val="1"/>
                <c:pt idx="0">
                  <c:v>Employment rate</c:v>
                </c:pt>
              </c:strCache>
            </c:strRef>
          </c:tx>
          <c:invertIfNegative val="0"/>
          <c:dPt>
            <c:idx val="1"/>
            <c:invertIfNegative val="0"/>
            <c:bubble3D val="0"/>
            <c:spPr>
              <a:solidFill>
                <a:srgbClr val="78A22F"/>
              </a:solidFill>
              <a:ln>
                <a:solidFill>
                  <a:schemeClr val="tx1"/>
                </a:solidFill>
              </a:ln>
            </c:spPr>
          </c:dPt>
          <c:dPt>
            <c:idx val="2"/>
            <c:invertIfNegative val="0"/>
            <c:bubble3D val="0"/>
            <c:spPr>
              <a:noFill/>
              <a:ln>
                <a:noFill/>
              </a:ln>
            </c:spPr>
          </c:dPt>
          <c:dPt>
            <c:idx val="3"/>
            <c:invertIfNegative val="0"/>
            <c:bubble3D val="0"/>
            <c:spPr>
              <a:noFill/>
              <a:ln>
                <a:noFill/>
              </a:ln>
            </c:spPr>
          </c:dPt>
          <c:dPt>
            <c:idx val="4"/>
            <c:invertIfNegative val="0"/>
            <c:bubble3D val="0"/>
            <c:spPr>
              <a:noFill/>
              <a:ln>
                <a:noFill/>
              </a:ln>
            </c:spPr>
          </c:dPt>
          <c:dLbls>
            <c:dLbl>
              <c:idx val="1"/>
              <c:layout>
                <c:manualLayout>
                  <c:x val="-2.63642568767116E-3"/>
                  <c:y val="-4.6506739555227439E-2"/>
                </c:manualLayout>
              </c:layout>
              <c:spPr/>
              <c:txPr>
                <a:bodyPr/>
                <a:lstStyle/>
                <a:p>
                  <a:pPr>
                    <a:defRPr sz="1100" b="1">
                      <a:solidFill>
                        <a:sysClr val="windowText" lastClr="000000"/>
                      </a:solidFill>
                    </a:defRPr>
                  </a:pPr>
                  <a:endParaRPr lang="en-US"/>
                </a:p>
              </c:txPr>
              <c:showLegendKey val="0"/>
              <c:showVal val="1"/>
              <c:showCatName val="0"/>
              <c:showSerName val="0"/>
              <c:showPercent val="0"/>
              <c:showBubbleSize val="0"/>
            </c:dLbl>
            <c:txPr>
              <a:bodyPr/>
              <a:lstStyle/>
              <a:p>
                <a:pPr>
                  <a:defRPr sz="1100" b="1"/>
                </a:pPr>
                <a:endParaRPr lang="en-US"/>
              </a:p>
            </c:txPr>
            <c:showLegendKey val="0"/>
            <c:showVal val="0"/>
            <c:showCatName val="0"/>
            <c:showSerName val="0"/>
            <c:showPercent val="0"/>
            <c:showBubbleSize val="0"/>
          </c:dLbls>
          <c:cat>
            <c:strRef>
              <c:f>Decomposition!$B$16:$F$16</c:f>
              <c:strCache>
                <c:ptCount val="5"/>
                <c:pt idx="0">
                  <c:v>Participation rate</c:v>
                </c:pt>
                <c:pt idx="1">
                  <c:v>Employment rate</c:v>
                </c:pt>
                <c:pt idx="2">
                  <c:v>Average hours</c:v>
                </c:pt>
                <c:pt idx="3">
                  <c:v>Working age share</c:v>
                </c:pt>
                <c:pt idx="4">
                  <c:v>Total (hours per capita)</c:v>
                </c:pt>
              </c:strCache>
            </c:strRef>
          </c:cat>
          <c:val>
            <c:numRef>
              <c:f>Decomposition!$B$18:$F$18</c:f>
              <c:numCache>
                <c:formatCode>0.0</c:formatCode>
                <c:ptCount val="5"/>
                <c:pt idx="1">
                  <c:v>0.69855796093592848</c:v>
                </c:pt>
                <c:pt idx="2">
                  <c:v>0.69855796093592848</c:v>
                </c:pt>
                <c:pt idx="3">
                  <c:v>0.69855796093592848</c:v>
                </c:pt>
              </c:numCache>
            </c:numRef>
          </c:val>
        </c:ser>
        <c:ser>
          <c:idx val="2"/>
          <c:order val="2"/>
          <c:tx>
            <c:strRef>
              <c:f>Decomposition!$A$19</c:f>
              <c:strCache>
                <c:ptCount val="1"/>
                <c:pt idx="0">
                  <c:v>Average hours</c:v>
                </c:pt>
              </c:strCache>
            </c:strRef>
          </c:tx>
          <c:invertIfNegative val="0"/>
          <c:dPt>
            <c:idx val="2"/>
            <c:invertIfNegative val="0"/>
            <c:bubble3D val="0"/>
            <c:spPr>
              <a:solidFill>
                <a:srgbClr val="78A22F"/>
              </a:solidFill>
              <a:ln>
                <a:solidFill>
                  <a:schemeClr val="tx1"/>
                </a:solidFill>
              </a:ln>
            </c:spPr>
          </c:dPt>
          <c:dPt>
            <c:idx val="3"/>
            <c:invertIfNegative val="0"/>
            <c:bubble3D val="0"/>
            <c:spPr>
              <a:noFill/>
              <a:ln>
                <a:noFill/>
              </a:ln>
            </c:spPr>
          </c:dPt>
          <c:dPt>
            <c:idx val="4"/>
            <c:invertIfNegative val="0"/>
            <c:bubble3D val="0"/>
            <c:spPr>
              <a:noFill/>
              <a:ln>
                <a:noFill/>
              </a:ln>
            </c:spPr>
          </c:dPt>
          <c:dLbls>
            <c:dLbl>
              <c:idx val="2"/>
              <c:layout>
                <c:manualLayout>
                  <c:x val="0"/>
                  <c:y val="-4.2574844071798748E-2"/>
                </c:manualLayout>
              </c:layout>
              <c:showLegendKey val="0"/>
              <c:showVal val="1"/>
              <c:showCatName val="0"/>
              <c:showSerName val="0"/>
              <c:showPercent val="0"/>
              <c:showBubbleSize val="0"/>
            </c:dLbl>
            <c:txPr>
              <a:bodyPr/>
              <a:lstStyle/>
              <a:p>
                <a:pPr>
                  <a:defRPr sz="1100" b="1"/>
                </a:pPr>
                <a:endParaRPr lang="en-US"/>
              </a:p>
            </c:txPr>
            <c:showLegendKey val="0"/>
            <c:showVal val="0"/>
            <c:showCatName val="0"/>
            <c:showSerName val="0"/>
            <c:showPercent val="0"/>
            <c:showBubbleSize val="0"/>
          </c:dLbls>
          <c:cat>
            <c:strRef>
              <c:f>Decomposition!$B$16:$F$16</c:f>
              <c:strCache>
                <c:ptCount val="5"/>
                <c:pt idx="0">
                  <c:v>Participation rate</c:v>
                </c:pt>
                <c:pt idx="1">
                  <c:v>Employment rate</c:v>
                </c:pt>
                <c:pt idx="2">
                  <c:v>Average hours</c:v>
                </c:pt>
                <c:pt idx="3">
                  <c:v>Working age share</c:v>
                </c:pt>
                <c:pt idx="4">
                  <c:v>Total (hours per capita)</c:v>
                </c:pt>
              </c:strCache>
            </c:strRef>
          </c:cat>
          <c:val>
            <c:numRef>
              <c:f>Decomposition!$B$19:$F$19</c:f>
              <c:numCache>
                <c:formatCode>General</c:formatCode>
                <c:ptCount val="5"/>
                <c:pt idx="2" formatCode="0.0">
                  <c:v>0.37494324351893166</c:v>
                </c:pt>
                <c:pt idx="3" formatCode="0.0">
                  <c:v>0.37494324351893166</c:v>
                </c:pt>
              </c:numCache>
            </c:numRef>
          </c:val>
        </c:ser>
        <c:ser>
          <c:idx val="3"/>
          <c:order val="3"/>
          <c:tx>
            <c:strRef>
              <c:f>Decomposition!$A$20</c:f>
              <c:strCache>
                <c:ptCount val="1"/>
                <c:pt idx="0">
                  <c:v>Working age share</c:v>
                </c:pt>
              </c:strCache>
            </c:strRef>
          </c:tx>
          <c:spPr>
            <a:solidFill>
              <a:srgbClr val="39580D"/>
            </a:solidFill>
            <a:ln>
              <a:solidFill>
                <a:schemeClr val="tx1"/>
              </a:solidFill>
            </a:ln>
          </c:spPr>
          <c:invertIfNegative val="0"/>
          <c:dPt>
            <c:idx val="3"/>
            <c:invertIfNegative val="0"/>
            <c:bubble3D val="0"/>
            <c:spPr>
              <a:solidFill>
                <a:srgbClr val="78A22F"/>
              </a:solidFill>
              <a:ln>
                <a:solidFill>
                  <a:schemeClr val="tx1"/>
                </a:solidFill>
              </a:ln>
            </c:spPr>
          </c:dPt>
          <c:dPt>
            <c:idx val="4"/>
            <c:invertIfNegative val="0"/>
            <c:bubble3D val="0"/>
          </c:dPt>
          <c:dLbls>
            <c:dLbl>
              <c:idx val="3"/>
              <c:layout>
                <c:manualLayout>
                  <c:x val="-5.27285137534232E-3"/>
                  <c:y val="-1.5080139331991361E-3"/>
                </c:manualLayout>
              </c:layout>
              <c:spPr/>
              <c:txPr>
                <a:bodyPr/>
                <a:lstStyle/>
                <a:p>
                  <a:pPr>
                    <a:defRPr sz="1100" b="1">
                      <a:solidFill>
                        <a:schemeClr val="bg1"/>
                      </a:solidFill>
                    </a:defRPr>
                  </a:pPr>
                  <a:endParaRPr lang="en-US"/>
                </a:p>
              </c:txPr>
              <c:showLegendKey val="0"/>
              <c:showVal val="1"/>
              <c:showCatName val="0"/>
              <c:showSerName val="0"/>
              <c:showPercent val="0"/>
              <c:showBubbleSize val="0"/>
            </c:dLbl>
            <c:txPr>
              <a:bodyPr/>
              <a:lstStyle/>
              <a:p>
                <a:pPr>
                  <a:defRPr sz="1100" b="1"/>
                </a:pPr>
                <a:endParaRPr lang="en-US"/>
              </a:p>
            </c:txPr>
            <c:showLegendKey val="0"/>
            <c:showVal val="1"/>
            <c:showCatName val="0"/>
            <c:showSerName val="0"/>
            <c:showPercent val="0"/>
            <c:showBubbleSize val="0"/>
            <c:showLeaderLines val="0"/>
          </c:dLbls>
          <c:cat>
            <c:strRef>
              <c:f>Decomposition!$B$16:$F$16</c:f>
              <c:strCache>
                <c:ptCount val="5"/>
                <c:pt idx="0">
                  <c:v>Participation rate</c:v>
                </c:pt>
                <c:pt idx="1">
                  <c:v>Employment rate</c:v>
                </c:pt>
                <c:pt idx="2">
                  <c:v>Average hours</c:v>
                </c:pt>
                <c:pt idx="3">
                  <c:v>Working age share</c:v>
                </c:pt>
                <c:pt idx="4">
                  <c:v>Total (hours per capita)</c:v>
                </c:pt>
              </c:strCache>
            </c:strRef>
          </c:cat>
          <c:val>
            <c:numRef>
              <c:f>Decomposition!$B$20:$F$20</c:f>
              <c:numCache>
                <c:formatCode>General</c:formatCode>
                <c:ptCount val="5"/>
                <c:pt idx="3" formatCode="0.0">
                  <c:v>2.7787412885307496</c:v>
                </c:pt>
              </c:numCache>
            </c:numRef>
          </c:val>
        </c:ser>
        <c:ser>
          <c:idx val="4"/>
          <c:order val="4"/>
          <c:tx>
            <c:strRef>
              <c:f>Decomposition!$A$21</c:f>
              <c:strCache>
                <c:ptCount val="1"/>
                <c:pt idx="0">
                  <c:v>Total (hours per capita)</c:v>
                </c:pt>
              </c:strCache>
            </c:strRef>
          </c:tx>
          <c:invertIfNegative val="0"/>
          <c:cat>
            <c:strRef>
              <c:f>Decomposition!$B$16:$F$16</c:f>
              <c:strCache>
                <c:ptCount val="5"/>
                <c:pt idx="0">
                  <c:v>Participation rate</c:v>
                </c:pt>
                <c:pt idx="1">
                  <c:v>Employment rate</c:v>
                </c:pt>
                <c:pt idx="2">
                  <c:v>Average hours</c:v>
                </c:pt>
                <c:pt idx="3">
                  <c:v>Working age share</c:v>
                </c:pt>
                <c:pt idx="4">
                  <c:v>Total (hours per capita)</c:v>
                </c:pt>
              </c:strCache>
            </c:strRef>
          </c:cat>
          <c:val>
            <c:numRef>
              <c:f>Decomposition!$B$21:$F$21</c:f>
              <c:numCache>
                <c:formatCode>General</c:formatCode>
                <c:ptCount val="5"/>
              </c:numCache>
            </c:numRef>
          </c:val>
        </c:ser>
        <c:dLbls>
          <c:showLegendKey val="0"/>
          <c:showVal val="0"/>
          <c:showCatName val="0"/>
          <c:showSerName val="0"/>
          <c:showPercent val="0"/>
          <c:showBubbleSize val="0"/>
        </c:dLbls>
        <c:gapWidth val="34"/>
        <c:overlap val="100"/>
        <c:axId val="395410048"/>
        <c:axId val="61862656"/>
      </c:barChart>
      <c:catAx>
        <c:axId val="395410048"/>
        <c:scaling>
          <c:orientation val="minMax"/>
        </c:scaling>
        <c:delete val="0"/>
        <c:axPos val="b"/>
        <c:majorTickMark val="out"/>
        <c:minorTickMark val="none"/>
        <c:tickLblPos val="low"/>
        <c:crossAx val="61862656"/>
        <c:crosses val="autoZero"/>
        <c:auto val="1"/>
        <c:lblAlgn val="ctr"/>
        <c:lblOffset val="100"/>
        <c:noMultiLvlLbl val="0"/>
      </c:catAx>
      <c:valAx>
        <c:axId val="61862656"/>
        <c:scaling>
          <c:orientation val="minMax"/>
        </c:scaling>
        <c:delete val="0"/>
        <c:axPos val="l"/>
        <c:majorGridlines>
          <c:spPr>
            <a:ln w="9525" cap="flat" cmpd="sng" algn="ctr">
              <a:solidFill>
                <a:srgbClr val="CDCDCD"/>
              </a:solidFill>
              <a:prstDash val="solid"/>
              <a:round/>
              <a:headEnd type="none" w="med" len="med"/>
              <a:tailEnd type="none" w="med" len="med"/>
            </a:ln>
          </c:spPr>
        </c:majorGridlines>
        <c:numFmt formatCode="0" sourceLinked="0"/>
        <c:majorTickMark val="out"/>
        <c:minorTickMark val="none"/>
        <c:tickLblPos val="nextTo"/>
        <c:spPr>
          <a:ln w="9525" cap="flat" cmpd="sng" algn="ctr">
            <a:solidFill>
              <a:srgbClr val="787878"/>
            </a:solidFill>
            <a:prstDash val="solid"/>
            <a:round/>
            <a:headEnd type="none" w="med" len="med"/>
            <a:tailEnd type="none" w="med" len="med"/>
          </a:ln>
        </c:spPr>
        <c:crossAx val="395410048"/>
        <c:crosses val="autoZero"/>
        <c:crossBetween val="between"/>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'\\nch1\groups\Update on Ageing\Personal\Jared\Excel\[RNNDI.xlsx]Graph of longrun'!$L$38</c:f>
              <c:strCache>
                <c:ptCount val="1"/>
                <c:pt idx="0">
                  <c:v>Early</c:v>
                </c:pt>
              </c:strCache>
            </c:strRef>
          </c:tx>
          <c:spPr>
            <a:ln w="19050">
              <a:solidFill>
                <a:schemeClr val="tx1"/>
              </a:solidFill>
            </a:ln>
          </c:spPr>
          <c:marker>
            <c:symbol val="none"/>
          </c:marker>
          <c:cat>
            <c:numRef>
              <c:f>'Graph of longrun'!$A$3:$A$76</c:f>
              <c:numCache>
                <c:formatCode>General</c:formatCode>
                <c:ptCount val="74"/>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pt idx="27">
                  <c:v>2014</c:v>
                </c:pt>
                <c:pt idx="28">
                  <c:v>2015</c:v>
                </c:pt>
                <c:pt idx="29">
                  <c:v>2016</c:v>
                </c:pt>
                <c:pt idx="30">
                  <c:v>2017</c:v>
                </c:pt>
                <c:pt idx="31">
                  <c:v>2018</c:v>
                </c:pt>
                <c:pt idx="32">
                  <c:v>2019</c:v>
                </c:pt>
                <c:pt idx="33">
                  <c:v>2020</c:v>
                </c:pt>
                <c:pt idx="34">
                  <c:v>2021</c:v>
                </c:pt>
                <c:pt idx="35">
                  <c:v>2022</c:v>
                </c:pt>
                <c:pt idx="36">
                  <c:v>2023</c:v>
                </c:pt>
                <c:pt idx="37">
                  <c:v>2024</c:v>
                </c:pt>
                <c:pt idx="38">
                  <c:v>2025</c:v>
                </c:pt>
                <c:pt idx="39">
                  <c:v>2026</c:v>
                </c:pt>
                <c:pt idx="40">
                  <c:v>2027</c:v>
                </c:pt>
                <c:pt idx="41">
                  <c:v>2028</c:v>
                </c:pt>
                <c:pt idx="42">
                  <c:v>2029</c:v>
                </c:pt>
                <c:pt idx="43">
                  <c:v>2030</c:v>
                </c:pt>
                <c:pt idx="44">
                  <c:v>2031</c:v>
                </c:pt>
                <c:pt idx="45">
                  <c:v>2032</c:v>
                </c:pt>
                <c:pt idx="46">
                  <c:v>2033</c:v>
                </c:pt>
                <c:pt idx="47">
                  <c:v>2034</c:v>
                </c:pt>
                <c:pt idx="48">
                  <c:v>2035</c:v>
                </c:pt>
                <c:pt idx="49">
                  <c:v>2036</c:v>
                </c:pt>
                <c:pt idx="50">
                  <c:v>2037</c:v>
                </c:pt>
                <c:pt idx="51">
                  <c:v>2038</c:v>
                </c:pt>
                <c:pt idx="52">
                  <c:v>2039</c:v>
                </c:pt>
                <c:pt idx="53">
                  <c:v>2040</c:v>
                </c:pt>
                <c:pt idx="54">
                  <c:v>2041</c:v>
                </c:pt>
                <c:pt idx="55">
                  <c:v>2042</c:v>
                </c:pt>
                <c:pt idx="56">
                  <c:v>2043</c:v>
                </c:pt>
                <c:pt idx="57">
                  <c:v>2044</c:v>
                </c:pt>
                <c:pt idx="58">
                  <c:v>2045</c:v>
                </c:pt>
                <c:pt idx="59">
                  <c:v>2046</c:v>
                </c:pt>
                <c:pt idx="60">
                  <c:v>2047</c:v>
                </c:pt>
                <c:pt idx="61">
                  <c:v>2048</c:v>
                </c:pt>
                <c:pt idx="62">
                  <c:v>2049</c:v>
                </c:pt>
                <c:pt idx="63">
                  <c:v>2050</c:v>
                </c:pt>
                <c:pt idx="64">
                  <c:v>2051</c:v>
                </c:pt>
                <c:pt idx="65">
                  <c:v>2052</c:v>
                </c:pt>
                <c:pt idx="66">
                  <c:v>2053</c:v>
                </c:pt>
                <c:pt idx="67">
                  <c:v>2054</c:v>
                </c:pt>
                <c:pt idx="68">
                  <c:v>2055</c:v>
                </c:pt>
                <c:pt idx="69">
                  <c:v>2056</c:v>
                </c:pt>
                <c:pt idx="70">
                  <c:v>2057</c:v>
                </c:pt>
                <c:pt idx="71">
                  <c:v>2058</c:v>
                </c:pt>
                <c:pt idx="72">
                  <c:v>2059</c:v>
                </c:pt>
                <c:pt idx="73">
                  <c:v>2060</c:v>
                </c:pt>
              </c:numCache>
            </c:numRef>
          </c:cat>
          <c:val>
            <c:numRef>
              <c:f>'\\nch1\groups\Update on Ageing\Personal\Jared\Excel\[RNNDI.xlsx]Graph of longrun'!$L$39:$L$112</c:f>
              <c:numCache>
                <c:formatCode>General</c:formatCode>
                <c:ptCount val="74"/>
                <c:pt idx="0">
                  <c:v>0.80837293630062046</c:v>
                </c:pt>
                <c:pt idx="1">
                  <c:v>0.80837293630062046</c:v>
                </c:pt>
                <c:pt idx="2">
                  <c:v>0.80837293630062046</c:v>
                </c:pt>
                <c:pt idx="3">
                  <c:v>0.80837293630062046</c:v>
                </c:pt>
                <c:pt idx="4">
                  <c:v>0.80837293630062046</c:v>
                </c:pt>
                <c:pt idx="5">
                  <c:v>0.80837293630062046</c:v>
                </c:pt>
              </c:numCache>
            </c:numRef>
          </c:val>
          <c:smooth val="0"/>
        </c:ser>
        <c:ser>
          <c:idx val="3"/>
          <c:order val="1"/>
          <c:tx>
            <c:strRef>
              <c:f>'\\nch1\groups\Update on Ageing\Personal\Jared\Excel\[RNNDI.xlsx]Graph of longrun'!$N$38</c:f>
              <c:strCache>
                <c:ptCount val="1"/>
                <c:pt idx="0">
                  <c:v>The future</c:v>
                </c:pt>
              </c:strCache>
            </c:strRef>
          </c:tx>
          <c:spPr>
            <a:ln w="19050">
              <a:solidFill>
                <a:schemeClr val="tx1"/>
              </a:solidFill>
            </a:ln>
          </c:spPr>
          <c:marker>
            <c:symbol val="none"/>
          </c:marker>
          <c:cat>
            <c:numRef>
              <c:f>'Graph of longrun'!$A$3:$A$76</c:f>
              <c:numCache>
                <c:formatCode>General</c:formatCode>
                <c:ptCount val="74"/>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pt idx="27">
                  <c:v>2014</c:v>
                </c:pt>
                <c:pt idx="28">
                  <c:v>2015</c:v>
                </c:pt>
                <c:pt idx="29">
                  <c:v>2016</c:v>
                </c:pt>
                <c:pt idx="30">
                  <c:v>2017</c:v>
                </c:pt>
                <c:pt idx="31">
                  <c:v>2018</c:v>
                </c:pt>
                <c:pt idx="32">
                  <c:v>2019</c:v>
                </c:pt>
                <c:pt idx="33">
                  <c:v>2020</c:v>
                </c:pt>
                <c:pt idx="34">
                  <c:v>2021</c:v>
                </c:pt>
                <c:pt idx="35">
                  <c:v>2022</c:v>
                </c:pt>
                <c:pt idx="36">
                  <c:v>2023</c:v>
                </c:pt>
                <c:pt idx="37">
                  <c:v>2024</c:v>
                </c:pt>
                <c:pt idx="38">
                  <c:v>2025</c:v>
                </c:pt>
                <c:pt idx="39">
                  <c:v>2026</c:v>
                </c:pt>
                <c:pt idx="40">
                  <c:v>2027</c:v>
                </c:pt>
                <c:pt idx="41">
                  <c:v>2028</c:v>
                </c:pt>
                <c:pt idx="42">
                  <c:v>2029</c:v>
                </c:pt>
                <c:pt idx="43">
                  <c:v>2030</c:v>
                </c:pt>
                <c:pt idx="44">
                  <c:v>2031</c:v>
                </c:pt>
                <c:pt idx="45">
                  <c:v>2032</c:v>
                </c:pt>
                <c:pt idx="46">
                  <c:v>2033</c:v>
                </c:pt>
                <c:pt idx="47">
                  <c:v>2034</c:v>
                </c:pt>
                <c:pt idx="48">
                  <c:v>2035</c:v>
                </c:pt>
                <c:pt idx="49">
                  <c:v>2036</c:v>
                </c:pt>
                <c:pt idx="50">
                  <c:v>2037</c:v>
                </c:pt>
                <c:pt idx="51">
                  <c:v>2038</c:v>
                </c:pt>
                <c:pt idx="52">
                  <c:v>2039</c:v>
                </c:pt>
                <c:pt idx="53">
                  <c:v>2040</c:v>
                </c:pt>
                <c:pt idx="54">
                  <c:v>2041</c:v>
                </c:pt>
                <c:pt idx="55">
                  <c:v>2042</c:v>
                </c:pt>
                <c:pt idx="56">
                  <c:v>2043</c:v>
                </c:pt>
                <c:pt idx="57">
                  <c:v>2044</c:v>
                </c:pt>
                <c:pt idx="58">
                  <c:v>2045</c:v>
                </c:pt>
                <c:pt idx="59">
                  <c:v>2046</c:v>
                </c:pt>
                <c:pt idx="60">
                  <c:v>2047</c:v>
                </c:pt>
                <c:pt idx="61">
                  <c:v>2048</c:v>
                </c:pt>
                <c:pt idx="62">
                  <c:v>2049</c:v>
                </c:pt>
                <c:pt idx="63">
                  <c:v>2050</c:v>
                </c:pt>
                <c:pt idx="64">
                  <c:v>2051</c:v>
                </c:pt>
                <c:pt idx="65">
                  <c:v>2052</c:v>
                </c:pt>
                <c:pt idx="66">
                  <c:v>2053</c:v>
                </c:pt>
                <c:pt idx="67">
                  <c:v>2054</c:v>
                </c:pt>
                <c:pt idx="68">
                  <c:v>2055</c:v>
                </c:pt>
                <c:pt idx="69">
                  <c:v>2056</c:v>
                </c:pt>
                <c:pt idx="70">
                  <c:v>2057</c:v>
                </c:pt>
                <c:pt idx="71">
                  <c:v>2058</c:v>
                </c:pt>
                <c:pt idx="72">
                  <c:v>2059</c:v>
                </c:pt>
                <c:pt idx="73">
                  <c:v>2060</c:v>
                </c:pt>
              </c:numCache>
            </c:numRef>
          </c:cat>
          <c:val>
            <c:numRef>
              <c:f>'\\nch1\groups\Update on Ageing\Personal\Jared\Excel\[RNNDI.xlsx]Graph of longrun'!$N$39:$N$112</c:f>
              <c:numCache>
                <c:formatCode>General</c:formatCode>
                <c:ptCount val="74"/>
                <c:pt idx="26">
                  <c:v>1.0692241433626686</c:v>
                </c:pt>
                <c:pt idx="27">
                  <c:v>1.0692241433626686</c:v>
                </c:pt>
                <c:pt idx="28">
                  <c:v>1.0692241433626686</c:v>
                </c:pt>
                <c:pt idx="29">
                  <c:v>1.0692241433626686</c:v>
                </c:pt>
                <c:pt idx="30">
                  <c:v>1.0692241433626686</c:v>
                </c:pt>
                <c:pt idx="31">
                  <c:v>1.0692241433626686</c:v>
                </c:pt>
                <c:pt idx="32">
                  <c:v>1.0692241433626686</c:v>
                </c:pt>
                <c:pt idx="33">
                  <c:v>1.0692241433626686</c:v>
                </c:pt>
                <c:pt idx="34">
                  <c:v>1.0692241433626686</c:v>
                </c:pt>
                <c:pt idx="35">
                  <c:v>1.0692241433626686</c:v>
                </c:pt>
                <c:pt idx="36">
                  <c:v>1.0692241433626686</c:v>
                </c:pt>
                <c:pt idx="37">
                  <c:v>1.0692241433626686</c:v>
                </c:pt>
                <c:pt idx="38">
                  <c:v>1.0692241433626686</c:v>
                </c:pt>
                <c:pt idx="39">
                  <c:v>1.0692241433626686</c:v>
                </c:pt>
                <c:pt idx="40">
                  <c:v>1.0692241433626686</c:v>
                </c:pt>
                <c:pt idx="41">
                  <c:v>1.0692241433626686</c:v>
                </c:pt>
                <c:pt idx="42">
                  <c:v>1.0692241433626686</c:v>
                </c:pt>
                <c:pt idx="43">
                  <c:v>1.0692241433626686</c:v>
                </c:pt>
                <c:pt idx="44">
                  <c:v>1.0692241433626686</c:v>
                </c:pt>
                <c:pt idx="45">
                  <c:v>1.0692241433626686</c:v>
                </c:pt>
                <c:pt idx="46">
                  <c:v>1.0692241433626686</c:v>
                </c:pt>
                <c:pt idx="47">
                  <c:v>1.0692241433626686</c:v>
                </c:pt>
                <c:pt idx="48">
                  <c:v>1.0692241433626686</c:v>
                </c:pt>
                <c:pt idx="49">
                  <c:v>1.0692241433626686</c:v>
                </c:pt>
                <c:pt idx="50">
                  <c:v>1.0692241433626686</c:v>
                </c:pt>
                <c:pt idx="51">
                  <c:v>1.0692241433626686</c:v>
                </c:pt>
                <c:pt idx="52">
                  <c:v>1.0692241433626686</c:v>
                </c:pt>
                <c:pt idx="53">
                  <c:v>1.0692241433626686</c:v>
                </c:pt>
                <c:pt idx="54">
                  <c:v>1.0692241433626686</c:v>
                </c:pt>
                <c:pt idx="55">
                  <c:v>1.0692241433626686</c:v>
                </c:pt>
                <c:pt idx="56">
                  <c:v>1.0692241433626686</c:v>
                </c:pt>
                <c:pt idx="57">
                  <c:v>1.0692241433626686</c:v>
                </c:pt>
                <c:pt idx="58">
                  <c:v>1.0692241433626686</c:v>
                </c:pt>
                <c:pt idx="59">
                  <c:v>1.0692241433626686</c:v>
                </c:pt>
                <c:pt idx="60">
                  <c:v>1.0692241433626686</c:v>
                </c:pt>
                <c:pt idx="61">
                  <c:v>1.0692241433626686</c:v>
                </c:pt>
                <c:pt idx="62">
                  <c:v>1.0692241433626686</c:v>
                </c:pt>
                <c:pt idx="63">
                  <c:v>1.0692241433626686</c:v>
                </c:pt>
                <c:pt idx="64">
                  <c:v>1.0692241433626686</c:v>
                </c:pt>
                <c:pt idx="65">
                  <c:v>1.0692241433626686</c:v>
                </c:pt>
                <c:pt idx="66">
                  <c:v>1.0692241433626686</c:v>
                </c:pt>
                <c:pt idx="67">
                  <c:v>1.0692241433626686</c:v>
                </c:pt>
                <c:pt idx="68">
                  <c:v>1.0692241433626686</c:v>
                </c:pt>
                <c:pt idx="69">
                  <c:v>1.0692241433626686</c:v>
                </c:pt>
                <c:pt idx="70">
                  <c:v>1.0692241433626686</c:v>
                </c:pt>
                <c:pt idx="71">
                  <c:v>1.0692241433626686</c:v>
                </c:pt>
                <c:pt idx="72">
                  <c:v>1.0692241433626686</c:v>
                </c:pt>
                <c:pt idx="73">
                  <c:v>1.0692241433626686</c:v>
                </c:pt>
              </c:numCache>
            </c:numRef>
          </c:val>
          <c:smooth val="0"/>
        </c:ser>
        <c:ser>
          <c:idx val="2"/>
          <c:order val="2"/>
          <c:tx>
            <c:strRef>
              <c:f>'\\nch1\groups\Update on Ageing\Personal\Jared\Excel\[RNNDI.xlsx]Graph of longrun'!$M$38</c:f>
              <c:strCache>
                <c:ptCount val="1"/>
                <c:pt idx="0">
                  <c:v>The good years</c:v>
                </c:pt>
              </c:strCache>
            </c:strRef>
          </c:tx>
          <c:spPr>
            <a:ln w="19050">
              <a:solidFill>
                <a:schemeClr val="tx1"/>
              </a:solidFill>
            </a:ln>
          </c:spPr>
          <c:marker>
            <c:symbol val="none"/>
          </c:marker>
          <c:cat>
            <c:numRef>
              <c:f>'Graph of longrun'!$A$3:$A$76</c:f>
              <c:numCache>
                <c:formatCode>General</c:formatCode>
                <c:ptCount val="74"/>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pt idx="27">
                  <c:v>2014</c:v>
                </c:pt>
                <c:pt idx="28">
                  <c:v>2015</c:v>
                </c:pt>
                <c:pt idx="29">
                  <c:v>2016</c:v>
                </c:pt>
                <c:pt idx="30">
                  <c:v>2017</c:v>
                </c:pt>
                <c:pt idx="31">
                  <c:v>2018</c:v>
                </c:pt>
                <c:pt idx="32">
                  <c:v>2019</c:v>
                </c:pt>
                <c:pt idx="33">
                  <c:v>2020</c:v>
                </c:pt>
                <c:pt idx="34">
                  <c:v>2021</c:v>
                </c:pt>
                <c:pt idx="35">
                  <c:v>2022</c:v>
                </c:pt>
                <c:pt idx="36">
                  <c:v>2023</c:v>
                </c:pt>
                <c:pt idx="37">
                  <c:v>2024</c:v>
                </c:pt>
                <c:pt idx="38">
                  <c:v>2025</c:v>
                </c:pt>
                <c:pt idx="39">
                  <c:v>2026</c:v>
                </c:pt>
                <c:pt idx="40">
                  <c:v>2027</c:v>
                </c:pt>
                <c:pt idx="41">
                  <c:v>2028</c:v>
                </c:pt>
                <c:pt idx="42">
                  <c:v>2029</c:v>
                </c:pt>
                <c:pt idx="43">
                  <c:v>2030</c:v>
                </c:pt>
                <c:pt idx="44">
                  <c:v>2031</c:v>
                </c:pt>
                <c:pt idx="45">
                  <c:v>2032</c:v>
                </c:pt>
                <c:pt idx="46">
                  <c:v>2033</c:v>
                </c:pt>
                <c:pt idx="47">
                  <c:v>2034</c:v>
                </c:pt>
                <c:pt idx="48">
                  <c:v>2035</c:v>
                </c:pt>
                <c:pt idx="49">
                  <c:v>2036</c:v>
                </c:pt>
                <c:pt idx="50">
                  <c:v>2037</c:v>
                </c:pt>
                <c:pt idx="51">
                  <c:v>2038</c:v>
                </c:pt>
                <c:pt idx="52">
                  <c:v>2039</c:v>
                </c:pt>
                <c:pt idx="53">
                  <c:v>2040</c:v>
                </c:pt>
                <c:pt idx="54">
                  <c:v>2041</c:v>
                </c:pt>
                <c:pt idx="55">
                  <c:v>2042</c:v>
                </c:pt>
                <c:pt idx="56">
                  <c:v>2043</c:v>
                </c:pt>
                <c:pt idx="57">
                  <c:v>2044</c:v>
                </c:pt>
                <c:pt idx="58">
                  <c:v>2045</c:v>
                </c:pt>
                <c:pt idx="59">
                  <c:v>2046</c:v>
                </c:pt>
                <c:pt idx="60">
                  <c:v>2047</c:v>
                </c:pt>
                <c:pt idx="61">
                  <c:v>2048</c:v>
                </c:pt>
                <c:pt idx="62">
                  <c:v>2049</c:v>
                </c:pt>
                <c:pt idx="63">
                  <c:v>2050</c:v>
                </c:pt>
                <c:pt idx="64">
                  <c:v>2051</c:v>
                </c:pt>
                <c:pt idx="65">
                  <c:v>2052</c:v>
                </c:pt>
                <c:pt idx="66">
                  <c:v>2053</c:v>
                </c:pt>
                <c:pt idx="67">
                  <c:v>2054</c:v>
                </c:pt>
                <c:pt idx="68">
                  <c:v>2055</c:v>
                </c:pt>
                <c:pt idx="69">
                  <c:v>2056</c:v>
                </c:pt>
                <c:pt idx="70">
                  <c:v>2057</c:v>
                </c:pt>
                <c:pt idx="71">
                  <c:v>2058</c:v>
                </c:pt>
                <c:pt idx="72">
                  <c:v>2059</c:v>
                </c:pt>
                <c:pt idx="73">
                  <c:v>2060</c:v>
                </c:pt>
              </c:numCache>
            </c:numRef>
          </c:cat>
          <c:val>
            <c:numRef>
              <c:f>'\\nch1\groups\Update on Ageing\Personal\Jared\Excel\[RNNDI.xlsx]Graph of longrun'!$M$39:$M$112</c:f>
              <c:numCache>
                <c:formatCode>General</c:formatCode>
                <c:ptCount val="74"/>
                <c:pt idx="6">
                  <c:v>2.7264937651529242</c:v>
                </c:pt>
                <c:pt idx="7">
                  <c:v>2.7264937651529242</c:v>
                </c:pt>
                <c:pt idx="8">
                  <c:v>2.7264937651529242</c:v>
                </c:pt>
                <c:pt idx="9">
                  <c:v>2.7264937651529242</c:v>
                </c:pt>
                <c:pt idx="10">
                  <c:v>2.7264937651529242</c:v>
                </c:pt>
                <c:pt idx="11">
                  <c:v>2.7264937651529242</c:v>
                </c:pt>
                <c:pt idx="12">
                  <c:v>2.7264937651529242</c:v>
                </c:pt>
                <c:pt idx="13">
                  <c:v>2.7264937651529242</c:v>
                </c:pt>
                <c:pt idx="14">
                  <c:v>2.7264937651529242</c:v>
                </c:pt>
                <c:pt idx="15">
                  <c:v>2.7264937651529242</c:v>
                </c:pt>
                <c:pt idx="16">
                  <c:v>2.7264937651529242</c:v>
                </c:pt>
                <c:pt idx="17">
                  <c:v>2.7264937651529242</c:v>
                </c:pt>
                <c:pt idx="18">
                  <c:v>2.7264937651529242</c:v>
                </c:pt>
                <c:pt idx="19">
                  <c:v>2.7264937651529242</c:v>
                </c:pt>
                <c:pt idx="20">
                  <c:v>2.7264937651529242</c:v>
                </c:pt>
                <c:pt idx="21">
                  <c:v>2.7264937651529242</c:v>
                </c:pt>
                <c:pt idx="22">
                  <c:v>2.7264937651529242</c:v>
                </c:pt>
                <c:pt idx="23">
                  <c:v>2.7264937651529242</c:v>
                </c:pt>
                <c:pt idx="24">
                  <c:v>2.7264937651529242</c:v>
                </c:pt>
                <c:pt idx="25">
                  <c:v>2.7264937651529242</c:v>
                </c:pt>
              </c:numCache>
            </c:numRef>
          </c:val>
          <c:smooth val="0"/>
        </c:ser>
        <c:ser>
          <c:idx val="1"/>
          <c:order val="3"/>
          <c:tx>
            <c:strRef>
              <c:f>'Graph of longrun'!$G$1</c:f>
              <c:strCache>
                <c:ptCount val="1"/>
                <c:pt idx="0">
                  <c:v>% change in RNNDI per capita</c:v>
                </c:pt>
              </c:strCache>
            </c:strRef>
          </c:tx>
          <c:spPr>
            <a:ln w="22225" cap="rnd" cmpd="sng" algn="ctr">
              <a:solidFill>
                <a:srgbClr val="78A22F"/>
              </a:solidFill>
              <a:prstDash val="solid"/>
              <a:round/>
              <a:headEnd type="none" w="med" len="med"/>
              <a:tailEnd type="none" w="med" len="med"/>
            </a:ln>
          </c:spPr>
          <c:marker>
            <c:symbol val="none"/>
          </c:marker>
          <c:cat>
            <c:numRef>
              <c:f>'Graph of longrun'!$A$3:$A$76</c:f>
              <c:numCache>
                <c:formatCode>General</c:formatCode>
                <c:ptCount val="74"/>
                <c:pt idx="0">
                  <c:v>1987</c:v>
                </c:pt>
                <c:pt idx="1">
                  <c:v>1988</c:v>
                </c:pt>
                <c:pt idx="2">
                  <c:v>1989</c:v>
                </c:pt>
                <c:pt idx="3">
                  <c:v>1990</c:v>
                </c:pt>
                <c:pt idx="4">
                  <c:v>1991</c:v>
                </c:pt>
                <c:pt idx="5">
                  <c:v>1992</c:v>
                </c:pt>
                <c:pt idx="6">
                  <c:v>1993</c:v>
                </c:pt>
                <c:pt idx="7">
                  <c:v>1994</c:v>
                </c:pt>
                <c:pt idx="8">
                  <c:v>1995</c:v>
                </c:pt>
                <c:pt idx="9">
                  <c:v>1996</c:v>
                </c:pt>
                <c:pt idx="10">
                  <c:v>1997</c:v>
                </c:pt>
                <c:pt idx="11">
                  <c:v>1998</c:v>
                </c:pt>
                <c:pt idx="12">
                  <c:v>1999</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pt idx="27">
                  <c:v>2014</c:v>
                </c:pt>
                <c:pt idx="28">
                  <c:v>2015</c:v>
                </c:pt>
                <c:pt idx="29">
                  <c:v>2016</c:v>
                </c:pt>
                <c:pt idx="30">
                  <c:v>2017</c:v>
                </c:pt>
                <c:pt idx="31">
                  <c:v>2018</c:v>
                </c:pt>
                <c:pt idx="32">
                  <c:v>2019</c:v>
                </c:pt>
                <c:pt idx="33">
                  <c:v>2020</c:v>
                </c:pt>
                <c:pt idx="34">
                  <c:v>2021</c:v>
                </c:pt>
                <c:pt idx="35">
                  <c:v>2022</c:v>
                </c:pt>
                <c:pt idx="36">
                  <c:v>2023</c:v>
                </c:pt>
                <c:pt idx="37">
                  <c:v>2024</c:v>
                </c:pt>
                <c:pt idx="38">
                  <c:v>2025</c:v>
                </c:pt>
                <c:pt idx="39">
                  <c:v>2026</c:v>
                </c:pt>
                <c:pt idx="40">
                  <c:v>2027</c:v>
                </c:pt>
                <c:pt idx="41">
                  <c:v>2028</c:v>
                </c:pt>
                <c:pt idx="42">
                  <c:v>2029</c:v>
                </c:pt>
                <c:pt idx="43">
                  <c:v>2030</c:v>
                </c:pt>
                <c:pt idx="44">
                  <c:v>2031</c:v>
                </c:pt>
                <c:pt idx="45">
                  <c:v>2032</c:v>
                </c:pt>
                <c:pt idx="46">
                  <c:v>2033</c:v>
                </c:pt>
                <c:pt idx="47">
                  <c:v>2034</c:v>
                </c:pt>
                <c:pt idx="48">
                  <c:v>2035</c:v>
                </c:pt>
                <c:pt idx="49">
                  <c:v>2036</c:v>
                </c:pt>
                <c:pt idx="50">
                  <c:v>2037</c:v>
                </c:pt>
                <c:pt idx="51">
                  <c:v>2038</c:v>
                </c:pt>
                <c:pt idx="52">
                  <c:v>2039</c:v>
                </c:pt>
                <c:pt idx="53">
                  <c:v>2040</c:v>
                </c:pt>
                <c:pt idx="54">
                  <c:v>2041</c:v>
                </c:pt>
                <c:pt idx="55">
                  <c:v>2042</c:v>
                </c:pt>
                <c:pt idx="56">
                  <c:v>2043</c:v>
                </c:pt>
                <c:pt idx="57">
                  <c:v>2044</c:v>
                </c:pt>
                <c:pt idx="58">
                  <c:v>2045</c:v>
                </c:pt>
                <c:pt idx="59">
                  <c:v>2046</c:v>
                </c:pt>
                <c:pt idx="60">
                  <c:v>2047</c:v>
                </c:pt>
                <c:pt idx="61">
                  <c:v>2048</c:v>
                </c:pt>
                <c:pt idx="62">
                  <c:v>2049</c:v>
                </c:pt>
                <c:pt idx="63">
                  <c:v>2050</c:v>
                </c:pt>
                <c:pt idx="64">
                  <c:v>2051</c:v>
                </c:pt>
                <c:pt idx="65">
                  <c:v>2052</c:v>
                </c:pt>
                <c:pt idx="66">
                  <c:v>2053</c:v>
                </c:pt>
                <c:pt idx="67">
                  <c:v>2054</c:v>
                </c:pt>
                <c:pt idx="68">
                  <c:v>2055</c:v>
                </c:pt>
                <c:pt idx="69">
                  <c:v>2056</c:v>
                </c:pt>
                <c:pt idx="70">
                  <c:v>2057</c:v>
                </c:pt>
                <c:pt idx="71">
                  <c:v>2058</c:v>
                </c:pt>
                <c:pt idx="72">
                  <c:v>2059</c:v>
                </c:pt>
                <c:pt idx="73">
                  <c:v>2060</c:v>
                </c:pt>
              </c:numCache>
            </c:numRef>
          </c:cat>
          <c:val>
            <c:numRef>
              <c:f>'Graph of longrun'!$G$3:$G$76</c:f>
              <c:numCache>
                <c:formatCode>General</c:formatCode>
                <c:ptCount val="74"/>
                <c:pt idx="0">
                  <c:v>-0.61040172726377628</c:v>
                </c:pt>
                <c:pt idx="1">
                  <c:v>5.5884394912024016</c:v>
                </c:pt>
                <c:pt idx="2">
                  <c:v>3.9875691349395614</c:v>
                </c:pt>
                <c:pt idx="3">
                  <c:v>1.4716827538438171</c:v>
                </c:pt>
                <c:pt idx="4">
                  <c:v>-3.6016103062182836</c:v>
                </c:pt>
                <c:pt idx="5">
                  <c:v>-1.5136697477161398</c:v>
                </c:pt>
                <c:pt idx="6">
                  <c:v>2.9334784837476757</c:v>
                </c:pt>
                <c:pt idx="7">
                  <c:v>2.6038019436852133</c:v>
                </c:pt>
                <c:pt idx="8">
                  <c:v>2.5725188651421371</c:v>
                </c:pt>
                <c:pt idx="9">
                  <c:v>3.4431172133104093</c:v>
                </c:pt>
                <c:pt idx="10">
                  <c:v>3.5960564163517894</c:v>
                </c:pt>
                <c:pt idx="11">
                  <c:v>3.4071923876912047</c:v>
                </c:pt>
                <c:pt idx="12">
                  <c:v>2.8575261283919851</c:v>
                </c:pt>
                <c:pt idx="13">
                  <c:v>3.7650654893818691</c:v>
                </c:pt>
                <c:pt idx="14">
                  <c:v>0.78313590273018097</c:v>
                </c:pt>
                <c:pt idx="15">
                  <c:v>3.0787012087654997</c:v>
                </c:pt>
                <c:pt idx="16">
                  <c:v>1.8110192390389468</c:v>
                </c:pt>
                <c:pt idx="17">
                  <c:v>4.3600830850154981</c:v>
                </c:pt>
                <c:pt idx="18">
                  <c:v>2.4216827045640876</c:v>
                </c:pt>
                <c:pt idx="19">
                  <c:v>3.2549430868240803</c:v>
                </c:pt>
                <c:pt idx="20">
                  <c:v>2.8134040409351302</c:v>
                </c:pt>
                <c:pt idx="21">
                  <c:v>3.1767146057767093</c:v>
                </c:pt>
                <c:pt idx="22">
                  <c:v>1.469370171450457</c:v>
                </c:pt>
                <c:pt idx="23">
                  <c:v>-2.1367180801493468</c:v>
                </c:pt>
                <c:pt idx="24">
                  <c:v>5.1290994427821035</c:v>
                </c:pt>
                <c:pt idx="25">
                  <c:v>3.1512313630911226</c:v>
                </c:pt>
                <c:pt idx="26">
                  <c:v>-1.5209841786660738</c:v>
                </c:pt>
                <c:pt idx="27">
                  <c:v>1.2733851893683479</c:v>
                </c:pt>
                <c:pt idx="28">
                  <c:v>-0.50950307155914754</c:v>
                </c:pt>
                <c:pt idx="29">
                  <c:v>-0.37295568364270615</c:v>
                </c:pt>
                <c:pt idx="30">
                  <c:v>-0.64446278228540432</c:v>
                </c:pt>
                <c:pt idx="31">
                  <c:v>-1.0066917378739104</c:v>
                </c:pt>
                <c:pt idx="32">
                  <c:v>1.5690040643119518</c:v>
                </c:pt>
                <c:pt idx="33">
                  <c:v>1.456886790966605</c:v>
                </c:pt>
                <c:pt idx="34">
                  <c:v>1.3638373014324801</c:v>
                </c:pt>
                <c:pt idx="35">
                  <c:v>1.2962597902981488</c:v>
                </c:pt>
                <c:pt idx="36">
                  <c:v>1.2476271243326842</c:v>
                </c:pt>
                <c:pt idx="37">
                  <c:v>1.224780712069129</c:v>
                </c:pt>
                <c:pt idx="38">
                  <c:v>1.2260510882232678</c:v>
                </c:pt>
                <c:pt idx="39">
                  <c:v>1.2181140567853133</c:v>
                </c:pt>
                <c:pt idx="40">
                  <c:v>1.2087526130361681</c:v>
                </c:pt>
                <c:pt idx="41">
                  <c:v>1.2204117875926901</c:v>
                </c:pt>
                <c:pt idx="42">
                  <c:v>1.2319162446164045</c:v>
                </c:pt>
                <c:pt idx="43">
                  <c:v>1.2560370050921366</c:v>
                </c:pt>
                <c:pt idx="44">
                  <c:v>1.2632923070849067</c:v>
                </c:pt>
                <c:pt idx="45">
                  <c:v>1.2672773615713728</c:v>
                </c:pt>
                <c:pt idx="46">
                  <c:v>1.2977094302837777</c:v>
                </c:pt>
                <c:pt idx="47">
                  <c:v>1.3134285695887815</c:v>
                </c:pt>
                <c:pt idx="48">
                  <c:v>1.3299012124817766</c:v>
                </c:pt>
                <c:pt idx="49">
                  <c:v>1.3277543312614437</c:v>
                </c:pt>
                <c:pt idx="50">
                  <c:v>1.3231442151376172</c:v>
                </c:pt>
                <c:pt idx="51">
                  <c:v>1.345045349106444</c:v>
                </c:pt>
                <c:pt idx="52">
                  <c:v>1.3496532880062029</c:v>
                </c:pt>
                <c:pt idx="53">
                  <c:v>1.3456015553725109</c:v>
                </c:pt>
                <c:pt idx="54">
                  <c:v>1.3265104771475578</c:v>
                </c:pt>
                <c:pt idx="55">
                  <c:v>1.310169286459173</c:v>
                </c:pt>
                <c:pt idx="56">
                  <c:v>1.3144048987174362</c:v>
                </c:pt>
                <c:pt idx="57">
                  <c:v>1.30970415978513</c:v>
                </c:pt>
                <c:pt idx="58">
                  <c:v>1.2975663919198244</c:v>
                </c:pt>
                <c:pt idx="59">
                  <c:v>1.2777818191837653</c:v>
                </c:pt>
                <c:pt idx="60">
                  <c:v>1.2624239859525765</c:v>
                </c:pt>
                <c:pt idx="61">
                  <c:v>1.2438242853130888</c:v>
                </c:pt>
                <c:pt idx="62">
                  <c:v>1.2247475527277674</c:v>
                </c:pt>
                <c:pt idx="63">
                  <c:v>1.2090389601766116</c:v>
                </c:pt>
                <c:pt idx="64">
                  <c:v>1.1990230473341468</c:v>
                </c:pt>
                <c:pt idx="65">
                  <c:v>1.2045237496789429</c:v>
                </c:pt>
                <c:pt idx="66">
                  <c:v>1.202168111853652</c:v>
                </c:pt>
                <c:pt idx="67">
                  <c:v>1.1969437187832499</c:v>
                </c:pt>
                <c:pt idx="68">
                  <c:v>1.1910415288195697</c:v>
                </c:pt>
                <c:pt idx="69">
                  <c:v>1.2033040835650377</c:v>
                </c:pt>
                <c:pt idx="70">
                  <c:v>1.2333790685602031</c:v>
                </c:pt>
                <c:pt idx="71">
                  <c:v>1.2501422855222488</c:v>
                </c:pt>
                <c:pt idx="72">
                  <c:v>1.2577282639308462</c:v>
                </c:pt>
                <c:pt idx="73">
                  <c:v>1.2594458270287934</c:v>
                </c:pt>
              </c:numCache>
            </c:numRef>
          </c:val>
          <c:smooth val="0"/>
        </c:ser>
        <c:dLbls>
          <c:showLegendKey val="0"/>
          <c:showVal val="0"/>
          <c:showCatName val="0"/>
          <c:showSerName val="0"/>
          <c:showPercent val="0"/>
          <c:showBubbleSize val="0"/>
        </c:dLbls>
        <c:marker val="1"/>
        <c:smooth val="0"/>
        <c:axId val="86323584"/>
        <c:axId val="86325120"/>
      </c:lineChart>
      <c:catAx>
        <c:axId val="86323584"/>
        <c:scaling>
          <c:orientation val="minMax"/>
        </c:scaling>
        <c:delete val="0"/>
        <c:axPos val="b"/>
        <c:numFmt formatCode="General" sourceLinked="1"/>
        <c:majorTickMark val="out"/>
        <c:minorTickMark val="none"/>
        <c:tickLblPos val="low"/>
        <c:txPr>
          <a:bodyPr rot="0" vert="horz"/>
          <a:lstStyle/>
          <a:p>
            <a:pPr>
              <a:defRPr>
                <a:latin typeface="Arial" pitchFamily="34" charset="0"/>
                <a:cs typeface="Arial" pitchFamily="34" charset="0"/>
              </a:defRPr>
            </a:pPr>
            <a:endParaRPr lang="en-US"/>
          </a:p>
        </c:txPr>
        <c:crossAx val="86325120"/>
        <c:crossesAt val="-6"/>
        <c:auto val="1"/>
        <c:lblAlgn val="ctr"/>
        <c:lblOffset val="100"/>
        <c:tickLblSkip val="10"/>
        <c:tickMarkSkip val="10"/>
        <c:noMultiLvlLbl val="0"/>
      </c:catAx>
      <c:valAx>
        <c:axId val="86325120"/>
        <c:scaling>
          <c:orientation val="minMax"/>
        </c:scaling>
        <c:delete val="0"/>
        <c:axPos val="l"/>
        <c:majorGridlines>
          <c:spPr>
            <a:ln w="9525" cap="flat" cmpd="sng" algn="ctr">
              <a:solidFill>
                <a:srgbClr val="CDCDCD"/>
              </a:solidFill>
              <a:prstDash val="solid"/>
              <a:round/>
              <a:headEnd type="none" w="med" len="med"/>
              <a:tailEnd type="none" w="med" len="med"/>
            </a:ln>
          </c:spPr>
        </c:majorGridlines>
        <c:numFmt formatCode="#\ ##0" sourceLinked="0"/>
        <c:majorTickMark val="out"/>
        <c:minorTickMark val="none"/>
        <c:tickLblPos val="nextTo"/>
        <c:spPr>
          <a:ln w="9525" cap="flat" cmpd="sng" algn="ctr">
            <a:solidFill>
              <a:srgbClr val="787878"/>
            </a:solidFill>
            <a:prstDash val="solid"/>
            <a:round/>
            <a:headEnd type="none" w="med" len="med"/>
            <a:tailEnd type="none" w="med" len="med"/>
          </a:ln>
        </c:spPr>
        <c:crossAx val="86323584"/>
        <c:crosses val="autoZero"/>
        <c:crossBetween val="between"/>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1220449377044038E-2"/>
          <c:y val="3.6824287179401463E-2"/>
          <c:w val="0.90166216920600217"/>
          <c:h val="0.80323353293413169"/>
        </c:manualLayout>
      </c:layout>
      <c:areaChart>
        <c:grouping val="stacked"/>
        <c:varyColors val="0"/>
        <c:ser>
          <c:idx val="0"/>
          <c:order val="0"/>
          <c:tx>
            <c:strRef>
              <c:f>'Revised summary costs by age'!$T$9</c:f>
              <c:strCache>
                <c:ptCount val="1"/>
                <c:pt idx="0">
                  <c:v>Other</c:v>
                </c:pt>
              </c:strCache>
            </c:strRef>
          </c:tx>
          <c:spPr>
            <a:solidFill>
              <a:srgbClr val="ADA6CE"/>
            </a:solidFill>
          </c:spPr>
          <c:cat>
            <c:strRef>
              <c:f>'Revised summary costs by age'!$S$10:$S$30</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c:v>
                </c:pt>
              </c:strCache>
            </c:strRef>
          </c:cat>
          <c:val>
            <c:numRef>
              <c:f>'Revised summary costs by age'!$T$10:$T$30</c:f>
              <c:numCache>
                <c:formatCode>0</c:formatCode>
                <c:ptCount val="21"/>
                <c:pt idx="0">
                  <c:v>18.985679653338742</c:v>
                </c:pt>
                <c:pt idx="1">
                  <c:v>15.324367349935823</c:v>
                </c:pt>
                <c:pt idx="2">
                  <c:v>13.747889041008898</c:v>
                </c:pt>
                <c:pt idx="3">
                  <c:v>11.934417250571299</c:v>
                </c:pt>
                <c:pt idx="4">
                  <c:v>11.099639951000894</c:v>
                </c:pt>
                <c:pt idx="5">
                  <c:v>11.132667109120925</c:v>
                </c:pt>
                <c:pt idx="6">
                  <c:v>11.589628422245994</c:v>
                </c:pt>
                <c:pt idx="7">
                  <c:v>11.933999651396212</c:v>
                </c:pt>
                <c:pt idx="8">
                  <c:v>11.833611384192473</c:v>
                </c:pt>
                <c:pt idx="9">
                  <c:v>12.252642200591287</c:v>
                </c:pt>
                <c:pt idx="10">
                  <c:v>12.397291542890878</c:v>
                </c:pt>
                <c:pt idx="11">
                  <c:v>13.275997758119772</c:v>
                </c:pt>
                <c:pt idx="12">
                  <c:v>14.227890929396068</c:v>
                </c:pt>
                <c:pt idx="13">
                  <c:v>10.499770235084711</c:v>
                </c:pt>
                <c:pt idx="14">
                  <c:v>10.131822479373167</c:v>
                </c:pt>
                <c:pt idx="15">
                  <c:v>10.098802899729495</c:v>
                </c:pt>
                <c:pt idx="16">
                  <c:v>9.9381747306841817</c:v>
                </c:pt>
                <c:pt idx="17">
                  <c:v>9.9381747306841817</c:v>
                </c:pt>
                <c:pt idx="18">
                  <c:v>9.9381747306841888</c:v>
                </c:pt>
                <c:pt idx="19">
                  <c:v>9.9381747306841675</c:v>
                </c:pt>
                <c:pt idx="20">
                  <c:v>9.9381747306841817</c:v>
                </c:pt>
              </c:numCache>
            </c:numRef>
          </c:val>
        </c:ser>
        <c:ser>
          <c:idx val="3"/>
          <c:order val="1"/>
          <c:tx>
            <c:strRef>
              <c:f>'Revised summary costs by age'!$W$9</c:f>
              <c:strCache>
                <c:ptCount val="1"/>
                <c:pt idx="0">
                  <c:v>Health</c:v>
                </c:pt>
              </c:strCache>
            </c:strRef>
          </c:tx>
          <c:spPr>
            <a:solidFill>
              <a:srgbClr val="39580D"/>
            </a:solidFill>
          </c:spPr>
          <c:cat>
            <c:strRef>
              <c:f>'Revised summary costs by age'!$S$10:$S$30</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c:v>
                </c:pt>
              </c:strCache>
            </c:strRef>
          </c:cat>
          <c:val>
            <c:numRef>
              <c:f>'Revised summary costs by age'!$W$10:$W$30</c:f>
              <c:numCache>
                <c:formatCode>_(* #,##0.00_);_(* \(#,##0.00\);_(* "-"??_);_(@_)</c:formatCode>
                <c:ptCount val="21"/>
                <c:pt idx="0">
                  <c:v>2.8099709144808869</c:v>
                </c:pt>
                <c:pt idx="1">
                  <c:v>1.587772283617106</c:v>
                </c:pt>
                <c:pt idx="2">
                  <c:v>1.6317444178652594</c:v>
                </c:pt>
                <c:pt idx="3">
                  <c:v>2.0954506042616265</c:v>
                </c:pt>
                <c:pt idx="4">
                  <c:v>2.3209983946818569</c:v>
                </c:pt>
                <c:pt idx="5">
                  <c:v>2.7725042812225058</c:v>
                </c:pt>
                <c:pt idx="6">
                  <c:v>3.0968140071178429</c:v>
                </c:pt>
                <c:pt idx="7">
                  <c:v>3.2151073020936543</c:v>
                </c:pt>
                <c:pt idx="8">
                  <c:v>3.1524793694355266</c:v>
                </c:pt>
                <c:pt idx="9">
                  <c:v>3.5117564773804291</c:v>
                </c:pt>
                <c:pt idx="10">
                  <c:v>3.8116365477601759</c:v>
                </c:pt>
                <c:pt idx="11">
                  <c:v>4.9096754594806642</c:v>
                </c:pt>
                <c:pt idx="12">
                  <c:v>5.6661361290162366</c:v>
                </c:pt>
                <c:pt idx="13">
                  <c:v>7.853911837309135</c:v>
                </c:pt>
                <c:pt idx="14">
                  <c:v>9.3551060892817013</c:v>
                </c:pt>
                <c:pt idx="15">
                  <c:v>12.244096314708411</c:v>
                </c:pt>
                <c:pt idx="16">
                  <c:v>14.797168846988177</c:v>
                </c:pt>
                <c:pt idx="17">
                  <c:v>17.786559190766724</c:v>
                </c:pt>
                <c:pt idx="18">
                  <c:v>17.634577930081125</c:v>
                </c:pt>
                <c:pt idx="19">
                  <c:v>17.541093607954632</c:v>
                </c:pt>
                <c:pt idx="20">
                  <c:v>17.541093607954632</c:v>
                </c:pt>
              </c:numCache>
            </c:numRef>
          </c:val>
        </c:ser>
        <c:ser>
          <c:idx val="4"/>
          <c:order val="2"/>
          <c:tx>
            <c:strRef>
              <c:f>'Revised summary costs by age'!$U$9</c:f>
              <c:strCache>
                <c:ptCount val="1"/>
                <c:pt idx="0">
                  <c:v>Age Pension</c:v>
                </c:pt>
              </c:strCache>
            </c:strRef>
          </c:tx>
          <c:spPr>
            <a:solidFill>
              <a:srgbClr val="CDCDCD"/>
            </a:solidFill>
          </c:spPr>
          <c:cat>
            <c:strRef>
              <c:f>'Revised summary costs by age'!$S$10:$S$30</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c:v>
                </c:pt>
              </c:strCache>
            </c:strRef>
          </c:cat>
          <c:val>
            <c:numRef>
              <c:f>'Revised summary costs by age'!$U$10:$U$30</c:f>
              <c:numCache>
                <c:formatCode>0</c:formatCode>
                <c:ptCount val="21"/>
                <c:pt idx="0">
                  <c:v>0</c:v>
                </c:pt>
                <c:pt idx="1">
                  <c:v>0</c:v>
                </c:pt>
                <c:pt idx="2">
                  <c:v>0</c:v>
                </c:pt>
                <c:pt idx="3">
                  <c:v>0</c:v>
                </c:pt>
                <c:pt idx="4">
                  <c:v>0</c:v>
                </c:pt>
                <c:pt idx="5">
                  <c:v>0</c:v>
                </c:pt>
                <c:pt idx="6">
                  <c:v>0</c:v>
                </c:pt>
                <c:pt idx="7">
                  <c:v>0</c:v>
                </c:pt>
                <c:pt idx="8">
                  <c:v>0</c:v>
                </c:pt>
                <c:pt idx="9">
                  <c:v>0</c:v>
                </c:pt>
                <c:pt idx="10">
                  <c:v>0</c:v>
                </c:pt>
                <c:pt idx="11">
                  <c:v>0</c:v>
                </c:pt>
                <c:pt idx="12">
                  <c:v>0</c:v>
                </c:pt>
                <c:pt idx="13">
                  <c:v>7.7502570124199996</c:v>
                </c:pt>
                <c:pt idx="14">
                  <c:v>11.766239531027011</c:v>
                </c:pt>
                <c:pt idx="15">
                  <c:v>14.628732274116921</c:v>
                </c:pt>
                <c:pt idx="16">
                  <c:v>15.727120877343545</c:v>
                </c:pt>
                <c:pt idx="17">
                  <c:v>16.157230122597152</c:v>
                </c:pt>
                <c:pt idx="18">
                  <c:v>16.157230122597152</c:v>
                </c:pt>
                <c:pt idx="19">
                  <c:v>16.157230122597152</c:v>
                </c:pt>
                <c:pt idx="20">
                  <c:v>16.157230122597152</c:v>
                </c:pt>
              </c:numCache>
            </c:numRef>
          </c:val>
        </c:ser>
        <c:ser>
          <c:idx val="1"/>
          <c:order val="3"/>
          <c:tx>
            <c:strRef>
              <c:f>'Revised summary costs by age'!$V$9</c:f>
              <c:strCache>
                <c:ptCount val="1"/>
                <c:pt idx="0">
                  <c:v>Aged Care</c:v>
                </c:pt>
              </c:strCache>
            </c:strRef>
          </c:tx>
          <c:cat>
            <c:strRef>
              <c:f>'Revised summary costs by age'!$S$10:$S$30</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c:v>
                </c:pt>
              </c:strCache>
            </c:strRef>
          </c:cat>
          <c:val>
            <c:numRef>
              <c:f>'Revised summary costs by age'!$V$10:$V$30</c:f>
              <c:numCache>
                <c:formatCode>0</c:formatCode>
                <c:ptCount val="21"/>
                <c:pt idx="0">
                  <c:v>2.1439868012052915E-2</c:v>
                </c:pt>
                <c:pt idx="1">
                  <c:v>2.1439868012052915E-2</c:v>
                </c:pt>
                <c:pt idx="2">
                  <c:v>2.1439868012052915E-2</c:v>
                </c:pt>
                <c:pt idx="3">
                  <c:v>2.1439868012052915E-2</c:v>
                </c:pt>
                <c:pt idx="4">
                  <c:v>2.1439868012052915E-2</c:v>
                </c:pt>
                <c:pt idx="5">
                  <c:v>2.1439868012052915E-2</c:v>
                </c:pt>
                <c:pt idx="6">
                  <c:v>2.1439868012052915E-2</c:v>
                </c:pt>
                <c:pt idx="7">
                  <c:v>2.1439868012052915E-2</c:v>
                </c:pt>
                <c:pt idx="8">
                  <c:v>2.1439868012052915E-2</c:v>
                </c:pt>
                <c:pt idx="9">
                  <c:v>2.1439868012052915E-2</c:v>
                </c:pt>
                <c:pt idx="10">
                  <c:v>2.1439868012052915E-2</c:v>
                </c:pt>
                <c:pt idx="11">
                  <c:v>2.1439868012052915E-2</c:v>
                </c:pt>
                <c:pt idx="12">
                  <c:v>2.1439868012052915E-2</c:v>
                </c:pt>
                <c:pt idx="13">
                  <c:v>0.48198879389515475</c:v>
                </c:pt>
                <c:pt idx="14">
                  <c:v>1.0225580936114276</c:v>
                </c:pt>
                <c:pt idx="15">
                  <c:v>2.3589845218956342</c:v>
                </c:pt>
                <c:pt idx="16">
                  <c:v>5.3684665884025895</c:v>
                </c:pt>
                <c:pt idx="17">
                  <c:v>11.302508819389988</c:v>
                </c:pt>
                <c:pt idx="18">
                  <c:v>19.863292339602356</c:v>
                </c:pt>
                <c:pt idx="19">
                  <c:v>28.724848334974688</c:v>
                </c:pt>
                <c:pt idx="20">
                  <c:v>28.724848334974688</c:v>
                </c:pt>
              </c:numCache>
            </c:numRef>
          </c:val>
        </c:ser>
        <c:ser>
          <c:idx val="2"/>
          <c:order val="4"/>
          <c:tx>
            <c:strRef>
              <c:f>'Revised summary costs by age'!$X$9</c:f>
              <c:strCache>
                <c:ptCount val="1"/>
                <c:pt idx="0">
                  <c:v>Education</c:v>
                </c:pt>
              </c:strCache>
            </c:strRef>
          </c:tx>
          <c:spPr>
            <a:solidFill>
              <a:srgbClr val="953735"/>
            </a:solidFill>
          </c:spPr>
          <c:cat>
            <c:strRef>
              <c:f>'Revised summary costs by age'!$S$10:$S$30</c:f>
              <c:strCache>
                <c:ptCount val="21"/>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85-89</c:v>
                </c:pt>
                <c:pt idx="18">
                  <c:v>90-94</c:v>
                </c:pt>
                <c:pt idx="19">
                  <c:v>95-99</c:v>
                </c:pt>
                <c:pt idx="20">
                  <c:v>100+</c:v>
                </c:pt>
              </c:strCache>
            </c:strRef>
          </c:cat>
          <c:val>
            <c:numRef>
              <c:f>'Revised summary costs by age'!$X$10:$X$30</c:f>
              <c:numCache>
                <c:formatCode>_(* #,##0.00_);_(* \(#,##0.00\);_(* "-"??_);_(@_)</c:formatCode>
                <c:ptCount val="21"/>
                <c:pt idx="0">
                  <c:v>2.8002229081379926</c:v>
                </c:pt>
                <c:pt idx="1">
                  <c:v>13.004893779104886</c:v>
                </c:pt>
                <c:pt idx="2">
                  <c:v>13.686370900936067</c:v>
                </c:pt>
                <c:pt idx="3">
                  <c:v>9.1092652451606533</c:v>
                </c:pt>
                <c:pt idx="4">
                  <c:v>2.2372262424857867</c:v>
                </c:pt>
                <c:pt idx="5">
                  <c:v>1.1475808123395201</c:v>
                </c:pt>
                <c:pt idx="6">
                  <c:v>0.87202464917961287</c:v>
                </c:pt>
                <c:pt idx="7">
                  <c:v>0.73076053913270489</c:v>
                </c:pt>
                <c:pt idx="8">
                  <c:v>0.63038686516045461</c:v>
                </c:pt>
                <c:pt idx="9">
                  <c:v>0.55280065915270071</c:v>
                </c:pt>
                <c:pt idx="10">
                  <c:v>0.46829379117482139</c:v>
                </c:pt>
                <c:pt idx="11">
                  <c:v>0.39949679386892806</c:v>
                </c:pt>
                <c:pt idx="12">
                  <c:v>0.33750363550350992</c:v>
                </c:pt>
                <c:pt idx="13">
                  <c:v>0.2987583796643839</c:v>
                </c:pt>
                <c:pt idx="14">
                  <c:v>0.28108174228627181</c:v>
                </c:pt>
                <c:pt idx="15">
                  <c:v>0.2730265919341554</c:v>
                </c:pt>
                <c:pt idx="16">
                  <c:v>0.26635800947546889</c:v>
                </c:pt>
                <c:pt idx="17">
                  <c:v>0.26352501058645489</c:v>
                </c:pt>
                <c:pt idx="18">
                  <c:v>0.26205792269519446</c:v>
                </c:pt>
                <c:pt idx="19">
                  <c:v>0.2631419729915595</c:v>
                </c:pt>
                <c:pt idx="20">
                  <c:v>0.28729778248719001</c:v>
                </c:pt>
              </c:numCache>
            </c:numRef>
          </c:val>
        </c:ser>
        <c:dLbls>
          <c:showLegendKey val="0"/>
          <c:showVal val="0"/>
          <c:showCatName val="0"/>
          <c:showSerName val="0"/>
          <c:showPercent val="0"/>
          <c:showBubbleSize val="0"/>
        </c:dLbls>
        <c:axId val="117846400"/>
        <c:axId val="117847936"/>
      </c:areaChart>
      <c:catAx>
        <c:axId val="117846400"/>
        <c:scaling>
          <c:orientation val="minMax"/>
        </c:scaling>
        <c:delete val="0"/>
        <c:axPos val="b"/>
        <c:majorTickMark val="out"/>
        <c:minorTickMark val="none"/>
        <c:tickLblPos val="nextTo"/>
        <c:txPr>
          <a:bodyPr rot="-5400000" vert="horz"/>
          <a:lstStyle/>
          <a:p>
            <a:pPr>
              <a:defRPr/>
            </a:pPr>
            <a:endParaRPr lang="en-US"/>
          </a:p>
        </c:txPr>
        <c:crossAx val="117847936"/>
        <c:crosses val="autoZero"/>
        <c:auto val="1"/>
        <c:lblAlgn val="ctr"/>
        <c:lblOffset val="100"/>
        <c:noMultiLvlLbl val="0"/>
      </c:catAx>
      <c:valAx>
        <c:axId val="117847936"/>
        <c:scaling>
          <c:orientation val="minMax"/>
        </c:scaling>
        <c:delete val="0"/>
        <c:axPos val="l"/>
        <c:majorGridlines/>
        <c:numFmt formatCode="[&gt;=1000]\ ##,;General" sourceLinked="0"/>
        <c:majorTickMark val="out"/>
        <c:minorTickMark val="none"/>
        <c:tickLblPos val="nextTo"/>
        <c:spPr>
          <a:ln w="9525" cap="flat" cmpd="sng" algn="ctr">
            <a:solidFill>
              <a:srgbClr val="CDCDCD"/>
            </a:solidFill>
            <a:prstDash val="solid"/>
            <a:round/>
            <a:headEnd type="none" w="med" len="med"/>
            <a:tailEnd type="none" w="med" len="med"/>
          </a:ln>
        </c:spPr>
        <c:crossAx val="117846400"/>
        <c:crosses val="autoZero"/>
        <c:crossBetween val="midCat"/>
        <c:majorUnit val="20"/>
      </c:valAx>
      <c:spPr>
        <a:ln w="9525" cap="flat" cmpd="sng" algn="ctr">
          <a:solidFill>
            <a:srgbClr val="787878"/>
          </a:solidFill>
          <a:prstDash val="solid"/>
          <a:round/>
          <a:headEnd type="none" w="med" len="med"/>
          <a:tailEnd type="none" w="med" len="med"/>
        </a:ln>
      </c:spPr>
    </c:plotArea>
    <c:plotVisOnly val="1"/>
    <c:dispBlanksAs val="zero"/>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859654701233605"/>
          <c:y val="3.9426512170430909E-2"/>
          <c:w val="0.79353387180555801"/>
          <c:h val="0.80210854228867379"/>
        </c:manualLayout>
      </c:layout>
      <c:barChart>
        <c:barDir val="bar"/>
        <c:grouping val="clustered"/>
        <c:varyColors val="0"/>
        <c:ser>
          <c:idx val="0"/>
          <c:order val="0"/>
          <c:tx>
            <c:strRef>
              <c:f>'Hospital costs'!$E$4</c:f>
              <c:strCache>
                <c:ptCount val="1"/>
                <c:pt idx="0">
                  <c:v>2010-11 per capita female</c:v>
                </c:pt>
              </c:strCache>
            </c:strRef>
          </c:tx>
          <c:spPr>
            <a:solidFill>
              <a:schemeClr val="tx1"/>
            </a:solidFill>
          </c:spPr>
          <c:invertIfNegative val="0"/>
          <c:cat>
            <c:strRef>
              <c:f>'Hospital costs'!$D$5:$D$23</c:f>
              <c:strCache>
                <c:ptCount val="19"/>
                <c:pt idx="0">
                  <c:v>&lt; 1</c:v>
                </c:pt>
                <c:pt idx="1">
                  <c:v>1–4</c:v>
                </c:pt>
                <c:pt idx="2">
                  <c:v>5–9 </c:v>
                </c:pt>
                <c:pt idx="3">
                  <c:v>10–14 </c:v>
                </c:pt>
                <c:pt idx="4">
                  <c:v>15–19 </c:v>
                </c:pt>
                <c:pt idx="5">
                  <c:v>20–24 </c:v>
                </c:pt>
                <c:pt idx="6">
                  <c:v>25–29 </c:v>
                </c:pt>
                <c:pt idx="7">
                  <c:v>30–34 </c:v>
                </c:pt>
                <c:pt idx="8">
                  <c:v>35–39 </c:v>
                </c:pt>
                <c:pt idx="9">
                  <c:v>40–44 </c:v>
                </c:pt>
                <c:pt idx="10">
                  <c:v>45–49 </c:v>
                </c:pt>
                <c:pt idx="11">
                  <c:v>50–54 </c:v>
                </c:pt>
                <c:pt idx="12">
                  <c:v>55–59 </c:v>
                </c:pt>
                <c:pt idx="13">
                  <c:v>60–64 </c:v>
                </c:pt>
                <c:pt idx="14">
                  <c:v>65–69 </c:v>
                </c:pt>
                <c:pt idx="15">
                  <c:v>70–74 </c:v>
                </c:pt>
                <c:pt idx="16">
                  <c:v>75–79 </c:v>
                </c:pt>
                <c:pt idx="17">
                  <c:v>80–84 </c:v>
                </c:pt>
                <c:pt idx="18">
                  <c:v>85+    </c:v>
                </c:pt>
              </c:strCache>
            </c:strRef>
          </c:cat>
          <c:val>
            <c:numRef>
              <c:f>'Hospital costs'!$E$5:$E$23</c:f>
              <c:numCache>
                <c:formatCode>_(* #,##0.00_);_(* \(#,##0.00\);_(* "-"??_);_(@_)</c:formatCode>
                <c:ptCount val="19"/>
                <c:pt idx="0">
                  <c:v>3795.822394752834</c:v>
                </c:pt>
                <c:pt idx="1">
                  <c:v>347.7582737960393</c:v>
                </c:pt>
                <c:pt idx="2">
                  <c:v>195.03867227254983</c:v>
                </c:pt>
                <c:pt idx="3">
                  <c:v>259.70819693257761</c:v>
                </c:pt>
                <c:pt idx="4">
                  <c:v>652.28151799552404</c:v>
                </c:pt>
                <c:pt idx="5">
                  <c:v>891.38760260918195</c:v>
                </c:pt>
                <c:pt idx="6">
                  <c:v>1236.0591311117187</c:v>
                </c:pt>
                <c:pt idx="7">
                  <c:v>1545.8804072878079</c:v>
                </c:pt>
                <c:pt idx="8">
                  <c:v>1414.3452123416982</c:v>
                </c:pt>
                <c:pt idx="9">
                  <c:v>1124.5373265136902</c:v>
                </c:pt>
                <c:pt idx="10">
                  <c:v>1185.7467983652</c:v>
                </c:pt>
                <c:pt idx="11">
                  <c:v>1396.9086880729558</c:v>
                </c:pt>
                <c:pt idx="12">
                  <c:v>1694.1099984240448</c:v>
                </c:pt>
                <c:pt idx="13">
                  <c:v>2178.4306974269598</c:v>
                </c:pt>
                <c:pt idx="14">
                  <c:v>2973.1373359605323</c:v>
                </c:pt>
                <c:pt idx="15">
                  <c:v>4268.1533702126571</c:v>
                </c:pt>
                <c:pt idx="16">
                  <c:v>5929.4484298138786</c:v>
                </c:pt>
                <c:pt idx="17">
                  <c:v>8315.9331097215218</c:v>
                </c:pt>
                <c:pt idx="18">
                  <c:v>11453.595654334364</c:v>
                </c:pt>
              </c:numCache>
            </c:numRef>
          </c:val>
        </c:ser>
        <c:ser>
          <c:idx val="1"/>
          <c:order val="1"/>
          <c:tx>
            <c:strRef>
              <c:f>'Hospital costs'!$F$4</c:f>
              <c:strCache>
                <c:ptCount val="1"/>
                <c:pt idx="0">
                  <c:v>2010-11 per capita male</c:v>
                </c:pt>
              </c:strCache>
            </c:strRef>
          </c:tx>
          <c:spPr>
            <a:solidFill>
              <a:srgbClr val="78A22F"/>
            </a:solidFill>
          </c:spPr>
          <c:invertIfNegative val="0"/>
          <c:cat>
            <c:strRef>
              <c:f>'Hospital costs'!$D$5:$D$23</c:f>
              <c:strCache>
                <c:ptCount val="19"/>
                <c:pt idx="0">
                  <c:v>&lt; 1</c:v>
                </c:pt>
                <c:pt idx="1">
                  <c:v>1–4</c:v>
                </c:pt>
                <c:pt idx="2">
                  <c:v>5–9 </c:v>
                </c:pt>
                <c:pt idx="3">
                  <c:v>10–14 </c:v>
                </c:pt>
                <c:pt idx="4">
                  <c:v>15–19 </c:v>
                </c:pt>
                <c:pt idx="5">
                  <c:v>20–24 </c:v>
                </c:pt>
                <c:pt idx="6">
                  <c:v>25–29 </c:v>
                </c:pt>
                <c:pt idx="7">
                  <c:v>30–34 </c:v>
                </c:pt>
                <c:pt idx="8">
                  <c:v>35–39 </c:v>
                </c:pt>
                <c:pt idx="9">
                  <c:v>40–44 </c:v>
                </c:pt>
                <c:pt idx="10">
                  <c:v>45–49 </c:v>
                </c:pt>
                <c:pt idx="11">
                  <c:v>50–54 </c:v>
                </c:pt>
                <c:pt idx="12">
                  <c:v>55–59 </c:v>
                </c:pt>
                <c:pt idx="13">
                  <c:v>60–64 </c:v>
                </c:pt>
                <c:pt idx="14">
                  <c:v>65–69 </c:v>
                </c:pt>
                <c:pt idx="15">
                  <c:v>70–74 </c:v>
                </c:pt>
                <c:pt idx="16">
                  <c:v>75–79 </c:v>
                </c:pt>
                <c:pt idx="17">
                  <c:v>80–84 </c:v>
                </c:pt>
                <c:pt idx="18">
                  <c:v>85+    </c:v>
                </c:pt>
              </c:strCache>
            </c:strRef>
          </c:cat>
          <c:val>
            <c:numRef>
              <c:f>'Hospital costs'!$F$5:$F$23</c:f>
              <c:numCache>
                <c:formatCode>_(* #,##0.00_);_(* \(#,##0.00\);_(* "-"??_);_(@_)</c:formatCode>
                <c:ptCount val="19"/>
                <c:pt idx="0">
                  <c:v>-4315.1831871638697</c:v>
                </c:pt>
                <c:pt idx="1">
                  <c:v>-439.48215304212192</c:v>
                </c:pt>
                <c:pt idx="2">
                  <c:v>-277.45124375926048</c:v>
                </c:pt>
                <c:pt idx="3">
                  <c:v>-277.70937675103835</c:v>
                </c:pt>
                <c:pt idx="4">
                  <c:v>-499.93173072479175</c:v>
                </c:pt>
                <c:pt idx="5">
                  <c:v>-613.23825470481609</c:v>
                </c:pt>
                <c:pt idx="6">
                  <c:v>-678.70830177361938</c:v>
                </c:pt>
                <c:pt idx="7">
                  <c:v>-799.2115103403637</c:v>
                </c:pt>
                <c:pt idx="8">
                  <c:v>-926.28171750472802</c:v>
                </c:pt>
                <c:pt idx="9">
                  <c:v>-976.7458657035379</c:v>
                </c:pt>
                <c:pt idx="10">
                  <c:v>-1206.7618241262901</c:v>
                </c:pt>
                <c:pt idx="11">
                  <c:v>-1454.5629065606552</c:v>
                </c:pt>
                <c:pt idx="12">
                  <c:v>-1923.4191027707109</c:v>
                </c:pt>
                <c:pt idx="13">
                  <c:v>-2658.2693272621495</c:v>
                </c:pt>
                <c:pt idx="14">
                  <c:v>-3518.4605855428008</c:v>
                </c:pt>
                <c:pt idx="15">
                  <c:v>-4977.4401828010296</c:v>
                </c:pt>
                <c:pt idx="16">
                  <c:v>-7137.029210216534</c:v>
                </c:pt>
                <c:pt idx="17">
                  <c:v>-9562.4281601994808</c:v>
                </c:pt>
                <c:pt idx="18">
                  <c:v>-13577.323988155054</c:v>
                </c:pt>
              </c:numCache>
            </c:numRef>
          </c:val>
        </c:ser>
        <c:dLbls>
          <c:showLegendKey val="0"/>
          <c:showVal val="0"/>
          <c:showCatName val="0"/>
          <c:showSerName val="0"/>
          <c:showPercent val="0"/>
          <c:showBubbleSize val="0"/>
        </c:dLbls>
        <c:gapWidth val="13"/>
        <c:overlap val="100"/>
        <c:axId val="117856128"/>
        <c:axId val="117866496"/>
      </c:barChart>
      <c:catAx>
        <c:axId val="117856128"/>
        <c:scaling>
          <c:orientation val="minMax"/>
        </c:scaling>
        <c:delete val="0"/>
        <c:axPos val="l"/>
        <c:majorGridlines>
          <c:spPr>
            <a:ln w="9525">
              <a:solidFill>
                <a:srgbClr val="7D7D7D"/>
              </a:solidFill>
            </a:ln>
          </c:spPr>
        </c:majorGridlines>
        <c:title>
          <c:tx>
            <c:rich>
              <a:bodyPr rot="-5400000" vert="horz"/>
              <a:lstStyle/>
              <a:p>
                <a:pPr>
                  <a:defRPr/>
                </a:pPr>
                <a:r>
                  <a:rPr lang="en-AU"/>
                  <a:t>Age (years)</a:t>
                </a:r>
              </a:p>
            </c:rich>
          </c:tx>
          <c:layout>
            <c:manualLayout>
              <c:xMode val="edge"/>
              <c:yMode val="edge"/>
              <c:x val="1.4266527817268341E-2"/>
              <c:y val="0.3321295594136654"/>
            </c:manualLayout>
          </c:layout>
          <c:overlay val="0"/>
        </c:title>
        <c:majorTickMark val="out"/>
        <c:minorTickMark val="none"/>
        <c:tickLblPos val="low"/>
        <c:txPr>
          <a:bodyPr/>
          <a:lstStyle/>
          <a:p>
            <a:pPr>
              <a:defRPr sz="900"/>
            </a:pPr>
            <a:endParaRPr lang="en-US"/>
          </a:p>
        </c:txPr>
        <c:crossAx val="117866496"/>
        <c:crosses val="autoZero"/>
        <c:auto val="1"/>
        <c:lblAlgn val="ctr"/>
        <c:lblOffset val="100"/>
        <c:noMultiLvlLbl val="0"/>
      </c:catAx>
      <c:valAx>
        <c:axId val="117866496"/>
        <c:scaling>
          <c:orientation val="minMax"/>
        </c:scaling>
        <c:delete val="0"/>
        <c:axPos val="b"/>
        <c:majorGridlines>
          <c:spPr>
            <a:ln w="9525" cap="flat" cmpd="sng" algn="ctr">
              <a:solidFill>
                <a:srgbClr val="CDCDCD"/>
              </a:solidFill>
              <a:prstDash val="solid"/>
              <a:round/>
              <a:headEnd type="none" w="med" len="med"/>
              <a:tailEnd type="none" w="med" len="med"/>
            </a:ln>
          </c:spPr>
        </c:majorGridlines>
        <c:title>
          <c:tx>
            <c:rich>
              <a:bodyPr/>
              <a:lstStyle/>
              <a:p>
                <a:pPr>
                  <a:defRPr/>
                </a:pPr>
                <a:r>
                  <a:rPr lang="en-AU"/>
                  <a:t>$ per person</a:t>
                </a:r>
              </a:p>
            </c:rich>
          </c:tx>
          <c:layout/>
          <c:overlay val="0"/>
        </c:title>
        <c:numFmt formatCode="#,##0;[Black]#,##0" sourceLinked="0"/>
        <c:majorTickMark val="out"/>
        <c:minorTickMark val="none"/>
        <c:tickLblPos val="nextTo"/>
        <c:spPr>
          <a:ln w="9525" cap="flat" cmpd="sng" algn="ctr">
            <a:solidFill>
              <a:srgbClr val="787878"/>
            </a:solidFill>
            <a:prstDash val="solid"/>
            <a:round/>
            <a:headEnd type="none" w="med" len="med"/>
            <a:tailEnd type="none" w="med" len="med"/>
          </a:ln>
        </c:spPr>
        <c:crossAx val="117856128"/>
        <c:crosses val="autoZero"/>
        <c:crossBetween val="between"/>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6634991439373673"/>
          <c:y val="7.3218029350104824E-2"/>
          <c:w val="0.65603877961626056"/>
          <c:h val="0.76895230607966458"/>
        </c:manualLayout>
      </c:layout>
      <c:barChart>
        <c:barDir val="col"/>
        <c:grouping val="clustered"/>
        <c:varyColors val="0"/>
        <c:ser>
          <c:idx val="0"/>
          <c:order val="0"/>
          <c:tx>
            <c:strRef>
              <c:f>'Drug example'!$B$4</c:f>
              <c:strCache>
                <c:ptCount val="1"/>
                <c:pt idx="0">
                  <c:v>Volume</c:v>
                </c:pt>
              </c:strCache>
            </c:strRef>
          </c:tx>
          <c:spPr>
            <a:solidFill>
              <a:srgbClr val="78A22F"/>
            </a:solidFill>
            <a:ln w="6350">
              <a:solidFill>
                <a:schemeClr val="tx1"/>
              </a:solidFill>
            </a:ln>
          </c:spPr>
          <c:invertIfNegative val="0"/>
          <c:cat>
            <c:strRef>
              <c:f>'Drug example'!$A$5:$A$6</c:f>
              <c:strCache>
                <c:ptCount val="2"/>
                <c:pt idx="0">
                  <c:v>2007-08</c:v>
                </c:pt>
                <c:pt idx="1">
                  <c:v>2011-12</c:v>
                </c:pt>
              </c:strCache>
            </c:strRef>
          </c:cat>
          <c:val>
            <c:numRef>
              <c:f>'Drug example'!$B$5:$B$6</c:f>
              <c:numCache>
                <c:formatCode>General</c:formatCode>
                <c:ptCount val="2"/>
                <c:pt idx="0">
                  <c:v>22.876999999999999</c:v>
                </c:pt>
                <c:pt idx="1">
                  <c:v>145.018</c:v>
                </c:pt>
              </c:numCache>
            </c:numRef>
          </c:val>
        </c:ser>
        <c:dLbls>
          <c:showLegendKey val="0"/>
          <c:showVal val="0"/>
          <c:showCatName val="0"/>
          <c:showSerName val="0"/>
          <c:showPercent val="0"/>
          <c:showBubbleSize val="0"/>
        </c:dLbls>
        <c:gapWidth val="20"/>
        <c:axId val="117876224"/>
        <c:axId val="117877760"/>
      </c:barChart>
      <c:catAx>
        <c:axId val="117876224"/>
        <c:scaling>
          <c:orientation val="minMax"/>
        </c:scaling>
        <c:delete val="0"/>
        <c:axPos val="b"/>
        <c:majorTickMark val="out"/>
        <c:minorTickMark val="none"/>
        <c:tickLblPos val="nextTo"/>
        <c:crossAx val="117877760"/>
        <c:crosses val="autoZero"/>
        <c:auto val="1"/>
        <c:lblAlgn val="ctr"/>
        <c:lblOffset val="100"/>
        <c:noMultiLvlLbl val="0"/>
      </c:catAx>
      <c:valAx>
        <c:axId val="117877760"/>
        <c:scaling>
          <c:orientation val="minMax"/>
        </c:scaling>
        <c:delete val="0"/>
        <c:axPos val="l"/>
        <c:majorGridlines>
          <c:spPr>
            <a:ln w="9525" cap="flat" cmpd="sng" algn="ctr">
              <a:solidFill>
                <a:srgbClr val="CDCDCD"/>
              </a:solidFill>
              <a:prstDash val="solid"/>
              <a:round/>
              <a:headEnd type="none" w="med" len="med"/>
              <a:tailEnd type="none" w="med" len="med"/>
            </a:ln>
          </c:spPr>
        </c:majorGridlines>
        <c:numFmt formatCode="General" sourceLinked="1"/>
        <c:majorTickMark val="out"/>
        <c:minorTickMark val="none"/>
        <c:tickLblPos val="nextTo"/>
        <c:spPr>
          <a:ln w="9525" cap="flat" cmpd="sng" algn="ctr">
            <a:solidFill>
              <a:srgbClr val="787878"/>
            </a:solidFill>
            <a:prstDash val="solid"/>
            <a:round/>
            <a:headEnd type="none" w="med" len="med"/>
            <a:tailEnd type="none" w="med" len="med"/>
          </a:ln>
        </c:spPr>
        <c:crossAx val="117876224"/>
        <c:crosses val="autoZero"/>
        <c:crossBetween val="between"/>
        <c:majorUnit val="40"/>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303124074471236"/>
          <c:y val="7.3218029350104824E-2"/>
          <c:w val="0.67757999121705126"/>
          <c:h val="0.78445702306079668"/>
        </c:manualLayout>
      </c:layout>
      <c:barChart>
        <c:barDir val="col"/>
        <c:grouping val="clustered"/>
        <c:varyColors val="0"/>
        <c:ser>
          <c:idx val="0"/>
          <c:order val="0"/>
          <c:tx>
            <c:strRef>
              <c:f>'Drug example'!$C$4</c:f>
              <c:strCache>
                <c:ptCount val="1"/>
                <c:pt idx="0">
                  <c:v>Govt Cost $</c:v>
                </c:pt>
              </c:strCache>
            </c:strRef>
          </c:tx>
          <c:spPr>
            <a:solidFill>
              <a:srgbClr val="78A22F"/>
            </a:solidFill>
            <a:ln w="6350">
              <a:solidFill>
                <a:schemeClr val="tx1"/>
              </a:solidFill>
            </a:ln>
          </c:spPr>
          <c:invertIfNegative val="0"/>
          <c:cat>
            <c:strRef>
              <c:f>'Drug example'!$A$5:$A$6</c:f>
              <c:strCache>
                <c:ptCount val="2"/>
                <c:pt idx="0">
                  <c:v>2007-08</c:v>
                </c:pt>
                <c:pt idx="1">
                  <c:v>2011-12</c:v>
                </c:pt>
              </c:strCache>
            </c:strRef>
          </c:cat>
          <c:val>
            <c:numRef>
              <c:f>'Drug example'!$C$5:$C$6</c:f>
              <c:numCache>
                <c:formatCode>General</c:formatCode>
                <c:ptCount val="2"/>
                <c:pt idx="0">
                  <c:v>46.867184000000002</c:v>
                </c:pt>
                <c:pt idx="1">
                  <c:v>307.81669282999997</c:v>
                </c:pt>
              </c:numCache>
            </c:numRef>
          </c:val>
        </c:ser>
        <c:dLbls>
          <c:showLegendKey val="0"/>
          <c:showVal val="0"/>
          <c:showCatName val="0"/>
          <c:showSerName val="0"/>
          <c:showPercent val="0"/>
          <c:showBubbleSize val="0"/>
        </c:dLbls>
        <c:gapWidth val="20"/>
        <c:axId val="117898240"/>
        <c:axId val="117912320"/>
      </c:barChart>
      <c:catAx>
        <c:axId val="117898240"/>
        <c:scaling>
          <c:orientation val="minMax"/>
        </c:scaling>
        <c:delete val="0"/>
        <c:axPos val="b"/>
        <c:majorTickMark val="out"/>
        <c:minorTickMark val="none"/>
        <c:tickLblPos val="nextTo"/>
        <c:crossAx val="117912320"/>
        <c:crosses val="autoZero"/>
        <c:auto val="1"/>
        <c:lblAlgn val="ctr"/>
        <c:lblOffset val="100"/>
        <c:noMultiLvlLbl val="0"/>
      </c:catAx>
      <c:valAx>
        <c:axId val="117912320"/>
        <c:scaling>
          <c:orientation val="minMax"/>
          <c:max val="320"/>
          <c:min val="0"/>
        </c:scaling>
        <c:delete val="0"/>
        <c:axPos val="l"/>
        <c:majorGridlines>
          <c:spPr>
            <a:ln w="9525" cap="flat" cmpd="sng" algn="ctr">
              <a:solidFill>
                <a:srgbClr val="CDCDCD"/>
              </a:solidFill>
              <a:prstDash val="solid"/>
              <a:round/>
              <a:headEnd type="none" w="med" len="med"/>
              <a:tailEnd type="none" w="med" len="med"/>
            </a:ln>
          </c:spPr>
        </c:majorGridlines>
        <c:title>
          <c:tx>
            <c:rich>
              <a:bodyPr rot="-5400000" vert="horz"/>
              <a:lstStyle/>
              <a:p>
                <a:pPr>
                  <a:defRPr/>
                </a:pPr>
                <a:r>
                  <a:rPr lang="en-AU" baseline="0"/>
                  <a:t>Cost ($million)</a:t>
                </a:r>
                <a:endParaRPr lang="en-AU"/>
              </a:p>
            </c:rich>
          </c:tx>
          <c:layout>
            <c:manualLayout>
              <c:xMode val="edge"/>
              <c:yMode val="edge"/>
              <c:x val="3.175E-2"/>
              <c:y val="0.13779559748427672"/>
            </c:manualLayout>
          </c:layout>
          <c:overlay val="0"/>
        </c:title>
        <c:numFmt formatCode="General" sourceLinked="1"/>
        <c:majorTickMark val="out"/>
        <c:minorTickMark val="none"/>
        <c:tickLblPos val="nextTo"/>
        <c:spPr>
          <a:ln w="9525" cap="flat" cmpd="sng" algn="ctr">
            <a:solidFill>
              <a:srgbClr val="787878"/>
            </a:solidFill>
            <a:prstDash val="solid"/>
            <a:round/>
            <a:headEnd type="none" w="med" len="med"/>
            <a:tailEnd type="none" w="med" len="med"/>
          </a:ln>
        </c:spPr>
        <c:crossAx val="117898240"/>
        <c:crosses val="autoZero"/>
        <c:crossBetween val="between"/>
        <c:majorUnit val="100"/>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900545998659629"/>
          <c:y val="4.6182878402365644E-2"/>
          <c:w val="0.85891824763770575"/>
          <c:h val="0.69350571836248731"/>
        </c:manualLayout>
      </c:layout>
      <c:barChart>
        <c:barDir val="col"/>
        <c:grouping val="stacked"/>
        <c:varyColors val="0"/>
        <c:ser>
          <c:idx val="0"/>
          <c:order val="0"/>
          <c:tx>
            <c:strRef>
              <c:f>Summary!$A$77</c:f>
              <c:strCache>
                <c:ptCount val="1"/>
                <c:pt idx="0">
                  <c:v>Average years in the labour force</c:v>
                </c:pt>
              </c:strCache>
            </c:strRef>
          </c:tx>
          <c:spPr>
            <a:solidFill>
              <a:srgbClr val="39580D"/>
            </a:solidFill>
          </c:spPr>
          <c:invertIfNegative val="0"/>
          <c:dLbls>
            <c:txPr>
              <a:bodyPr/>
              <a:lstStyle/>
              <a:p>
                <a:pPr>
                  <a:defRPr sz="900">
                    <a:solidFill>
                      <a:schemeClr val="bg1"/>
                    </a:solidFill>
                  </a:defRPr>
                </a:pPr>
                <a:endParaRPr lang="en-US"/>
              </a:p>
            </c:txPr>
            <c:showLegendKey val="0"/>
            <c:showVal val="1"/>
            <c:showCatName val="0"/>
            <c:showSerName val="0"/>
            <c:showPercent val="0"/>
            <c:showBubbleSize val="0"/>
            <c:showLeaderLines val="0"/>
          </c:dLbls>
          <c:cat>
            <c:strRef>
              <c:f>Summary!$B$76:$G$76</c:f>
              <c:strCache>
                <c:ptCount val="6"/>
                <c:pt idx="0">
                  <c:v>Oldest Gen (1901-1925)</c:v>
                </c:pt>
                <c:pt idx="1">
                  <c:v>Silent Gen 1926-1945</c:v>
                </c:pt>
                <c:pt idx="2">
                  <c:v>Baby Boomers 1946-1965</c:v>
                </c:pt>
                <c:pt idx="3">
                  <c:v>Gen X&amp;Y 1966-1985</c:v>
                </c:pt>
                <c:pt idx="4">
                  <c:v>iGeneration 1986-2005</c:v>
                </c:pt>
                <c:pt idx="5">
                  <c:v>GenWhats 2006-2060</c:v>
                </c:pt>
              </c:strCache>
            </c:strRef>
          </c:cat>
          <c:val>
            <c:numRef>
              <c:f>Summary!$B$77:$G$77</c:f>
              <c:numCache>
                <c:formatCode>0.0</c:formatCode>
                <c:ptCount val="6"/>
                <c:pt idx="0">
                  <c:v>43.176896376685491</c:v>
                </c:pt>
                <c:pt idx="1">
                  <c:v>42.640207392715126</c:v>
                </c:pt>
                <c:pt idx="2">
                  <c:v>43.77622169644701</c:v>
                </c:pt>
                <c:pt idx="3">
                  <c:v>44.427964513728867</c:v>
                </c:pt>
                <c:pt idx="4">
                  <c:v>44.852665912897187</c:v>
                </c:pt>
                <c:pt idx="5">
                  <c:v>45.382232417284683</c:v>
                </c:pt>
              </c:numCache>
            </c:numRef>
          </c:val>
        </c:ser>
        <c:ser>
          <c:idx val="1"/>
          <c:order val="1"/>
          <c:tx>
            <c:strRef>
              <c:f>Summary!$A$78</c:f>
              <c:strCache>
                <c:ptCount val="1"/>
                <c:pt idx="0">
                  <c:v>Average years outside</c:v>
                </c:pt>
              </c:strCache>
            </c:strRef>
          </c:tx>
          <c:spPr>
            <a:solidFill>
              <a:srgbClr val="78A22F"/>
            </a:solidFill>
          </c:spPr>
          <c:invertIfNegative val="0"/>
          <c:dLbls>
            <c:txPr>
              <a:bodyPr/>
              <a:lstStyle/>
              <a:p>
                <a:pPr>
                  <a:defRPr sz="900">
                    <a:solidFill>
                      <a:schemeClr val="bg1"/>
                    </a:solidFill>
                  </a:defRPr>
                </a:pPr>
                <a:endParaRPr lang="en-US"/>
              </a:p>
            </c:txPr>
            <c:showLegendKey val="0"/>
            <c:showVal val="1"/>
            <c:showCatName val="0"/>
            <c:showSerName val="0"/>
            <c:showPercent val="0"/>
            <c:showBubbleSize val="0"/>
            <c:showLeaderLines val="0"/>
          </c:dLbls>
          <c:cat>
            <c:strRef>
              <c:f>Summary!$B$76:$G$76</c:f>
              <c:strCache>
                <c:ptCount val="6"/>
                <c:pt idx="0">
                  <c:v>Oldest Gen (1901-1925)</c:v>
                </c:pt>
                <c:pt idx="1">
                  <c:v>Silent Gen 1926-1945</c:v>
                </c:pt>
                <c:pt idx="2">
                  <c:v>Baby Boomers 1946-1965</c:v>
                </c:pt>
                <c:pt idx="3">
                  <c:v>Gen X&amp;Y 1966-1985</c:v>
                </c:pt>
                <c:pt idx="4">
                  <c:v>iGeneration 1986-2005</c:v>
                </c:pt>
                <c:pt idx="5">
                  <c:v>GenWhats 2006-2060</c:v>
                </c:pt>
              </c:strCache>
            </c:strRef>
          </c:cat>
          <c:val>
            <c:numRef>
              <c:f>Summary!$B$78:$G$78</c:f>
              <c:numCache>
                <c:formatCode>0.0</c:formatCode>
                <c:ptCount val="6"/>
                <c:pt idx="0">
                  <c:v>13.197720859544759</c:v>
                </c:pt>
                <c:pt idx="1">
                  <c:v>20.04199507460028</c:v>
                </c:pt>
                <c:pt idx="2">
                  <c:v>23.884584983548251</c:v>
                </c:pt>
                <c:pt idx="3">
                  <c:v>27.748726416932357</c:v>
                </c:pt>
                <c:pt idx="4">
                  <c:v>30.749833131528469</c:v>
                </c:pt>
                <c:pt idx="5">
                  <c:v>32.558644254160853</c:v>
                </c:pt>
              </c:numCache>
            </c:numRef>
          </c:val>
        </c:ser>
        <c:dLbls>
          <c:showLegendKey val="0"/>
          <c:showVal val="0"/>
          <c:showCatName val="0"/>
          <c:showSerName val="0"/>
          <c:showPercent val="0"/>
          <c:showBubbleSize val="0"/>
        </c:dLbls>
        <c:gapWidth val="32"/>
        <c:overlap val="100"/>
        <c:axId val="117926912"/>
        <c:axId val="117928704"/>
      </c:barChart>
      <c:catAx>
        <c:axId val="117926912"/>
        <c:scaling>
          <c:orientation val="minMax"/>
        </c:scaling>
        <c:delete val="0"/>
        <c:axPos val="b"/>
        <c:majorTickMark val="out"/>
        <c:minorTickMark val="none"/>
        <c:tickLblPos val="nextTo"/>
        <c:txPr>
          <a:bodyPr/>
          <a:lstStyle/>
          <a:p>
            <a:pPr>
              <a:defRPr sz="900"/>
            </a:pPr>
            <a:endParaRPr lang="en-US"/>
          </a:p>
        </c:txPr>
        <c:crossAx val="117928704"/>
        <c:crosses val="autoZero"/>
        <c:auto val="1"/>
        <c:lblAlgn val="ctr"/>
        <c:lblOffset val="100"/>
        <c:noMultiLvlLbl val="0"/>
      </c:catAx>
      <c:valAx>
        <c:axId val="117928704"/>
        <c:scaling>
          <c:orientation val="minMax"/>
          <c:max val="100"/>
          <c:min val="0"/>
        </c:scaling>
        <c:delete val="0"/>
        <c:axPos val="l"/>
        <c:majorGridlines>
          <c:spPr>
            <a:ln w="9525" cap="flat" cmpd="sng" algn="ctr">
              <a:solidFill>
                <a:srgbClr val="CDCDCD"/>
              </a:solidFill>
              <a:prstDash val="solid"/>
              <a:round/>
              <a:headEnd type="none" w="med" len="med"/>
              <a:tailEnd type="none" w="med" len="med"/>
            </a:ln>
          </c:spPr>
        </c:majorGridlines>
        <c:numFmt formatCode="0" sourceLinked="0"/>
        <c:majorTickMark val="out"/>
        <c:minorTickMark val="none"/>
        <c:tickLblPos val="nextTo"/>
        <c:spPr>
          <a:ln w="9525" cap="flat" cmpd="sng" algn="ctr">
            <a:solidFill>
              <a:srgbClr val="787878"/>
            </a:solidFill>
            <a:prstDash val="solid"/>
            <a:round/>
            <a:headEnd type="none" w="med" len="med"/>
            <a:tailEnd type="none" w="med" len="med"/>
          </a:ln>
        </c:spPr>
        <c:crossAx val="117926912"/>
        <c:crosses val="autoZero"/>
        <c:crossBetween val="between"/>
        <c:majorUnit val="20"/>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333950903195925"/>
          <c:y val="5.0314465408805034E-2"/>
          <c:w val="0.6855897338092255"/>
          <c:h val="0.75762954379866398"/>
        </c:manualLayout>
      </c:layout>
      <c:lineChart>
        <c:grouping val="standard"/>
        <c:varyColors val="0"/>
        <c:ser>
          <c:idx val="0"/>
          <c:order val="0"/>
          <c:tx>
            <c:strRef>
              <c:f>'Income by age'!$A$3</c:f>
              <c:strCache>
                <c:ptCount val="1"/>
                <c:pt idx="0">
                  <c:v>Disposable income (LHS)</c:v>
                </c:pt>
              </c:strCache>
            </c:strRef>
          </c:tx>
          <c:spPr>
            <a:ln w="22225" cap="rnd" cmpd="sng" algn="ctr">
              <a:solidFill>
                <a:srgbClr val="78A22F"/>
              </a:solidFill>
              <a:prstDash val="sysDash"/>
              <a:round/>
              <a:headEnd type="none" w="med" len="med"/>
              <a:tailEnd type="none" w="med" len="med"/>
            </a:ln>
          </c:spPr>
          <c:marker>
            <c:symbol val="none"/>
          </c:marker>
          <c:cat>
            <c:strRef>
              <c:f>'Income by age'!$A$6:$A$18</c:f>
              <c:strCache>
                <c:ptCount val="13"/>
                <c:pt idx="0">
                  <c:v>&lt;20</c:v>
                </c:pt>
                <c:pt idx="1">
                  <c:v>20-24</c:v>
                </c:pt>
                <c:pt idx="2">
                  <c:v>25-29</c:v>
                </c:pt>
                <c:pt idx="3">
                  <c:v>30-34</c:v>
                </c:pt>
                <c:pt idx="4">
                  <c:v>35-39</c:v>
                </c:pt>
                <c:pt idx="5">
                  <c:v>40-44</c:v>
                </c:pt>
                <c:pt idx="6">
                  <c:v>45-49</c:v>
                </c:pt>
                <c:pt idx="7">
                  <c:v>50-54</c:v>
                </c:pt>
                <c:pt idx="8">
                  <c:v>55-59</c:v>
                </c:pt>
                <c:pt idx="9">
                  <c:v>60-64</c:v>
                </c:pt>
                <c:pt idx="10">
                  <c:v>65-69</c:v>
                </c:pt>
                <c:pt idx="11">
                  <c:v>70-74</c:v>
                </c:pt>
                <c:pt idx="12">
                  <c:v>75+</c:v>
                </c:pt>
              </c:strCache>
            </c:strRef>
          </c:cat>
          <c:val>
            <c:numRef>
              <c:f>'Income by age'!$F$6:$F$18</c:f>
              <c:numCache>
                <c:formatCode>General</c:formatCode>
                <c:ptCount val="13"/>
                <c:pt idx="0">
                  <c:v>849.00202000000002</c:v>
                </c:pt>
                <c:pt idx="1">
                  <c:v>1388.4776999999999</c:v>
                </c:pt>
                <c:pt idx="2">
                  <c:v>1636.6319000000001</c:v>
                </c:pt>
                <c:pt idx="3">
                  <c:v>1596.0030999999999</c:v>
                </c:pt>
                <c:pt idx="4">
                  <c:v>1679.4956</c:v>
                </c:pt>
                <c:pt idx="5">
                  <c:v>1778.1357</c:v>
                </c:pt>
                <c:pt idx="6">
                  <c:v>1837.1789000000001</c:v>
                </c:pt>
                <c:pt idx="7">
                  <c:v>1902.7977000000001</c:v>
                </c:pt>
                <c:pt idx="8">
                  <c:v>1718.9363000000001</c:v>
                </c:pt>
                <c:pt idx="9">
                  <c:v>1319.5547999999999</c:v>
                </c:pt>
                <c:pt idx="10">
                  <c:v>1011.8637</c:v>
                </c:pt>
                <c:pt idx="11">
                  <c:v>848.72402</c:v>
                </c:pt>
                <c:pt idx="12">
                  <c:v>718.2133</c:v>
                </c:pt>
              </c:numCache>
            </c:numRef>
          </c:val>
          <c:smooth val="0"/>
        </c:ser>
        <c:dLbls>
          <c:showLegendKey val="0"/>
          <c:showVal val="0"/>
          <c:showCatName val="0"/>
          <c:showSerName val="0"/>
          <c:showPercent val="0"/>
          <c:showBubbleSize val="0"/>
        </c:dLbls>
        <c:marker val="1"/>
        <c:smooth val="0"/>
        <c:axId val="117947008"/>
        <c:axId val="117952896"/>
      </c:lineChart>
      <c:lineChart>
        <c:grouping val="standard"/>
        <c:varyColors val="0"/>
        <c:ser>
          <c:idx val="2"/>
          <c:order val="1"/>
          <c:tx>
            <c:strRef>
              <c:f>'Income by age'!$A$39</c:f>
              <c:strCache>
                <c:ptCount val="1"/>
                <c:pt idx="0">
                  <c:v>Net equity (RHS)</c:v>
                </c:pt>
              </c:strCache>
            </c:strRef>
          </c:tx>
          <c:spPr>
            <a:ln w="22225">
              <a:solidFill>
                <a:schemeClr val="accent2"/>
              </a:solidFill>
            </a:ln>
          </c:spPr>
          <c:marker>
            <c:symbol val="none"/>
          </c:marker>
          <c:val>
            <c:numRef>
              <c:f>'Income by age'!$G$41:$G$53</c:f>
              <c:numCache>
                <c:formatCode>General</c:formatCode>
                <c:ptCount val="13"/>
                <c:pt idx="0">
                  <c:v>-0.37235239999999997</c:v>
                </c:pt>
                <c:pt idx="1">
                  <c:v>15.033138000000001</c:v>
                </c:pt>
                <c:pt idx="2">
                  <c:v>70.221693000000002</c:v>
                </c:pt>
                <c:pt idx="3">
                  <c:v>106.52853999999999</c:v>
                </c:pt>
                <c:pt idx="4">
                  <c:v>197.40335999999999</c:v>
                </c:pt>
                <c:pt idx="5">
                  <c:v>265.50110999999998</c:v>
                </c:pt>
                <c:pt idx="6">
                  <c:v>357.63346999999999</c:v>
                </c:pt>
                <c:pt idx="7">
                  <c:v>388.33009999999996</c:v>
                </c:pt>
                <c:pt idx="8">
                  <c:v>437.17258000000004</c:v>
                </c:pt>
                <c:pt idx="9">
                  <c:v>460.34589</c:v>
                </c:pt>
                <c:pt idx="10">
                  <c:v>465.34495000000004</c:v>
                </c:pt>
                <c:pt idx="11">
                  <c:v>443.40384</c:v>
                </c:pt>
                <c:pt idx="12">
                  <c:v>430.64317</c:v>
                </c:pt>
              </c:numCache>
            </c:numRef>
          </c:val>
          <c:smooth val="0"/>
        </c:ser>
        <c:dLbls>
          <c:showLegendKey val="0"/>
          <c:showVal val="0"/>
          <c:showCatName val="0"/>
          <c:showSerName val="0"/>
          <c:showPercent val="0"/>
          <c:showBubbleSize val="0"/>
        </c:dLbls>
        <c:marker val="1"/>
        <c:smooth val="0"/>
        <c:axId val="117956608"/>
        <c:axId val="117954432"/>
      </c:lineChart>
      <c:catAx>
        <c:axId val="117947008"/>
        <c:scaling>
          <c:orientation val="minMax"/>
        </c:scaling>
        <c:delete val="0"/>
        <c:axPos val="b"/>
        <c:majorTickMark val="out"/>
        <c:minorTickMark val="none"/>
        <c:tickLblPos val="nextTo"/>
        <c:txPr>
          <a:bodyPr rot="-5400000" vert="horz"/>
          <a:lstStyle/>
          <a:p>
            <a:pPr>
              <a:defRPr sz="1000"/>
            </a:pPr>
            <a:endParaRPr lang="en-US"/>
          </a:p>
        </c:txPr>
        <c:crossAx val="117952896"/>
        <c:crosses val="autoZero"/>
        <c:auto val="1"/>
        <c:lblAlgn val="ctr"/>
        <c:lblOffset val="100"/>
        <c:noMultiLvlLbl val="0"/>
      </c:catAx>
      <c:valAx>
        <c:axId val="117952896"/>
        <c:scaling>
          <c:orientation val="minMax"/>
          <c:max val="2000"/>
          <c:min val="0"/>
        </c:scaling>
        <c:delete val="0"/>
        <c:axPos val="l"/>
        <c:majorGridlines>
          <c:spPr>
            <a:ln>
              <a:solidFill>
                <a:schemeClr val="accent6"/>
              </a:solidFill>
            </a:ln>
          </c:spPr>
        </c:majorGridlines>
        <c:numFmt formatCode="#\ ##0" sourceLinked="0"/>
        <c:majorTickMark val="out"/>
        <c:minorTickMark val="none"/>
        <c:tickLblPos val="nextTo"/>
        <c:crossAx val="117947008"/>
        <c:crosses val="autoZero"/>
        <c:crossBetween val="between"/>
        <c:majorUnit val="400"/>
      </c:valAx>
      <c:valAx>
        <c:axId val="117954432"/>
        <c:scaling>
          <c:orientation val="minMax"/>
          <c:min val="0"/>
        </c:scaling>
        <c:delete val="0"/>
        <c:axPos val="r"/>
        <c:title>
          <c:tx>
            <c:rich>
              <a:bodyPr rot="-5400000" vert="horz"/>
              <a:lstStyle/>
              <a:p>
                <a:pPr>
                  <a:defRPr/>
                </a:pPr>
                <a:r>
                  <a:rPr lang="en-AU"/>
                  <a:t>Average home value ($'000)</a:t>
                </a:r>
              </a:p>
            </c:rich>
          </c:tx>
          <c:layout>
            <c:manualLayout>
              <c:xMode val="edge"/>
              <c:yMode val="edge"/>
              <c:x val="0.93250669790843621"/>
              <c:y val="0.16354314201290876"/>
            </c:manualLayout>
          </c:layout>
          <c:overlay val="0"/>
        </c:title>
        <c:numFmt formatCode="#\ ##0" sourceLinked="0"/>
        <c:majorTickMark val="out"/>
        <c:minorTickMark val="none"/>
        <c:tickLblPos val="nextTo"/>
        <c:crossAx val="117956608"/>
        <c:crosses val="max"/>
        <c:crossBetween val="between"/>
        <c:majorUnit val="150"/>
      </c:valAx>
      <c:catAx>
        <c:axId val="117956608"/>
        <c:scaling>
          <c:orientation val="minMax"/>
        </c:scaling>
        <c:delete val="1"/>
        <c:axPos val="b"/>
        <c:majorTickMark val="out"/>
        <c:minorTickMark val="none"/>
        <c:tickLblPos val="nextTo"/>
        <c:crossAx val="117954432"/>
        <c:crosses val="autoZero"/>
        <c:auto val="1"/>
        <c:lblAlgn val="ctr"/>
        <c:lblOffset val="100"/>
        <c:noMultiLvlLbl val="0"/>
      </c:catAx>
      <c:spPr>
        <a:ln>
          <a:solidFill>
            <a:schemeClr val="accent5"/>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'Where do they go'!$B$157</c:f>
              <c:strCache>
                <c:ptCount val="1"/>
                <c:pt idx="0">
                  <c:v>2012</c:v>
                </c:pt>
              </c:strCache>
            </c:strRef>
          </c:tx>
          <c:spPr>
            <a:solidFill>
              <a:srgbClr val="39580D"/>
            </a:solidFill>
            <a:ln w="6350">
              <a:solidFill>
                <a:schemeClr val="tx1"/>
              </a:solidFill>
            </a:ln>
          </c:spPr>
          <c:invertIfNegative val="0"/>
          <c:cat>
            <c:strRef>
              <c:f>'Where do they go'!$A$158:$A$165</c:f>
              <c:strCache>
                <c:ptCount val="8"/>
                <c:pt idx="0">
                  <c:v>Sydney</c:v>
                </c:pt>
                <c:pt idx="1">
                  <c:v>Melbourne</c:v>
                </c:pt>
                <c:pt idx="2">
                  <c:v>Brisbane</c:v>
                </c:pt>
                <c:pt idx="3">
                  <c:v>Perth</c:v>
                </c:pt>
                <c:pt idx="4">
                  <c:v>Adelaide</c:v>
                </c:pt>
                <c:pt idx="5">
                  <c:v>Canberra</c:v>
                </c:pt>
                <c:pt idx="6">
                  <c:v>Darwin</c:v>
                </c:pt>
                <c:pt idx="7">
                  <c:v>Hobart</c:v>
                </c:pt>
              </c:strCache>
            </c:strRef>
          </c:cat>
          <c:val>
            <c:numRef>
              <c:f>'Where do they go'!$B$158:$B$165</c:f>
              <c:numCache>
                <c:formatCode>0.00</c:formatCode>
                <c:ptCount val="8"/>
                <c:pt idx="0">
                  <c:v>4.6226477293945143</c:v>
                </c:pt>
                <c:pt idx="1">
                  <c:v>4.1379896463865444</c:v>
                </c:pt>
                <c:pt idx="2">
                  <c:v>2.0716346331799449</c:v>
                </c:pt>
                <c:pt idx="3">
                  <c:v>1.7400975627208417</c:v>
                </c:pt>
                <c:pt idx="4">
                  <c:v>1.2214202759909896</c:v>
                </c:pt>
                <c:pt idx="5">
                  <c:v>0.36140477813356942</c:v>
                </c:pt>
                <c:pt idx="6">
                  <c:v>0.13114616124860601</c:v>
                </c:pt>
                <c:pt idx="7">
                  <c:v>0.21877080560013254</c:v>
                </c:pt>
              </c:numCache>
            </c:numRef>
          </c:val>
        </c:ser>
        <c:ser>
          <c:idx val="1"/>
          <c:order val="1"/>
          <c:tx>
            <c:strRef>
              <c:f>'Where do they go'!$C$157</c:f>
              <c:strCache>
                <c:ptCount val="1"/>
                <c:pt idx="0">
                  <c:v>2060</c:v>
                </c:pt>
              </c:strCache>
            </c:strRef>
          </c:tx>
          <c:spPr>
            <a:solidFill>
              <a:srgbClr val="B4C98B"/>
            </a:solidFill>
            <a:ln w="6350">
              <a:solidFill>
                <a:schemeClr val="tx1"/>
              </a:solidFill>
            </a:ln>
          </c:spPr>
          <c:invertIfNegative val="0"/>
          <c:cat>
            <c:strRef>
              <c:f>'Where do they go'!$A$158:$A$165</c:f>
              <c:strCache>
                <c:ptCount val="8"/>
                <c:pt idx="0">
                  <c:v>Sydney</c:v>
                </c:pt>
                <c:pt idx="1">
                  <c:v>Melbourne</c:v>
                </c:pt>
                <c:pt idx="2">
                  <c:v>Brisbane</c:v>
                </c:pt>
                <c:pt idx="3">
                  <c:v>Perth</c:v>
                </c:pt>
                <c:pt idx="4">
                  <c:v>Adelaide</c:v>
                </c:pt>
                <c:pt idx="5">
                  <c:v>Canberra</c:v>
                </c:pt>
                <c:pt idx="6">
                  <c:v>Darwin</c:v>
                </c:pt>
                <c:pt idx="7">
                  <c:v>Hobart</c:v>
                </c:pt>
              </c:strCache>
            </c:strRef>
          </c:cat>
          <c:val>
            <c:numRef>
              <c:f>'Where do they go'!$C$158:$C$165</c:f>
              <c:numCache>
                <c:formatCode>0.00</c:formatCode>
                <c:ptCount val="8"/>
                <c:pt idx="0">
                  <c:v>2.9127511164649862</c:v>
                </c:pt>
                <c:pt idx="1">
                  <c:v>3.2166003987234557</c:v>
                </c:pt>
                <c:pt idx="2">
                  <c:v>2.2751070338031556</c:v>
                </c:pt>
                <c:pt idx="3">
                  <c:v>1.9249046838925585</c:v>
                </c:pt>
                <c:pt idx="4">
                  <c:v>0.55139114318781046</c:v>
                </c:pt>
                <c:pt idx="5">
                  <c:v>0.18648976353783064</c:v>
                </c:pt>
                <c:pt idx="6">
                  <c:v>0.13488437794889402</c:v>
                </c:pt>
                <c:pt idx="7">
                  <c:v>8.0263997682467475E-2</c:v>
                </c:pt>
              </c:numCache>
            </c:numRef>
          </c:val>
        </c:ser>
        <c:dLbls>
          <c:showLegendKey val="0"/>
          <c:showVal val="0"/>
          <c:showCatName val="0"/>
          <c:showSerName val="0"/>
          <c:showPercent val="0"/>
          <c:showBubbleSize val="0"/>
        </c:dLbls>
        <c:gapWidth val="41"/>
        <c:overlap val="100"/>
        <c:axId val="239229568"/>
        <c:axId val="239248128"/>
      </c:barChart>
      <c:catAx>
        <c:axId val="239229568"/>
        <c:scaling>
          <c:orientation val="minMax"/>
        </c:scaling>
        <c:delete val="0"/>
        <c:axPos val="b"/>
        <c:majorTickMark val="out"/>
        <c:minorTickMark val="none"/>
        <c:tickLblPos val="nextTo"/>
        <c:crossAx val="239248128"/>
        <c:crosses val="autoZero"/>
        <c:auto val="1"/>
        <c:lblAlgn val="ctr"/>
        <c:lblOffset val="100"/>
        <c:noMultiLvlLbl val="0"/>
      </c:catAx>
      <c:valAx>
        <c:axId val="239248128"/>
        <c:scaling>
          <c:orientation val="minMax"/>
        </c:scaling>
        <c:delete val="0"/>
        <c:axPos val="l"/>
        <c:majorGridlines>
          <c:spPr>
            <a:ln w="6350">
              <a:solidFill>
                <a:srgbClr val="CDCDCD"/>
              </a:solidFill>
            </a:ln>
          </c:spPr>
        </c:majorGridlines>
        <c:numFmt formatCode="0" sourceLinked="0"/>
        <c:majorTickMark val="out"/>
        <c:minorTickMark val="none"/>
        <c:tickLblPos val="nextTo"/>
        <c:spPr>
          <a:ln w="9525" cap="flat" cmpd="sng" algn="ctr">
            <a:solidFill>
              <a:srgbClr val="CDCDCD"/>
            </a:solidFill>
            <a:prstDash val="solid"/>
            <a:round/>
            <a:headEnd type="none" w="med" len="med"/>
            <a:tailEnd type="none" w="med" len="med"/>
          </a:ln>
        </c:spPr>
        <c:crossAx val="239229568"/>
        <c:crosses val="autoZero"/>
        <c:crossBetween val="between"/>
        <c:majorUnit val="2"/>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079114432790135"/>
          <c:y val="3.9181569473027596E-2"/>
          <c:w val="0.75749382716049385"/>
          <c:h val="0.80908977047795405"/>
        </c:manualLayout>
      </c:layout>
      <c:lineChart>
        <c:grouping val="standard"/>
        <c:varyColors val="0"/>
        <c:ser>
          <c:idx val="1"/>
          <c:order val="0"/>
          <c:tx>
            <c:strRef>
              <c:f>'females Qx'!$A$401</c:f>
              <c:strCache>
                <c:ptCount val="1"/>
                <c:pt idx="0">
                  <c:v>Birth</c:v>
                </c:pt>
              </c:strCache>
            </c:strRef>
          </c:tx>
          <c:spPr>
            <a:ln w="22225" cap="rnd" cmpd="sng" algn="ctr">
              <a:solidFill>
                <a:srgbClr val="78A22F"/>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'females Qx'!$B$401:$CN$401</c:f>
              <c:numCache>
                <c:formatCode>General</c:formatCode>
                <c:ptCount val="91"/>
                <c:pt idx="0">
                  <c:v>4.5100000000000033</c:v>
                </c:pt>
                <c:pt idx="1">
                  <c:v>4.3617448389649311</c:v>
                </c:pt>
                <c:pt idx="2">
                  <c:v>4.214255628742519</c:v>
                </c:pt>
                <c:pt idx="3">
                  <c:v>4.0682983201454279</c:v>
                </c:pt>
                <c:pt idx="4">
                  <c:v>3.9246388639863192</c:v>
                </c:pt>
                <c:pt idx="5">
                  <c:v>3.7840432110778499</c:v>
                </c:pt>
                <c:pt idx="6">
                  <c:v>3.6472773122326836</c:v>
                </c:pt>
                <c:pt idx="7">
                  <c:v>3.515107118263479</c:v>
                </c:pt>
                <c:pt idx="8">
                  <c:v>3.3882985799828957</c:v>
                </c:pt>
                <c:pt idx="9">
                  <c:v>3.267617648203597</c:v>
                </c:pt>
                <c:pt idx="10">
                  <c:v>3.1538302737382402</c:v>
                </c:pt>
                <c:pt idx="11">
                  <c:v>3.0477024073994863</c:v>
                </c:pt>
                <c:pt idx="12">
                  <c:v>2.9499999999999971</c:v>
                </c:pt>
                <c:pt idx="13">
                  <c:v>2.8611957181176946</c:v>
                </c:pt>
                <c:pt idx="14">
                  <c:v>2.7805890913915507</c:v>
                </c:pt>
                <c:pt idx="15">
                  <c:v>2.7071863652258026</c:v>
                </c:pt>
                <c:pt idx="16">
                  <c:v>2.6399937850246848</c:v>
                </c:pt>
                <c:pt idx="17">
                  <c:v>2.5780175961924332</c:v>
                </c:pt>
                <c:pt idx="18">
                  <c:v>2.5202640441332829</c:v>
                </c:pt>
                <c:pt idx="19">
                  <c:v>2.4657393742514699</c:v>
                </c:pt>
                <c:pt idx="20">
                  <c:v>2.4134498319512296</c:v>
                </c:pt>
                <c:pt idx="21">
                  <c:v>2.3624016626367967</c:v>
                </c:pt>
                <c:pt idx="22">
                  <c:v>2.3116011117124078</c:v>
                </c:pt>
                <c:pt idx="23">
                  <c:v>2.2600544245822984</c:v>
                </c:pt>
                <c:pt idx="24">
                  <c:v>2.2067678466507035</c:v>
                </c:pt>
                <c:pt idx="25">
                  <c:v>2.1507476233218581</c:v>
                </c:pt>
                <c:pt idx="26">
                  <c:v>2.0909999999999984</c:v>
                </c:pt>
                <c:pt idx="27">
                  <c:v>2.0270154085298895</c:v>
                </c:pt>
                <c:pt idx="28">
                  <c:v>1.9602210265184143</c:v>
                </c:pt>
                <c:pt idx="29">
                  <c:v>1.8925282180129863</c:v>
                </c:pt>
                <c:pt idx="30">
                  <c:v>1.8258483470610183</c:v>
                </c:pt>
                <c:pt idx="31">
                  <c:v>1.7620927777099227</c:v>
                </c:pt>
                <c:pt idx="32">
                  <c:v>1.7031728740071133</c:v>
                </c:pt>
                <c:pt idx="33">
                  <c:v>1.6510000000000025</c:v>
                </c:pt>
                <c:pt idx="34">
                  <c:v>1.6069687229622063</c:v>
                </c:pt>
                <c:pt idx="35">
                  <c:v>1.5704064230721504</c:v>
                </c:pt>
                <c:pt idx="36">
                  <c:v>1.5401236837344647</c:v>
                </c:pt>
                <c:pt idx="37">
                  <c:v>1.5149310883537781</c:v>
                </c:pt>
                <c:pt idx="38">
                  <c:v>1.4936392203347197</c:v>
                </c:pt>
                <c:pt idx="39">
                  <c:v>1.4750586630819187</c:v>
                </c:pt>
                <c:pt idx="40">
                  <c:v>1.4580000000000037</c:v>
                </c:pt>
                <c:pt idx="41">
                  <c:v>1.4414585703630787</c:v>
                </c:pt>
                <c:pt idx="42">
                  <c:v>1.4251687369231418</c:v>
                </c:pt>
                <c:pt idx="43">
                  <c:v>1.409049618301667</c:v>
                </c:pt>
                <c:pt idx="44">
                  <c:v>1.393020333120127</c:v>
                </c:pt>
                <c:pt idx="45">
                  <c:v>1.3769999999999949</c:v>
                </c:pt>
                <c:pt idx="46">
                  <c:v>1.3606421234261679</c:v>
                </c:pt>
                <c:pt idx="47">
                  <c:v>1.3425377513372385</c:v>
                </c:pt>
                <c:pt idx="48">
                  <c:v>1.3210123175352231</c:v>
                </c:pt>
                <c:pt idx="49">
                  <c:v>1.2943912558221384</c:v>
                </c:pt>
                <c:pt idx="50">
                  <c:v>1.261000000000001</c:v>
                </c:pt>
                <c:pt idx="51">
                  <c:v>1.2197409359322346</c:v>
                </c:pt>
                <c:pt idx="52">
                  <c:v>1.1718242577278912</c:v>
                </c:pt>
                <c:pt idx="53">
                  <c:v>1.1190371115574309</c:v>
                </c:pt>
                <c:pt idx="54">
                  <c:v>1.0631666435913125</c:v>
                </c:pt>
                <c:pt idx="55">
                  <c:v>1.0059999999999958</c:v>
                </c:pt>
                <c:pt idx="56">
                  <c:v>0.94937013284488825</c:v>
                </c:pt>
                <c:pt idx="57">
                  <c:v>0.89529321775118786</c:v>
                </c:pt>
                <c:pt idx="58">
                  <c:v>0.84583123623504197</c:v>
                </c:pt>
                <c:pt idx="59">
                  <c:v>0.80304616981259624</c:v>
                </c:pt>
                <c:pt idx="60">
                  <c:v>0.76899999999999746</c:v>
                </c:pt>
                <c:pt idx="61">
                  <c:v>0.74480253268819341</c:v>
                </c:pt>
                <c:pt idx="62">
                  <c:v>0.72775487126733707</c:v>
                </c:pt>
                <c:pt idx="63">
                  <c:v>0.71420594350238309</c:v>
                </c:pt>
                <c:pt idx="64">
                  <c:v>0.70050467715828602</c:v>
                </c:pt>
                <c:pt idx="65">
                  <c:v>0.68300000000000027</c:v>
                </c:pt>
                <c:pt idx="66">
                  <c:v>0.65911573640232735</c:v>
                </c:pt>
                <c:pt idx="67">
                  <c:v>0.63057529717945526</c:v>
                </c:pt>
                <c:pt idx="68">
                  <c:v>0.60017698975541933</c:v>
                </c:pt>
                <c:pt idx="69">
                  <c:v>0.57071912155425419</c:v>
                </c:pt>
                <c:pt idx="70">
                  <c:v>0.54499999999999549</c:v>
                </c:pt>
                <c:pt idx="71">
                  <c:v>0.5240305921663444</c:v>
                </c:pt>
                <c:pt idx="72">
                  <c:v>0.50167250372566907</c:v>
                </c:pt>
                <c:pt idx="73">
                  <c:v>0.47000000000000375</c:v>
                </c:pt>
                <c:pt idx="74">
                  <c:v>0.4349999999999965</c:v>
                </c:pt>
                <c:pt idx="75">
                  <c:v>0.43600000000000305</c:v>
                </c:pt>
                <c:pt idx="76">
                  <c:v>0.41799999999999615</c:v>
                </c:pt>
                <c:pt idx="77">
                  <c:v>0.42400000000000215</c:v>
                </c:pt>
                <c:pt idx="78">
                  <c:v>0.41200000000000125</c:v>
                </c:pt>
                <c:pt idx="79">
                  <c:v>0.41600000000000525</c:v>
                </c:pt>
                <c:pt idx="80">
                  <c:v>0.40799999999999725</c:v>
                </c:pt>
                <c:pt idx="81">
                  <c:v>0.39799999999999836</c:v>
                </c:pt>
                <c:pt idx="82">
                  <c:v>0.39400000000000546</c:v>
                </c:pt>
                <c:pt idx="83">
                  <c:v>0.39874200140734839</c:v>
                </c:pt>
                <c:pt idx="84">
                  <c:v>0.39700000000000291</c:v>
                </c:pt>
                <c:pt idx="85">
                  <c:v>0.39299999999999891</c:v>
                </c:pt>
                <c:pt idx="86">
                  <c:v>0.39200000000000346</c:v>
                </c:pt>
                <c:pt idx="87">
                  <c:v>0.35199999999999676</c:v>
                </c:pt>
                <c:pt idx="88">
                  <c:v>0.31499999999999861</c:v>
                </c:pt>
                <c:pt idx="89">
                  <c:v>0.31499999999999861</c:v>
                </c:pt>
                <c:pt idx="90">
                  <c:v>0.30400000000000427</c:v>
                </c:pt>
              </c:numCache>
            </c:numRef>
          </c:val>
          <c:smooth val="0"/>
        </c:ser>
        <c:ser>
          <c:idx val="0"/>
          <c:order val="1"/>
          <c:tx>
            <c:strRef>
              <c:f>'males Qx'!$A$401</c:f>
              <c:strCache>
                <c:ptCount val="1"/>
                <c:pt idx="0">
                  <c:v>Birth</c:v>
                </c:pt>
              </c:strCache>
            </c:strRef>
          </c:tx>
          <c:spPr>
            <a:ln w="22225" cap="rnd" cmpd="sng" algn="ctr">
              <a:solidFill>
                <a:srgbClr val="344893"/>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'males Qx'!$B$401:$CN$401</c:f>
              <c:numCache>
                <c:formatCode>General</c:formatCode>
                <c:ptCount val="91"/>
                <c:pt idx="0">
                  <c:v>5.7769999999999992</c:v>
                </c:pt>
                <c:pt idx="1">
                  <c:v>5.581976825356354</c:v>
                </c:pt>
                <c:pt idx="2">
                  <c:v>5.3879616160823742</c:v>
                </c:pt>
                <c:pt idx="3">
                  <c:v>5.1959623375477202</c:v>
                </c:pt>
                <c:pt idx="4">
                  <c:v>5.0069869551220565</c:v>
                </c:pt>
                <c:pt idx="5">
                  <c:v>4.8220434341750451</c:v>
                </c:pt>
                <c:pt idx="6">
                  <c:v>4.6421397400763533</c:v>
                </c:pt>
                <c:pt idx="7">
                  <c:v>4.4682838381956396</c:v>
                </c:pt>
                <c:pt idx="8">
                  <c:v>4.3014836939025711</c:v>
                </c:pt>
                <c:pt idx="9">
                  <c:v>4.1427472725668091</c:v>
                </c:pt>
                <c:pt idx="10">
                  <c:v>3.9930825395580176</c:v>
                </c:pt>
                <c:pt idx="11">
                  <c:v>3.8534974602458605</c:v>
                </c:pt>
                <c:pt idx="12">
                  <c:v>3.7250000000000005</c:v>
                </c:pt>
                <c:pt idx="13">
                  <c:v>3.608222141622488</c:v>
                </c:pt>
                <c:pt idx="14">
                  <c:v>3.5022919376449213</c:v>
                </c:pt>
                <c:pt idx="15">
                  <c:v>3.4059614580312823</c:v>
                </c:pt>
                <c:pt idx="16">
                  <c:v>3.3179827727455558</c:v>
                </c:pt>
                <c:pt idx="17">
                  <c:v>3.2371079517517267</c:v>
                </c:pt>
                <c:pt idx="18">
                  <c:v>3.1620890650137792</c:v>
                </c:pt>
                <c:pt idx="19">
                  <c:v>3.0916781824956963</c:v>
                </c:pt>
                <c:pt idx="20">
                  <c:v>3.0246273741614629</c:v>
                </c:pt>
                <c:pt idx="21">
                  <c:v>2.9596887099750622</c:v>
                </c:pt>
                <c:pt idx="22">
                  <c:v>2.8956142599004786</c:v>
                </c:pt>
                <c:pt idx="23">
                  <c:v>2.8311560939016966</c:v>
                </c:pt>
                <c:pt idx="24">
                  <c:v>2.7650662819426994</c:v>
                </c:pt>
                <c:pt idx="25">
                  <c:v>2.6960968939874719</c:v>
                </c:pt>
                <c:pt idx="26">
                  <c:v>2.6229999999999976</c:v>
                </c:pt>
                <c:pt idx="27">
                  <c:v>2.5451138931216386</c:v>
                </c:pt>
                <c:pt idx="28">
                  <c:v>2.4641217592032678</c:v>
                </c:pt>
                <c:pt idx="29">
                  <c:v>2.3822930072731348</c:v>
                </c:pt>
                <c:pt idx="30">
                  <c:v>2.3018970463594921</c:v>
                </c:pt>
                <c:pt idx="31">
                  <c:v>2.2252032854905885</c:v>
                </c:pt>
                <c:pt idx="32">
                  <c:v>2.1544811336946763</c:v>
                </c:pt>
                <c:pt idx="33">
                  <c:v>2.092000000000005</c:v>
                </c:pt>
                <c:pt idx="34">
                  <c:v>2.0393936930577263</c:v>
                </c:pt>
                <c:pt idx="35">
                  <c:v>1.9957536200105925</c:v>
                </c:pt>
                <c:pt idx="36">
                  <c:v>1.9595355876242597</c:v>
                </c:pt>
                <c:pt idx="37">
                  <c:v>1.9291954026643798</c:v>
                </c:pt>
                <c:pt idx="38">
                  <c:v>1.9031888718966081</c:v>
                </c:pt>
                <c:pt idx="39">
                  <c:v>1.8799718020865985</c:v>
                </c:pt>
                <c:pt idx="40">
                  <c:v>1.8580000000000041</c:v>
                </c:pt>
                <c:pt idx="41">
                  <c:v>1.8360910864647504</c:v>
                </c:pt>
                <c:pt idx="42">
                  <c:v>1.8145099385578449</c:v>
                </c:pt>
                <c:pt idx="43">
                  <c:v>1.7938832474185664</c:v>
                </c:pt>
                <c:pt idx="44">
                  <c:v>1.7748377041861934</c:v>
                </c:pt>
                <c:pt idx="45">
                  <c:v>1.758000000000004</c:v>
                </c:pt>
                <c:pt idx="46">
                  <c:v>1.7432619199621846</c:v>
                </c:pt>
                <c:pt idx="47">
                  <c:v>1.727575625026551</c:v>
                </c:pt>
                <c:pt idx="48">
                  <c:v>1.7071583701098267</c:v>
                </c:pt>
                <c:pt idx="49">
                  <c:v>1.6782274101287349</c:v>
                </c:pt>
                <c:pt idx="50">
                  <c:v>1.6369999999999996</c:v>
                </c:pt>
                <c:pt idx="51">
                  <c:v>1.5809892336865277</c:v>
                </c:pt>
                <c:pt idx="52">
                  <c:v>1.5128915613359637</c:v>
                </c:pt>
                <c:pt idx="53">
                  <c:v>1.4366992721421354</c:v>
                </c:pt>
                <c:pt idx="54">
                  <c:v>1.3564046552988713</c:v>
                </c:pt>
                <c:pt idx="55">
                  <c:v>1.2759999999999994</c:v>
                </c:pt>
                <c:pt idx="56">
                  <c:v>1.1991811452917036</c:v>
                </c:pt>
                <c:pt idx="57">
                  <c:v>1.1284581296295921</c:v>
                </c:pt>
                <c:pt idx="58">
                  <c:v>1.0660445413216288</c:v>
                </c:pt>
                <c:pt idx="59">
                  <c:v>1.0141539686757781</c:v>
                </c:pt>
                <c:pt idx="60">
                  <c:v>0.97500000000000364</c:v>
                </c:pt>
                <c:pt idx="61">
                  <c:v>0.9495021851466614</c:v>
                </c:pt>
                <c:pt idx="62">
                  <c:v>0.93340392014567464</c:v>
                </c:pt>
                <c:pt idx="63">
                  <c:v>0.92115456257135853</c:v>
                </c:pt>
                <c:pt idx="64">
                  <c:v>0.90720346999802781</c:v>
                </c:pt>
                <c:pt idx="65">
                  <c:v>0.8859999999999979</c:v>
                </c:pt>
                <c:pt idx="66">
                  <c:v>0.85377811412166071</c:v>
                </c:pt>
                <c:pt idx="67">
                  <c:v>0.81391018978771568</c:v>
                </c:pt>
                <c:pt idx="68">
                  <c:v>0.77155320839293973</c:v>
                </c:pt>
                <c:pt idx="69">
                  <c:v>0.73186415133210914</c:v>
                </c:pt>
                <c:pt idx="70">
                  <c:v>0.70000000000000062</c:v>
                </c:pt>
                <c:pt idx="71">
                  <c:v>0.6774908174831028</c:v>
                </c:pt>
                <c:pt idx="72">
                  <c:v>0.6513589936347528</c:v>
                </c:pt>
                <c:pt idx="73">
                  <c:v>0.60499999999999998</c:v>
                </c:pt>
                <c:pt idx="74">
                  <c:v>0.54400000000000004</c:v>
                </c:pt>
                <c:pt idx="75">
                  <c:v>0.52999999999999714</c:v>
                </c:pt>
                <c:pt idx="76">
                  <c:v>0.51700000000000079</c:v>
                </c:pt>
                <c:pt idx="77">
                  <c:v>0.51799999999999624</c:v>
                </c:pt>
                <c:pt idx="78">
                  <c:v>0.51400000000000334</c:v>
                </c:pt>
                <c:pt idx="79">
                  <c:v>0.52600000000000424</c:v>
                </c:pt>
                <c:pt idx="80">
                  <c:v>0.49400000000000555</c:v>
                </c:pt>
                <c:pt idx="81">
                  <c:v>0.48799999999999955</c:v>
                </c:pt>
                <c:pt idx="82">
                  <c:v>0.4669999999999952</c:v>
                </c:pt>
                <c:pt idx="83">
                  <c:v>0.47842890550322537</c:v>
                </c:pt>
                <c:pt idx="84">
                  <c:v>0.48000000000000265</c:v>
                </c:pt>
                <c:pt idx="85">
                  <c:v>0.4650000000000043</c:v>
                </c:pt>
                <c:pt idx="86">
                  <c:v>0.44800000000000395</c:v>
                </c:pt>
                <c:pt idx="87">
                  <c:v>0.43400000000000105</c:v>
                </c:pt>
                <c:pt idx="88">
                  <c:v>0.4449999999999954</c:v>
                </c:pt>
                <c:pt idx="89">
                  <c:v>0.4449999999999954</c:v>
                </c:pt>
                <c:pt idx="90">
                  <c:v>0.42400000000000215</c:v>
                </c:pt>
              </c:numCache>
            </c:numRef>
          </c:val>
          <c:smooth val="0"/>
        </c:ser>
        <c:dLbls>
          <c:showLegendKey val="0"/>
          <c:showVal val="0"/>
          <c:showCatName val="0"/>
          <c:showSerName val="0"/>
          <c:showPercent val="0"/>
          <c:showBubbleSize val="0"/>
        </c:dLbls>
        <c:marker val="1"/>
        <c:smooth val="0"/>
        <c:axId val="261048576"/>
        <c:axId val="261087232"/>
      </c:lineChart>
      <c:catAx>
        <c:axId val="261048576"/>
        <c:scaling>
          <c:orientation val="minMax"/>
        </c:scaling>
        <c:delete val="0"/>
        <c:axPos val="b"/>
        <c:numFmt formatCode="General" sourceLinked="1"/>
        <c:majorTickMark val="out"/>
        <c:minorTickMark val="none"/>
        <c:tickLblPos val="nextTo"/>
        <c:crossAx val="261087232"/>
        <c:crosses val="autoZero"/>
        <c:auto val="1"/>
        <c:lblAlgn val="ctr"/>
        <c:lblOffset val="100"/>
        <c:tickLblSkip val="25"/>
        <c:tickMarkSkip val="10"/>
        <c:noMultiLvlLbl val="0"/>
      </c:catAx>
      <c:valAx>
        <c:axId val="261087232"/>
        <c:scaling>
          <c:orientation val="minMax"/>
          <c:max val="6"/>
        </c:scaling>
        <c:delete val="0"/>
        <c:axPos val="l"/>
        <c:majorGridlines>
          <c:spPr>
            <a:ln w="9525" cap="flat" cmpd="sng" algn="ctr">
              <a:solidFill>
                <a:srgbClr val="CDCDCD"/>
              </a:solidFill>
              <a:prstDash val="solid"/>
              <a:round/>
              <a:headEnd type="none" w="med" len="med"/>
              <a:tailEnd type="none" w="med" len="med"/>
            </a:ln>
          </c:spPr>
        </c:majorGridlines>
        <c:numFmt formatCode="General" sourceLinked="1"/>
        <c:majorTickMark val="out"/>
        <c:minorTickMark val="none"/>
        <c:tickLblPos val="nextTo"/>
        <c:spPr>
          <a:ln w="9525" cap="flat" cmpd="sng" algn="ctr">
            <a:solidFill>
              <a:srgbClr val="787878"/>
            </a:solidFill>
            <a:prstDash val="solid"/>
            <a:round/>
            <a:headEnd type="none" w="med" len="med"/>
            <a:tailEnd type="none" w="med" len="med"/>
          </a:ln>
        </c:spPr>
        <c:crossAx val="261048576"/>
        <c:crosses val="autoZero"/>
        <c:crossBetween val="between"/>
        <c:majorUnit val="2"/>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079114432790135"/>
          <c:y val="4.0181331654336537E-2"/>
          <c:w val="0.73437014137571932"/>
          <c:h val="0.81827986777900208"/>
        </c:manualLayout>
      </c:layout>
      <c:lineChart>
        <c:grouping val="standard"/>
        <c:varyColors val="0"/>
        <c:ser>
          <c:idx val="1"/>
          <c:order val="0"/>
          <c:tx>
            <c:strRef>
              <c:f>'females Qx'!$A$403</c:f>
              <c:strCache>
                <c:ptCount val="1"/>
                <c:pt idx="0">
                  <c:v>20</c:v>
                </c:pt>
              </c:strCache>
            </c:strRef>
          </c:tx>
          <c:spPr>
            <a:ln w="22225" cap="rnd" cmpd="sng" algn="ctr">
              <a:solidFill>
                <a:srgbClr val="78A22F"/>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'females Qx'!$B$403:$CN$403</c:f>
              <c:numCache>
                <c:formatCode>General</c:formatCode>
                <c:ptCount val="91"/>
                <c:pt idx="0">
                  <c:v>0.26059937857071391</c:v>
                </c:pt>
                <c:pt idx="1">
                  <c:v>0.25520870134250262</c:v>
                </c:pt>
                <c:pt idx="2">
                  <c:v>0.24980041303775186</c:v>
                </c:pt>
                <c:pt idx="3">
                  <c:v>0.2443569025799221</c:v>
                </c:pt>
                <c:pt idx="4">
                  <c:v>0.23886055889247387</c:v>
                </c:pt>
                <c:pt idx="5">
                  <c:v>0.23329377089886758</c:v>
                </c:pt>
                <c:pt idx="6">
                  <c:v>0.2276389275225639</c:v>
                </c:pt>
                <c:pt idx="7">
                  <c:v>0.22187841768702327</c:v>
                </c:pt>
                <c:pt idx="8">
                  <c:v>0.21599463031570609</c:v>
                </c:pt>
                <c:pt idx="9">
                  <c:v>0.20996995433207299</c:v>
                </c:pt>
                <c:pt idx="10">
                  <c:v>0.20378677865958442</c:v>
                </c:pt>
                <c:pt idx="11">
                  <c:v>0.19742749222170097</c:v>
                </c:pt>
                <c:pt idx="12">
                  <c:v>0.190874483941883</c:v>
                </c:pt>
                <c:pt idx="13">
                  <c:v>0.18411960019457005</c:v>
                </c:pt>
                <c:pt idx="14">
                  <c:v>0.1771925171581171</c:v>
                </c:pt>
                <c:pt idx="15">
                  <c:v>0.17013236846185817</c:v>
                </c:pt>
                <c:pt idx="16">
                  <c:v>0.16297828773512718</c:v>
                </c:pt>
                <c:pt idx="17">
                  <c:v>0.15576940860725816</c:v>
                </c:pt>
                <c:pt idx="18">
                  <c:v>0.14854486470758504</c:v>
                </c:pt>
                <c:pt idx="19">
                  <c:v>0.14134378966544187</c:v>
                </c:pt>
                <c:pt idx="20">
                  <c:v>0.13420531711016254</c:v>
                </c:pt>
                <c:pt idx="21">
                  <c:v>0.12716858067108097</c:v>
                </c:pt>
                <c:pt idx="22">
                  <c:v>0.12027271397753128</c:v>
                </c:pt>
                <c:pt idx="23">
                  <c:v>0.1135568506588473</c:v>
                </c:pt>
                <c:pt idx="24">
                  <c:v>0.10706012434436311</c:v>
                </c:pt>
                <c:pt idx="25">
                  <c:v>0.10082166866341262</c:v>
                </c:pt>
                <c:pt idx="26">
                  <c:v>9.4880617245329812E-2</c:v>
                </c:pt>
                <c:pt idx="27">
                  <c:v>8.9276723299611838E-2</c:v>
                </c:pt>
                <c:pt idx="28">
                  <c:v>8.4052218356408567E-2</c:v>
                </c:pt>
                <c:pt idx="29">
                  <c:v>7.9249953526033035E-2</c:v>
                </c:pt>
                <c:pt idx="30">
                  <c:v>7.4912779918798272E-2</c:v>
                </c:pt>
                <c:pt idx="31">
                  <c:v>7.1083548645017341E-2</c:v>
                </c:pt>
                <c:pt idx="32">
                  <c:v>6.7805110815003275E-2</c:v>
                </c:pt>
                <c:pt idx="33">
                  <c:v>6.5120317539069106E-2</c:v>
                </c:pt>
                <c:pt idx="34">
                  <c:v>6.3054880926883869E-2</c:v>
                </c:pt>
                <c:pt idx="35">
                  <c:v>6.156595708554051E-2</c:v>
                </c:pt>
                <c:pt idx="36">
                  <c:v>6.0593563121487976E-2</c:v>
                </c:pt>
                <c:pt idx="37">
                  <c:v>6.0077716141175193E-2</c:v>
                </c:pt>
                <c:pt idx="38">
                  <c:v>5.9958433251051123E-2</c:v>
                </c:pt>
                <c:pt idx="39">
                  <c:v>6.0175731557564671E-2</c:v>
                </c:pt>
                <c:pt idx="40">
                  <c:v>6.0669628167164813E-2</c:v>
                </c:pt>
                <c:pt idx="41">
                  <c:v>6.1375930487676769E-2</c:v>
                </c:pt>
                <c:pt idx="42">
                  <c:v>6.2213607132431042E-2</c:v>
                </c:pt>
                <c:pt idx="43">
                  <c:v>6.3097417016134458E-2</c:v>
                </c:pt>
                <c:pt idx="44">
                  <c:v>6.3942119053493826E-2</c:v>
                </c:pt>
                <c:pt idx="45">
                  <c:v>6.4662472159215945E-2</c:v>
                </c:pt>
                <c:pt idx="46">
                  <c:v>6.5174294962272186E-2</c:v>
                </c:pt>
                <c:pt idx="47">
                  <c:v>6.5397644948692019E-2</c:v>
                </c:pt>
                <c:pt idx="48">
                  <c:v>6.5253639318769513E-2</c:v>
                </c:pt>
                <c:pt idx="49">
                  <c:v>6.4663395272798671E-2</c:v>
                </c:pt>
                <c:pt idx="50">
                  <c:v>6.3548030011073564E-2</c:v>
                </c:pt>
                <c:pt idx="51">
                  <c:v>6.1874253183071708E-2</c:v>
                </c:pt>
                <c:pt idx="52">
                  <c:v>5.9791144235004777E-2</c:v>
                </c:pt>
                <c:pt idx="53">
                  <c:v>5.7493375062267912E-2</c:v>
                </c:pt>
                <c:pt idx="54">
                  <c:v>5.5175617560256282E-2</c:v>
                </c:pt>
                <c:pt idx="55">
                  <c:v>5.3032543624365047E-2</c:v>
                </c:pt>
                <c:pt idx="56">
                  <c:v>5.1234772206631571E-2</c:v>
                </c:pt>
                <c:pt idx="57">
                  <c:v>4.9856710485662037E-2</c:v>
                </c:pt>
                <c:pt idx="58">
                  <c:v>4.8948712696704783E-2</c:v>
                </c:pt>
                <c:pt idx="59">
                  <c:v>4.8561133075008207E-2</c:v>
                </c:pt>
                <c:pt idx="60">
                  <c:v>4.8744325855820669E-2</c:v>
                </c:pt>
                <c:pt idx="61">
                  <c:v>4.9490489585040126E-2</c:v>
                </c:pt>
                <c:pt idx="62">
                  <c:v>5.0559200051162823E-2</c:v>
                </c:pt>
                <c:pt idx="63">
                  <c:v>5.1651877353334617E-2</c:v>
                </c:pt>
                <c:pt idx="64">
                  <c:v>5.2469941590701348E-2</c:v>
                </c:pt>
                <c:pt idx="65">
                  <c:v>5.2714812862408866E-2</c:v>
                </c:pt>
                <c:pt idx="66">
                  <c:v>5.2164709304214407E-2</c:v>
                </c:pt>
                <c:pt idx="67">
                  <c:v>5.0905041198320788E-2</c:v>
                </c:pt>
                <c:pt idx="68">
                  <c:v>4.9098016863542225E-2</c:v>
                </c:pt>
                <c:pt idx="69">
                  <c:v>4.690584461869296E-2</c:v>
                </c:pt>
                <c:pt idx="70">
                  <c:v>4.4490732782587195E-2</c:v>
                </c:pt>
                <c:pt idx="71">
                  <c:v>4.2046447340304959E-2</c:v>
                </c:pt>
                <c:pt idx="72">
                  <c:v>3.9892984941989465E-2</c:v>
                </c:pt>
                <c:pt idx="73">
                  <c:v>3.8381899904049721E-2</c:v>
                </c:pt>
                <c:pt idx="74">
                  <c:v>3.8360589541697188E-2</c:v>
                </c:pt>
                <c:pt idx="75">
                  <c:v>4.138529711614769E-2</c:v>
                </c:pt>
                <c:pt idx="76">
                  <c:v>3.8346653749898874E-2</c:v>
                </c:pt>
                <c:pt idx="77">
                  <c:v>4.1375273732757734E-2</c:v>
                </c:pt>
                <c:pt idx="78">
                  <c:v>3.9349819898903959E-2</c:v>
                </c:pt>
                <c:pt idx="79">
                  <c:v>3.8326542139022202E-2</c:v>
                </c:pt>
                <c:pt idx="80">
                  <c:v>3.6299836650732775E-2</c:v>
                </c:pt>
                <c:pt idx="81">
                  <c:v>3.326143487814015E-2</c:v>
                </c:pt>
                <c:pt idx="82">
                  <c:v>3.3261770130932344E-2</c:v>
                </c:pt>
                <c:pt idx="83">
                  <c:v>3.1243071093101094E-2</c:v>
                </c:pt>
                <c:pt idx="84">
                  <c:v>3.0230659935304161E-2</c:v>
                </c:pt>
                <c:pt idx="85">
                  <c:v>2.8209881518492796E-2</c:v>
                </c:pt>
                <c:pt idx="86">
                  <c:v>2.7198823399043892E-2</c:v>
                </c:pt>
                <c:pt idx="87">
                  <c:v>2.6177483337019858E-2</c:v>
                </c:pt>
                <c:pt idx="88">
                  <c:v>2.4150214333151787E-2</c:v>
                </c:pt>
                <c:pt idx="89">
                  <c:v>2.4149971321907326E-2</c:v>
                </c:pt>
                <c:pt idx="90">
                  <c:v>2.616167917731671E-2</c:v>
                </c:pt>
              </c:numCache>
            </c:numRef>
          </c:val>
          <c:smooth val="0"/>
        </c:ser>
        <c:ser>
          <c:idx val="0"/>
          <c:order val="1"/>
          <c:tx>
            <c:strRef>
              <c:f>'males Qx'!$A$403</c:f>
              <c:strCache>
                <c:ptCount val="1"/>
                <c:pt idx="0">
                  <c:v>20</c:v>
                </c:pt>
              </c:strCache>
            </c:strRef>
          </c:tx>
          <c:spPr>
            <a:ln w="22225" cap="rnd" cmpd="sng" algn="ctr">
              <a:solidFill>
                <a:srgbClr val="344893"/>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'males Qx'!$B$403:$CN$403</c:f>
              <c:numCache>
                <c:formatCode>General</c:formatCode>
                <c:ptCount val="91"/>
                <c:pt idx="0">
                  <c:v>0.29346944834595101</c:v>
                </c:pt>
                <c:pt idx="1">
                  <c:v>0.28807456414463373</c:v>
                </c:pt>
                <c:pt idx="2">
                  <c:v>0.28266922603248845</c:v>
                </c:pt>
                <c:pt idx="3">
                  <c:v>0.27724298009868736</c:v>
                </c:pt>
                <c:pt idx="4">
                  <c:v>0.27178537243240253</c:v>
                </c:pt>
                <c:pt idx="5">
                  <c:v>0.2662859491228059</c:v>
                </c:pt>
                <c:pt idx="6">
                  <c:v>0.26073425625906971</c:v>
                </c:pt>
                <c:pt idx="7">
                  <c:v>0.25511983993036591</c:v>
                </c:pt>
                <c:pt idx="8">
                  <c:v>0.24943224622586674</c:v>
                </c:pt>
                <c:pt idx="9">
                  <c:v>0.24366102123474404</c:v>
                </c:pt>
                <c:pt idx="10">
                  <c:v>0.23779571104617009</c:v>
                </c:pt>
                <c:pt idx="11">
                  <c:v>0.23182586174931688</c:v>
                </c:pt>
                <c:pt idx="12">
                  <c:v>0.22574101943335645</c:v>
                </c:pt>
                <c:pt idx="13">
                  <c:v>0.21954852707012842</c:v>
                </c:pt>
                <c:pt idx="14">
                  <c:v>0.21332691516214225</c:v>
                </c:pt>
                <c:pt idx="15">
                  <c:v>0.20717251109457491</c:v>
                </c:pt>
                <c:pt idx="16">
                  <c:v>0.20118164225260332</c:v>
                </c:pt>
                <c:pt idx="17">
                  <c:v>0.19545063602140456</c:v>
                </c:pt>
                <c:pt idx="18">
                  <c:v>0.19007581978615565</c:v>
                </c:pt>
                <c:pt idx="19">
                  <c:v>0.18515352093203333</c:v>
                </c:pt>
                <c:pt idx="20">
                  <c:v>0.18078006684421477</c:v>
                </c:pt>
                <c:pt idx="21">
                  <c:v>0.17705178490787682</c:v>
                </c:pt>
                <c:pt idx="22">
                  <c:v>0.17406500250819654</c:v>
                </c:pt>
                <c:pt idx="23">
                  <c:v>0.17191604703035088</c:v>
                </c:pt>
                <c:pt idx="24">
                  <c:v>0.17070124585951679</c:v>
                </c:pt>
                <c:pt idx="25">
                  <c:v>0.17051692638087124</c:v>
                </c:pt>
                <c:pt idx="26">
                  <c:v>0.17145941597959125</c:v>
                </c:pt>
                <c:pt idx="27">
                  <c:v>0.17353753518288378</c:v>
                </c:pt>
                <c:pt idx="28">
                  <c:v>0.17641007708607587</c:v>
                </c:pt>
                <c:pt idx="29">
                  <c:v>0.17964832792652469</c:v>
                </c:pt>
                <c:pt idx="30">
                  <c:v>0.18282357394158735</c:v>
                </c:pt>
                <c:pt idx="31">
                  <c:v>0.18550710136862089</c:v>
                </c:pt>
                <c:pt idx="32">
                  <c:v>0.18727019644498244</c:v>
                </c:pt>
                <c:pt idx="33">
                  <c:v>0.18768414540802913</c:v>
                </c:pt>
                <c:pt idx="34">
                  <c:v>0.18648012799375593</c:v>
                </c:pt>
                <c:pt idx="35">
                  <c:v>0.18402889793270932</c:v>
                </c:pt>
                <c:pt idx="36">
                  <c:v>0.18086110245407366</c:v>
                </c:pt>
                <c:pt idx="37">
                  <c:v>0.17750738878703343</c:v>
                </c:pt>
                <c:pt idx="38">
                  <c:v>0.17449840416077289</c:v>
                </c:pt>
                <c:pt idx="39">
                  <c:v>0.17236479580447647</c:v>
                </c:pt>
                <c:pt idx="40">
                  <c:v>0.17163721094732853</c:v>
                </c:pt>
                <c:pt idx="41">
                  <c:v>0.1727054845381695</c:v>
                </c:pt>
                <c:pt idx="42">
                  <c:v>0.17539620240446399</c:v>
                </c:pt>
                <c:pt idx="43">
                  <c:v>0.1793951380933326</c:v>
                </c:pt>
                <c:pt idx="44">
                  <c:v>0.18438806515189607</c:v>
                </c:pt>
                <c:pt idx="45">
                  <c:v>0.19006075712727499</c:v>
                </c:pt>
                <c:pt idx="46">
                  <c:v>0.19605149609267708</c:v>
                </c:pt>
                <c:pt idx="47">
                  <c:v>0.20180859822565822</c:v>
                </c:pt>
                <c:pt idx="48">
                  <c:v>0.2067328882298613</c:v>
                </c:pt>
                <c:pt idx="49">
                  <c:v>0.21022519080892929</c:v>
                </c:pt>
                <c:pt idx="50">
                  <c:v>0.21168633066650511</c:v>
                </c:pt>
                <c:pt idx="51">
                  <c:v>0.21071925916458031</c:v>
                </c:pt>
                <c:pt idx="52">
                  <c:v>0.20773543429854088</c:v>
                </c:pt>
                <c:pt idx="53">
                  <c:v>0.20334844072212141</c:v>
                </c:pt>
                <c:pt idx="54">
                  <c:v>0.19817186308905649</c:v>
                </c:pt>
                <c:pt idx="55">
                  <c:v>0.19281928605308085</c:v>
                </c:pt>
                <c:pt idx="56">
                  <c:v>0.18781077430664173</c:v>
                </c:pt>
                <c:pt idx="57">
                  <c:v>0.1832923126970375</c:v>
                </c:pt>
                <c:pt idx="58">
                  <c:v>0.17931636611027918</c:v>
                </c:pt>
                <c:pt idx="59">
                  <c:v>0.17593539943237799</c:v>
                </c:pt>
                <c:pt idx="60">
                  <c:v>0.17320187754934491</c:v>
                </c:pt>
                <c:pt idx="61">
                  <c:v>0.1710828509129389</c:v>
                </c:pt>
                <c:pt idx="62">
                  <c:v>0.16920371223791017</c:v>
                </c:pt>
                <c:pt idx="63">
                  <c:v>0.16710443980475675</c:v>
                </c:pt>
                <c:pt idx="64">
                  <c:v>0.1643250118939768</c:v>
                </c:pt>
                <c:pt idx="65">
                  <c:v>0.16040540678606829</c:v>
                </c:pt>
                <c:pt idx="66">
                  <c:v>0.1550496716677498</c:v>
                </c:pt>
                <c:pt idx="67">
                  <c:v>0.1486181293506216</c:v>
                </c:pt>
                <c:pt idx="68">
                  <c:v>0.14163517155250457</c:v>
                </c:pt>
                <c:pt idx="69">
                  <c:v>0.13462518999121939</c:v>
                </c:pt>
                <c:pt idx="70">
                  <c:v>0.12811257638458695</c:v>
                </c:pt>
                <c:pt idx="71">
                  <c:v>0.1226937635485523</c:v>
                </c:pt>
                <c:pt idx="72">
                  <c:v>0.11925334869155772</c:v>
                </c:pt>
                <c:pt idx="73">
                  <c:v>0.11874797012016991</c:v>
                </c:pt>
                <c:pt idx="74">
                  <c:v>0.12067986370274397</c:v>
                </c:pt>
                <c:pt idx="75">
                  <c:v>0.120674968563661</c:v>
                </c:pt>
                <c:pt idx="76">
                  <c:v>0.12267823829994473</c:v>
                </c:pt>
                <c:pt idx="77">
                  <c:v>0.12061748041233278</c:v>
                </c:pt>
                <c:pt idx="78">
                  <c:v>0.1144929885709689</c:v>
                </c:pt>
                <c:pt idx="79">
                  <c:v>0.10940808201553853</c:v>
                </c:pt>
                <c:pt idx="80">
                  <c:v>9.9193295342980825E-2</c:v>
                </c:pt>
                <c:pt idx="81">
                  <c:v>9.2069851676479519E-2</c:v>
                </c:pt>
                <c:pt idx="82">
                  <c:v>8.5948875586472351E-2</c:v>
                </c:pt>
                <c:pt idx="83">
                  <c:v>8.3903642226779152E-2</c:v>
                </c:pt>
                <c:pt idx="84">
                  <c:v>8.0846462461980906E-2</c:v>
                </c:pt>
                <c:pt idx="85">
                  <c:v>7.8802206461781044E-2</c:v>
                </c:pt>
                <c:pt idx="86">
                  <c:v>7.3722480307003568E-2</c:v>
                </c:pt>
                <c:pt idx="87">
                  <c:v>6.6633013629480153E-2</c:v>
                </c:pt>
                <c:pt idx="88">
                  <c:v>6.2601601389355999E-2</c:v>
                </c:pt>
                <c:pt idx="89">
                  <c:v>6.2590225829572965E-2</c:v>
                </c:pt>
                <c:pt idx="90">
                  <c:v>6.3586907153023731E-2</c:v>
                </c:pt>
              </c:numCache>
            </c:numRef>
          </c:val>
          <c:smooth val="0"/>
        </c:ser>
        <c:dLbls>
          <c:showLegendKey val="0"/>
          <c:showVal val="0"/>
          <c:showCatName val="0"/>
          <c:showSerName val="0"/>
          <c:showPercent val="0"/>
          <c:showBubbleSize val="0"/>
        </c:dLbls>
        <c:marker val="1"/>
        <c:smooth val="0"/>
        <c:axId val="278507904"/>
        <c:axId val="279181568"/>
      </c:lineChart>
      <c:catAx>
        <c:axId val="278507904"/>
        <c:scaling>
          <c:orientation val="minMax"/>
        </c:scaling>
        <c:delete val="0"/>
        <c:axPos val="b"/>
        <c:numFmt formatCode="General" sourceLinked="1"/>
        <c:majorTickMark val="out"/>
        <c:minorTickMark val="none"/>
        <c:tickLblPos val="nextTo"/>
        <c:crossAx val="279181568"/>
        <c:crosses val="autoZero"/>
        <c:auto val="1"/>
        <c:lblAlgn val="ctr"/>
        <c:lblOffset val="100"/>
        <c:tickLblSkip val="25"/>
        <c:tickMarkSkip val="10"/>
        <c:noMultiLvlLbl val="0"/>
      </c:catAx>
      <c:valAx>
        <c:axId val="279181568"/>
        <c:scaling>
          <c:orientation val="minMax"/>
          <c:max val="0.30000000000000004"/>
        </c:scaling>
        <c:delete val="0"/>
        <c:axPos val="l"/>
        <c:majorGridlines>
          <c:spPr>
            <a:ln w="9525" cap="flat" cmpd="sng" algn="ctr">
              <a:solidFill>
                <a:srgbClr val="CDCDCD"/>
              </a:solidFill>
              <a:prstDash val="solid"/>
              <a:round/>
              <a:headEnd type="none" w="med" len="med"/>
              <a:tailEnd type="none" w="med" len="med"/>
            </a:ln>
          </c:spPr>
        </c:majorGridlines>
        <c:numFmt formatCode="General" sourceLinked="1"/>
        <c:majorTickMark val="out"/>
        <c:minorTickMark val="none"/>
        <c:tickLblPos val="nextTo"/>
        <c:spPr>
          <a:ln w="9525" cap="flat" cmpd="sng" algn="ctr">
            <a:solidFill>
              <a:srgbClr val="787878"/>
            </a:solidFill>
            <a:prstDash val="solid"/>
            <a:round/>
            <a:headEnd type="none" w="med" len="med"/>
            <a:tailEnd type="none" w="med" len="med"/>
          </a:ln>
        </c:spPr>
        <c:crossAx val="278507904"/>
        <c:crosses val="autoZero"/>
        <c:crossBetween val="between"/>
        <c:majorUnit val="0.1"/>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079114432790135"/>
          <c:y val="3.9181569473027596E-2"/>
          <c:w val="0.75749382716049385"/>
          <c:h val="0.80908977047795405"/>
        </c:manualLayout>
      </c:layout>
      <c:lineChart>
        <c:grouping val="standard"/>
        <c:varyColors val="0"/>
        <c:ser>
          <c:idx val="1"/>
          <c:order val="0"/>
          <c:tx>
            <c:strRef>
              <c:f>'females Qx'!$A$404</c:f>
              <c:strCache>
                <c:ptCount val="1"/>
                <c:pt idx="0">
                  <c:v>30</c:v>
                </c:pt>
              </c:strCache>
            </c:strRef>
          </c:tx>
          <c:spPr>
            <a:ln w="22225" cap="rnd" cmpd="sng" algn="ctr">
              <a:solidFill>
                <a:srgbClr val="78A22F"/>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'females Qx'!$B$404:$CN$404</c:f>
              <c:numCache>
                <c:formatCode>General</c:formatCode>
                <c:ptCount val="91"/>
                <c:pt idx="0">
                  <c:v>0.39117328976736587</c:v>
                </c:pt>
                <c:pt idx="1">
                  <c:v>0.38157449082768713</c:v>
                </c:pt>
                <c:pt idx="2">
                  <c:v>0.37199767507513559</c:v>
                </c:pt>
                <c:pt idx="3">
                  <c:v>0.36246482569683874</c:v>
                </c:pt>
                <c:pt idx="4">
                  <c:v>0.35299792587992374</c:v>
                </c:pt>
                <c:pt idx="5">
                  <c:v>0.34361895881151783</c:v>
                </c:pt>
                <c:pt idx="6">
                  <c:v>0.3343499076787485</c:v>
                </c:pt>
                <c:pt idx="7">
                  <c:v>0.32521275566874286</c:v>
                </c:pt>
                <c:pt idx="8">
                  <c:v>0.31622948596862832</c:v>
                </c:pt>
                <c:pt idx="9">
                  <c:v>0.3074220817655321</c:v>
                </c:pt>
                <c:pt idx="10">
                  <c:v>0.29881252624658156</c:v>
                </c:pt>
                <c:pt idx="11">
                  <c:v>0.29042280259890385</c:v>
                </c:pt>
                <c:pt idx="12">
                  <c:v>0.28227489400962646</c:v>
                </c:pt>
                <c:pt idx="13">
                  <c:v>0.27437695803220541</c:v>
                </c:pt>
                <c:pt idx="14">
                  <c:v>0.26668184968541253</c:v>
                </c:pt>
                <c:pt idx="15">
                  <c:v>0.25912859835434821</c:v>
                </c:pt>
                <c:pt idx="16">
                  <c:v>0.25165623342411308</c:v>
                </c:pt>
                <c:pt idx="17">
                  <c:v>0.24420378427980771</c:v>
                </c:pt>
                <c:pt idx="18">
                  <c:v>0.23671028030653263</c:v>
                </c:pt>
                <c:pt idx="19">
                  <c:v>0.22911475088938849</c:v>
                </c:pt>
                <c:pt idx="20">
                  <c:v>0.22135622541347577</c:v>
                </c:pt>
                <c:pt idx="21">
                  <c:v>0.21337373326389494</c:v>
                </c:pt>
                <c:pt idx="22">
                  <c:v>0.20510630382574668</c:v>
                </c:pt>
                <c:pt idx="23">
                  <c:v>0.19649296648413156</c:v>
                </c:pt>
                <c:pt idx="24">
                  <c:v>0.18747275062415003</c:v>
                </c:pt>
                <c:pt idx="25">
                  <c:v>0.17798468563090278</c:v>
                </c:pt>
                <c:pt idx="26">
                  <c:v>0.16796780088949026</c:v>
                </c:pt>
                <c:pt idx="27">
                  <c:v>0.15742546228612103</c:v>
                </c:pt>
                <c:pt idx="28">
                  <c:v>0.14661838171143526</c:v>
                </c:pt>
                <c:pt idx="29">
                  <c:v>0.1358716075571812</c:v>
                </c:pt>
                <c:pt idx="30">
                  <c:v>0.12551018821510707</c:v>
                </c:pt>
                <c:pt idx="31">
                  <c:v>0.11585917207696095</c:v>
                </c:pt>
                <c:pt idx="32">
                  <c:v>0.10724360753449107</c:v>
                </c:pt>
                <c:pt idx="33">
                  <c:v>9.9988542979445594E-2</c:v>
                </c:pt>
                <c:pt idx="34">
                  <c:v>9.4332376138827889E-2</c:v>
                </c:pt>
                <c:pt idx="35">
                  <c:v>9.0166902080661818E-2</c:v>
                </c:pt>
                <c:pt idx="36">
                  <c:v>8.7297265208226421E-2</c:v>
                </c:pt>
                <c:pt idx="37">
                  <c:v>8.5528609924800728E-2</c:v>
                </c:pt>
                <c:pt idx="38">
                  <c:v>8.4666080633663779E-2</c:v>
                </c:pt>
                <c:pt idx="39">
                  <c:v>8.4514821738094603E-2</c:v>
                </c:pt>
                <c:pt idx="40">
                  <c:v>8.4879977641372228E-2</c:v>
                </c:pt>
                <c:pt idx="41">
                  <c:v>8.5568391694557516E-2</c:v>
                </c:pt>
                <c:pt idx="42">
                  <c:v>8.6393703039838482E-2</c:v>
                </c:pt>
                <c:pt idx="43">
                  <c:v>8.7171249767185072E-2</c:v>
                </c:pt>
                <c:pt idx="44">
                  <c:v>8.771636996656712E-2</c:v>
                </c:pt>
                <c:pt idx="45">
                  <c:v>8.7844401727954491E-2</c:v>
                </c:pt>
                <c:pt idx="46">
                  <c:v>8.7408279657749638E-2</c:v>
                </c:pt>
                <c:pt idx="47">
                  <c:v>8.6411324428085245E-2</c:v>
                </c:pt>
                <c:pt idx="48">
                  <c:v>8.4894453227526492E-2</c:v>
                </c:pt>
                <c:pt idx="49">
                  <c:v>8.2898583244638627E-2</c:v>
                </c:pt>
                <c:pt idx="50">
                  <c:v>8.0464631667986897E-2</c:v>
                </c:pt>
                <c:pt idx="51">
                  <c:v>7.7645017851852016E-2</c:v>
                </c:pt>
                <c:pt idx="52">
                  <c:v>7.4538169813376715E-2</c:v>
                </c:pt>
                <c:pt idx="53">
                  <c:v>7.125401773541927E-2</c:v>
                </c:pt>
                <c:pt idx="54">
                  <c:v>6.7902491800837919E-2</c:v>
                </c:pt>
                <c:pt idx="55">
                  <c:v>6.4593522192490926E-2</c:v>
                </c:pt>
                <c:pt idx="56">
                  <c:v>6.1441317268474765E-2</c:v>
                </c:pt>
                <c:pt idx="57">
                  <c:v>5.857719808783883E-2</c:v>
                </c:pt>
                <c:pt idx="58">
                  <c:v>5.6136763884870711E-2</c:v>
                </c:pt>
                <c:pt idx="59">
                  <c:v>5.4255613893858037E-2</c:v>
                </c:pt>
                <c:pt idx="60">
                  <c:v>5.3069347349088414E-2</c:v>
                </c:pt>
                <c:pt idx="61">
                  <c:v>5.2647132631525179E-2</c:v>
                </c:pt>
                <c:pt idx="62">
                  <c:v>5.2792414708834556E-2</c:v>
                </c:pt>
                <c:pt idx="63">
                  <c:v>5.3242207695358527E-2</c:v>
                </c:pt>
                <c:pt idx="64">
                  <c:v>5.3733525705439059E-2</c:v>
                </c:pt>
                <c:pt idx="65">
                  <c:v>5.4003382853418103E-2</c:v>
                </c:pt>
                <c:pt idx="66">
                  <c:v>5.3852493250537682E-2</c:v>
                </c:pt>
                <c:pt idx="67">
                  <c:v>5.3336370995639933E-2</c:v>
                </c:pt>
                <c:pt idx="68">
                  <c:v>5.257423018446708E-2</c:v>
                </c:pt>
                <c:pt idx="69">
                  <c:v>5.1685284912761323E-2</c:v>
                </c:pt>
                <c:pt idx="70">
                  <c:v>5.0788749276264866E-2</c:v>
                </c:pt>
                <c:pt idx="71">
                  <c:v>4.9982648559117812E-2</c:v>
                </c:pt>
                <c:pt idx="72">
                  <c:v>4.9280252799051912E-2</c:v>
                </c:pt>
                <c:pt idx="73">
                  <c:v>4.8673643222196805E-2</c:v>
                </c:pt>
                <c:pt idx="74">
                  <c:v>4.8649963512525929E-2</c:v>
                </c:pt>
                <c:pt idx="75">
                  <c:v>5.0674477292766973E-2</c:v>
                </c:pt>
                <c:pt idx="76">
                  <c:v>4.9645893068828162E-2</c:v>
                </c:pt>
                <c:pt idx="77">
                  <c:v>5.0671395996959578E-2</c:v>
                </c:pt>
                <c:pt idx="78">
                  <c:v>5.0663181039811711E-2</c:v>
                </c:pt>
                <c:pt idx="79">
                  <c:v>4.7597828728829228E-2</c:v>
                </c:pt>
                <c:pt idx="80">
                  <c:v>4.5547019706682068E-2</c:v>
                </c:pt>
                <c:pt idx="81">
                  <c:v>4.3492333211958556E-2</c:v>
                </c:pt>
                <c:pt idx="82">
                  <c:v>4.2478735347362129E-2</c:v>
                </c:pt>
                <c:pt idx="83">
                  <c:v>4.0446529687754307E-2</c:v>
                </c:pt>
                <c:pt idx="84">
                  <c:v>3.7403584678685764E-2</c:v>
                </c:pt>
                <c:pt idx="85">
                  <c:v>3.9415837081202554E-2</c:v>
                </c:pt>
                <c:pt idx="86">
                  <c:v>4.0421597259410191E-2</c:v>
                </c:pt>
                <c:pt idx="87">
                  <c:v>3.9386380391637221E-2</c:v>
                </c:pt>
                <c:pt idx="88">
                  <c:v>3.8350136748510621E-2</c:v>
                </c:pt>
                <c:pt idx="89">
                  <c:v>3.6328775417526771E-2</c:v>
                </c:pt>
                <c:pt idx="90">
                  <c:v>3.7336777735175186E-2</c:v>
                </c:pt>
              </c:numCache>
            </c:numRef>
          </c:val>
          <c:smooth val="0"/>
        </c:ser>
        <c:ser>
          <c:idx val="0"/>
          <c:order val="1"/>
          <c:tx>
            <c:strRef>
              <c:f>'males Qx'!$A$404</c:f>
              <c:strCache>
                <c:ptCount val="1"/>
                <c:pt idx="0">
                  <c:v>30</c:v>
                </c:pt>
              </c:strCache>
            </c:strRef>
          </c:tx>
          <c:spPr>
            <a:ln w="22225" cap="rnd" cmpd="sng" algn="ctr">
              <a:solidFill>
                <a:srgbClr val="344893"/>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'males Qx'!$B$404:$CN$404</c:f>
              <c:numCache>
                <c:formatCode>General</c:formatCode>
                <c:ptCount val="91"/>
                <c:pt idx="0">
                  <c:v>0.39609345440787536</c:v>
                </c:pt>
                <c:pt idx="1">
                  <c:v>0.38530457290461811</c:v>
                </c:pt>
                <c:pt idx="2">
                  <c:v>0.37454507067155324</c:v>
                </c:pt>
                <c:pt idx="3">
                  <c:v>0.36384432697887314</c:v>
                </c:pt>
                <c:pt idx="4">
                  <c:v>0.3532317210967702</c:v>
                </c:pt>
                <c:pt idx="5">
                  <c:v>0.34273663229543661</c:v>
                </c:pt>
                <c:pt idx="6">
                  <c:v>0.332388439845065</c:v>
                </c:pt>
                <c:pt idx="7">
                  <c:v>0.32221652301584758</c:v>
                </c:pt>
                <c:pt idx="8">
                  <c:v>0.31225026107797682</c:v>
                </c:pt>
                <c:pt idx="9">
                  <c:v>0.30251903330164498</c:v>
                </c:pt>
                <c:pt idx="10">
                  <c:v>0.29305221895704447</c:v>
                </c:pt>
                <c:pt idx="11">
                  <c:v>0.28387919731436773</c:v>
                </c:pt>
                <c:pt idx="12">
                  <c:v>0.27502934764380704</c:v>
                </c:pt>
                <c:pt idx="13">
                  <c:v>0.26652766466614664</c:v>
                </c:pt>
                <c:pt idx="14">
                  <c:v>0.25838160490453782</c:v>
                </c:pt>
                <c:pt idx="15">
                  <c:v>0.25059424033272365</c:v>
                </c:pt>
                <c:pt idx="16">
                  <c:v>0.24316864292444723</c:v>
                </c:pt>
                <c:pt idx="17">
                  <c:v>0.23610788465345173</c:v>
                </c:pt>
                <c:pt idx="18">
                  <c:v>0.22941503749348019</c:v>
                </c:pt>
                <c:pt idx="19">
                  <c:v>0.22309317341827578</c:v>
                </c:pt>
                <c:pt idx="20">
                  <c:v>0.21714536440158153</c:v>
                </c:pt>
                <c:pt idx="21">
                  <c:v>0.21157468241714056</c:v>
                </c:pt>
                <c:pt idx="22">
                  <c:v>0.20638419943869593</c:v>
                </c:pt>
                <c:pt idx="23">
                  <c:v>0.20157698743999089</c:v>
                </c:pt>
                <c:pt idx="24">
                  <c:v>0.1971561183947684</c:v>
                </c:pt>
                <c:pt idx="25">
                  <c:v>0.19312466427677158</c:v>
                </c:pt>
                <c:pt idx="26">
                  <c:v>0.18948569705974361</c:v>
                </c:pt>
                <c:pt idx="27">
                  <c:v>0.18623214401877253</c:v>
                </c:pt>
                <c:pt idx="28">
                  <c:v>0.18331635363432647</c:v>
                </c:pt>
                <c:pt idx="29">
                  <c:v>0.18068052968821849</c:v>
                </c:pt>
                <c:pt idx="30">
                  <c:v>0.17826687596226176</c:v>
                </c:pt>
                <c:pt idx="31">
                  <c:v>0.17601759623826935</c:v>
                </c:pt>
                <c:pt idx="32">
                  <c:v>0.17387489429805436</c:v>
                </c:pt>
                <c:pt idx="33">
                  <c:v>0.17178097392342995</c:v>
                </c:pt>
                <c:pt idx="34">
                  <c:v>0.16969215667530979</c:v>
                </c:pt>
                <c:pt idx="35">
                  <c:v>0.16762123523101005</c:v>
                </c:pt>
                <c:pt idx="36">
                  <c:v>0.16559512004694762</c:v>
                </c:pt>
                <c:pt idx="37">
                  <c:v>0.16364072157953927</c:v>
                </c:pt>
                <c:pt idx="38">
                  <c:v>0.16178495028520185</c:v>
                </c:pt>
                <c:pt idx="39">
                  <c:v>0.16005471662035212</c:v>
                </c:pt>
                <c:pt idx="40">
                  <c:v>0.15847693104140692</c:v>
                </c:pt>
                <c:pt idx="41">
                  <c:v>0.15707193565992042</c:v>
                </c:pt>
                <c:pt idx="42">
                  <c:v>0.15583379920799606</c:v>
                </c:pt>
                <c:pt idx="43">
                  <c:v>0.15475002207287467</c:v>
                </c:pt>
                <c:pt idx="44">
                  <c:v>0.15380810464179701</c:v>
                </c:pt>
                <c:pt idx="45">
                  <c:v>0.15299554730200393</c:v>
                </c:pt>
                <c:pt idx="46">
                  <c:v>0.15226876719577459</c:v>
                </c:pt>
                <c:pt idx="47">
                  <c:v>0.1514598484855417</c:v>
                </c:pt>
                <c:pt idx="48">
                  <c:v>0.15036979208877621</c:v>
                </c:pt>
                <c:pt idx="49">
                  <c:v>0.14879959892294936</c:v>
                </c:pt>
                <c:pt idx="50">
                  <c:v>0.1465502699055321</c:v>
                </c:pt>
                <c:pt idx="51">
                  <c:v>0.14351572770709711</c:v>
                </c:pt>
                <c:pt idx="52">
                  <c:v>0.13996158201062342</c:v>
                </c:pt>
                <c:pt idx="53">
                  <c:v>0.13624636425219175</c:v>
                </c:pt>
                <c:pt idx="54">
                  <c:v>0.1327286058678826</c:v>
                </c:pt>
                <c:pt idx="55">
                  <c:v>0.12976683829377667</c:v>
                </c:pt>
                <c:pt idx="56">
                  <c:v>0.12763961294680953</c:v>
                </c:pt>
                <c:pt idx="57">
                  <c:v>0.12630556116733649</c:v>
                </c:pt>
                <c:pt idx="58">
                  <c:v>0.12564333427656776</c:v>
                </c:pt>
                <c:pt idx="59">
                  <c:v>0.1255315835957137</c:v>
                </c:pt>
                <c:pt idx="60">
                  <c:v>0.12584896044598448</c:v>
                </c:pt>
                <c:pt idx="61">
                  <c:v>0.12647342410334342</c:v>
                </c:pt>
                <c:pt idx="62">
                  <c:v>0.1272801656627662</c:v>
                </c:pt>
                <c:pt idx="63">
                  <c:v>0.12814368417398145</c:v>
                </c:pt>
                <c:pt idx="64">
                  <c:v>0.12893847868671787</c:v>
                </c:pt>
                <c:pt idx="65">
                  <c:v>0.12953904825070417</c:v>
                </c:pt>
                <c:pt idx="66">
                  <c:v>0.12987279330668691</c:v>
                </c:pt>
                <c:pt idx="67">
                  <c:v>0.13007871985948419</c:v>
                </c:pt>
                <c:pt idx="68">
                  <c:v>0.13034873530493205</c:v>
                </c:pt>
                <c:pt idx="69">
                  <c:v>0.13087474703886651</c:v>
                </c:pt>
                <c:pt idx="70">
                  <c:v>0.13184866245712357</c:v>
                </c:pt>
                <c:pt idx="71">
                  <c:v>0.13336232566831027</c:v>
                </c:pt>
                <c:pt idx="72">
                  <c:v>0.13510732763211764</c:v>
                </c:pt>
                <c:pt idx="73">
                  <c:v>0.13667519602100775</c:v>
                </c:pt>
                <c:pt idx="74">
                  <c:v>0.13658396319421451</c:v>
                </c:pt>
                <c:pt idx="75">
                  <c:v>0.13143842931077065</c:v>
                </c:pt>
                <c:pt idx="76">
                  <c:v>0.13452039883757871</c:v>
                </c:pt>
                <c:pt idx="77">
                  <c:v>0.13655451399940954</c:v>
                </c:pt>
                <c:pt idx="78">
                  <c:v>0.13647324406136363</c:v>
                </c:pt>
                <c:pt idx="79">
                  <c:v>0.12918704438498185</c:v>
                </c:pt>
                <c:pt idx="80">
                  <c:v>0.12074081653534741</c:v>
                </c:pt>
                <c:pt idx="81">
                  <c:v>0.11036512462061498</c:v>
                </c:pt>
                <c:pt idx="82">
                  <c:v>0.10717675999550869</c:v>
                </c:pt>
                <c:pt idx="83">
                  <c:v>0.10302758283009528</c:v>
                </c:pt>
                <c:pt idx="84">
                  <c:v>0.10091640248315326</c:v>
                </c:pt>
                <c:pt idx="85">
                  <c:v>9.9850224663000642E-2</c:v>
                </c:pt>
                <c:pt idx="86">
                  <c:v>9.4682508170185198E-2</c:v>
                </c:pt>
                <c:pt idx="87">
                  <c:v>9.7678109928578394E-2</c:v>
                </c:pt>
                <c:pt idx="88">
                  <c:v>8.3371460525649699E-2</c:v>
                </c:pt>
                <c:pt idx="89">
                  <c:v>8.7425916701400208E-2</c:v>
                </c:pt>
                <c:pt idx="90">
                  <c:v>8.5371926864719061E-2</c:v>
                </c:pt>
              </c:numCache>
            </c:numRef>
          </c:val>
          <c:smooth val="0"/>
        </c:ser>
        <c:dLbls>
          <c:showLegendKey val="0"/>
          <c:showVal val="0"/>
          <c:showCatName val="0"/>
          <c:showSerName val="0"/>
          <c:showPercent val="0"/>
          <c:showBubbleSize val="0"/>
        </c:dLbls>
        <c:marker val="1"/>
        <c:smooth val="0"/>
        <c:axId val="291546624"/>
        <c:axId val="291548544"/>
      </c:lineChart>
      <c:catAx>
        <c:axId val="291546624"/>
        <c:scaling>
          <c:orientation val="minMax"/>
        </c:scaling>
        <c:delete val="0"/>
        <c:axPos val="b"/>
        <c:numFmt formatCode="General" sourceLinked="1"/>
        <c:majorTickMark val="out"/>
        <c:minorTickMark val="none"/>
        <c:tickLblPos val="nextTo"/>
        <c:crossAx val="291548544"/>
        <c:crosses val="autoZero"/>
        <c:auto val="1"/>
        <c:lblAlgn val="ctr"/>
        <c:lblOffset val="100"/>
        <c:tickLblSkip val="25"/>
        <c:tickMarkSkip val="10"/>
        <c:noMultiLvlLbl val="0"/>
      </c:catAx>
      <c:valAx>
        <c:axId val="291548544"/>
        <c:scaling>
          <c:orientation val="minMax"/>
          <c:max val="0.4"/>
        </c:scaling>
        <c:delete val="0"/>
        <c:axPos val="l"/>
        <c:majorGridlines>
          <c:spPr>
            <a:ln w="9525" cap="flat" cmpd="sng" algn="ctr">
              <a:solidFill>
                <a:srgbClr val="CDCDCD"/>
              </a:solidFill>
              <a:prstDash val="solid"/>
              <a:round/>
              <a:headEnd type="none" w="med" len="med"/>
              <a:tailEnd type="none" w="med" len="med"/>
            </a:ln>
          </c:spPr>
        </c:majorGridlines>
        <c:numFmt formatCode="General" sourceLinked="1"/>
        <c:majorTickMark val="out"/>
        <c:minorTickMark val="none"/>
        <c:tickLblPos val="nextTo"/>
        <c:spPr>
          <a:ln w="9525" cap="flat" cmpd="sng" algn="ctr">
            <a:solidFill>
              <a:srgbClr val="787878"/>
            </a:solidFill>
            <a:prstDash val="solid"/>
            <a:round/>
            <a:headEnd type="none" w="med" len="med"/>
            <a:tailEnd type="none" w="med" len="med"/>
          </a:ln>
        </c:spPr>
        <c:crossAx val="291546624"/>
        <c:crosses val="autoZero"/>
        <c:crossBetween val="between"/>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079114432790135"/>
          <c:y val="4.0181331654336537E-2"/>
          <c:w val="0.75215907313781649"/>
          <c:h val="0.80228742326459945"/>
        </c:manualLayout>
      </c:layout>
      <c:lineChart>
        <c:grouping val="standard"/>
        <c:varyColors val="0"/>
        <c:ser>
          <c:idx val="1"/>
          <c:order val="0"/>
          <c:tx>
            <c:strRef>
              <c:f>'females Qx'!$A$406</c:f>
              <c:strCache>
                <c:ptCount val="1"/>
                <c:pt idx="0">
                  <c:v>50</c:v>
                </c:pt>
              </c:strCache>
            </c:strRef>
          </c:tx>
          <c:spPr>
            <a:ln w="22225" cap="rnd" cmpd="sng" algn="ctr">
              <a:solidFill>
                <a:srgbClr val="78A22F"/>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'females Qx'!$B$406:$CN$406</c:f>
              <c:numCache>
                <c:formatCode>General</c:formatCode>
                <c:ptCount val="91"/>
                <c:pt idx="0">
                  <c:v>0.83337607056772622</c:v>
                </c:pt>
                <c:pt idx="1">
                  <c:v>0.82790523101196112</c:v>
                </c:pt>
                <c:pt idx="2">
                  <c:v>0.82244687976186803</c:v>
                </c:pt>
                <c:pt idx="3">
                  <c:v>0.81701350512311832</c:v>
                </c:pt>
                <c:pt idx="4">
                  <c:v>0.81161759540138401</c:v>
                </c:pt>
                <c:pt idx="5">
                  <c:v>0.80627163890233688</c:v>
                </c:pt>
                <c:pt idx="6">
                  <c:v>0.80098812393164887</c:v>
                </c:pt>
                <c:pt idx="7">
                  <c:v>0.79577953879499141</c:v>
                </c:pt>
                <c:pt idx="8">
                  <c:v>0.79065837179803677</c:v>
                </c:pt>
                <c:pt idx="9">
                  <c:v>0.7856371112464563</c:v>
                </c:pt>
                <c:pt idx="10">
                  <c:v>0.78072824544592201</c:v>
                </c:pt>
                <c:pt idx="11">
                  <c:v>0.77594426270210581</c:v>
                </c:pt>
                <c:pt idx="12">
                  <c:v>0.77129765132067929</c:v>
                </c:pt>
                <c:pt idx="13">
                  <c:v>0.76677928965123832</c:v>
                </c:pt>
                <c:pt idx="14">
                  <c:v>0.76229361621907399</c:v>
                </c:pt>
                <c:pt idx="15">
                  <c:v>0.75772345959340182</c:v>
                </c:pt>
                <c:pt idx="16">
                  <c:v>0.75295164834343697</c:v>
                </c:pt>
                <c:pt idx="17">
                  <c:v>0.74786101103839464</c:v>
                </c:pt>
                <c:pt idx="18">
                  <c:v>0.7423343762474901</c:v>
                </c:pt>
                <c:pt idx="19">
                  <c:v>0.73625457253993865</c:v>
                </c:pt>
                <c:pt idx="20">
                  <c:v>0.72950442848495556</c:v>
                </c:pt>
                <c:pt idx="21">
                  <c:v>0.72196677265175591</c:v>
                </c:pt>
                <c:pt idx="22">
                  <c:v>0.71352443360955509</c:v>
                </c:pt>
                <c:pt idx="23">
                  <c:v>0.7040602399275685</c:v>
                </c:pt>
                <c:pt idx="24">
                  <c:v>0.6934570201750111</c:v>
                </c:pt>
                <c:pt idx="25">
                  <c:v>0.68159760292109839</c:v>
                </c:pt>
                <c:pt idx="26">
                  <c:v>0.66836481673504533</c:v>
                </c:pt>
                <c:pt idx="27">
                  <c:v>0.65371261056602603</c:v>
                </c:pt>
                <c:pt idx="28">
                  <c:v>0.63787941488304789</c:v>
                </c:pt>
                <c:pt idx="29">
                  <c:v>0.6211747805350778</c:v>
                </c:pt>
                <c:pt idx="30">
                  <c:v>0.60390825837108175</c:v>
                </c:pt>
                <c:pt idx="31">
                  <c:v>0.5863893992400262</c:v>
                </c:pt>
                <c:pt idx="32">
                  <c:v>0.56892775399087747</c:v>
                </c:pt>
                <c:pt idx="33">
                  <c:v>0.5518328734726019</c:v>
                </c:pt>
                <c:pt idx="34">
                  <c:v>0.53546067843318157</c:v>
                </c:pt>
                <c:pt idx="35">
                  <c:v>0.52035256921665984</c:v>
                </c:pt>
                <c:pt idx="36">
                  <c:v>0.50709631606609629</c:v>
                </c:pt>
                <c:pt idx="37">
                  <c:v>0.49627968922455018</c:v>
                </c:pt>
                <c:pt idx="38">
                  <c:v>0.48849045893508086</c:v>
                </c:pt>
                <c:pt idx="39">
                  <c:v>0.4843163954407475</c:v>
                </c:pt>
                <c:pt idx="40">
                  <c:v>0.4843452689846095</c:v>
                </c:pt>
                <c:pt idx="41">
                  <c:v>0.48876436505033616</c:v>
                </c:pt>
                <c:pt idx="42">
                  <c:v>0.49615903008403728</c:v>
                </c:pt>
                <c:pt idx="43">
                  <c:v>0.50471412577243213</c:v>
                </c:pt>
                <c:pt idx="44">
                  <c:v>0.5126145138022411</c:v>
                </c:pt>
                <c:pt idx="45">
                  <c:v>0.51804505586018346</c:v>
                </c:pt>
                <c:pt idx="46">
                  <c:v>0.51958901389211831</c:v>
                </c:pt>
                <c:pt idx="47">
                  <c:v>0.51742325088046082</c:v>
                </c:pt>
                <c:pt idx="48">
                  <c:v>0.5121230300667664</c:v>
                </c:pt>
                <c:pt idx="49">
                  <c:v>0.5042636146925894</c:v>
                </c:pt>
                <c:pt idx="50">
                  <c:v>0.49442026799948469</c:v>
                </c:pt>
                <c:pt idx="51">
                  <c:v>0.48308878395043164</c:v>
                </c:pt>
                <c:pt idx="52">
                  <c:v>0.47044707939410846</c:v>
                </c:pt>
                <c:pt idx="53">
                  <c:v>0.45659360190061765</c:v>
                </c:pt>
                <c:pt idx="54">
                  <c:v>0.44162679904006225</c:v>
                </c:pt>
                <c:pt idx="55">
                  <c:v>0.42564511838254493</c:v>
                </c:pt>
                <c:pt idx="56">
                  <c:v>0.40887471170943407</c:v>
                </c:pt>
                <c:pt idx="57">
                  <c:v>0.39205254764716063</c:v>
                </c:pt>
                <c:pt idx="58">
                  <c:v>0.37604329903342126</c:v>
                </c:pt>
                <c:pt idx="59">
                  <c:v>0.36171163870591272</c:v>
                </c:pt>
                <c:pt idx="60">
                  <c:v>0.34992223950233159</c:v>
                </c:pt>
                <c:pt idx="61">
                  <c:v>0.34119966803535567</c:v>
                </c:pt>
                <c:pt idx="62">
                  <c:v>0.3347080660175869</c:v>
                </c:pt>
                <c:pt idx="63">
                  <c:v>0.32927146893660836</c:v>
                </c:pt>
                <c:pt idx="64">
                  <c:v>0.32371391228000329</c:v>
                </c:pt>
                <c:pt idx="65">
                  <c:v>0.31685943153535456</c:v>
                </c:pt>
                <c:pt idx="66">
                  <c:v>0.30787576946207668</c:v>
                </c:pt>
                <c:pt idx="67">
                  <c:v>0.2973054979069088</c:v>
                </c:pt>
                <c:pt idx="68">
                  <c:v>0.28603489598842152</c:v>
                </c:pt>
                <c:pt idx="69">
                  <c:v>0.27495024282518538</c:v>
                </c:pt>
                <c:pt idx="70">
                  <c:v>0.26493781753577084</c:v>
                </c:pt>
                <c:pt idx="71">
                  <c:v>0.25683016612618526</c:v>
                </c:pt>
                <c:pt idx="72">
                  <c:v>0.25124490215218359</c:v>
                </c:pt>
                <c:pt idx="73">
                  <c:v>0.24874590605695746</c:v>
                </c:pt>
                <c:pt idx="74">
                  <c:v>0.24647121568303065</c:v>
                </c:pt>
                <c:pt idx="75">
                  <c:v>0.23391086547019935</c:v>
                </c:pt>
                <c:pt idx="76">
                  <c:v>0.23595889347697296</c:v>
                </c:pt>
                <c:pt idx="77">
                  <c:v>0.22669634076910583</c:v>
                </c:pt>
                <c:pt idx="78">
                  <c:v>0.22143123215099259</c:v>
                </c:pt>
                <c:pt idx="79">
                  <c:v>0.20877474032350296</c:v>
                </c:pt>
                <c:pt idx="80">
                  <c:v>0.20960464227818276</c:v>
                </c:pt>
                <c:pt idx="81">
                  <c:v>0.20526256072780358</c:v>
                </c:pt>
                <c:pt idx="82">
                  <c:v>0.20001030980978385</c:v>
                </c:pt>
                <c:pt idx="83">
                  <c:v>0.19370659632781395</c:v>
                </c:pt>
                <c:pt idx="84">
                  <c:v>0.19355104394020994</c:v>
                </c:pt>
                <c:pt idx="85">
                  <c:v>0.19347933476041579</c:v>
                </c:pt>
                <c:pt idx="86">
                  <c:v>0.19136983764429516</c:v>
                </c:pt>
                <c:pt idx="87">
                  <c:v>0.19641718598959468</c:v>
                </c:pt>
                <c:pt idx="88">
                  <c:v>0.19521216480016257</c:v>
                </c:pt>
                <c:pt idx="89">
                  <c:v>0.19624766249511927</c:v>
                </c:pt>
                <c:pt idx="90">
                  <c:v>0.19002814470899798</c:v>
                </c:pt>
              </c:numCache>
            </c:numRef>
          </c:val>
          <c:smooth val="0"/>
        </c:ser>
        <c:ser>
          <c:idx val="0"/>
          <c:order val="1"/>
          <c:tx>
            <c:strRef>
              <c:f>'males Qx'!$A$406</c:f>
              <c:strCache>
                <c:ptCount val="1"/>
                <c:pt idx="0">
                  <c:v>50</c:v>
                </c:pt>
              </c:strCache>
            </c:strRef>
          </c:tx>
          <c:spPr>
            <a:ln w="22225" cap="rnd" cmpd="sng" algn="ctr">
              <a:solidFill>
                <a:srgbClr val="344893"/>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'males Qx'!$B$406:$CN$406</c:f>
              <c:numCache>
                <c:formatCode>General</c:formatCode>
                <c:ptCount val="91"/>
                <c:pt idx="0">
                  <c:v>1.1894934841739202</c:v>
                </c:pt>
                <c:pt idx="1">
                  <c:v>1.169761747443663</c:v>
                </c:pt>
                <c:pt idx="2">
                  <c:v>1.1502139887373182</c:v>
                </c:pt>
                <c:pt idx="3">
                  <c:v>1.1310341860787969</c:v>
                </c:pt>
                <c:pt idx="4">
                  <c:v>1.1124063174920118</c:v>
                </c:pt>
                <c:pt idx="5">
                  <c:v>1.0945143610008741</c:v>
                </c:pt>
                <c:pt idx="6">
                  <c:v>1.0775422946292965</c:v>
                </c:pt>
                <c:pt idx="7">
                  <c:v>1.0616740964011906</c:v>
                </c:pt>
                <c:pt idx="8">
                  <c:v>1.0470937443404686</c:v>
                </c:pt>
                <c:pt idx="9">
                  <c:v>1.0339852164710421</c:v>
                </c:pt>
                <c:pt idx="10">
                  <c:v>1.0225324908168234</c:v>
                </c:pt>
                <c:pt idx="11">
                  <c:v>1.0129195454017239</c:v>
                </c:pt>
                <c:pt idx="12">
                  <c:v>1.0053303582496564</c:v>
                </c:pt>
                <c:pt idx="13">
                  <c:v>0.99985853770680255</c:v>
                </c:pt>
                <c:pt idx="14">
                  <c:v>0.99623621340842583</c:v>
                </c:pt>
                <c:pt idx="15">
                  <c:v>0.9941051453120594</c:v>
                </c:pt>
                <c:pt idx="16">
                  <c:v>0.99310709337523739</c:v>
                </c:pt>
                <c:pt idx="17">
                  <c:v>0.99288381755549271</c:v>
                </c:pt>
                <c:pt idx="18">
                  <c:v>0.99307707781035903</c:v>
                </c:pt>
                <c:pt idx="19">
                  <c:v>0.99332863409737016</c:v>
                </c:pt>
                <c:pt idx="20">
                  <c:v>0.99328024637405943</c:v>
                </c:pt>
                <c:pt idx="21">
                  <c:v>0.99257367459795998</c:v>
                </c:pt>
                <c:pt idx="22">
                  <c:v>0.9908506787266057</c:v>
                </c:pt>
                <c:pt idx="23">
                  <c:v>0.98775301871753018</c:v>
                </c:pt>
                <c:pt idx="24">
                  <c:v>0.98292245452826676</c:v>
                </c:pt>
                <c:pt idx="25">
                  <c:v>0.97600074611634891</c:v>
                </c:pt>
                <c:pt idx="26">
                  <c:v>0.9666296534393104</c:v>
                </c:pt>
                <c:pt idx="27">
                  <c:v>0.95463937750570693</c:v>
                </c:pt>
                <c:pt idx="28">
                  <c:v>0.94061388352818343</c:v>
                </c:pt>
                <c:pt idx="29">
                  <c:v>0.92532557777040814</c:v>
                </c:pt>
                <c:pt idx="30">
                  <c:v>0.90954686649604843</c:v>
                </c:pt>
                <c:pt idx="31">
                  <c:v>0.89405015596877202</c:v>
                </c:pt>
                <c:pt idx="32">
                  <c:v>0.87960785245224626</c:v>
                </c:pt>
                <c:pt idx="33">
                  <c:v>0.86699236221013942</c:v>
                </c:pt>
                <c:pt idx="34">
                  <c:v>0.85683912271242635</c:v>
                </c:pt>
                <c:pt idx="35">
                  <c:v>0.84923569625431294</c:v>
                </c:pt>
                <c:pt idx="36">
                  <c:v>0.84413267633731326</c:v>
                </c:pt>
                <c:pt idx="37">
                  <c:v>0.84148065646294046</c:v>
                </c:pt>
                <c:pt idx="38">
                  <c:v>0.84123023013270848</c:v>
                </c:pt>
                <c:pt idx="39">
                  <c:v>0.84333199084813071</c:v>
                </c:pt>
                <c:pt idx="40">
                  <c:v>0.84773653211072109</c:v>
                </c:pt>
                <c:pt idx="41">
                  <c:v>0.85420799917404056</c:v>
                </c:pt>
                <c:pt idx="42">
                  <c:v>0.86176474429984118</c:v>
                </c:pt>
                <c:pt idx="43">
                  <c:v>0.86923867150192202</c:v>
                </c:pt>
                <c:pt idx="44">
                  <c:v>0.87546168479408282</c:v>
                </c:pt>
                <c:pt idx="45">
                  <c:v>0.87926568819012285</c:v>
                </c:pt>
                <c:pt idx="46">
                  <c:v>0.87976153812569757</c:v>
                </c:pt>
                <c:pt idx="47">
                  <c:v>0.87717590072388452</c:v>
                </c:pt>
                <c:pt idx="48">
                  <c:v>0.87201439452961882</c:v>
                </c:pt>
                <c:pt idx="49">
                  <c:v>0.86478263808783362</c:v>
                </c:pt>
                <c:pt idx="50">
                  <c:v>0.8559862499434634</c:v>
                </c:pt>
                <c:pt idx="51">
                  <c:v>0.84598879217810263</c:v>
                </c:pt>
                <c:pt idx="52">
                  <c:v>0.83458560101998569</c:v>
                </c:pt>
                <c:pt idx="53">
                  <c:v>0.82142995623400961</c:v>
                </c:pt>
                <c:pt idx="54">
                  <c:v>0.80617513758506876</c:v>
                </c:pt>
                <c:pt idx="55">
                  <c:v>0.7884744248380593</c:v>
                </c:pt>
                <c:pt idx="56">
                  <c:v>0.76811075590769851</c:v>
                </c:pt>
                <c:pt idx="57">
                  <c:v>0.74538570130799131</c:v>
                </c:pt>
                <c:pt idx="58">
                  <c:v>0.72073048970276432</c:v>
                </c:pt>
                <c:pt idx="59">
                  <c:v>0.69457634975584415</c:v>
                </c:pt>
                <c:pt idx="60">
                  <c:v>0.6673545101310574</c:v>
                </c:pt>
                <c:pt idx="61">
                  <c:v>0.63952079242140658</c:v>
                </c:pt>
                <c:pt idx="62">
                  <c:v>0.6116293899365971</c:v>
                </c:pt>
                <c:pt idx="63">
                  <c:v>0.5842590889155107</c:v>
                </c:pt>
                <c:pt idx="64">
                  <c:v>0.55798867559702847</c:v>
                </c:pt>
                <c:pt idx="65">
                  <c:v>0.53339693622003193</c:v>
                </c:pt>
                <c:pt idx="66">
                  <c:v>0.51094657792390863</c:v>
                </c:pt>
                <c:pt idx="67">
                  <c:v>0.49063599145007031</c:v>
                </c:pt>
                <c:pt idx="68">
                  <c:v>0.47234748844043528</c:v>
                </c:pt>
                <c:pt idx="69">
                  <c:v>0.45596338053692165</c:v>
                </c:pt>
                <c:pt idx="70">
                  <c:v>0.44136597938144728</c:v>
                </c:pt>
                <c:pt idx="71">
                  <c:v>0.42830482299718819</c:v>
                </c:pt>
                <c:pt idx="72">
                  <c:v>0.41599835493235093</c:v>
                </c:pt>
                <c:pt idx="73">
                  <c:v>0.40353224511640029</c:v>
                </c:pt>
                <c:pt idx="74">
                  <c:v>0.39014483458927884</c:v>
                </c:pt>
                <c:pt idx="75">
                  <c:v>0.37586357860567299</c:v>
                </c:pt>
                <c:pt idx="76">
                  <c:v>0.36284857475213927</c:v>
                </c:pt>
                <c:pt idx="77">
                  <c:v>0.35083229363276347</c:v>
                </c:pt>
                <c:pt idx="78">
                  <c:v>0.34201694102604652</c:v>
                </c:pt>
                <c:pt idx="79">
                  <c:v>0.3307314375651349</c:v>
                </c:pt>
                <c:pt idx="80">
                  <c:v>0.325587807956218</c:v>
                </c:pt>
                <c:pt idx="81">
                  <c:v>0.31952262050869429</c:v>
                </c:pt>
                <c:pt idx="82">
                  <c:v>0.31791297000421936</c:v>
                </c:pt>
                <c:pt idx="83">
                  <c:v>0.31649909797757392</c:v>
                </c:pt>
                <c:pt idx="84">
                  <c:v>0.31709912244661798</c:v>
                </c:pt>
                <c:pt idx="85">
                  <c:v>0.31581274409693272</c:v>
                </c:pt>
                <c:pt idx="86">
                  <c:v>0.31441250078866334</c:v>
                </c:pt>
                <c:pt idx="87">
                  <c:v>0.31951903976120688</c:v>
                </c:pt>
                <c:pt idx="88">
                  <c:v>0.32513844604799003</c:v>
                </c:pt>
                <c:pt idx="89">
                  <c:v>0.31157550198275263</c:v>
                </c:pt>
                <c:pt idx="90">
                  <c:v>0.30706350869839083</c:v>
                </c:pt>
              </c:numCache>
            </c:numRef>
          </c:val>
          <c:smooth val="0"/>
        </c:ser>
        <c:dLbls>
          <c:showLegendKey val="0"/>
          <c:showVal val="0"/>
          <c:showCatName val="0"/>
          <c:showSerName val="0"/>
          <c:showPercent val="0"/>
          <c:showBubbleSize val="0"/>
        </c:dLbls>
        <c:marker val="1"/>
        <c:smooth val="0"/>
        <c:axId val="291896704"/>
        <c:axId val="291914880"/>
      </c:lineChart>
      <c:catAx>
        <c:axId val="291896704"/>
        <c:scaling>
          <c:orientation val="minMax"/>
        </c:scaling>
        <c:delete val="0"/>
        <c:axPos val="b"/>
        <c:numFmt formatCode="General" sourceLinked="1"/>
        <c:majorTickMark val="out"/>
        <c:minorTickMark val="none"/>
        <c:tickLblPos val="nextTo"/>
        <c:crossAx val="291914880"/>
        <c:crosses val="autoZero"/>
        <c:auto val="1"/>
        <c:lblAlgn val="ctr"/>
        <c:lblOffset val="100"/>
        <c:tickLblSkip val="25"/>
        <c:tickMarkSkip val="10"/>
        <c:noMultiLvlLbl val="0"/>
      </c:catAx>
      <c:valAx>
        <c:axId val="291914880"/>
        <c:scaling>
          <c:orientation val="minMax"/>
          <c:max val="1.2"/>
        </c:scaling>
        <c:delete val="0"/>
        <c:axPos val="l"/>
        <c:majorGridlines>
          <c:spPr>
            <a:ln w="9525" cap="flat" cmpd="sng" algn="ctr">
              <a:solidFill>
                <a:srgbClr val="CDCDCD"/>
              </a:solidFill>
              <a:prstDash val="solid"/>
              <a:round/>
              <a:headEnd type="none" w="med" len="med"/>
              <a:tailEnd type="none" w="med" len="med"/>
            </a:ln>
          </c:spPr>
        </c:majorGridlines>
        <c:numFmt formatCode="General" sourceLinked="1"/>
        <c:majorTickMark val="out"/>
        <c:minorTickMark val="none"/>
        <c:tickLblPos val="nextTo"/>
        <c:spPr>
          <a:ln w="9525" cap="flat" cmpd="sng" algn="ctr">
            <a:solidFill>
              <a:srgbClr val="787878"/>
            </a:solidFill>
            <a:prstDash val="solid"/>
            <a:round/>
            <a:headEnd type="none" w="med" len="med"/>
            <a:tailEnd type="none" w="med" len="med"/>
          </a:ln>
        </c:spPr>
        <c:crossAx val="291896704"/>
        <c:crosses val="autoZero"/>
        <c:crossBetween val="between"/>
        <c:majorUnit val="0.30000000000000004"/>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079114432790135"/>
          <c:y val="3.9181569473027596E-2"/>
          <c:w val="0.75749382716049385"/>
          <c:h val="0.80908977047795405"/>
        </c:manualLayout>
      </c:layout>
      <c:lineChart>
        <c:grouping val="standard"/>
        <c:varyColors val="0"/>
        <c:ser>
          <c:idx val="1"/>
          <c:order val="0"/>
          <c:tx>
            <c:strRef>
              <c:f>'females Qx'!$A$408</c:f>
              <c:strCache>
                <c:ptCount val="1"/>
                <c:pt idx="0">
                  <c:v>70</c:v>
                </c:pt>
              </c:strCache>
            </c:strRef>
          </c:tx>
          <c:spPr>
            <a:ln w="22225" cap="rnd" cmpd="sng" algn="ctr">
              <a:solidFill>
                <a:srgbClr val="78A22F"/>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'females Qx'!$B$408:$CN$408</c:f>
              <c:numCache>
                <c:formatCode>General</c:formatCode>
                <c:ptCount val="91"/>
                <c:pt idx="0">
                  <c:v>4.3055244911652917</c:v>
                </c:pt>
                <c:pt idx="1">
                  <c:v>4.2718930049597352</c:v>
                </c:pt>
                <c:pt idx="2">
                  <c:v>4.238546259909012</c:v>
                </c:pt>
                <c:pt idx="3">
                  <c:v>4.2057689971679562</c:v>
                </c:pt>
                <c:pt idx="4">
                  <c:v>4.1738459578914009</c:v>
                </c:pt>
                <c:pt idx="5">
                  <c:v>4.1430618832341803</c:v>
                </c:pt>
                <c:pt idx="6">
                  <c:v>4.1137015143511269</c:v>
                </c:pt>
                <c:pt idx="7">
                  <c:v>4.0860495923970745</c:v>
                </c:pt>
                <c:pt idx="8">
                  <c:v>4.0603908585268567</c:v>
                </c:pt>
                <c:pt idx="9">
                  <c:v>4.0370100538953064</c:v>
                </c:pt>
                <c:pt idx="10">
                  <c:v>4.0161919196572597</c:v>
                </c:pt>
                <c:pt idx="11">
                  <c:v>3.9982211969675463</c:v>
                </c:pt>
                <c:pt idx="12">
                  <c:v>3.9833826269810024</c:v>
                </c:pt>
                <c:pt idx="13">
                  <c:v>3.9717922705406847</c:v>
                </c:pt>
                <c:pt idx="14">
                  <c:v>3.9628914672425428</c:v>
                </c:pt>
                <c:pt idx="15">
                  <c:v>3.9559528763707519</c:v>
                </c:pt>
                <c:pt idx="16">
                  <c:v>3.9502491572094867</c:v>
                </c:pt>
                <c:pt idx="17">
                  <c:v>3.9450529690429206</c:v>
                </c:pt>
                <c:pt idx="18">
                  <c:v>3.9396369711552284</c:v>
                </c:pt>
                <c:pt idx="19">
                  <c:v>3.9332738228305861</c:v>
                </c:pt>
                <c:pt idx="20">
                  <c:v>3.9252361833531655</c:v>
                </c:pt>
                <c:pt idx="21">
                  <c:v>3.9147967120071416</c:v>
                </c:pt>
                <c:pt idx="22">
                  <c:v>3.9012280680766898</c:v>
                </c:pt>
                <c:pt idx="23">
                  <c:v>3.8838029108459846</c:v>
                </c:pt>
                <c:pt idx="24">
                  <c:v>3.8617938995991983</c:v>
                </c:pt>
                <c:pt idx="25">
                  <c:v>3.8344736936205064</c:v>
                </c:pt>
                <c:pt idx="26">
                  <c:v>3.8011149521940846</c:v>
                </c:pt>
                <c:pt idx="27">
                  <c:v>3.761251704015355</c:v>
                </c:pt>
                <c:pt idx="28">
                  <c:v>3.7154634554247377</c:v>
                </c:pt>
                <c:pt idx="29">
                  <c:v>3.6645910821739029</c:v>
                </c:pt>
                <c:pt idx="30">
                  <c:v>3.6094754600145196</c:v>
                </c:pt>
                <c:pt idx="31">
                  <c:v>3.5509574646982593</c:v>
                </c:pt>
                <c:pt idx="32">
                  <c:v>3.4898779719767887</c:v>
                </c:pt>
                <c:pt idx="33">
                  <c:v>3.4270778576017791</c:v>
                </c:pt>
                <c:pt idx="34">
                  <c:v>3.3636498089209566</c:v>
                </c:pt>
                <c:pt idx="35">
                  <c:v>3.3016937596662759</c:v>
                </c:pt>
                <c:pt idx="36">
                  <c:v>3.243561455165747</c:v>
                </c:pt>
                <c:pt idx="37">
                  <c:v>3.1916046407473844</c:v>
                </c:pt>
                <c:pt idx="38">
                  <c:v>3.1481750617391979</c:v>
                </c:pt>
                <c:pt idx="39">
                  <c:v>3.1156244634691981</c:v>
                </c:pt>
                <c:pt idx="40">
                  <c:v>3.0963045912653975</c:v>
                </c:pt>
                <c:pt idx="41">
                  <c:v>3.0914642972585367</c:v>
                </c:pt>
                <c:pt idx="42">
                  <c:v>3.0979408607902696</c:v>
                </c:pt>
                <c:pt idx="43">
                  <c:v>3.1114686680049828</c:v>
                </c:pt>
                <c:pt idx="44">
                  <c:v>3.1277821050470576</c:v>
                </c:pt>
                <c:pt idx="45">
                  <c:v>3.1426155580608794</c:v>
                </c:pt>
                <c:pt idx="46">
                  <c:v>3.1516745373118811</c:v>
                </c:pt>
                <c:pt idx="47">
                  <c:v>3.1505490495496882</c:v>
                </c:pt>
                <c:pt idx="48">
                  <c:v>3.1348002256449785</c:v>
                </c:pt>
                <c:pt idx="49">
                  <c:v>3.099989196468425</c:v>
                </c:pt>
                <c:pt idx="50">
                  <c:v>3.0416770928907044</c:v>
                </c:pt>
                <c:pt idx="51">
                  <c:v>2.9576583151689033</c:v>
                </c:pt>
                <c:pt idx="52">
                  <c:v>2.8546603411057512</c:v>
                </c:pt>
                <c:pt idx="53">
                  <c:v>2.7416439178903897</c:v>
                </c:pt>
                <c:pt idx="54">
                  <c:v>2.6275697927119599</c:v>
                </c:pt>
                <c:pt idx="55">
                  <c:v>2.5213987127596038</c:v>
                </c:pt>
                <c:pt idx="56">
                  <c:v>2.4303676636143496</c:v>
                </c:pt>
                <c:pt idx="57">
                  <c:v>2.3548185844247742</c:v>
                </c:pt>
                <c:pt idx="58">
                  <c:v>2.2933696527313425</c:v>
                </c:pt>
                <c:pt idx="59">
                  <c:v>2.2446390460745187</c:v>
                </c:pt>
                <c:pt idx="60">
                  <c:v>2.2072449419947682</c:v>
                </c:pt>
                <c:pt idx="61">
                  <c:v>2.1793414929455843</c:v>
                </c:pt>
                <c:pt idx="62">
                  <c:v>2.1572267510325771</c:v>
                </c:pt>
                <c:pt idx="63">
                  <c:v>2.1367347432743888</c:v>
                </c:pt>
                <c:pt idx="64">
                  <c:v>2.1136994966896574</c:v>
                </c:pt>
                <c:pt idx="65">
                  <c:v>2.0839550382970251</c:v>
                </c:pt>
                <c:pt idx="66">
                  <c:v>2.0446225301635921</c:v>
                </c:pt>
                <c:pt idx="67">
                  <c:v>1.9979716745503047</c:v>
                </c:pt>
                <c:pt idx="68">
                  <c:v>1.9475593087665692</c:v>
                </c:pt>
                <c:pt idx="69">
                  <c:v>1.8969422701217944</c:v>
                </c:pt>
                <c:pt idx="70">
                  <c:v>1.8496773959253865</c:v>
                </c:pt>
                <c:pt idx="71">
                  <c:v>1.8087606014230995</c:v>
                </c:pt>
                <c:pt idx="72">
                  <c:v>1.7749441136060744</c:v>
                </c:pt>
                <c:pt idx="73">
                  <c:v>1.7484192374017993</c:v>
                </c:pt>
                <c:pt idx="74">
                  <c:v>1.7161188761150581</c:v>
                </c:pt>
                <c:pt idx="75">
                  <c:v>1.6371482087393585</c:v>
                </c:pt>
                <c:pt idx="76">
                  <c:v>1.5839617957871366</c:v>
                </c:pt>
                <c:pt idx="77">
                  <c:v>1.52215052246788</c:v>
                </c:pt>
                <c:pt idx="78">
                  <c:v>1.4686107830642059</c:v>
                </c:pt>
                <c:pt idx="79">
                  <c:v>1.4444754334588361</c:v>
                </c:pt>
                <c:pt idx="80">
                  <c:v>1.3940919265608143</c:v>
                </c:pt>
                <c:pt idx="81">
                  <c:v>1.3315010277848316</c:v>
                </c:pt>
                <c:pt idx="82">
                  <c:v>1.2797201187653928</c:v>
                </c:pt>
                <c:pt idx="83">
                  <c:v>1.2413824694807674</c:v>
                </c:pt>
                <c:pt idx="84">
                  <c:v>1.2193033530842223</c:v>
                </c:pt>
                <c:pt idx="85">
                  <c:v>1.1738344120022282</c:v>
                </c:pt>
                <c:pt idx="86">
                  <c:v>1.1653528997523921</c:v>
                </c:pt>
                <c:pt idx="87">
                  <c:v>1.1465965023703117</c:v>
                </c:pt>
                <c:pt idx="88">
                  <c:v>1.1406973191349756</c:v>
                </c:pt>
                <c:pt idx="89">
                  <c:v>1.1295095669460298</c:v>
                </c:pt>
                <c:pt idx="90">
                  <c:v>1.128642694295845</c:v>
                </c:pt>
              </c:numCache>
            </c:numRef>
          </c:val>
          <c:smooth val="0"/>
        </c:ser>
        <c:ser>
          <c:idx val="0"/>
          <c:order val="1"/>
          <c:tx>
            <c:strRef>
              <c:f>'males Qx'!$A$408</c:f>
              <c:strCache>
                <c:ptCount val="1"/>
                <c:pt idx="0">
                  <c:v>70</c:v>
                </c:pt>
              </c:strCache>
            </c:strRef>
          </c:tx>
          <c:spPr>
            <a:ln w="22225" cap="rnd" cmpd="sng" algn="ctr">
              <a:solidFill>
                <a:srgbClr val="344893"/>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'males Qx'!$B$408:$CN$408</c:f>
              <c:numCache>
                <c:formatCode>General</c:formatCode>
                <c:ptCount val="91"/>
                <c:pt idx="0">
                  <c:v>5.5191269491878909</c:v>
                </c:pt>
                <c:pt idx="1">
                  <c:v>5.4952688625802413</c:v>
                </c:pt>
                <c:pt idx="2">
                  <c:v>5.4716661080278461</c:v>
                </c:pt>
                <c:pt idx="3">
                  <c:v>5.4485740175859618</c:v>
                </c:pt>
                <c:pt idx="4">
                  <c:v>5.4262479233098411</c:v>
                </c:pt>
                <c:pt idx="5">
                  <c:v>5.4049431572547411</c:v>
                </c:pt>
                <c:pt idx="6">
                  <c:v>5.3849150514759163</c:v>
                </c:pt>
                <c:pt idx="7">
                  <c:v>5.3664189380286214</c:v>
                </c:pt>
                <c:pt idx="8">
                  <c:v>5.3497101489681125</c:v>
                </c:pt>
                <c:pt idx="9">
                  <c:v>5.3350440163496424</c:v>
                </c:pt>
                <c:pt idx="10">
                  <c:v>5.3226758722284675</c:v>
                </c:pt>
                <c:pt idx="11">
                  <c:v>5.3128610486598431</c:v>
                </c:pt>
                <c:pt idx="12">
                  <c:v>5.3058548776990229</c:v>
                </c:pt>
                <c:pt idx="13">
                  <c:v>5.3018508330459397</c:v>
                </c:pt>
                <c:pt idx="14">
                  <c:v>5.3007949549792324</c:v>
                </c:pt>
                <c:pt idx="15">
                  <c:v>5.3025714254222107</c:v>
                </c:pt>
                <c:pt idx="16">
                  <c:v>5.3070644262981919</c:v>
                </c:pt>
                <c:pt idx="17">
                  <c:v>5.3141581395304893</c:v>
                </c:pt>
                <c:pt idx="18">
                  <c:v>5.3237367470424166</c:v>
                </c:pt>
                <c:pt idx="19">
                  <c:v>5.335684430757289</c:v>
                </c:pt>
                <c:pt idx="20">
                  <c:v>5.3498853725984183</c:v>
                </c:pt>
                <c:pt idx="21">
                  <c:v>5.3662237544891207</c:v>
                </c:pt>
                <c:pt idx="22">
                  <c:v>5.3845837583527079</c:v>
                </c:pt>
                <c:pt idx="23">
                  <c:v>5.4048495661124951</c:v>
                </c:pt>
                <c:pt idx="24">
                  <c:v>5.4269053596917978</c:v>
                </c:pt>
                <c:pt idx="25">
                  <c:v>5.4506353210139284</c:v>
                </c:pt>
                <c:pt idx="26">
                  <c:v>5.4759236320021998</c:v>
                </c:pt>
                <c:pt idx="27">
                  <c:v>5.5022643135992739</c:v>
                </c:pt>
                <c:pt idx="28">
                  <c:v>5.527590742825196</c:v>
                </c:pt>
                <c:pt idx="29">
                  <c:v>5.5494461357193581</c:v>
                </c:pt>
                <c:pt idx="30">
                  <c:v>5.5653737083211512</c:v>
                </c:pt>
                <c:pt idx="31">
                  <c:v>5.57291667666997</c:v>
                </c:pt>
                <c:pt idx="32">
                  <c:v>5.5696182568052039</c:v>
                </c:pt>
                <c:pt idx="33">
                  <c:v>5.5530216647662449</c:v>
                </c:pt>
                <c:pt idx="34">
                  <c:v>5.5222382971554742</c:v>
                </c:pt>
                <c:pt idx="35">
                  <c:v>5.4826522728272282</c:v>
                </c:pt>
                <c:pt idx="36">
                  <c:v>5.4412158911988318</c:v>
                </c:pt>
                <c:pt idx="37">
                  <c:v>5.4048814516876131</c:v>
                </c:pt>
                <c:pt idx="38">
                  <c:v>5.3806012537108963</c:v>
                </c:pt>
                <c:pt idx="39">
                  <c:v>5.3753275966860059</c:v>
                </c:pt>
                <c:pt idx="40">
                  <c:v>5.3960127800302686</c:v>
                </c:pt>
                <c:pt idx="41">
                  <c:v>5.446485269432757</c:v>
                </c:pt>
                <c:pt idx="42">
                  <c:v>5.5180781956695366</c:v>
                </c:pt>
                <c:pt idx="43">
                  <c:v>5.5990008557884181</c:v>
                </c:pt>
                <c:pt idx="44">
                  <c:v>5.6774625468372166</c:v>
                </c:pt>
                <c:pt idx="45">
                  <c:v>5.7416725658637429</c:v>
                </c:pt>
                <c:pt idx="46">
                  <c:v>5.7814501314712015</c:v>
                </c:pt>
                <c:pt idx="47">
                  <c:v>5.7930541484843641</c:v>
                </c:pt>
                <c:pt idx="48">
                  <c:v>5.7743534432833989</c:v>
                </c:pt>
                <c:pt idx="49">
                  <c:v>5.7232168422484708</c:v>
                </c:pt>
                <c:pt idx="50">
                  <c:v>5.6375131717597444</c:v>
                </c:pt>
                <c:pt idx="51">
                  <c:v>5.5175917737341242</c:v>
                </c:pt>
                <c:pt idx="52">
                  <c:v>5.3737240522354561</c:v>
                </c:pt>
                <c:pt idx="53">
                  <c:v>5.2186619268643302</c:v>
                </c:pt>
                <c:pt idx="54">
                  <c:v>5.0651573172213276</c:v>
                </c:pt>
                <c:pt idx="55">
                  <c:v>4.9259621429070366</c:v>
                </c:pt>
                <c:pt idx="56">
                  <c:v>4.8104121559467723</c:v>
                </c:pt>
                <c:pt idx="57">
                  <c:v>4.7141784380647627</c:v>
                </c:pt>
                <c:pt idx="58">
                  <c:v>4.6295159034099669</c:v>
                </c:pt>
                <c:pt idx="59">
                  <c:v>4.548679466131345</c:v>
                </c:pt>
                <c:pt idx="60">
                  <c:v>4.4639240403778535</c:v>
                </c:pt>
                <c:pt idx="61">
                  <c:v>4.3692396707362713</c:v>
                </c:pt>
                <c:pt idx="62">
                  <c:v>4.2655569235446444</c:v>
                </c:pt>
                <c:pt idx="63">
                  <c:v>4.1555414955788423</c:v>
                </c:pt>
                <c:pt idx="64">
                  <c:v>4.0418590836147326</c:v>
                </c:pt>
                <c:pt idx="65">
                  <c:v>3.9271753844281831</c:v>
                </c:pt>
                <c:pt idx="66">
                  <c:v>3.814297896730364</c:v>
                </c:pt>
                <c:pt idx="67">
                  <c:v>3.7066013269736611</c:v>
                </c:pt>
                <c:pt idx="68">
                  <c:v>3.6076021835457648</c:v>
                </c:pt>
                <c:pt idx="69">
                  <c:v>3.5208169748343634</c:v>
                </c:pt>
                <c:pt idx="70">
                  <c:v>3.4497622092271474</c:v>
                </c:pt>
                <c:pt idx="71">
                  <c:v>3.3956283035132628</c:v>
                </c:pt>
                <c:pt idx="72">
                  <c:v>3.3503013080876816</c:v>
                </c:pt>
                <c:pt idx="73">
                  <c:v>3.3033411817468328</c:v>
                </c:pt>
                <c:pt idx="74">
                  <c:v>3.2284929073092217</c:v>
                </c:pt>
                <c:pt idx="75">
                  <c:v>3.0733637247251755</c:v>
                </c:pt>
                <c:pt idx="76">
                  <c:v>2.9876690749090162</c:v>
                </c:pt>
                <c:pt idx="77">
                  <c:v>2.867345021075518</c:v>
                </c:pt>
                <c:pt idx="78">
                  <c:v>2.7470193048142577</c:v>
                </c:pt>
                <c:pt idx="79">
                  <c:v>2.6013150656223005</c:v>
                </c:pt>
                <c:pt idx="80">
                  <c:v>2.4862916920524225</c:v>
                </c:pt>
                <c:pt idx="81">
                  <c:v>2.382176080587961</c:v>
                </c:pt>
                <c:pt idx="82">
                  <c:v>2.3215514385464209</c:v>
                </c:pt>
                <c:pt idx="83">
                  <c:v>2.203194758875382</c:v>
                </c:pt>
                <c:pt idx="84">
                  <c:v>2.1280339882097099</c:v>
                </c:pt>
                <c:pt idx="85">
                  <c:v>2.0051221188081669</c:v>
                </c:pt>
                <c:pt idx="86">
                  <c:v>1.9689789420003212</c:v>
                </c:pt>
                <c:pt idx="87">
                  <c:v>1.9385806067521605</c:v>
                </c:pt>
                <c:pt idx="88">
                  <c:v>1.9454097975438067</c:v>
                </c:pt>
                <c:pt idx="89">
                  <c:v>1.8930943958982982</c:v>
                </c:pt>
                <c:pt idx="90">
                  <c:v>1.8156613055586246</c:v>
                </c:pt>
              </c:numCache>
            </c:numRef>
          </c:val>
          <c:smooth val="0"/>
        </c:ser>
        <c:dLbls>
          <c:showLegendKey val="0"/>
          <c:showVal val="0"/>
          <c:showCatName val="0"/>
          <c:showSerName val="0"/>
          <c:showPercent val="0"/>
          <c:showBubbleSize val="0"/>
        </c:dLbls>
        <c:marker val="1"/>
        <c:smooth val="0"/>
        <c:axId val="293856768"/>
        <c:axId val="293858688"/>
      </c:lineChart>
      <c:catAx>
        <c:axId val="293856768"/>
        <c:scaling>
          <c:orientation val="minMax"/>
        </c:scaling>
        <c:delete val="0"/>
        <c:axPos val="b"/>
        <c:numFmt formatCode="General" sourceLinked="1"/>
        <c:majorTickMark val="out"/>
        <c:minorTickMark val="none"/>
        <c:tickLblPos val="nextTo"/>
        <c:crossAx val="293858688"/>
        <c:crosses val="autoZero"/>
        <c:auto val="1"/>
        <c:lblAlgn val="ctr"/>
        <c:lblOffset val="100"/>
        <c:tickLblSkip val="25"/>
        <c:tickMarkSkip val="10"/>
        <c:noMultiLvlLbl val="0"/>
      </c:catAx>
      <c:valAx>
        <c:axId val="293858688"/>
        <c:scaling>
          <c:orientation val="minMax"/>
          <c:max val="6"/>
        </c:scaling>
        <c:delete val="0"/>
        <c:axPos val="l"/>
        <c:majorGridlines>
          <c:spPr>
            <a:ln w="9525" cap="flat" cmpd="sng" algn="ctr">
              <a:solidFill>
                <a:srgbClr val="CDCDCD"/>
              </a:solidFill>
              <a:prstDash val="solid"/>
              <a:round/>
              <a:headEnd type="none" w="med" len="med"/>
              <a:tailEnd type="none" w="med" len="med"/>
            </a:ln>
          </c:spPr>
        </c:majorGridlines>
        <c:numFmt formatCode="General" sourceLinked="1"/>
        <c:majorTickMark val="out"/>
        <c:minorTickMark val="none"/>
        <c:tickLblPos val="nextTo"/>
        <c:spPr>
          <a:ln w="9525" cap="flat" cmpd="sng" algn="ctr">
            <a:solidFill>
              <a:srgbClr val="787878"/>
            </a:solidFill>
            <a:prstDash val="solid"/>
            <a:round/>
            <a:headEnd type="none" w="med" len="med"/>
            <a:tailEnd type="none" w="med" len="med"/>
          </a:ln>
        </c:spPr>
        <c:crossAx val="293856768"/>
        <c:crosses val="autoZero"/>
        <c:crossBetween val="between"/>
        <c:majorUnit val="2"/>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079114432790135"/>
          <c:y val="3.9181569473027596E-2"/>
          <c:w val="0.75749382716049385"/>
          <c:h val="0.80908977047795405"/>
        </c:manualLayout>
      </c:layout>
      <c:lineChart>
        <c:grouping val="standard"/>
        <c:varyColors val="0"/>
        <c:ser>
          <c:idx val="1"/>
          <c:order val="0"/>
          <c:tx>
            <c:strRef>
              <c:f>'females Qx'!$A$409</c:f>
              <c:strCache>
                <c:ptCount val="1"/>
                <c:pt idx="0">
                  <c:v>80</c:v>
                </c:pt>
              </c:strCache>
            </c:strRef>
          </c:tx>
          <c:spPr>
            <a:ln w="22225" cap="rnd" cmpd="sng" algn="ctr">
              <a:solidFill>
                <a:srgbClr val="78A22F"/>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'females Qx'!$B$409:$CN$409</c:f>
              <c:numCache>
                <c:formatCode>General</c:formatCode>
                <c:ptCount val="91"/>
                <c:pt idx="0">
                  <c:v>11.756677714954177</c:v>
                </c:pt>
                <c:pt idx="1">
                  <c:v>11.62625016897479</c:v>
                </c:pt>
                <c:pt idx="2">
                  <c:v>11.497144941176416</c:v>
                </c:pt>
                <c:pt idx="3">
                  <c:v>11.370684349740062</c:v>
                </c:pt>
                <c:pt idx="4">
                  <c:v>11.248190712846746</c:v>
                </c:pt>
                <c:pt idx="5">
                  <c:v>11.130986348677474</c:v>
                </c:pt>
                <c:pt idx="6">
                  <c:v>11.020393575413264</c:v>
                </c:pt>
                <c:pt idx="7">
                  <c:v>10.917734711235122</c:v>
                </c:pt>
                <c:pt idx="8">
                  <c:v>10.824332074324063</c:v>
                </c:pt>
                <c:pt idx="9">
                  <c:v>10.741507982861096</c:v>
                </c:pt>
                <c:pt idx="10">
                  <c:v>10.670584755027237</c:v>
                </c:pt>
                <c:pt idx="11">
                  <c:v>10.612884709003495</c:v>
                </c:pt>
                <c:pt idx="12">
                  <c:v>10.569730162970881</c:v>
                </c:pt>
                <c:pt idx="13">
                  <c:v>10.54181540849808</c:v>
                </c:pt>
                <c:pt idx="14">
                  <c:v>10.527322630704465</c:v>
                </c:pt>
                <c:pt idx="15">
                  <c:v>10.523805988097072</c:v>
                </c:pt>
                <c:pt idx="16">
                  <c:v>10.528819639182954</c:v>
                </c:pt>
                <c:pt idx="17">
                  <c:v>10.539917742469148</c:v>
                </c:pt>
                <c:pt idx="18">
                  <c:v>10.554654456462702</c:v>
                </c:pt>
                <c:pt idx="19">
                  <c:v>10.570583939670655</c:v>
                </c:pt>
                <c:pt idx="20">
                  <c:v>10.585260350600052</c:v>
                </c:pt>
                <c:pt idx="21">
                  <c:v>10.596237847757937</c:v>
                </c:pt>
                <c:pt idx="22">
                  <c:v>10.601070589651352</c:v>
                </c:pt>
                <c:pt idx="23">
                  <c:v>10.597312734787341</c:v>
                </c:pt>
                <c:pt idx="24">
                  <c:v>10.582518441672947</c:v>
                </c:pt>
                <c:pt idx="25">
                  <c:v>10.554241868815216</c:v>
                </c:pt>
                <c:pt idx="26">
                  <c:v>10.510037174721187</c:v>
                </c:pt>
                <c:pt idx="27">
                  <c:v>10.448157222306559</c:v>
                </c:pt>
                <c:pt idx="28">
                  <c:v>10.369649692121627</c:v>
                </c:pt>
                <c:pt idx="29">
                  <c:v>10.276260969125348</c:v>
                </c:pt>
                <c:pt idx="30">
                  <c:v>10.169737438276671</c:v>
                </c:pt>
                <c:pt idx="31">
                  <c:v>10.051825484534548</c:v>
                </c:pt>
                <c:pt idx="32">
                  <c:v>9.9242714928579332</c:v>
                </c:pt>
                <c:pt idx="33">
                  <c:v>9.7888218482057745</c:v>
                </c:pt>
                <c:pt idx="34">
                  <c:v>9.6477539889125197</c:v>
                </c:pt>
                <c:pt idx="35">
                  <c:v>9.5054695668145737</c:v>
                </c:pt>
                <c:pt idx="36">
                  <c:v>9.3669012871238415</c:v>
                </c:pt>
                <c:pt idx="37">
                  <c:v>9.2369818550522247</c:v>
                </c:pt>
                <c:pt idx="38">
                  <c:v>9.1206439758116229</c:v>
                </c:pt>
                <c:pt idx="39">
                  <c:v>9.0228203546139358</c:v>
                </c:pt>
                <c:pt idx="40">
                  <c:v>8.9484436966710703</c:v>
                </c:pt>
                <c:pt idx="41">
                  <c:v>8.9008384658712671</c:v>
                </c:pt>
                <c:pt idx="42">
                  <c:v>8.8768961608081316</c:v>
                </c:pt>
                <c:pt idx="43">
                  <c:v>8.8719000387516171</c:v>
                </c:pt>
                <c:pt idx="44">
                  <c:v>8.8811333569716702</c:v>
                </c:pt>
                <c:pt idx="45">
                  <c:v>8.8998793727382406</c:v>
                </c:pt>
                <c:pt idx="46">
                  <c:v>8.9213062352918389</c:v>
                </c:pt>
                <c:pt idx="47">
                  <c:v>8.9301216617552033</c:v>
                </c:pt>
                <c:pt idx="48">
                  <c:v>8.9089182612216433</c:v>
                </c:pt>
                <c:pt idx="49">
                  <c:v>8.8402886427844614</c:v>
                </c:pt>
                <c:pt idx="50">
                  <c:v>8.7068254155369562</c:v>
                </c:pt>
                <c:pt idx="51">
                  <c:v>8.4983963951004817</c:v>
                </c:pt>
                <c:pt idx="52">
                  <c:v>8.2339702232085674</c:v>
                </c:pt>
                <c:pt idx="53">
                  <c:v>7.9397907481227961</c:v>
                </c:pt>
                <c:pt idx="54">
                  <c:v>7.642101818104746</c:v>
                </c:pt>
                <c:pt idx="55">
                  <c:v>7.3671472814159973</c:v>
                </c:pt>
                <c:pt idx="56">
                  <c:v>7.1354380199142682</c:v>
                </c:pt>
                <c:pt idx="57">
                  <c:v>6.9445530498418107</c:v>
                </c:pt>
                <c:pt idx="58">
                  <c:v>6.7863384210370121</c:v>
                </c:pt>
                <c:pt idx="59">
                  <c:v>6.6526401833382671</c:v>
                </c:pt>
                <c:pt idx="60">
                  <c:v>6.5353043865839622</c:v>
                </c:pt>
                <c:pt idx="61">
                  <c:v>6.4271126004126407</c:v>
                </c:pt>
                <c:pt idx="62">
                  <c:v>6.3245884736634501</c:v>
                </c:pt>
                <c:pt idx="63">
                  <c:v>6.2251911749756967</c:v>
                </c:pt>
                <c:pt idx="64">
                  <c:v>6.1263798729886823</c:v>
                </c:pt>
                <c:pt idx="65">
                  <c:v>6.0256137363417057</c:v>
                </c:pt>
                <c:pt idx="66">
                  <c:v>5.9214996864743581</c:v>
                </c:pt>
                <c:pt idx="67">
                  <c:v>5.8172356560273659</c:v>
                </c:pt>
                <c:pt idx="68">
                  <c:v>5.7171673304417396</c:v>
                </c:pt>
                <c:pt idx="69">
                  <c:v>5.625640395158495</c:v>
                </c:pt>
                <c:pt idx="70">
                  <c:v>5.5470005356186398</c:v>
                </c:pt>
                <c:pt idx="71">
                  <c:v>5.4824737359378171</c:v>
                </c:pt>
                <c:pt idx="72">
                  <c:v>5.4208071749301707</c:v>
                </c:pt>
                <c:pt idx="73">
                  <c:v>5.3476283300844756</c:v>
                </c:pt>
                <c:pt idx="74">
                  <c:v>5.2582491799060938</c:v>
                </c:pt>
                <c:pt idx="75">
                  <c:v>5.1764556801621957</c:v>
                </c:pt>
                <c:pt idx="76">
                  <c:v>5.0010967317394179</c:v>
                </c:pt>
                <c:pt idx="77">
                  <c:v>4.8351003904501759</c:v>
                </c:pt>
                <c:pt idx="78">
                  <c:v>4.6578423476133279</c:v>
                </c:pt>
                <c:pt idx="79">
                  <c:v>4.4229419582194733</c:v>
                </c:pt>
                <c:pt idx="80">
                  <c:v>4.3788700263680314</c:v>
                </c:pt>
                <c:pt idx="81">
                  <c:v>4.3088524397758228</c:v>
                </c:pt>
                <c:pt idx="82">
                  <c:v>4.2355507088331468</c:v>
                </c:pt>
                <c:pt idx="83">
                  <c:v>4.0919836664517479</c:v>
                </c:pt>
                <c:pt idx="84">
                  <c:v>4.0322580645161255</c:v>
                </c:pt>
                <c:pt idx="85">
                  <c:v>3.9128845396771861</c:v>
                </c:pt>
                <c:pt idx="86">
                  <c:v>3.9070601754533474</c:v>
                </c:pt>
                <c:pt idx="87">
                  <c:v>3.8232428670841978</c:v>
                </c:pt>
                <c:pt idx="88">
                  <c:v>3.7567009738056045</c:v>
                </c:pt>
                <c:pt idx="89">
                  <c:v>3.6293096332168484</c:v>
                </c:pt>
                <c:pt idx="90">
                  <c:v>3.5945333424902137</c:v>
                </c:pt>
              </c:numCache>
            </c:numRef>
          </c:val>
          <c:smooth val="0"/>
        </c:ser>
        <c:ser>
          <c:idx val="0"/>
          <c:order val="1"/>
          <c:tx>
            <c:strRef>
              <c:f>'males Qx'!$A$409</c:f>
              <c:strCache>
                <c:ptCount val="1"/>
                <c:pt idx="0">
                  <c:v>80</c:v>
                </c:pt>
              </c:strCache>
            </c:strRef>
          </c:tx>
          <c:spPr>
            <a:ln w="22225" cap="rnd" cmpd="sng" algn="ctr">
              <a:solidFill>
                <a:srgbClr val="344893"/>
              </a:solidFill>
              <a:prstDash val="solid"/>
              <a:round/>
              <a:headEnd type="none" w="med" len="med"/>
              <a:tailEnd type="none" w="med" len="med"/>
            </a:ln>
          </c:spPr>
          <c:marker>
            <c:symbol val="none"/>
          </c:marker>
          <c:cat>
            <c:numRef>
              <c:f>'females Qx'!$B$400:$CN$400</c:f>
              <c:numCache>
                <c:formatCode>General</c:formatCode>
                <c:ptCount val="91"/>
                <c:pt idx="0">
                  <c:v>1921</c:v>
                </c:pt>
                <c:pt idx="1">
                  <c:v>1922</c:v>
                </c:pt>
                <c:pt idx="2">
                  <c:v>1923</c:v>
                </c:pt>
                <c:pt idx="3">
                  <c:v>1924</c:v>
                </c:pt>
                <c:pt idx="4">
                  <c:v>1925</c:v>
                </c:pt>
                <c:pt idx="5">
                  <c:v>1926</c:v>
                </c:pt>
                <c:pt idx="6">
                  <c:v>1927</c:v>
                </c:pt>
                <c:pt idx="7">
                  <c:v>1928</c:v>
                </c:pt>
                <c:pt idx="8">
                  <c:v>1929</c:v>
                </c:pt>
                <c:pt idx="9">
                  <c:v>1930</c:v>
                </c:pt>
                <c:pt idx="10">
                  <c:v>1931</c:v>
                </c:pt>
                <c:pt idx="11">
                  <c:v>1932</c:v>
                </c:pt>
                <c:pt idx="12">
                  <c:v>1933</c:v>
                </c:pt>
                <c:pt idx="13">
                  <c:v>1934</c:v>
                </c:pt>
                <c:pt idx="14">
                  <c:v>1935</c:v>
                </c:pt>
                <c:pt idx="15">
                  <c:v>1936</c:v>
                </c:pt>
                <c:pt idx="16">
                  <c:v>1937</c:v>
                </c:pt>
                <c:pt idx="17">
                  <c:v>1938</c:v>
                </c:pt>
                <c:pt idx="18">
                  <c:v>1939</c:v>
                </c:pt>
                <c:pt idx="19">
                  <c:v>1940</c:v>
                </c:pt>
                <c:pt idx="20">
                  <c:v>1941</c:v>
                </c:pt>
                <c:pt idx="21">
                  <c:v>1942</c:v>
                </c:pt>
                <c:pt idx="22">
                  <c:v>1943</c:v>
                </c:pt>
                <c:pt idx="23">
                  <c:v>1944</c:v>
                </c:pt>
                <c:pt idx="24">
                  <c:v>1945</c:v>
                </c:pt>
                <c:pt idx="25">
                  <c:v>1946</c:v>
                </c:pt>
                <c:pt idx="26">
                  <c:v>1947</c:v>
                </c:pt>
                <c:pt idx="27">
                  <c:v>1948</c:v>
                </c:pt>
                <c:pt idx="28">
                  <c:v>1949</c:v>
                </c:pt>
                <c:pt idx="29">
                  <c:v>1950</c:v>
                </c:pt>
                <c:pt idx="30">
                  <c:v>1951</c:v>
                </c:pt>
                <c:pt idx="31">
                  <c:v>1952</c:v>
                </c:pt>
                <c:pt idx="32">
                  <c:v>1953</c:v>
                </c:pt>
                <c:pt idx="33">
                  <c:v>1954</c:v>
                </c:pt>
                <c:pt idx="34">
                  <c:v>1955</c:v>
                </c:pt>
                <c:pt idx="35">
                  <c:v>1956</c:v>
                </c:pt>
                <c:pt idx="36">
                  <c:v>1957</c:v>
                </c:pt>
                <c:pt idx="37">
                  <c:v>1958</c:v>
                </c:pt>
                <c:pt idx="38">
                  <c:v>1959</c:v>
                </c:pt>
                <c:pt idx="39">
                  <c:v>1960</c:v>
                </c:pt>
                <c:pt idx="40">
                  <c:v>1961</c:v>
                </c:pt>
                <c:pt idx="41">
                  <c:v>1962</c:v>
                </c:pt>
                <c:pt idx="42">
                  <c:v>1963</c:v>
                </c:pt>
                <c:pt idx="43">
                  <c:v>1964</c:v>
                </c:pt>
                <c:pt idx="44">
                  <c:v>1965</c:v>
                </c:pt>
                <c:pt idx="45">
                  <c:v>1966</c:v>
                </c:pt>
                <c:pt idx="46">
                  <c:v>1967</c:v>
                </c:pt>
                <c:pt idx="47">
                  <c:v>1968</c:v>
                </c:pt>
                <c:pt idx="48">
                  <c:v>1969</c:v>
                </c:pt>
                <c:pt idx="49">
                  <c:v>1970</c:v>
                </c:pt>
                <c:pt idx="50">
                  <c:v>1971</c:v>
                </c:pt>
                <c:pt idx="51">
                  <c:v>1972</c:v>
                </c:pt>
                <c:pt idx="52">
                  <c:v>1973</c:v>
                </c:pt>
                <c:pt idx="53">
                  <c:v>1974</c:v>
                </c:pt>
                <c:pt idx="54">
                  <c:v>1975</c:v>
                </c:pt>
                <c:pt idx="55">
                  <c:v>1976</c:v>
                </c:pt>
                <c:pt idx="56">
                  <c:v>1977</c:v>
                </c:pt>
                <c:pt idx="57">
                  <c:v>1978</c:v>
                </c:pt>
                <c:pt idx="58">
                  <c:v>1979</c:v>
                </c:pt>
                <c:pt idx="59">
                  <c:v>1980</c:v>
                </c:pt>
                <c:pt idx="60">
                  <c:v>1981</c:v>
                </c:pt>
                <c:pt idx="61">
                  <c:v>1982</c:v>
                </c:pt>
                <c:pt idx="62">
                  <c:v>1983</c:v>
                </c:pt>
                <c:pt idx="63">
                  <c:v>1984</c:v>
                </c:pt>
                <c:pt idx="64">
                  <c:v>1985</c:v>
                </c:pt>
                <c:pt idx="65">
                  <c:v>1986</c:v>
                </c:pt>
                <c:pt idx="66">
                  <c:v>1987</c:v>
                </c:pt>
                <c:pt idx="67">
                  <c:v>1988</c:v>
                </c:pt>
                <c:pt idx="68">
                  <c:v>1989</c:v>
                </c:pt>
                <c:pt idx="69">
                  <c:v>1990</c:v>
                </c:pt>
                <c:pt idx="70">
                  <c:v>1991</c:v>
                </c:pt>
                <c:pt idx="71">
                  <c:v>1992</c:v>
                </c:pt>
                <c:pt idx="72">
                  <c:v>1993</c:v>
                </c:pt>
                <c:pt idx="73">
                  <c:v>1994</c:v>
                </c:pt>
                <c:pt idx="74">
                  <c:v>1995</c:v>
                </c:pt>
                <c:pt idx="75">
                  <c:v>1996</c:v>
                </c:pt>
                <c:pt idx="76">
                  <c:v>1997</c:v>
                </c:pt>
                <c:pt idx="77">
                  <c:v>1998</c:v>
                </c:pt>
                <c:pt idx="78">
                  <c:v>1999</c:v>
                </c:pt>
                <c:pt idx="79">
                  <c:v>2000</c:v>
                </c:pt>
                <c:pt idx="80">
                  <c:v>2001</c:v>
                </c:pt>
                <c:pt idx="81">
                  <c:v>2002</c:v>
                </c:pt>
                <c:pt idx="82">
                  <c:v>2003</c:v>
                </c:pt>
                <c:pt idx="83">
                  <c:v>2004</c:v>
                </c:pt>
                <c:pt idx="84">
                  <c:v>2005</c:v>
                </c:pt>
                <c:pt idx="85">
                  <c:v>2006</c:v>
                </c:pt>
                <c:pt idx="86">
                  <c:v>2007</c:v>
                </c:pt>
                <c:pt idx="87">
                  <c:v>2008</c:v>
                </c:pt>
                <c:pt idx="88">
                  <c:v>2009</c:v>
                </c:pt>
                <c:pt idx="89">
                  <c:v>2010</c:v>
                </c:pt>
                <c:pt idx="90">
                  <c:v>2011</c:v>
                </c:pt>
              </c:numCache>
            </c:numRef>
          </c:cat>
          <c:val>
            <c:numRef>
              <c:f>'males Qx'!$B$409:$CN$409</c:f>
              <c:numCache>
                <c:formatCode>General</c:formatCode>
                <c:ptCount val="91"/>
                <c:pt idx="0">
                  <c:v>13.872898917798759</c:v>
                </c:pt>
                <c:pt idx="1">
                  <c:v>13.828400132494295</c:v>
                </c:pt>
                <c:pt idx="2">
                  <c:v>13.78360301614457</c:v>
                </c:pt>
                <c:pt idx="3">
                  <c:v>13.738209237704307</c:v>
                </c:pt>
                <c:pt idx="4">
                  <c:v>13.691920466128249</c:v>
                </c:pt>
                <c:pt idx="5">
                  <c:v>13.644438370371123</c:v>
                </c:pt>
                <c:pt idx="6">
                  <c:v>13.59546461938767</c:v>
                </c:pt>
                <c:pt idx="7">
                  <c:v>13.544700882132624</c:v>
                </c:pt>
                <c:pt idx="8">
                  <c:v>13.491848827560707</c:v>
                </c:pt>
                <c:pt idx="9">
                  <c:v>13.436610124626666</c:v>
                </c:pt>
                <c:pt idx="10">
                  <c:v>13.378686442285234</c:v>
                </c:pt>
                <c:pt idx="11">
                  <c:v>13.317779449491132</c:v>
                </c:pt>
                <c:pt idx="12">
                  <c:v>13.253590815199113</c:v>
                </c:pt>
                <c:pt idx="13">
                  <c:v>13.186052805382436</c:v>
                </c:pt>
                <c:pt idx="14">
                  <c:v>13.116020074088549</c:v>
                </c:pt>
                <c:pt idx="15">
                  <c:v>13.044577872383426</c:v>
                </c:pt>
                <c:pt idx="16">
                  <c:v>12.972811451333044</c:v>
                </c:pt>
                <c:pt idx="17">
                  <c:v>12.901806062003384</c:v>
                </c:pt>
                <c:pt idx="18">
                  <c:v>12.832646955460431</c:v>
                </c:pt>
                <c:pt idx="19">
                  <c:v>12.766419382770152</c:v>
                </c:pt>
                <c:pt idx="20">
                  <c:v>12.704208594998532</c:v>
                </c:pt>
                <c:pt idx="21">
                  <c:v>12.647099843211555</c:v>
                </c:pt>
                <c:pt idx="22">
                  <c:v>12.596178378475187</c:v>
                </c:pt>
                <c:pt idx="23">
                  <c:v>12.552529451855419</c:v>
                </c:pt>
                <c:pt idx="24">
                  <c:v>12.517238314418218</c:v>
                </c:pt>
                <c:pt idx="25">
                  <c:v>12.491390217229579</c:v>
                </c:pt>
                <c:pt idx="26">
                  <c:v>12.476070411355467</c:v>
                </c:pt>
                <c:pt idx="27">
                  <c:v>12.471429657693216</c:v>
                </c:pt>
                <c:pt idx="28">
                  <c:v>12.473880756465556</c:v>
                </c:pt>
                <c:pt idx="29">
                  <c:v>12.478902017726572</c:v>
                </c:pt>
                <c:pt idx="30">
                  <c:v>12.481971751530345</c:v>
                </c:pt>
                <c:pt idx="31">
                  <c:v>12.47856826793096</c:v>
                </c:pt>
                <c:pt idx="32">
                  <c:v>12.464169876982497</c:v>
                </c:pt>
                <c:pt idx="33">
                  <c:v>12.434254888739037</c:v>
                </c:pt>
                <c:pt idx="34">
                  <c:v>12.386267015207469</c:v>
                </c:pt>
                <c:pt idx="35">
                  <c:v>12.325511576205887</c:v>
                </c:pt>
                <c:pt idx="36">
                  <c:v>12.259259293505192</c:v>
                </c:pt>
                <c:pt idx="37">
                  <c:v>12.194780888876283</c:v>
                </c:pt>
                <c:pt idx="38">
                  <c:v>12.139347084090064</c:v>
                </c:pt>
                <c:pt idx="39">
                  <c:v>12.100228600917431</c:v>
                </c:pt>
                <c:pt idx="40">
                  <c:v>12.084696161129283</c:v>
                </c:pt>
                <c:pt idx="41">
                  <c:v>12.097979437212777</c:v>
                </c:pt>
                <c:pt idx="42">
                  <c:v>12.13714390452008</c:v>
                </c:pt>
                <c:pt idx="43">
                  <c:v>12.19721398911962</c:v>
                </c:pt>
                <c:pt idx="44">
                  <c:v>12.273214117079817</c:v>
                </c:pt>
                <c:pt idx="45">
                  <c:v>12.360168714469101</c:v>
                </c:pt>
                <c:pt idx="46">
                  <c:v>12.450625728004306</c:v>
                </c:pt>
                <c:pt idx="47">
                  <c:v>12.527227186995946</c:v>
                </c:pt>
                <c:pt idx="48">
                  <c:v>12.570138641402945</c:v>
                </c:pt>
                <c:pt idx="49">
                  <c:v>12.559525641184226</c:v>
                </c:pt>
                <c:pt idx="50">
                  <c:v>12.475553736298718</c:v>
                </c:pt>
                <c:pt idx="51">
                  <c:v>12.306469307646973</c:v>
                </c:pt>
                <c:pt idx="52">
                  <c:v>12.072842059896072</c:v>
                </c:pt>
                <c:pt idx="53">
                  <c:v>11.80332252865472</c:v>
                </c:pt>
                <c:pt idx="54">
                  <c:v>11.526561249531632</c:v>
                </c:pt>
                <c:pt idx="55">
                  <c:v>11.27120875813551</c:v>
                </c:pt>
                <c:pt idx="56">
                  <c:v>11.059043559520896</c:v>
                </c:pt>
                <c:pt idx="57">
                  <c:v>10.884356036525645</c:v>
                </c:pt>
                <c:pt idx="58">
                  <c:v>10.734564541433453</c:v>
                </c:pt>
                <c:pt idx="59">
                  <c:v>10.597087426528002</c:v>
                </c:pt>
                <c:pt idx="60">
                  <c:v>10.459343044092984</c:v>
                </c:pt>
                <c:pt idx="61">
                  <c:v>10.311287550830007</c:v>
                </c:pt>
                <c:pt idx="62">
                  <c:v>10.153028321112362</c:v>
                </c:pt>
                <c:pt idx="63">
                  <c:v>9.9872105337312753</c:v>
                </c:pt>
                <c:pt idx="64">
                  <c:v>9.8164793674779514</c:v>
                </c:pt>
                <c:pt idx="65">
                  <c:v>9.6434800011436117</c:v>
                </c:pt>
                <c:pt idx="66">
                  <c:v>9.4712228478580123</c:v>
                </c:pt>
                <c:pt idx="67">
                  <c:v>9.3041792581050853</c:v>
                </c:pt>
                <c:pt idx="68">
                  <c:v>9.1471858167072995</c:v>
                </c:pt>
                <c:pt idx="69">
                  <c:v>9.0050791084871289</c:v>
                </c:pt>
                <c:pt idx="70">
                  <c:v>8.8826957182670423</c:v>
                </c:pt>
                <c:pt idx="71">
                  <c:v>8.7825952332266333</c:v>
                </c:pt>
                <c:pt idx="72">
                  <c:v>8.6982292499739629</c:v>
                </c:pt>
                <c:pt idx="73">
                  <c:v>8.6207723674742169</c:v>
                </c:pt>
                <c:pt idx="74">
                  <c:v>8.4845351132838189</c:v>
                </c:pt>
                <c:pt idx="75">
                  <c:v>8.11336105586693</c:v>
                </c:pt>
                <c:pt idx="76">
                  <c:v>7.9836985569214374</c:v>
                </c:pt>
                <c:pt idx="77">
                  <c:v>7.6904767056888756</c:v>
                </c:pt>
                <c:pt idx="78">
                  <c:v>7.452383457855416</c:v>
                </c:pt>
                <c:pt idx="79">
                  <c:v>7.0784966312200659</c:v>
                </c:pt>
                <c:pt idx="80">
                  <c:v>6.943260020228859</c:v>
                </c:pt>
                <c:pt idx="81">
                  <c:v>6.7535384436656525</c:v>
                </c:pt>
                <c:pt idx="82">
                  <c:v>6.588948914794801</c:v>
                </c:pt>
                <c:pt idx="83">
                  <c:v>6.346920691182989</c:v>
                </c:pt>
                <c:pt idx="84">
                  <c:v>6.2220606941668199</c:v>
                </c:pt>
                <c:pt idx="85">
                  <c:v>6.1074397782988736</c:v>
                </c:pt>
                <c:pt idx="86">
                  <c:v>6.0686619718309913</c:v>
                </c:pt>
                <c:pt idx="87">
                  <c:v>5.9243397573161989</c:v>
                </c:pt>
                <c:pt idx="88">
                  <c:v>5.7688653988980381</c:v>
                </c:pt>
                <c:pt idx="89">
                  <c:v>5.6173270445606054</c:v>
                </c:pt>
                <c:pt idx="90">
                  <c:v>5.5671491080444335</c:v>
                </c:pt>
              </c:numCache>
            </c:numRef>
          </c:val>
          <c:smooth val="0"/>
        </c:ser>
        <c:dLbls>
          <c:showLegendKey val="0"/>
          <c:showVal val="0"/>
          <c:showCatName val="0"/>
          <c:showSerName val="0"/>
          <c:showPercent val="0"/>
          <c:showBubbleSize val="0"/>
        </c:dLbls>
        <c:marker val="1"/>
        <c:smooth val="0"/>
        <c:axId val="294555648"/>
        <c:axId val="294557184"/>
      </c:lineChart>
      <c:catAx>
        <c:axId val="294555648"/>
        <c:scaling>
          <c:orientation val="minMax"/>
        </c:scaling>
        <c:delete val="0"/>
        <c:axPos val="b"/>
        <c:numFmt formatCode="General" sourceLinked="1"/>
        <c:majorTickMark val="out"/>
        <c:minorTickMark val="none"/>
        <c:tickLblPos val="nextTo"/>
        <c:crossAx val="294557184"/>
        <c:crosses val="autoZero"/>
        <c:auto val="1"/>
        <c:lblAlgn val="ctr"/>
        <c:lblOffset val="100"/>
        <c:tickLblSkip val="25"/>
        <c:tickMarkSkip val="10"/>
        <c:noMultiLvlLbl val="0"/>
      </c:catAx>
      <c:valAx>
        <c:axId val="294557184"/>
        <c:scaling>
          <c:orientation val="minMax"/>
        </c:scaling>
        <c:delete val="0"/>
        <c:axPos val="l"/>
        <c:majorGridlines>
          <c:spPr>
            <a:ln w="9525" cap="flat" cmpd="sng" algn="ctr">
              <a:solidFill>
                <a:srgbClr val="CDCDCD"/>
              </a:solidFill>
              <a:prstDash val="solid"/>
              <a:round/>
              <a:headEnd type="none" w="med" len="med"/>
              <a:tailEnd type="none" w="med" len="med"/>
            </a:ln>
          </c:spPr>
        </c:majorGridlines>
        <c:numFmt formatCode="General" sourceLinked="1"/>
        <c:majorTickMark val="out"/>
        <c:minorTickMark val="none"/>
        <c:tickLblPos val="nextTo"/>
        <c:spPr>
          <a:ln w="9525" cap="flat" cmpd="sng" algn="ctr">
            <a:solidFill>
              <a:srgbClr val="787878"/>
            </a:solidFill>
            <a:prstDash val="solid"/>
            <a:round/>
            <a:headEnd type="none" w="med" len="med"/>
            <a:tailEnd type="none" w="med" len="med"/>
          </a:ln>
        </c:spPr>
        <c:crossAx val="294555648"/>
        <c:crosses val="autoZero"/>
        <c:crossBetween val="between"/>
      </c:valAx>
      <c:spPr>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228189054916667"/>
          <c:y val="5.289616940102377E-2"/>
          <c:w val="0.73178492038856091"/>
          <c:h val="0.83308021172098845"/>
        </c:manualLayout>
      </c:layout>
      <c:areaChart>
        <c:grouping val="standard"/>
        <c:varyColors val="0"/>
        <c:ser>
          <c:idx val="1"/>
          <c:order val="4"/>
          <c:tx>
            <c:strRef>
              <c:f>Pop_estimate!$B$355</c:f>
              <c:strCache>
                <c:ptCount val="1"/>
                <c:pt idx="0">
                  <c:v>% growth in 85+ population</c:v>
                </c:pt>
              </c:strCache>
            </c:strRef>
          </c:tx>
          <c:spPr>
            <a:solidFill>
              <a:srgbClr val="78A22F"/>
            </a:solidFill>
            <a:ln w="22225"/>
          </c:spPr>
          <c:cat>
            <c:numRef>
              <c:f>Pop_estimate!$C$346:$CL$346</c:f>
              <c:numCache>
                <c:formatCode>General</c:formatCode>
                <c:ptCount val="88"/>
                <c:pt idx="0">
                  <c:v>2013</c:v>
                </c:pt>
                <c:pt idx="1">
                  <c:v>2014</c:v>
                </c:pt>
                <c:pt idx="2">
                  <c:v>2015</c:v>
                </c:pt>
                <c:pt idx="3">
                  <c:v>2016</c:v>
                </c:pt>
                <c:pt idx="4">
                  <c:v>2017</c:v>
                </c:pt>
                <c:pt idx="5">
                  <c:v>2018</c:v>
                </c:pt>
                <c:pt idx="6">
                  <c:v>2019</c:v>
                </c:pt>
                <c:pt idx="7">
                  <c:v>2020</c:v>
                </c:pt>
                <c:pt idx="8">
                  <c:v>2021</c:v>
                </c:pt>
                <c:pt idx="9">
                  <c:v>2022</c:v>
                </c:pt>
                <c:pt idx="10">
                  <c:v>2023</c:v>
                </c:pt>
                <c:pt idx="11">
                  <c:v>2024</c:v>
                </c:pt>
                <c:pt idx="12">
                  <c:v>2025</c:v>
                </c:pt>
                <c:pt idx="13">
                  <c:v>2026</c:v>
                </c:pt>
                <c:pt idx="14">
                  <c:v>2027</c:v>
                </c:pt>
                <c:pt idx="15">
                  <c:v>2028</c:v>
                </c:pt>
                <c:pt idx="16">
                  <c:v>2029</c:v>
                </c:pt>
                <c:pt idx="17">
                  <c:v>2030</c:v>
                </c:pt>
                <c:pt idx="18">
                  <c:v>2031</c:v>
                </c:pt>
                <c:pt idx="19">
                  <c:v>2032</c:v>
                </c:pt>
                <c:pt idx="20">
                  <c:v>2033</c:v>
                </c:pt>
                <c:pt idx="21">
                  <c:v>2034</c:v>
                </c:pt>
                <c:pt idx="22">
                  <c:v>2035</c:v>
                </c:pt>
                <c:pt idx="23">
                  <c:v>2036</c:v>
                </c:pt>
                <c:pt idx="24">
                  <c:v>2037</c:v>
                </c:pt>
                <c:pt idx="25">
                  <c:v>2038</c:v>
                </c:pt>
                <c:pt idx="26">
                  <c:v>2039</c:v>
                </c:pt>
                <c:pt idx="27">
                  <c:v>2040</c:v>
                </c:pt>
                <c:pt idx="28">
                  <c:v>2041</c:v>
                </c:pt>
                <c:pt idx="29">
                  <c:v>2042</c:v>
                </c:pt>
                <c:pt idx="30">
                  <c:v>2043</c:v>
                </c:pt>
                <c:pt idx="31">
                  <c:v>2044</c:v>
                </c:pt>
                <c:pt idx="32">
                  <c:v>2045</c:v>
                </c:pt>
                <c:pt idx="33">
                  <c:v>2046</c:v>
                </c:pt>
                <c:pt idx="34">
                  <c:v>2047</c:v>
                </c:pt>
                <c:pt idx="35">
                  <c:v>2048</c:v>
                </c:pt>
                <c:pt idx="36">
                  <c:v>2049</c:v>
                </c:pt>
                <c:pt idx="37">
                  <c:v>2050</c:v>
                </c:pt>
                <c:pt idx="38">
                  <c:v>2051</c:v>
                </c:pt>
                <c:pt idx="39">
                  <c:v>2052</c:v>
                </c:pt>
                <c:pt idx="40">
                  <c:v>2053</c:v>
                </c:pt>
                <c:pt idx="41">
                  <c:v>2054</c:v>
                </c:pt>
                <c:pt idx="42">
                  <c:v>2055</c:v>
                </c:pt>
                <c:pt idx="43">
                  <c:v>2056</c:v>
                </c:pt>
                <c:pt idx="44">
                  <c:v>2057</c:v>
                </c:pt>
                <c:pt idx="45">
                  <c:v>2058</c:v>
                </c:pt>
                <c:pt idx="46">
                  <c:v>2059</c:v>
                </c:pt>
                <c:pt idx="47">
                  <c:v>2060</c:v>
                </c:pt>
                <c:pt idx="48">
                  <c:v>2061</c:v>
                </c:pt>
                <c:pt idx="49">
                  <c:v>2062</c:v>
                </c:pt>
                <c:pt idx="50">
                  <c:v>2063</c:v>
                </c:pt>
                <c:pt idx="51">
                  <c:v>2064</c:v>
                </c:pt>
                <c:pt idx="52">
                  <c:v>2065</c:v>
                </c:pt>
                <c:pt idx="53">
                  <c:v>2066</c:v>
                </c:pt>
                <c:pt idx="54">
                  <c:v>2067</c:v>
                </c:pt>
                <c:pt idx="55">
                  <c:v>2068</c:v>
                </c:pt>
                <c:pt idx="56">
                  <c:v>2069</c:v>
                </c:pt>
                <c:pt idx="57">
                  <c:v>2070</c:v>
                </c:pt>
                <c:pt idx="58">
                  <c:v>2071</c:v>
                </c:pt>
                <c:pt idx="59">
                  <c:v>2072</c:v>
                </c:pt>
                <c:pt idx="60">
                  <c:v>2073</c:v>
                </c:pt>
                <c:pt idx="61">
                  <c:v>2074</c:v>
                </c:pt>
                <c:pt idx="62">
                  <c:v>2075</c:v>
                </c:pt>
                <c:pt idx="63">
                  <c:v>2076</c:v>
                </c:pt>
                <c:pt idx="64">
                  <c:v>2077</c:v>
                </c:pt>
                <c:pt idx="65">
                  <c:v>2078</c:v>
                </c:pt>
                <c:pt idx="66">
                  <c:v>2079</c:v>
                </c:pt>
                <c:pt idx="67">
                  <c:v>2080</c:v>
                </c:pt>
                <c:pt idx="68">
                  <c:v>2081</c:v>
                </c:pt>
                <c:pt idx="69">
                  <c:v>2082</c:v>
                </c:pt>
                <c:pt idx="70">
                  <c:v>2083</c:v>
                </c:pt>
                <c:pt idx="71">
                  <c:v>2084</c:v>
                </c:pt>
                <c:pt idx="72">
                  <c:v>2085</c:v>
                </c:pt>
                <c:pt idx="73">
                  <c:v>2086</c:v>
                </c:pt>
                <c:pt idx="74">
                  <c:v>2087</c:v>
                </c:pt>
                <c:pt idx="75">
                  <c:v>2088</c:v>
                </c:pt>
                <c:pt idx="76">
                  <c:v>2089</c:v>
                </c:pt>
                <c:pt idx="77">
                  <c:v>2090</c:v>
                </c:pt>
                <c:pt idx="78">
                  <c:v>2091</c:v>
                </c:pt>
                <c:pt idx="79">
                  <c:v>2092</c:v>
                </c:pt>
                <c:pt idx="80">
                  <c:v>2093</c:v>
                </c:pt>
                <c:pt idx="81">
                  <c:v>2094</c:v>
                </c:pt>
                <c:pt idx="82">
                  <c:v>2095</c:v>
                </c:pt>
                <c:pt idx="83">
                  <c:v>2096</c:v>
                </c:pt>
                <c:pt idx="84">
                  <c:v>2097</c:v>
                </c:pt>
                <c:pt idx="85">
                  <c:v>2098</c:v>
                </c:pt>
                <c:pt idx="86">
                  <c:v>2099</c:v>
                </c:pt>
                <c:pt idx="87">
                  <c:v>2100</c:v>
                </c:pt>
              </c:numCache>
            </c:numRef>
          </c:cat>
          <c:val>
            <c:numRef>
              <c:f>Pop_estimate!$C$355:$CL$355</c:f>
              <c:numCache>
                <c:formatCode>General</c:formatCode>
                <c:ptCount val="88"/>
                <c:pt idx="0">
                  <c:v>4.266017613124462</c:v>
                </c:pt>
                <c:pt idx="1">
                  <c:v>3.7049017168449883</c:v>
                </c:pt>
                <c:pt idx="2">
                  <c:v>3.5481133947987686</c:v>
                </c:pt>
                <c:pt idx="3">
                  <c:v>3.1200498803545473</c:v>
                </c:pt>
                <c:pt idx="4">
                  <c:v>2.1634242198926401</c:v>
                </c:pt>
                <c:pt idx="5">
                  <c:v>2.086020086415985</c:v>
                </c:pt>
                <c:pt idx="6">
                  <c:v>2.0449613374803111</c:v>
                </c:pt>
                <c:pt idx="7">
                  <c:v>2.3128021757614414</c:v>
                </c:pt>
                <c:pt idx="8">
                  <c:v>2.8692668596394855</c:v>
                </c:pt>
                <c:pt idx="9">
                  <c:v>3.0589505396109828</c:v>
                </c:pt>
                <c:pt idx="10">
                  <c:v>3.2482676613605266</c:v>
                </c:pt>
                <c:pt idx="11">
                  <c:v>3.6480550618777752</c:v>
                </c:pt>
                <c:pt idx="12">
                  <c:v>3.8926873630689141</c:v>
                </c:pt>
                <c:pt idx="13">
                  <c:v>3.9790424260365498</c:v>
                </c:pt>
                <c:pt idx="14">
                  <c:v>4.6054142087008199</c:v>
                </c:pt>
                <c:pt idx="15">
                  <c:v>4.3335879404043931</c:v>
                </c:pt>
                <c:pt idx="16">
                  <c:v>5.4486397334163605</c:v>
                </c:pt>
                <c:pt idx="17">
                  <c:v>5.5425657558733299</c:v>
                </c:pt>
                <c:pt idx="18">
                  <c:v>5.4832429162807506</c:v>
                </c:pt>
                <c:pt idx="19">
                  <c:v>7.6950554143863537</c:v>
                </c:pt>
                <c:pt idx="20">
                  <c:v>5.9829012423056049</c:v>
                </c:pt>
                <c:pt idx="21">
                  <c:v>5.061319673478093</c:v>
                </c:pt>
                <c:pt idx="22">
                  <c:v>4.8638169122269481</c:v>
                </c:pt>
                <c:pt idx="23">
                  <c:v>4.5515780273233331</c:v>
                </c:pt>
                <c:pt idx="24">
                  <c:v>4.1836856161215685</c:v>
                </c:pt>
                <c:pt idx="25">
                  <c:v>4.1946569213191065</c:v>
                </c:pt>
                <c:pt idx="26">
                  <c:v>3.8679985233835312</c:v>
                </c:pt>
                <c:pt idx="27">
                  <c:v>3.877643289053867</c:v>
                </c:pt>
                <c:pt idx="28">
                  <c:v>3.8819314385552195</c:v>
                </c:pt>
                <c:pt idx="29">
                  <c:v>3.6762256699492513</c:v>
                </c:pt>
                <c:pt idx="30">
                  <c:v>3.6523397824242299</c:v>
                </c:pt>
                <c:pt idx="31">
                  <c:v>3.6335193076972194</c:v>
                </c:pt>
                <c:pt idx="32">
                  <c:v>3.5027706041680817</c:v>
                </c:pt>
                <c:pt idx="33">
                  <c:v>3.6543425526621265</c:v>
                </c:pt>
                <c:pt idx="34">
                  <c:v>3.3826803664898542</c:v>
                </c:pt>
                <c:pt idx="35">
                  <c:v>3.1001068356043771</c:v>
                </c:pt>
                <c:pt idx="36">
                  <c:v>2.7089220902676958</c:v>
                </c:pt>
                <c:pt idx="37">
                  <c:v>2.1846969013537665</c:v>
                </c:pt>
                <c:pt idx="38">
                  <c:v>1.9178363868706638</c:v>
                </c:pt>
                <c:pt idx="39">
                  <c:v>1.8444667641815071</c:v>
                </c:pt>
                <c:pt idx="40">
                  <c:v>2.0472223074558649</c:v>
                </c:pt>
                <c:pt idx="41">
                  <c:v>2.5050786819850845</c:v>
                </c:pt>
                <c:pt idx="42">
                  <c:v>2.6182650192444479</c:v>
                </c:pt>
                <c:pt idx="43">
                  <c:v>3.2502454822736171</c:v>
                </c:pt>
                <c:pt idx="44">
                  <c:v>2.9627776738899714</c:v>
                </c:pt>
                <c:pt idx="45">
                  <c:v>2.4086206343485683</c:v>
                </c:pt>
                <c:pt idx="46">
                  <c:v>2.092447244303397</c:v>
                </c:pt>
                <c:pt idx="47">
                  <c:v>1.8469287939330226</c:v>
                </c:pt>
                <c:pt idx="48">
                  <c:v>1.7019734527937036</c:v>
                </c:pt>
                <c:pt idx="49">
                  <c:v>1.7071194591580685</c:v>
                </c:pt>
                <c:pt idx="50">
                  <c:v>1.7739745681772501</c:v>
                </c:pt>
                <c:pt idx="51">
                  <c:v>1.9902032159374583</c:v>
                </c:pt>
                <c:pt idx="52">
                  <c:v>2.2046696977161551</c:v>
                </c:pt>
                <c:pt idx="53">
                  <c:v>2.5953819415708068</c:v>
                </c:pt>
                <c:pt idx="54">
                  <c:v>2.7701143862026711</c:v>
                </c:pt>
                <c:pt idx="55">
                  <c:v>3.0144350423096045</c:v>
                </c:pt>
                <c:pt idx="56">
                  <c:v>2.9418367635186682</c:v>
                </c:pt>
                <c:pt idx="57">
                  <c:v>2.9434108325606445</c:v>
                </c:pt>
                <c:pt idx="58">
                  <c:v>2.7967841138986538</c:v>
                </c:pt>
                <c:pt idx="59">
                  <c:v>2.6052643700515299</c:v>
                </c:pt>
                <c:pt idx="60">
                  <c:v>2.5190950624685904</c:v>
                </c:pt>
                <c:pt idx="61">
                  <c:v>2.4716302107238297</c:v>
                </c:pt>
                <c:pt idx="62">
                  <c:v>2.4505688882811238</c:v>
                </c:pt>
                <c:pt idx="63">
                  <c:v>2.1551578975338437</c:v>
                </c:pt>
                <c:pt idx="64">
                  <c:v>1.8842130541745217</c:v>
                </c:pt>
                <c:pt idx="65">
                  <c:v>1.7814755751033307</c:v>
                </c:pt>
                <c:pt idx="66">
                  <c:v>1.6873537860534693</c:v>
                </c:pt>
                <c:pt idx="67">
                  <c:v>1.6583220420848921</c:v>
                </c:pt>
                <c:pt idx="68">
                  <c:v>1.4539147863904089</c:v>
                </c:pt>
                <c:pt idx="69">
                  <c:v>1.3615238120664452</c:v>
                </c:pt>
                <c:pt idx="70">
                  <c:v>1.2290447000671056</c:v>
                </c:pt>
                <c:pt idx="71">
                  <c:v>1.1914641728674624</c:v>
                </c:pt>
                <c:pt idx="72">
                  <c:v>1.1467674897108315</c:v>
                </c:pt>
                <c:pt idx="73">
                  <c:v>1.111045498130081</c:v>
                </c:pt>
                <c:pt idx="74">
                  <c:v>1.0181467717393256</c:v>
                </c:pt>
                <c:pt idx="75">
                  <c:v>1.0311403183564494</c:v>
                </c:pt>
                <c:pt idx="76">
                  <c:v>1.0943661454996034</c:v>
                </c:pt>
                <c:pt idx="77">
                  <c:v>1.1936726667590714</c:v>
                </c:pt>
                <c:pt idx="78">
                  <c:v>1.3818682035362073</c:v>
                </c:pt>
                <c:pt idx="79">
                  <c:v>1.3746121084033058</c:v>
                </c:pt>
                <c:pt idx="80">
                  <c:v>1.4479605982505417</c:v>
                </c:pt>
                <c:pt idx="81">
                  <c:v>1.4586656857384028</c:v>
                </c:pt>
                <c:pt idx="82">
                  <c:v>1.4811589955321391</c:v>
                </c:pt>
                <c:pt idx="83">
                  <c:v>1.3555383061717885</c:v>
                </c:pt>
                <c:pt idx="84">
                  <c:v>1.3741566700440133</c:v>
                </c:pt>
                <c:pt idx="85">
                  <c:v>1.3888680428679079</c:v>
                </c:pt>
                <c:pt idx="86">
                  <c:v>1.3838836621699047</c:v>
                </c:pt>
                <c:pt idx="87">
                  <c:v>1.3734670119692094</c:v>
                </c:pt>
              </c:numCache>
            </c:numRef>
          </c:val>
        </c:ser>
        <c:dLbls>
          <c:showLegendKey val="0"/>
          <c:showVal val="0"/>
          <c:showCatName val="0"/>
          <c:showSerName val="0"/>
          <c:showPercent val="0"/>
          <c:showBubbleSize val="0"/>
        </c:dLbls>
        <c:axId val="297217408"/>
        <c:axId val="307791360"/>
      </c:areaChart>
      <c:barChart>
        <c:barDir val="col"/>
        <c:grouping val="clustered"/>
        <c:varyColors val="0"/>
        <c:ser>
          <c:idx val="3"/>
          <c:order val="2"/>
          <c:tx>
            <c:strRef>
              <c:f>Pop_estimate!$B$354</c:f>
              <c:strCache>
                <c:ptCount val="1"/>
                <c:pt idx="0">
                  <c:v>% growth in 75+</c:v>
                </c:pt>
              </c:strCache>
            </c:strRef>
          </c:tx>
          <c:spPr>
            <a:solidFill>
              <a:schemeClr val="tx1"/>
            </a:solidFill>
          </c:spPr>
          <c:invertIfNegative val="0"/>
          <c:cat>
            <c:numRef>
              <c:f>Pop_estimate!$C$346:$CL$346</c:f>
              <c:numCache>
                <c:formatCode>General</c:formatCode>
                <c:ptCount val="88"/>
                <c:pt idx="0">
                  <c:v>2013</c:v>
                </c:pt>
                <c:pt idx="1">
                  <c:v>2014</c:v>
                </c:pt>
                <c:pt idx="2">
                  <c:v>2015</c:v>
                </c:pt>
                <c:pt idx="3">
                  <c:v>2016</c:v>
                </c:pt>
                <c:pt idx="4">
                  <c:v>2017</c:v>
                </c:pt>
                <c:pt idx="5">
                  <c:v>2018</c:v>
                </c:pt>
                <c:pt idx="6">
                  <c:v>2019</c:v>
                </c:pt>
                <c:pt idx="7">
                  <c:v>2020</c:v>
                </c:pt>
                <c:pt idx="8">
                  <c:v>2021</c:v>
                </c:pt>
                <c:pt idx="9">
                  <c:v>2022</c:v>
                </c:pt>
                <c:pt idx="10">
                  <c:v>2023</c:v>
                </c:pt>
                <c:pt idx="11">
                  <c:v>2024</c:v>
                </c:pt>
                <c:pt idx="12">
                  <c:v>2025</c:v>
                </c:pt>
                <c:pt idx="13">
                  <c:v>2026</c:v>
                </c:pt>
                <c:pt idx="14">
                  <c:v>2027</c:v>
                </c:pt>
                <c:pt idx="15">
                  <c:v>2028</c:v>
                </c:pt>
                <c:pt idx="16">
                  <c:v>2029</c:v>
                </c:pt>
                <c:pt idx="17">
                  <c:v>2030</c:v>
                </c:pt>
                <c:pt idx="18">
                  <c:v>2031</c:v>
                </c:pt>
                <c:pt idx="19">
                  <c:v>2032</c:v>
                </c:pt>
                <c:pt idx="20">
                  <c:v>2033</c:v>
                </c:pt>
                <c:pt idx="21">
                  <c:v>2034</c:v>
                </c:pt>
                <c:pt idx="22">
                  <c:v>2035</c:v>
                </c:pt>
                <c:pt idx="23">
                  <c:v>2036</c:v>
                </c:pt>
                <c:pt idx="24">
                  <c:v>2037</c:v>
                </c:pt>
                <c:pt idx="25">
                  <c:v>2038</c:v>
                </c:pt>
                <c:pt idx="26">
                  <c:v>2039</c:v>
                </c:pt>
                <c:pt idx="27">
                  <c:v>2040</c:v>
                </c:pt>
                <c:pt idx="28">
                  <c:v>2041</c:v>
                </c:pt>
                <c:pt idx="29">
                  <c:v>2042</c:v>
                </c:pt>
                <c:pt idx="30">
                  <c:v>2043</c:v>
                </c:pt>
                <c:pt idx="31">
                  <c:v>2044</c:v>
                </c:pt>
                <c:pt idx="32">
                  <c:v>2045</c:v>
                </c:pt>
                <c:pt idx="33">
                  <c:v>2046</c:v>
                </c:pt>
                <c:pt idx="34">
                  <c:v>2047</c:v>
                </c:pt>
                <c:pt idx="35">
                  <c:v>2048</c:v>
                </c:pt>
                <c:pt idx="36">
                  <c:v>2049</c:v>
                </c:pt>
                <c:pt idx="37">
                  <c:v>2050</c:v>
                </c:pt>
                <c:pt idx="38">
                  <c:v>2051</c:v>
                </c:pt>
                <c:pt idx="39">
                  <c:v>2052</c:v>
                </c:pt>
                <c:pt idx="40">
                  <c:v>2053</c:v>
                </c:pt>
                <c:pt idx="41">
                  <c:v>2054</c:v>
                </c:pt>
                <c:pt idx="42">
                  <c:v>2055</c:v>
                </c:pt>
                <c:pt idx="43">
                  <c:v>2056</c:v>
                </c:pt>
                <c:pt idx="44">
                  <c:v>2057</c:v>
                </c:pt>
                <c:pt idx="45">
                  <c:v>2058</c:v>
                </c:pt>
                <c:pt idx="46">
                  <c:v>2059</c:v>
                </c:pt>
                <c:pt idx="47">
                  <c:v>2060</c:v>
                </c:pt>
                <c:pt idx="48">
                  <c:v>2061</c:v>
                </c:pt>
                <c:pt idx="49">
                  <c:v>2062</c:v>
                </c:pt>
                <c:pt idx="50">
                  <c:v>2063</c:v>
                </c:pt>
                <c:pt idx="51">
                  <c:v>2064</c:v>
                </c:pt>
                <c:pt idx="52">
                  <c:v>2065</c:v>
                </c:pt>
                <c:pt idx="53">
                  <c:v>2066</c:v>
                </c:pt>
                <c:pt idx="54">
                  <c:v>2067</c:v>
                </c:pt>
                <c:pt idx="55">
                  <c:v>2068</c:v>
                </c:pt>
                <c:pt idx="56">
                  <c:v>2069</c:v>
                </c:pt>
                <c:pt idx="57">
                  <c:v>2070</c:v>
                </c:pt>
                <c:pt idx="58">
                  <c:v>2071</c:v>
                </c:pt>
                <c:pt idx="59">
                  <c:v>2072</c:v>
                </c:pt>
                <c:pt idx="60">
                  <c:v>2073</c:v>
                </c:pt>
                <c:pt idx="61">
                  <c:v>2074</c:v>
                </c:pt>
                <c:pt idx="62">
                  <c:v>2075</c:v>
                </c:pt>
                <c:pt idx="63">
                  <c:v>2076</c:v>
                </c:pt>
                <c:pt idx="64">
                  <c:v>2077</c:v>
                </c:pt>
                <c:pt idx="65">
                  <c:v>2078</c:v>
                </c:pt>
                <c:pt idx="66">
                  <c:v>2079</c:v>
                </c:pt>
                <c:pt idx="67">
                  <c:v>2080</c:v>
                </c:pt>
                <c:pt idx="68">
                  <c:v>2081</c:v>
                </c:pt>
                <c:pt idx="69">
                  <c:v>2082</c:v>
                </c:pt>
                <c:pt idx="70">
                  <c:v>2083</c:v>
                </c:pt>
                <c:pt idx="71">
                  <c:v>2084</c:v>
                </c:pt>
                <c:pt idx="72">
                  <c:v>2085</c:v>
                </c:pt>
                <c:pt idx="73">
                  <c:v>2086</c:v>
                </c:pt>
                <c:pt idx="74">
                  <c:v>2087</c:v>
                </c:pt>
                <c:pt idx="75">
                  <c:v>2088</c:v>
                </c:pt>
                <c:pt idx="76">
                  <c:v>2089</c:v>
                </c:pt>
                <c:pt idx="77">
                  <c:v>2090</c:v>
                </c:pt>
                <c:pt idx="78">
                  <c:v>2091</c:v>
                </c:pt>
                <c:pt idx="79">
                  <c:v>2092</c:v>
                </c:pt>
                <c:pt idx="80">
                  <c:v>2093</c:v>
                </c:pt>
                <c:pt idx="81">
                  <c:v>2094</c:v>
                </c:pt>
                <c:pt idx="82">
                  <c:v>2095</c:v>
                </c:pt>
                <c:pt idx="83">
                  <c:v>2096</c:v>
                </c:pt>
                <c:pt idx="84">
                  <c:v>2097</c:v>
                </c:pt>
                <c:pt idx="85">
                  <c:v>2098</c:v>
                </c:pt>
                <c:pt idx="86">
                  <c:v>2099</c:v>
                </c:pt>
                <c:pt idx="87">
                  <c:v>2100</c:v>
                </c:pt>
              </c:numCache>
            </c:numRef>
          </c:cat>
          <c:val>
            <c:numRef>
              <c:f>Pop_estimate!$C$354:$CL$354</c:f>
              <c:numCache>
                <c:formatCode>General</c:formatCode>
                <c:ptCount val="88"/>
                <c:pt idx="0">
                  <c:v>2.5362105092201492</c:v>
                </c:pt>
                <c:pt idx="1">
                  <c:v>2.7151939989968454</c:v>
                </c:pt>
                <c:pt idx="2">
                  <c:v>2.8327488062335426</c:v>
                </c:pt>
                <c:pt idx="3">
                  <c:v>2.8773073442822872</c:v>
                </c:pt>
                <c:pt idx="4">
                  <c:v>3.2585397212198552</c:v>
                </c:pt>
                <c:pt idx="5">
                  <c:v>3.1397232970291844</c:v>
                </c:pt>
                <c:pt idx="6">
                  <c:v>3.8509499867813712</c:v>
                </c:pt>
                <c:pt idx="7">
                  <c:v>4.004003271102774</c:v>
                </c:pt>
                <c:pt idx="8">
                  <c:v>4.077511546640622</c:v>
                </c:pt>
                <c:pt idx="9">
                  <c:v>5.5207295968964676</c:v>
                </c:pt>
                <c:pt idx="10">
                  <c:v>4.6572977002953042</c:v>
                </c:pt>
                <c:pt idx="11">
                  <c:v>4.200999295640262</c:v>
                </c:pt>
                <c:pt idx="12">
                  <c:v>4.1571470492087093</c:v>
                </c:pt>
                <c:pt idx="13">
                  <c:v>4.0273432531560349</c:v>
                </c:pt>
                <c:pt idx="14">
                  <c:v>3.8457638343215583</c:v>
                </c:pt>
                <c:pt idx="15">
                  <c:v>3.8764156917963088</c:v>
                </c:pt>
                <c:pt idx="16">
                  <c:v>3.6863027572125562</c:v>
                </c:pt>
                <c:pt idx="17">
                  <c:v>3.6857164496568062</c:v>
                </c:pt>
                <c:pt idx="18">
                  <c:v>3.6743801278192434</c:v>
                </c:pt>
                <c:pt idx="19">
                  <c:v>3.520900182042519</c:v>
                </c:pt>
                <c:pt idx="20">
                  <c:v>3.4663262969470976</c:v>
                </c:pt>
                <c:pt idx="21">
                  <c:v>3.4111172714950344</c:v>
                </c:pt>
                <c:pt idx="22">
                  <c:v>3.2843093477726182</c:v>
                </c:pt>
                <c:pt idx="23">
                  <c:v>3.3269247630614007</c:v>
                </c:pt>
                <c:pt idx="24">
                  <c:v>3.1212948863779788</c:v>
                </c:pt>
                <c:pt idx="25">
                  <c:v>2.9054090607533389</c:v>
                </c:pt>
                <c:pt idx="26">
                  <c:v>2.628005235037123</c:v>
                </c:pt>
                <c:pt idx="27">
                  <c:v>2.2698295996671947</c:v>
                </c:pt>
                <c:pt idx="28">
                  <c:v>2.0606446296199232</c:v>
                </c:pt>
                <c:pt idx="29">
                  <c:v>1.9645894491591598</c:v>
                </c:pt>
                <c:pt idx="30">
                  <c:v>2.0306254358767983</c:v>
                </c:pt>
                <c:pt idx="31">
                  <c:v>2.2068386076090851</c:v>
                </c:pt>
                <c:pt idx="32">
                  <c:v>2.2012386112046256</c:v>
                </c:pt>
                <c:pt idx="33">
                  <c:v>2.5049671262877826</c:v>
                </c:pt>
                <c:pt idx="34">
                  <c:v>2.2991043116263654</c:v>
                </c:pt>
                <c:pt idx="35">
                  <c:v>1.9395475529948802</c:v>
                </c:pt>
                <c:pt idx="36">
                  <c:v>1.714552797188329</c:v>
                </c:pt>
                <c:pt idx="37">
                  <c:v>1.5312040510898406</c:v>
                </c:pt>
                <c:pt idx="38">
                  <c:v>1.4077977924893403</c:v>
                </c:pt>
                <c:pt idx="39">
                  <c:v>1.375153642372573</c:v>
                </c:pt>
                <c:pt idx="40">
                  <c:v>1.3837901146239728</c:v>
                </c:pt>
                <c:pt idx="41">
                  <c:v>1.5069914337738188</c:v>
                </c:pt>
                <c:pt idx="42">
                  <c:v>1.6321073855225077</c:v>
                </c:pt>
                <c:pt idx="43">
                  <c:v>1.8656204587265579</c:v>
                </c:pt>
                <c:pt idx="44">
                  <c:v>1.9792228971960757</c:v>
                </c:pt>
                <c:pt idx="45">
                  <c:v>2.1382604920784587</c:v>
                </c:pt>
                <c:pt idx="46">
                  <c:v>2.113954507957172</c:v>
                </c:pt>
                <c:pt idx="47">
                  <c:v>2.1350092652112629</c:v>
                </c:pt>
                <c:pt idx="48">
                  <c:v>2.0690804581477096</c:v>
                </c:pt>
                <c:pt idx="49">
                  <c:v>1.9745525907038486</c:v>
                </c:pt>
                <c:pt idx="50">
                  <c:v>1.9438122740920605</c:v>
                </c:pt>
                <c:pt idx="51">
                  <c:v>1.9393566471348489</c:v>
                </c:pt>
                <c:pt idx="52">
                  <c:v>1.9529018906498052</c:v>
                </c:pt>
                <c:pt idx="53">
                  <c:v>1.7966403573589362</c:v>
                </c:pt>
                <c:pt idx="54">
                  <c:v>1.6506894704610975</c:v>
                </c:pt>
                <c:pt idx="55">
                  <c:v>1.6024757648752885</c:v>
                </c:pt>
                <c:pt idx="56">
                  <c:v>1.5543982415430868</c:v>
                </c:pt>
                <c:pt idx="57">
                  <c:v>1.5399201822280828</c:v>
                </c:pt>
                <c:pt idx="58">
                  <c:v>1.4104629389836143</c:v>
                </c:pt>
                <c:pt idx="59">
                  <c:v>1.341367618548972</c:v>
                </c:pt>
                <c:pt idx="60">
                  <c:v>1.2404887078074411</c:v>
                </c:pt>
                <c:pt idx="61">
                  <c:v>1.1910735023641816</c:v>
                </c:pt>
                <c:pt idx="62">
                  <c:v>1.1334508158942436</c:v>
                </c:pt>
                <c:pt idx="63">
                  <c:v>1.0794670129846473</c:v>
                </c:pt>
                <c:pt idx="64">
                  <c:v>0.98956418673477042</c:v>
                </c:pt>
                <c:pt idx="65">
                  <c:v>0.96549665084775249</c:v>
                </c:pt>
                <c:pt idx="66">
                  <c:v>0.97509049150916738</c:v>
                </c:pt>
                <c:pt idx="67">
                  <c:v>1.0108314294760445</c:v>
                </c:pt>
                <c:pt idx="68">
                  <c:v>1.1066237590103611</c:v>
                </c:pt>
                <c:pt idx="69">
                  <c:v>1.09052604661104</c:v>
                </c:pt>
                <c:pt idx="70">
                  <c:v>1.128996835342555</c:v>
                </c:pt>
                <c:pt idx="71">
                  <c:v>1.1349306596247999</c:v>
                </c:pt>
                <c:pt idx="72">
                  <c:v>1.1526450776508268</c:v>
                </c:pt>
                <c:pt idx="73">
                  <c:v>1.08283300337495</c:v>
                </c:pt>
                <c:pt idx="74">
                  <c:v>1.1044935147710433</c:v>
                </c:pt>
                <c:pt idx="75">
                  <c:v>1.1267009941626549</c:v>
                </c:pt>
                <c:pt idx="76">
                  <c:v>1.1393653705189521</c:v>
                </c:pt>
                <c:pt idx="77">
                  <c:v>1.1503012317936046</c:v>
                </c:pt>
                <c:pt idx="78">
                  <c:v>1.1577572980462136</c:v>
                </c:pt>
                <c:pt idx="79">
                  <c:v>1.160253654085186</c:v>
                </c:pt>
                <c:pt idx="80">
                  <c:v>1.1555153480493185</c:v>
                </c:pt>
                <c:pt idx="81">
                  <c:v>1.1435192222956969</c:v>
                </c:pt>
                <c:pt idx="82">
                  <c:v>1.1256693625816272</c:v>
                </c:pt>
                <c:pt idx="83">
                  <c:v>1.1018409177548483</c:v>
                </c:pt>
                <c:pt idx="84">
                  <c:v>1.0720814311835136</c:v>
                </c:pt>
                <c:pt idx="85">
                  <c:v>1.0374340661785331</c:v>
                </c:pt>
                <c:pt idx="86">
                  <c:v>0.99892097061304863</c:v>
                </c:pt>
                <c:pt idx="87">
                  <c:v>0.95789541491528851</c:v>
                </c:pt>
              </c:numCache>
            </c:numRef>
          </c:val>
        </c:ser>
        <c:dLbls>
          <c:showLegendKey val="0"/>
          <c:showVal val="0"/>
          <c:showCatName val="0"/>
          <c:showSerName val="0"/>
          <c:showPercent val="0"/>
          <c:showBubbleSize val="0"/>
        </c:dLbls>
        <c:gapWidth val="65"/>
        <c:overlap val="-100"/>
        <c:axId val="297217408"/>
        <c:axId val="307791360"/>
      </c:barChart>
      <c:lineChart>
        <c:grouping val="standard"/>
        <c:varyColors val="0"/>
        <c:ser>
          <c:idx val="2"/>
          <c:order val="0"/>
          <c:tx>
            <c:strRef>
              <c:f>Pop_estimate!$B$356</c:f>
              <c:strCache>
                <c:ptCount val="1"/>
                <c:pt idx="0">
                  <c:v>% growth in population</c:v>
                </c:pt>
              </c:strCache>
            </c:strRef>
          </c:tx>
          <c:spPr>
            <a:ln w="22225">
              <a:solidFill>
                <a:schemeClr val="bg1"/>
              </a:solidFill>
              <a:prstDash val="solid"/>
            </a:ln>
          </c:spPr>
          <c:marker>
            <c:symbol val="none"/>
          </c:marker>
          <c:cat>
            <c:numRef>
              <c:f>Pop_estimate!$C$346:$CL$346</c:f>
              <c:numCache>
                <c:formatCode>General</c:formatCode>
                <c:ptCount val="88"/>
                <c:pt idx="0">
                  <c:v>2013</c:v>
                </c:pt>
                <c:pt idx="1">
                  <c:v>2014</c:v>
                </c:pt>
                <c:pt idx="2">
                  <c:v>2015</c:v>
                </c:pt>
                <c:pt idx="3">
                  <c:v>2016</c:v>
                </c:pt>
                <c:pt idx="4">
                  <c:v>2017</c:v>
                </c:pt>
                <c:pt idx="5">
                  <c:v>2018</c:v>
                </c:pt>
                <c:pt idx="6">
                  <c:v>2019</c:v>
                </c:pt>
                <c:pt idx="7">
                  <c:v>2020</c:v>
                </c:pt>
                <c:pt idx="8">
                  <c:v>2021</c:v>
                </c:pt>
                <c:pt idx="9">
                  <c:v>2022</c:v>
                </c:pt>
                <c:pt idx="10">
                  <c:v>2023</c:v>
                </c:pt>
                <c:pt idx="11">
                  <c:v>2024</c:v>
                </c:pt>
                <c:pt idx="12">
                  <c:v>2025</c:v>
                </c:pt>
                <c:pt idx="13">
                  <c:v>2026</c:v>
                </c:pt>
                <c:pt idx="14">
                  <c:v>2027</c:v>
                </c:pt>
                <c:pt idx="15">
                  <c:v>2028</c:v>
                </c:pt>
                <c:pt idx="16">
                  <c:v>2029</c:v>
                </c:pt>
                <c:pt idx="17">
                  <c:v>2030</c:v>
                </c:pt>
                <c:pt idx="18">
                  <c:v>2031</c:v>
                </c:pt>
                <c:pt idx="19">
                  <c:v>2032</c:v>
                </c:pt>
                <c:pt idx="20">
                  <c:v>2033</c:v>
                </c:pt>
                <c:pt idx="21">
                  <c:v>2034</c:v>
                </c:pt>
                <c:pt idx="22">
                  <c:v>2035</c:v>
                </c:pt>
                <c:pt idx="23">
                  <c:v>2036</c:v>
                </c:pt>
                <c:pt idx="24">
                  <c:v>2037</c:v>
                </c:pt>
                <c:pt idx="25">
                  <c:v>2038</c:v>
                </c:pt>
                <c:pt idx="26">
                  <c:v>2039</c:v>
                </c:pt>
                <c:pt idx="27">
                  <c:v>2040</c:v>
                </c:pt>
                <c:pt idx="28">
                  <c:v>2041</c:v>
                </c:pt>
                <c:pt idx="29">
                  <c:v>2042</c:v>
                </c:pt>
                <c:pt idx="30">
                  <c:v>2043</c:v>
                </c:pt>
                <c:pt idx="31">
                  <c:v>2044</c:v>
                </c:pt>
                <c:pt idx="32">
                  <c:v>2045</c:v>
                </c:pt>
                <c:pt idx="33">
                  <c:v>2046</c:v>
                </c:pt>
                <c:pt idx="34">
                  <c:v>2047</c:v>
                </c:pt>
                <c:pt idx="35">
                  <c:v>2048</c:v>
                </c:pt>
                <c:pt idx="36">
                  <c:v>2049</c:v>
                </c:pt>
                <c:pt idx="37">
                  <c:v>2050</c:v>
                </c:pt>
                <c:pt idx="38">
                  <c:v>2051</c:v>
                </c:pt>
                <c:pt idx="39">
                  <c:v>2052</c:v>
                </c:pt>
                <c:pt idx="40">
                  <c:v>2053</c:v>
                </c:pt>
                <c:pt idx="41">
                  <c:v>2054</c:v>
                </c:pt>
                <c:pt idx="42">
                  <c:v>2055</c:v>
                </c:pt>
                <c:pt idx="43">
                  <c:v>2056</c:v>
                </c:pt>
                <c:pt idx="44">
                  <c:v>2057</c:v>
                </c:pt>
                <c:pt idx="45">
                  <c:v>2058</c:v>
                </c:pt>
                <c:pt idx="46">
                  <c:v>2059</c:v>
                </c:pt>
                <c:pt idx="47">
                  <c:v>2060</c:v>
                </c:pt>
                <c:pt idx="48">
                  <c:v>2061</c:v>
                </c:pt>
                <c:pt idx="49">
                  <c:v>2062</c:v>
                </c:pt>
                <c:pt idx="50">
                  <c:v>2063</c:v>
                </c:pt>
                <c:pt idx="51">
                  <c:v>2064</c:v>
                </c:pt>
                <c:pt idx="52">
                  <c:v>2065</c:v>
                </c:pt>
                <c:pt idx="53">
                  <c:v>2066</c:v>
                </c:pt>
                <c:pt idx="54">
                  <c:v>2067</c:v>
                </c:pt>
                <c:pt idx="55">
                  <c:v>2068</c:v>
                </c:pt>
                <c:pt idx="56">
                  <c:v>2069</c:v>
                </c:pt>
                <c:pt idx="57">
                  <c:v>2070</c:v>
                </c:pt>
                <c:pt idx="58">
                  <c:v>2071</c:v>
                </c:pt>
                <c:pt idx="59">
                  <c:v>2072</c:v>
                </c:pt>
                <c:pt idx="60">
                  <c:v>2073</c:v>
                </c:pt>
                <c:pt idx="61">
                  <c:v>2074</c:v>
                </c:pt>
                <c:pt idx="62">
                  <c:v>2075</c:v>
                </c:pt>
                <c:pt idx="63">
                  <c:v>2076</c:v>
                </c:pt>
                <c:pt idx="64">
                  <c:v>2077</c:v>
                </c:pt>
                <c:pt idx="65">
                  <c:v>2078</c:v>
                </c:pt>
                <c:pt idx="66">
                  <c:v>2079</c:v>
                </c:pt>
                <c:pt idx="67">
                  <c:v>2080</c:v>
                </c:pt>
                <c:pt idx="68">
                  <c:v>2081</c:v>
                </c:pt>
                <c:pt idx="69">
                  <c:v>2082</c:v>
                </c:pt>
                <c:pt idx="70">
                  <c:v>2083</c:v>
                </c:pt>
                <c:pt idx="71">
                  <c:v>2084</c:v>
                </c:pt>
                <c:pt idx="72">
                  <c:v>2085</c:v>
                </c:pt>
                <c:pt idx="73">
                  <c:v>2086</c:v>
                </c:pt>
                <c:pt idx="74">
                  <c:v>2087</c:v>
                </c:pt>
                <c:pt idx="75">
                  <c:v>2088</c:v>
                </c:pt>
                <c:pt idx="76">
                  <c:v>2089</c:v>
                </c:pt>
                <c:pt idx="77">
                  <c:v>2090</c:v>
                </c:pt>
                <c:pt idx="78">
                  <c:v>2091</c:v>
                </c:pt>
                <c:pt idx="79">
                  <c:v>2092</c:v>
                </c:pt>
                <c:pt idx="80">
                  <c:v>2093</c:v>
                </c:pt>
                <c:pt idx="81">
                  <c:v>2094</c:v>
                </c:pt>
                <c:pt idx="82">
                  <c:v>2095</c:v>
                </c:pt>
                <c:pt idx="83">
                  <c:v>2096</c:v>
                </c:pt>
                <c:pt idx="84">
                  <c:v>2097</c:v>
                </c:pt>
                <c:pt idx="85">
                  <c:v>2098</c:v>
                </c:pt>
                <c:pt idx="86">
                  <c:v>2099</c:v>
                </c:pt>
                <c:pt idx="87">
                  <c:v>2100</c:v>
                </c:pt>
              </c:numCache>
            </c:numRef>
          </c:cat>
          <c:val>
            <c:numRef>
              <c:f>Pop_estimate!$C$356:$CL$356</c:f>
              <c:numCache>
                <c:formatCode>General</c:formatCode>
                <c:ptCount val="88"/>
                <c:pt idx="0">
                  <c:v>1.7255699075029662</c:v>
                </c:pt>
                <c:pt idx="1">
                  <c:v>1.6602376350167036</c:v>
                </c:pt>
                <c:pt idx="2">
                  <c:v>1.5966763217259761</c:v>
                </c:pt>
                <c:pt idx="3">
                  <c:v>1.5342374194907915</c:v>
                </c:pt>
                <c:pt idx="4">
                  <c:v>1.4726217099533256</c:v>
                </c:pt>
                <c:pt idx="5">
                  <c:v>1.4111219539181263</c:v>
                </c:pt>
                <c:pt idx="6">
                  <c:v>1.3954534068362445</c:v>
                </c:pt>
                <c:pt idx="7">
                  <c:v>1.378428224317263</c:v>
                </c:pt>
                <c:pt idx="8">
                  <c:v>1.360048829989946</c:v>
                </c:pt>
                <c:pt idx="9">
                  <c:v>1.3401904847553547</c:v>
                </c:pt>
                <c:pt idx="10">
                  <c:v>1.3191732781148158</c:v>
                </c:pt>
                <c:pt idx="11">
                  <c:v>1.2971796668151958</c:v>
                </c:pt>
                <c:pt idx="12">
                  <c:v>1.2744388639152948</c:v>
                </c:pt>
                <c:pt idx="13">
                  <c:v>1.2509966260450645</c:v>
                </c:pt>
                <c:pt idx="14">
                  <c:v>1.2270862106176228</c:v>
                </c:pt>
                <c:pt idx="15">
                  <c:v>1.2031717385563967</c:v>
                </c:pt>
                <c:pt idx="16">
                  <c:v>1.1795338128328225</c:v>
                </c:pt>
                <c:pt idx="17">
                  <c:v>1.1561958392871441</c:v>
                </c:pt>
                <c:pt idx="18">
                  <c:v>1.1333998749839536</c:v>
                </c:pt>
                <c:pt idx="19">
                  <c:v>1.1113639570414557</c:v>
                </c:pt>
                <c:pt idx="20">
                  <c:v>1.0903816787005693</c:v>
                </c:pt>
                <c:pt idx="21">
                  <c:v>1.0706078235111605</c:v>
                </c:pt>
                <c:pt idx="22">
                  <c:v>1.0520181094785919</c:v>
                </c:pt>
                <c:pt idx="23">
                  <c:v>1.0346552747394711</c:v>
                </c:pt>
                <c:pt idx="24">
                  <c:v>1.0184861403568002</c:v>
                </c:pt>
                <c:pt idx="25">
                  <c:v>1.0033710445433108</c:v>
                </c:pt>
                <c:pt idx="26">
                  <c:v>0.98931365762040535</c:v>
                </c:pt>
                <c:pt idx="27">
                  <c:v>0.97625825248222053</c:v>
                </c:pt>
                <c:pt idx="28">
                  <c:v>0.96397833569743518</c:v>
                </c:pt>
                <c:pt idx="29">
                  <c:v>0.95247344015998436</c:v>
                </c:pt>
                <c:pt idx="30">
                  <c:v>0.94156671059746344</c:v>
                </c:pt>
                <c:pt idx="31">
                  <c:v>0.93118305542774227</c:v>
                </c:pt>
                <c:pt idx="32">
                  <c:v>0.92101788006708762</c:v>
                </c:pt>
                <c:pt idx="33">
                  <c:v>0.91093437649161224</c:v>
                </c:pt>
                <c:pt idx="34">
                  <c:v>0.90090745398343497</c:v>
                </c:pt>
                <c:pt idx="35">
                  <c:v>0.890884018050353</c:v>
                </c:pt>
                <c:pt idx="36">
                  <c:v>0.88072394066180948</c:v>
                </c:pt>
                <c:pt idx="37">
                  <c:v>0.8704673482280656</c:v>
                </c:pt>
                <c:pt idx="38">
                  <c:v>0.86022332260231593</c:v>
                </c:pt>
                <c:pt idx="39">
                  <c:v>0.84995023204692544</c:v>
                </c:pt>
                <c:pt idx="40">
                  <c:v>0.83979462488796841</c:v>
                </c:pt>
                <c:pt idx="41">
                  <c:v>0.8317159759393622</c:v>
                </c:pt>
                <c:pt idx="42">
                  <c:v>0.82319926136853461</c:v>
                </c:pt>
                <c:pt idx="43">
                  <c:v>0.81451759768504939</c:v>
                </c:pt>
                <c:pt idx="44">
                  <c:v>0.80563401373112686</c:v>
                </c:pt>
                <c:pt idx="45">
                  <c:v>0.79664117872306761</c:v>
                </c:pt>
                <c:pt idx="46">
                  <c:v>0.78754053763050447</c:v>
                </c:pt>
                <c:pt idx="47">
                  <c:v>0.77837021777724669</c:v>
                </c:pt>
                <c:pt idx="48">
                  <c:v>0.76915896335529865</c:v>
                </c:pt>
                <c:pt idx="49">
                  <c:v>0.75998873150786572</c:v>
                </c:pt>
                <c:pt idx="50">
                  <c:v>0.7509460365597409</c:v>
                </c:pt>
                <c:pt idx="51">
                  <c:v>0.74218301174076018</c:v>
                </c:pt>
                <c:pt idx="52">
                  <c:v>0.73369931569240432</c:v>
                </c:pt>
                <c:pt idx="53">
                  <c:v>0.72561029089646123</c:v>
                </c:pt>
                <c:pt idx="54">
                  <c:v>0.71797975173613082</c:v>
                </c:pt>
                <c:pt idx="55">
                  <c:v>0.71076771169276132</c:v>
                </c:pt>
                <c:pt idx="56">
                  <c:v>0.70384708738908675</c:v>
                </c:pt>
                <c:pt idx="57">
                  <c:v>0.69699510953149524</c:v>
                </c:pt>
                <c:pt idx="58">
                  <c:v>0.69009863668021421</c:v>
                </c:pt>
                <c:pt idx="59">
                  <c:v>0.68309175787142351</c:v>
                </c:pt>
                <c:pt idx="60">
                  <c:v>0.67573604286397249</c:v>
                </c:pt>
                <c:pt idx="61">
                  <c:v>0.66808864306362459</c:v>
                </c:pt>
                <c:pt idx="62">
                  <c:v>0.6602330262548417</c:v>
                </c:pt>
                <c:pt idx="63">
                  <c:v>0.65240463815825489</c:v>
                </c:pt>
                <c:pt idx="64">
                  <c:v>0.6446890241061487</c:v>
                </c:pt>
                <c:pt idx="65">
                  <c:v>0.63726854972923075</c:v>
                </c:pt>
                <c:pt idx="66">
                  <c:v>0.63020706287366668</c:v>
                </c:pt>
                <c:pt idx="67">
                  <c:v>0.62354818315124572</c:v>
                </c:pt>
                <c:pt idx="68">
                  <c:v>0.61737289171757137</c:v>
                </c:pt>
                <c:pt idx="69">
                  <c:v>0.61159940323789463</c:v>
                </c:pt>
                <c:pt idx="70">
                  <c:v>0.60618441861277628</c:v>
                </c:pt>
                <c:pt idx="71">
                  <c:v>0.60100120528261414</c:v>
                </c:pt>
                <c:pt idx="72">
                  <c:v>0.59596899732388131</c:v>
                </c:pt>
                <c:pt idx="73">
                  <c:v>0.59109763658404813</c:v>
                </c:pt>
                <c:pt idx="74">
                  <c:v>0.58624762916255069</c:v>
                </c:pt>
                <c:pt idx="75">
                  <c:v>0.5813816146694073</c:v>
                </c:pt>
                <c:pt idx="76">
                  <c:v>0.57645030249997564</c:v>
                </c:pt>
                <c:pt idx="77">
                  <c:v>0.57148550406580512</c:v>
                </c:pt>
                <c:pt idx="78">
                  <c:v>0.56638530432520096</c:v>
                </c:pt>
                <c:pt idx="79">
                  <c:v>0.56109110350848201</c:v>
                </c:pt>
                <c:pt idx="80">
                  <c:v>0.55554801305317536</c:v>
                </c:pt>
                <c:pt idx="81">
                  <c:v>0.54981844909842703</c:v>
                </c:pt>
                <c:pt idx="82">
                  <c:v>0.54389391931877196</c:v>
                </c:pt>
                <c:pt idx="83">
                  <c:v>0.53777442663471842</c:v>
                </c:pt>
                <c:pt idx="84">
                  <c:v>0.53141430614296326</c:v>
                </c:pt>
                <c:pt idx="85">
                  <c:v>0.52486589812352769</c:v>
                </c:pt>
                <c:pt idx="86">
                  <c:v>0.51815341485765831</c:v>
                </c:pt>
                <c:pt idx="87">
                  <c:v>0.51137787256962941</c:v>
                </c:pt>
              </c:numCache>
            </c:numRef>
          </c:val>
          <c:smooth val="0"/>
        </c:ser>
        <c:ser>
          <c:idx val="0"/>
          <c:order val="1"/>
          <c:tx>
            <c:strRef>
              <c:f>Pop_estimate!$B$354</c:f>
              <c:strCache>
                <c:ptCount val="1"/>
                <c:pt idx="0">
                  <c:v>% growth in 75+</c:v>
                </c:pt>
              </c:strCache>
            </c:strRef>
          </c:tx>
          <c:spPr>
            <a:ln w="15875" cap="rnd" cmpd="sng" algn="ctr">
              <a:solidFill>
                <a:schemeClr val="bg1">
                  <a:lumMod val="65000"/>
                </a:schemeClr>
              </a:solidFill>
              <a:prstDash val="solid"/>
              <a:round/>
              <a:headEnd type="none" w="med" len="med"/>
              <a:tailEnd type="none" w="med" len="med"/>
            </a:ln>
          </c:spPr>
          <c:marker>
            <c:symbol val="none"/>
          </c:marker>
          <c:cat>
            <c:numRef>
              <c:f>Pop_estimate!$C$346:$CL$346</c:f>
              <c:numCache>
                <c:formatCode>General</c:formatCode>
                <c:ptCount val="88"/>
                <c:pt idx="0">
                  <c:v>2013</c:v>
                </c:pt>
                <c:pt idx="1">
                  <c:v>2014</c:v>
                </c:pt>
                <c:pt idx="2">
                  <c:v>2015</c:v>
                </c:pt>
                <c:pt idx="3">
                  <c:v>2016</c:v>
                </c:pt>
                <c:pt idx="4">
                  <c:v>2017</c:v>
                </c:pt>
                <c:pt idx="5">
                  <c:v>2018</c:v>
                </c:pt>
                <c:pt idx="6">
                  <c:v>2019</c:v>
                </c:pt>
                <c:pt idx="7">
                  <c:v>2020</c:v>
                </c:pt>
                <c:pt idx="8">
                  <c:v>2021</c:v>
                </c:pt>
                <c:pt idx="9">
                  <c:v>2022</c:v>
                </c:pt>
                <c:pt idx="10">
                  <c:v>2023</c:v>
                </c:pt>
                <c:pt idx="11">
                  <c:v>2024</c:v>
                </c:pt>
                <c:pt idx="12">
                  <c:v>2025</c:v>
                </c:pt>
                <c:pt idx="13">
                  <c:v>2026</c:v>
                </c:pt>
                <c:pt idx="14">
                  <c:v>2027</c:v>
                </c:pt>
                <c:pt idx="15">
                  <c:v>2028</c:v>
                </c:pt>
                <c:pt idx="16">
                  <c:v>2029</c:v>
                </c:pt>
                <c:pt idx="17">
                  <c:v>2030</c:v>
                </c:pt>
                <c:pt idx="18">
                  <c:v>2031</c:v>
                </c:pt>
                <c:pt idx="19">
                  <c:v>2032</c:v>
                </c:pt>
                <c:pt idx="20">
                  <c:v>2033</c:v>
                </c:pt>
                <c:pt idx="21">
                  <c:v>2034</c:v>
                </c:pt>
                <c:pt idx="22">
                  <c:v>2035</c:v>
                </c:pt>
                <c:pt idx="23">
                  <c:v>2036</c:v>
                </c:pt>
                <c:pt idx="24">
                  <c:v>2037</c:v>
                </c:pt>
                <c:pt idx="25">
                  <c:v>2038</c:v>
                </c:pt>
                <c:pt idx="26">
                  <c:v>2039</c:v>
                </c:pt>
                <c:pt idx="27">
                  <c:v>2040</c:v>
                </c:pt>
                <c:pt idx="28">
                  <c:v>2041</c:v>
                </c:pt>
                <c:pt idx="29">
                  <c:v>2042</c:v>
                </c:pt>
                <c:pt idx="30">
                  <c:v>2043</c:v>
                </c:pt>
                <c:pt idx="31">
                  <c:v>2044</c:v>
                </c:pt>
                <c:pt idx="32">
                  <c:v>2045</c:v>
                </c:pt>
                <c:pt idx="33">
                  <c:v>2046</c:v>
                </c:pt>
                <c:pt idx="34">
                  <c:v>2047</c:v>
                </c:pt>
                <c:pt idx="35">
                  <c:v>2048</c:v>
                </c:pt>
                <c:pt idx="36">
                  <c:v>2049</c:v>
                </c:pt>
                <c:pt idx="37">
                  <c:v>2050</c:v>
                </c:pt>
                <c:pt idx="38">
                  <c:v>2051</c:v>
                </c:pt>
                <c:pt idx="39">
                  <c:v>2052</c:v>
                </c:pt>
                <c:pt idx="40">
                  <c:v>2053</c:v>
                </c:pt>
                <c:pt idx="41">
                  <c:v>2054</c:v>
                </c:pt>
                <c:pt idx="42">
                  <c:v>2055</c:v>
                </c:pt>
                <c:pt idx="43">
                  <c:v>2056</c:v>
                </c:pt>
                <c:pt idx="44">
                  <c:v>2057</c:v>
                </c:pt>
                <c:pt idx="45">
                  <c:v>2058</c:v>
                </c:pt>
                <c:pt idx="46">
                  <c:v>2059</c:v>
                </c:pt>
                <c:pt idx="47">
                  <c:v>2060</c:v>
                </c:pt>
                <c:pt idx="48">
                  <c:v>2061</c:v>
                </c:pt>
                <c:pt idx="49">
                  <c:v>2062</c:v>
                </c:pt>
                <c:pt idx="50">
                  <c:v>2063</c:v>
                </c:pt>
                <c:pt idx="51">
                  <c:v>2064</c:v>
                </c:pt>
                <c:pt idx="52">
                  <c:v>2065</c:v>
                </c:pt>
                <c:pt idx="53">
                  <c:v>2066</c:v>
                </c:pt>
                <c:pt idx="54">
                  <c:v>2067</c:v>
                </c:pt>
                <c:pt idx="55">
                  <c:v>2068</c:v>
                </c:pt>
                <c:pt idx="56">
                  <c:v>2069</c:v>
                </c:pt>
                <c:pt idx="57">
                  <c:v>2070</c:v>
                </c:pt>
                <c:pt idx="58">
                  <c:v>2071</c:v>
                </c:pt>
                <c:pt idx="59">
                  <c:v>2072</c:v>
                </c:pt>
                <c:pt idx="60">
                  <c:v>2073</c:v>
                </c:pt>
                <c:pt idx="61">
                  <c:v>2074</c:v>
                </c:pt>
                <c:pt idx="62">
                  <c:v>2075</c:v>
                </c:pt>
                <c:pt idx="63">
                  <c:v>2076</c:v>
                </c:pt>
                <c:pt idx="64">
                  <c:v>2077</c:v>
                </c:pt>
                <c:pt idx="65">
                  <c:v>2078</c:v>
                </c:pt>
                <c:pt idx="66">
                  <c:v>2079</c:v>
                </c:pt>
                <c:pt idx="67">
                  <c:v>2080</c:v>
                </c:pt>
                <c:pt idx="68">
                  <c:v>2081</c:v>
                </c:pt>
                <c:pt idx="69">
                  <c:v>2082</c:v>
                </c:pt>
                <c:pt idx="70">
                  <c:v>2083</c:v>
                </c:pt>
                <c:pt idx="71">
                  <c:v>2084</c:v>
                </c:pt>
                <c:pt idx="72">
                  <c:v>2085</c:v>
                </c:pt>
                <c:pt idx="73">
                  <c:v>2086</c:v>
                </c:pt>
                <c:pt idx="74">
                  <c:v>2087</c:v>
                </c:pt>
                <c:pt idx="75">
                  <c:v>2088</c:v>
                </c:pt>
                <c:pt idx="76">
                  <c:v>2089</c:v>
                </c:pt>
                <c:pt idx="77">
                  <c:v>2090</c:v>
                </c:pt>
                <c:pt idx="78">
                  <c:v>2091</c:v>
                </c:pt>
                <c:pt idx="79">
                  <c:v>2092</c:v>
                </c:pt>
                <c:pt idx="80">
                  <c:v>2093</c:v>
                </c:pt>
                <c:pt idx="81">
                  <c:v>2094</c:v>
                </c:pt>
                <c:pt idx="82">
                  <c:v>2095</c:v>
                </c:pt>
                <c:pt idx="83">
                  <c:v>2096</c:v>
                </c:pt>
                <c:pt idx="84">
                  <c:v>2097</c:v>
                </c:pt>
                <c:pt idx="85">
                  <c:v>2098</c:v>
                </c:pt>
                <c:pt idx="86">
                  <c:v>2099</c:v>
                </c:pt>
                <c:pt idx="87">
                  <c:v>2100</c:v>
                </c:pt>
              </c:numCache>
            </c:numRef>
          </c:cat>
          <c:val>
            <c:numRef>
              <c:f>Pop_estimate!$C$354:$CL$354</c:f>
              <c:numCache>
                <c:formatCode>General</c:formatCode>
                <c:ptCount val="88"/>
                <c:pt idx="0">
                  <c:v>2.5362105092201492</c:v>
                </c:pt>
                <c:pt idx="1">
                  <c:v>2.7151939989968454</c:v>
                </c:pt>
                <c:pt idx="2">
                  <c:v>2.8327488062335426</c:v>
                </c:pt>
                <c:pt idx="3">
                  <c:v>2.8773073442822872</c:v>
                </c:pt>
                <c:pt idx="4">
                  <c:v>3.2585397212198552</c:v>
                </c:pt>
                <c:pt idx="5">
                  <c:v>3.1397232970291844</c:v>
                </c:pt>
                <c:pt idx="6">
                  <c:v>3.8509499867813712</c:v>
                </c:pt>
                <c:pt idx="7">
                  <c:v>4.004003271102774</c:v>
                </c:pt>
                <c:pt idx="8">
                  <c:v>4.077511546640622</c:v>
                </c:pt>
                <c:pt idx="9">
                  <c:v>5.5207295968964676</c:v>
                </c:pt>
                <c:pt idx="10">
                  <c:v>4.6572977002953042</c:v>
                </c:pt>
                <c:pt idx="11">
                  <c:v>4.200999295640262</c:v>
                </c:pt>
                <c:pt idx="12">
                  <c:v>4.1571470492087093</c:v>
                </c:pt>
                <c:pt idx="13">
                  <c:v>4.0273432531560349</c:v>
                </c:pt>
                <c:pt idx="14">
                  <c:v>3.8457638343215583</c:v>
                </c:pt>
                <c:pt idx="15">
                  <c:v>3.8764156917963088</c:v>
                </c:pt>
                <c:pt idx="16">
                  <c:v>3.6863027572125562</c:v>
                </c:pt>
                <c:pt idx="17">
                  <c:v>3.6857164496568062</c:v>
                </c:pt>
                <c:pt idx="18">
                  <c:v>3.6743801278192434</c:v>
                </c:pt>
                <c:pt idx="19">
                  <c:v>3.520900182042519</c:v>
                </c:pt>
                <c:pt idx="20">
                  <c:v>3.4663262969470976</c:v>
                </c:pt>
                <c:pt idx="21">
                  <c:v>3.4111172714950344</c:v>
                </c:pt>
                <c:pt idx="22">
                  <c:v>3.2843093477726182</c:v>
                </c:pt>
                <c:pt idx="23">
                  <c:v>3.3269247630614007</c:v>
                </c:pt>
                <c:pt idx="24">
                  <c:v>3.1212948863779788</c:v>
                </c:pt>
                <c:pt idx="25">
                  <c:v>2.9054090607533389</c:v>
                </c:pt>
                <c:pt idx="26">
                  <c:v>2.628005235037123</c:v>
                </c:pt>
                <c:pt idx="27">
                  <c:v>2.2698295996671947</c:v>
                </c:pt>
                <c:pt idx="28">
                  <c:v>2.0606446296199232</c:v>
                </c:pt>
                <c:pt idx="29">
                  <c:v>1.9645894491591598</c:v>
                </c:pt>
                <c:pt idx="30">
                  <c:v>2.0306254358767983</c:v>
                </c:pt>
                <c:pt idx="31">
                  <c:v>2.2068386076090851</c:v>
                </c:pt>
                <c:pt idx="32">
                  <c:v>2.2012386112046256</c:v>
                </c:pt>
                <c:pt idx="33">
                  <c:v>2.5049671262877826</c:v>
                </c:pt>
                <c:pt idx="34">
                  <c:v>2.2991043116263654</c:v>
                </c:pt>
                <c:pt idx="35">
                  <c:v>1.9395475529948802</c:v>
                </c:pt>
                <c:pt idx="36">
                  <c:v>1.714552797188329</c:v>
                </c:pt>
                <c:pt idx="37">
                  <c:v>1.5312040510898406</c:v>
                </c:pt>
                <c:pt idx="38">
                  <c:v>1.4077977924893403</c:v>
                </c:pt>
                <c:pt idx="39">
                  <c:v>1.375153642372573</c:v>
                </c:pt>
                <c:pt idx="40">
                  <c:v>1.3837901146239728</c:v>
                </c:pt>
                <c:pt idx="41">
                  <c:v>1.5069914337738188</c:v>
                </c:pt>
                <c:pt idx="42">
                  <c:v>1.6321073855225077</c:v>
                </c:pt>
                <c:pt idx="43">
                  <c:v>1.8656204587265579</c:v>
                </c:pt>
                <c:pt idx="44">
                  <c:v>1.9792228971960757</c:v>
                </c:pt>
                <c:pt idx="45">
                  <c:v>2.1382604920784587</c:v>
                </c:pt>
                <c:pt idx="46">
                  <c:v>2.113954507957172</c:v>
                </c:pt>
                <c:pt idx="47">
                  <c:v>2.1350092652112629</c:v>
                </c:pt>
                <c:pt idx="48">
                  <c:v>2.0690804581477096</c:v>
                </c:pt>
                <c:pt idx="49">
                  <c:v>1.9745525907038486</c:v>
                </c:pt>
                <c:pt idx="50">
                  <c:v>1.9438122740920605</c:v>
                </c:pt>
                <c:pt idx="51">
                  <c:v>1.9393566471348489</c:v>
                </c:pt>
                <c:pt idx="52">
                  <c:v>1.9529018906498052</c:v>
                </c:pt>
                <c:pt idx="53">
                  <c:v>1.7966403573589362</c:v>
                </c:pt>
                <c:pt idx="54">
                  <c:v>1.6506894704610975</c:v>
                </c:pt>
                <c:pt idx="55">
                  <c:v>1.6024757648752885</c:v>
                </c:pt>
                <c:pt idx="56">
                  <c:v>1.5543982415430868</c:v>
                </c:pt>
                <c:pt idx="57">
                  <c:v>1.5399201822280828</c:v>
                </c:pt>
                <c:pt idx="58">
                  <c:v>1.4104629389836143</c:v>
                </c:pt>
                <c:pt idx="59">
                  <c:v>1.341367618548972</c:v>
                </c:pt>
                <c:pt idx="60">
                  <c:v>1.2404887078074411</c:v>
                </c:pt>
                <c:pt idx="61">
                  <c:v>1.1910735023641816</c:v>
                </c:pt>
                <c:pt idx="62">
                  <c:v>1.1334508158942436</c:v>
                </c:pt>
                <c:pt idx="63">
                  <c:v>1.0794670129846473</c:v>
                </c:pt>
                <c:pt idx="64">
                  <c:v>0.98956418673477042</c:v>
                </c:pt>
                <c:pt idx="65">
                  <c:v>0.96549665084775249</c:v>
                </c:pt>
                <c:pt idx="66">
                  <c:v>0.97509049150916738</c:v>
                </c:pt>
                <c:pt idx="67">
                  <c:v>1.0108314294760445</c:v>
                </c:pt>
                <c:pt idx="68">
                  <c:v>1.1066237590103611</c:v>
                </c:pt>
                <c:pt idx="69">
                  <c:v>1.09052604661104</c:v>
                </c:pt>
                <c:pt idx="70">
                  <c:v>1.128996835342555</c:v>
                </c:pt>
                <c:pt idx="71">
                  <c:v>1.1349306596247999</c:v>
                </c:pt>
                <c:pt idx="72">
                  <c:v>1.1526450776508268</c:v>
                </c:pt>
                <c:pt idx="73">
                  <c:v>1.08283300337495</c:v>
                </c:pt>
                <c:pt idx="74">
                  <c:v>1.1044935147710433</c:v>
                </c:pt>
                <c:pt idx="75">
                  <c:v>1.1267009941626549</c:v>
                </c:pt>
                <c:pt idx="76">
                  <c:v>1.1393653705189521</c:v>
                </c:pt>
                <c:pt idx="77">
                  <c:v>1.1503012317936046</c:v>
                </c:pt>
                <c:pt idx="78">
                  <c:v>1.1577572980462136</c:v>
                </c:pt>
                <c:pt idx="79">
                  <c:v>1.160253654085186</c:v>
                </c:pt>
                <c:pt idx="80">
                  <c:v>1.1555153480493185</c:v>
                </c:pt>
                <c:pt idx="81">
                  <c:v>1.1435192222956969</c:v>
                </c:pt>
                <c:pt idx="82">
                  <c:v>1.1256693625816272</c:v>
                </c:pt>
                <c:pt idx="83">
                  <c:v>1.1018409177548483</c:v>
                </c:pt>
                <c:pt idx="84">
                  <c:v>1.0720814311835136</c:v>
                </c:pt>
                <c:pt idx="85">
                  <c:v>1.0374340661785331</c:v>
                </c:pt>
                <c:pt idx="86">
                  <c:v>0.99892097061304863</c:v>
                </c:pt>
                <c:pt idx="87">
                  <c:v>0.95789541491528851</c:v>
                </c:pt>
              </c:numCache>
            </c:numRef>
          </c:val>
          <c:smooth val="0"/>
        </c:ser>
        <c:ser>
          <c:idx val="4"/>
          <c:order val="3"/>
          <c:tx>
            <c:strRef>
              <c:f>Pop_estimate!$B$355</c:f>
              <c:strCache>
                <c:ptCount val="1"/>
                <c:pt idx="0">
                  <c:v>% growth in 85+ population</c:v>
                </c:pt>
              </c:strCache>
            </c:strRef>
          </c:tx>
          <c:spPr>
            <a:ln w="9525" cap="rnd" cmpd="sng" algn="ctr">
              <a:solidFill>
                <a:srgbClr val="787878"/>
              </a:solidFill>
              <a:prstDash val="solid"/>
              <a:round/>
              <a:headEnd type="none" w="med" len="med"/>
              <a:tailEnd type="none" w="med" len="med"/>
            </a:ln>
          </c:spPr>
          <c:marker>
            <c:symbol val="none"/>
          </c:marker>
          <c:cat>
            <c:numRef>
              <c:f>Pop_estimate!$C$346:$CL$346</c:f>
              <c:numCache>
                <c:formatCode>General</c:formatCode>
                <c:ptCount val="88"/>
                <c:pt idx="0">
                  <c:v>2013</c:v>
                </c:pt>
                <c:pt idx="1">
                  <c:v>2014</c:v>
                </c:pt>
                <c:pt idx="2">
                  <c:v>2015</c:v>
                </c:pt>
                <c:pt idx="3">
                  <c:v>2016</c:v>
                </c:pt>
                <c:pt idx="4">
                  <c:v>2017</c:v>
                </c:pt>
                <c:pt idx="5">
                  <c:v>2018</c:v>
                </c:pt>
                <c:pt idx="6">
                  <c:v>2019</c:v>
                </c:pt>
                <c:pt idx="7">
                  <c:v>2020</c:v>
                </c:pt>
                <c:pt idx="8">
                  <c:v>2021</c:v>
                </c:pt>
                <c:pt idx="9">
                  <c:v>2022</c:v>
                </c:pt>
                <c:pt idx="10">
                  <c:v>2023</c:v>
                </c:pt>
                <c:pt idx="11">
                  <c:v>2024</c:v>
                </c:pt>
                <c:pt idx="12">
                  <c:v>2025</c:v>
                </c:pt>
                <c:pt idx="13">
                  <c:v>2026</c:v>
                </c:pt>
                <c:pt idx="14">
                  <c:v>2027</c:v>
                </c:pt>
                <c:pt idx="15">
                  <c:v>2028</c:v>
                </c:pt>
                <c:pt idx="16">
                  <c:v>2029</c:v>
                </c:pt>
                <c:pt idx="17">
                  <c:v>2030</c:v>
                </c:pt>
                <c:pt idx="18">
                  <c:v>2031</c:v>
                </c:pt>
                <c:pt idx="19">
                  <c:v>2032</c:v>
                </c:pt>
                <c:pt idx="20">
                  <c:v>2033</c:v>
                </c:pt>
                <c:pt idx="21">
                  <c:v>2034</c:v>
                </c:pt>
                <c:pt idx="22">
                  <c:v>2035</c:v>
                </c:pt>
                <c:pt idx="23">
                  <c:v>2036</c:v>
                </c:pt>
                <c:pt idx="24">
                  <c:v>2037</c:v>
                </c:pt>
                <c:pt idx="25">
                  <c:v>2038</c:v>
                </c:pt>
                <c:pt idx="26">
                  <c:v>2039</c:v>
                </c:pt>
                <c:pt idx="27">
                  <c:v>2040</c:v>
                </c:pt>
                <c:pt idx="28">
                  <c:v>2041</c:v>
                </c:pt>
                <c:pt idx="29">
                  <c:v>2042</c:v>
                </c:pt>
                <c:pt idx="30">
                  <c:v>2043</c:v>
                </c:pt>
                <c:pt idx="31">
                  <c:v>2044</c:v>
                </c:pt>
                <c:pt idx="32">
                  <c:v>2045</c:v>
                </c:pt>
                <c:pt idx="33">
                  <c:v>2046</c:v>
                </c:pt>
                <c:pt idx="34">
                  <c:v>2047</c:v>
                </c:pt>
                <c:pt idx="35">
                  <c:v>2048</c:v>
                </c:pt>
                <c:pt idx="36">
                  <c:v>2049</c:v>
                </c:pt>
                <c:pt idx="37">
                  <c:v>2050</c:v>
                </c:pt>
                <c:pt idx="38">
                  <c:v>2051</c:v>
                </c:pt>
                <c:pt idx="39">
                  <c:v>2052</c:v>
                </c:pt>
                <c:pt idx="40">
                  <c:v>2053</c:v>
                </c:pt>
                <c:pt idx="41">
                  <c:v>2054</c:v>
                </c:pt>
                <c:pt idx="42">
                  <c:v>2055</c:v>
                </c:pt>
                <c:pt idx="43">
                  <c:v>2056</c:v>
                </c:pt>
                <c:pt idx="44">
                  <c:v>2057</c:v>
                </c:pt>
                <c:pt idx="45">
                  <c:v>2058</c:v>
                </c:pt>
                <c:pt idx="46">
                  <c:v>2059</c:v>
                </c:pt>
                <c:pt idx="47">
                  <c:v>2060</c:v>
                </c:pt>
                <c:pt idx="48">
                  <c:v>2061</c:v>
                </c:pt>
                <c:pt idx="49">
                  <c:v>2062</c:v>
                </c:pt>
                <c:pt idx="50">
                  <c:v>2063</c:v>
                </c:pt>
                <c:pt idx="51">
                  <c:v>2064</c:v>
                </c:pt>
                <c:pt idx="52">
                  <c:v>2065</c:v>
                </c:pt>
                <c:pt idx="53">
                  <c:v>2066</c:v>
                </c:pt>
                <c:pt idx="54">
                  <c:v>2067</c:v>
                </c:pt>
                <c:pt idx="55">
                  <c:v>2068</c:v>
                </c:pt>
                <c:pt idx="56">
                  <c:v>2069</c:v>
                </c:pt>
                <c:pt idx="57">
                  <c:v>2070</c:v>
                </c:pt>
                <c:pt idx="58">
                  <c:v>2071</c:v>
                </c:pt>
                <c:pt idx="59">
                  <c:v>2072</c:v>
                </c:pt>
                <c:pt idx="60">
                  <c:v>2073</c:v>
                </c:pt>
                <c:pt idx="61">
                  <c:v>2074</c:v>
                </c:pt>
                <c:pt idx="62">
                  <c:v>2075</c:v>
                </c:pt>
                <c:pt idx="63">
                  <c:v>2076</c:v>
                </c:pt>
                <c:pt idx="64">
                  <c:v>2077</c:v>
                </c:pt>
                <c:pt idx="65">
                  <c:v>2078</c:v>
                </c:pt>
                <c:pt idx="66">
                  <c:v>2079</c:v>
                </c:pt>
                <c:pt idx="67">
                  <c:v>2080</c:v>
                </c:pt>
                <c:pt idx="68">
                  <c:v>2081</c:v>
                </c:pt>
                <c:pt idx="69">
                  <c:v>2082</c:v>
                </c:pt>
                <c:pt idx="70">
                  <c:v>2083</c:v>
                </c:pt>
                <c:pt idx="71">
                  <c:v>2084</c:v>
                </c:pt>
                <c:pt idx="72">
                  <c:v>2085</c:v>
                </c:pt>
                <c:pt idx="73">
                  <c:v>2086</c:v>
                </c:pt>
                <c:pt idx="74">
                  <c:v>2087</c:v>
                </c:pt>
                <c:pt idx="75">
                  <c:v>2088</c:v>
                </c:pt>
                <c:pt idx="76">
                  <c:v>2089</c:v>
                </c:pt>
                <c:pt idx="77">
                  <c:v>2090</c:v>
                </c:pt>
                <c:pt idx="78">
                  <c:v>2091</c:v>
                </c:pt>
                <c:pt idx="79">
                  <c:v>2092</c:v>
                </c:pt>
                <c:pt idx="80">
                  <c:v>2093</c:v>
                </c:pt>
                <c:pt idx="81">
                  <c:v>2094</c:v>
                </c:pt>
                <c:pt idx="82">
                  <c:v>2095</c:v>
                </c:pt>
                <c:pt idx="83">
                  <c:v>2096</c:v>
                </c:pt>
                <c:pt idx="84">
                  <c:v>2097</c:v>
                </c:pt>
                <c:pt idx="85">
                  <c:v>2098</c:v>
                </c:pt>
                <c:pt idx="86">
                  <c:v>2099</c:v>
                </c:pt>
                <c:pt idx="87">
                  <c:v>2100</c:v>
                </c:pt>
              </c:numCache>
            </c:numRef>
          </c:cat>
          <c:val>
            <c:numRef>
              <c:f>Pop_estimate!$C$355:$CL$355</c:f>
              <c:numCache>
                <c:formatCode>General</c:formatCode>
                <c:ptCount val="88"/>
                <c:pt idx="0">
                  <c:v>4.266017613124462</c:v>
                </c:pt>
                <c:pt idx="1">
                  <c:v>3.7049017168449883</c:v>
                </c:pt>
                <c:pt idx="2">
                  <c:v>3.5481133947987686</c:v>
                </c:pt>
                <c:pt idx="3">
                  <c:v>3.1200498803545473</c:v>
                </c:pt>
                <c:pt idx="4">
                  <c:v>2.1634242198926401</c:v>
                </c:pt>
                <c:pt idx="5">
                  <c:v>2.086020086415985</c:v>
                </c:pt>
                <c:pt idx="6">
                  <c:v>2.0449613374803111</c:v>
                </c:pt>
                <c:pt idx="7">
                  <c:v>2.3128021757614414</c:v>
                </c:pt>
                <c:pt idx="8">
                  <c:v>2.8692668596394855</c:v>
                </c:pt>
                <c:pt idx="9">
                  <c:v>3.0589505396109828</c:v>
                </c:pt>
                <c:pt idx="10">
                  <c:v>3.2482676613605266</c:v>
                </c:pt>
                <c:pt idx="11">
                  <c:v>3.6480550618777752</c:v>
                </c:pt>
                <c:pt idx="12">
                  <c:v>3.8926873630689141</c:v>
                </c:pt>
                <c:pt idx="13">
                  <c:v>3.9790424260365498</c:v>
                </c:pt>
                <c:pt idx="14">
                  <c:v>4.6054142087008199</c:v>
                </c:pt>
                <c:pt idx="15">
                  <c:v>4.3335879404043931</c:v>
                </c:pt>
                <c:pt idx="16">
                  <c:v>5.4486397334163605</c:v>
                </c:pt>
                <c:pt idx="17">
                  <c:v>5.5425657558733299</c:v>
                </c:pt>
                <c:pt idx="18">
                  <c:v>5.4832429162807506</c:v>
                </c:pt>
                <c:pt idx="19">
                  <c:v>7.6950554143863537</c:v>
                </c:pt>
                <c:pt idx="20">
                  <c:v>5.9829012423056049</c:v>
                </c:pt>
                <c:pt idx="21">
                  <c:v>5.061319673478093</c:v>
                </c:pt>
                <c:pt idx="22">
                  <c:v>4.8638169122269481</c:v>
                </c:pt>
                <c:pt idx="23">
                  <c:v>4.5515780273233331</c:v>
                </c:pt>
                <c:pt idx="24">
                  <c:v>4.1836856161215685</c:v>
                </c:pt>
                <c:pt idx="25">
                  <c:v>4.1946569213191065</c:v>
                </c:pt>
                <c:pt idx="26">
                  <c:v>3.8679985233835312</c:v>
                </c:pt>
                <c:pt idx="27">
                  <c:v>3.877643289053867</c:v>
                </c:pt>
                <c:pt idx="28">
                  <c:v>3.8819314385552195</c:v>
                </c:pt>
                <c:pt idx="29">
                  <c:v>3.6762256699492513</c:v>
                </c:pt>
                <c:pt idx="30">
                  <c:v>3.6523397824242299</c:v>
                </c:pt>
                <c:pt idx="31">
                  <c:v>3.6335193076972194</c:v>
                </c:pt>
                <c:pt idx="32">
                  <c:v>3.5027706041680817</c:v>
                </c:pt>
                <c:pt idx="33">
                  <c:v>3.6543425526621265</c:v>
                </c:pt>
                <c:pt idx="34">
                  <c:v>3.3826803664898542</c:v>
                </c:pt>
                <c:pt idx="35">
                  <c:v>3.1001068356043771</c:v>
                </c:pt>
                <c:pt idx="36">
                  <c:v>2.7089220902676958</c:v>
                </c:pt>
                <c:pt idx="37">
                  <c:v>2.1846969013537665</c:v>
                </c:pt>
                <c:pt idx="38">
                  <c:v>1.9178363868706638</c:v>
                </c:pt>
                <c:pt idx="39">
                  <c:v>1.8444667641815071</c:v>
                </c:pt>
                <c:pt idx="40">
                  <c:v>2.0472223074558649</c:v>
                </c:pt>
                <c:pt idx="41">
                  <c:v>2.5050786819850845</c:v>
                </c:pt>
                <c:pt idx="42">
                  <c:v>2.6182650192444479</c:v>
                </c:pt>
                <c:pt idx="43">
                  <c:v>3.2502454822736171</c:v>
                </c:pt>
                <c:pt idx="44">
                  <c:v>2.9627776738899714</c:v>
                </c:pt>
                <c:pt idx="45">
                  <c:v>2.4086206343485683</c:v>
                </c:pt>
                <c:pt idx="46">
                  <c:v>2.092447244303397</c:v>
                </c:pt>
                <c:pt idx="47">
                  <c:v>1.8469287939330226</c:v>
                </c:pt>
                <c:pt idx="48">
                  <c:v>1.7019734527937036</c:v>
                </c:pt>
                <c:pt idx="49">
                  <c:v>1.7071194591580685</c:v>
                </c:pt>
                <c:pt idx="50">
                  <c:v>1.7739745681772501</c:v>
                </c:pt>
                <c:pt idx="51">
                  <c:v>1.9902032159374583</c:v>
                </c:pt>
                <c:pt idx="52">
                  <c:v>2.2046696977161551</c:v>
                </c:pt>
                <c:pt idx="53">
                  <c:v>2.5953819415708068</c:v>
                </c:pt>
                <c:pt idx="54">
                  <c:v>2.7701143862026711</c:v>
                </c:pt>
                <c:pt idx="55">
                  <c:v>3.0144350423096045</c:v>
                </c:pt>
                <c:pt idx="56">
                  <c:v>2.9418367635186682</c:v>
                </c:pt>
                <c:pt idx="57">
                  <c:v>2.9434108325606445</c:v>
                </c:pt>
                <c:pt idx="58">
                  <c:v>2.7967841138986538</c:v>
                </c:pt>
                <c:pt idx="59">
                  <c:v>2.6052643700515299</c:v>
                </c:pt>
                <c:pt idx="60">
                  <c:v>2.5190950624685904</c:v>
                </c:pt>
                <c:pt idx="61">
                  <c:v>2.4716302107238297</c:v>
                </c:pt>
                <c:pt idx="62">
                  <c:v>2.4505688882811238</c:v>
                </c:pt>
                <c:pt idx="63">
                  <c:v>2.1551578975338437</c:v>
                </c:pt>
                <c:pt idx="64">
                  <c:v>1.8842130541745217</c:v>
                </c:pt>
                <c:pt idx="65">
                  <c:v>1.7814755751033307</c:v>
                </c:pt>
                <c:pt idx="66">
                  <c:v>1.6873537860534693</c:v>
                </c:pt>
                <c:pt idx="67">
                  <c:v>1.6583220420848921</c:v>
                </c:pt>
                <c:pt idx="68">
                  <c:v>1.4539147863904089</c:v>
                </c:pt>
                <c:pt idx="69">
                  <c:v>1.3615238120664452</c:v>
                </c:pt>
                <c:pt idx="70">
                  <c:v>1.2290447000671056</c:v>
                </c:pt>
                <c:pt idx="71">
                  <c:v>1.1914641728674624</c:v>
                </c:pt>
                <c:pt idx="72">
                  <c:v>1.1467674897108315</c:v>
                </c:pt>
                <c:pt idx="73">
                  <c:v>1.111045498130081</c:v>
                </c:pt>
                <c:pt idx="74">
                  <c:v>1.0181467717393256</c:v>
                </c:pt>
                <c:pt idx="75">
                  <c:v>1.0311403183564494</c:v>
                </c:pt>
                <c:pt idx="76">
                  <c:v>1.0943661454996034</c:v>
                </c:pt>
                <c:pt idx="77">
                  <c:v>1.1936726667590714</c:v>
                </c:pt>
                <c:pt idx="78">
                  <c:v>1.3818682035362073</c:v>
                </c:pt>
                <c:pt idx="79">
                  <c:v>1.3746121084033058</c:v>
                </c:pt>
                <c:pt idx="80">
                  <c:v>1.4479605982505417</c:v>
                </c:pt>
                <c:pt idx="81">
                  <c:v>1.4586656857384028</c:v>
                </c:pt>
                <c:pt idx="82">
                  <c:v>1.4811589955321391</c:v>
                </c:pt>
                <c:pt idx="83">
                  <c:v>1.3555383061717885</c:v>
                </c:pt>
                <c:pt idx="84">
                  <c:v>1.3741566700440133</c:v>
                </c:pt>
                <c:pt idx="85">
                  <c:v>1.3888680428679079</c:v>
                </c:pt>
                <c:pt idx="86">
                  <c:v>1.3838836621699047</c:v>
                </c:pt>
                <c:pt idx="87">
                  <c:v>1.3734670119692094</c:v>
                </c:pt>
              </c:numCache>
            </c:numRef>
          </c:val>
          <c:smooth val="0"/>
        </c:ser>
        <c:dLbls>
          <c:showLegendKey val="0"/>
          <c:showVal val="0"/>
          <c:showCatName val="0"/>
          <c:showSerName val="0"/>
          <c:showPercent val="0"/>
          <c:showBubbleSize val="0"/>
        </c:dLbls>
        <c:marker val="1"/>
        <c:smooth val="0"/>
        <c:axId val="297217408"/>
        <c:axId val="307791360"/>
      </c:lineChart>
      <c:catAx>
        <c:axId val="297217408"/>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Arial"/>
                <a:ea typeface="Arial"/>
                <a:cs typeface="Arial"/>
              </a:defRPr>
            </a:pPr>
            <a:endParaRPr lang="en-US"/>
          </a:p>
        </c:txPr>
        <c:crossAx val="307791360"/>
        <c:crosses val="autoZero"/>
        <c:auto val="1"/>
        <c:lblAlgn val="ctr"/>
        <c:lblOffset val="100"/>
        <c:tickLblSkip val="20"/>
        <c:tickMarkSkip val="5"/>
        <c:noMultiLvlLbl val="0"/>
      </c:catAx>
      <c:valAx>
        <c:axId val="307791360"/>
        <c:scaling>
          <c:orientation val="minMax"/>
          <c:max val="8"/>
        </c:scaling>
        <c:delete val="0"/>
        <c:axPos val="l"/>
        <c:majorGridlines>
          <c:spPr>
            <a:ln w="6350">
              <a:solidFill>
                <a:schemeClr val="tx1">
                  <a:lumMod val="65000"/>
                  <a:lumOff val="35000"/>
                </a:schemeClr>
              </a:solidFill>
            </a:ln>
          </c:spPr>
        </c:majorGridlines>
        <c:title>
          <c:tx>
            <c:rich>
              <a:bodyPr/>
              <a:lstStyle/>
              <a:p>
                <a:pPr>
                  <a:defRPr sz="1000" b="1" i="0" u="none" strike="noStrike" baseline="0">
                    <a:solidFill>
                      <a:srgbClr val="000000"/>
                    </a:solidFill>
                    <a:latin typeface="Arial"/>
                    <a:ea typeface="Arial"/>
                    <a:cs typeface="Arial"/>
                  </a:defRPr>
                </a:pPr>
                <a:r>
                  <a:rPr lang="en-AU"/>
                  <a:t>Annual population growth (%)</a:t>
                </a:r>
              </a:p>
            </c:rich>
          </c:tx>
          <c:layout/>
          <c:overlay val="0"/>
        </c:title>
        <c:numFmt formatCode="General" sourceLinked="1"/>
        <c:majorTickMark val="out"/>
        <c:minorTickMark val="none"/>
        <c:tickLblPos val="nextTo"/>
        <c:spPr>
          <a:ln w="3175">
            <a:solidFill>
              <a:srgbClr val="666666"/>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97217408"/>
        <c:crosses val="autoZero"/>
        <c:crossBetween val="between"/>
        <c:majorUnit val="2"/>
      </c:valAx>
      <c:spPr>
        <a:noFill/>
        <a:ln w="9525" cap="flat" cmpd="sng" algn="ctr">
          <a:solidFill>
            <a:srgbClr val="787878"/>
          </a:solidFill>
          <a:prstDash val="solid"/>
          <a:round/>
          <a:headEnd type="none" w="med" len="med"/>
          <a:tailEnd type="none" w="med" len="med"/>
        </a:ln>
      </c:spPr>
    </c:plotArea>
    <c:plotVisOnly val="1"/>
    <c:dispBlanksAs val="gap"/>
    <c:showDLblsOverMax val="0"/>
  </c:chart>
  <c:spPr>
    <a:ln>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0.95647</cdr:x>
      <cdr:y>0.071</cdr:y>
    </cdr:from>
    <cdr:to>
      <cdr:x>1</cdr:x>
      <cdr:y>0.49374</cdr:y>
    </cdr:to>
    <cdr:sp macro="" textlink="">
      <cdr:nvSpPr>
        <cdr:cNvPr id="3" name="TextBox 1"/>
        <cdr:cNvSpPr txBox="1"/>
      </cdr:nvSpPr>
      <cdr:spPr>
        <a:xfrm xmlns:a="http://schemas.openxmlformats.org/drawingml/2006/main" rot="16200000">
          <a:off x="4537006" y="793537"/>
          <a:ext cx="1361812" cy="23217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800">
              <a:latin typeface="Arial" pitchFamily="34" charset="0"/>
              <a:cs typeface="Arial" pitchFamily="34" charset="0"/>
            </a:rPr>
            <a:t>95% confidence</a:t>
          </a:r>
          <a:r>
            <a:rPr lang="en-AU" sz="800" baseline="0">
              <a:latin typeface="Arial" pitchFamily="34" charset="0"/>
              <a:cs typeface="Arial" pitchFamily="34" charset="0"/>
            </a:rPr>
            <a:t> </a:t>
          </a:r>
          <a:r>
            <a:rPr lang="en-AU" sz="800">
              <a:latin typeface="Arial" pitchFamily="34" charset="0"/>
              <a:cs typeface="Arial" pitchFamily="34" charset="0"/>
            </a:rPr>
            <a:t>interval</a:t>
          </a:r>
        </a:p>
      </cdr:txBody>
    </cdr:sp>
  </cdr:relSizeAnchor>
  <cdr:relSizeAnchor xmlns:cdr="http://schemas.openxmlformats.org/drawingml/2006/chartDrawing">
    <cdr:from>
      <cdr:x>0.92714</cdr:x>
      <cdr:y>0.07154</cdr:y>
    </cdr:from>
    <cdr:to>
      <cdr:x>0.96601</cdr:x>
      <cdr:y>0.46398</cdr:y>
    </cdr:to>
    <cdr:sp macro="" textlink="">
      <cdr:nvSpPr>
        <cdr:cNvPr id="10" name="Right Brace 9"/>
        <cdr:cNvSpPr/>
      </cdr:nvSpPr>
      <cdr:spPr>
        <a:xfrm xmlns:a="http://schemas.openxmlformats.org/drawingml/2006/main">
          <a:off x="4945346" y="230447"/>
          <a:ext cx="207337" cy="1264228"/>
        </a:xfrm>
        <a:prstGeom xmlns:a="http://schemas.openxmlformats.org/drawingml/2006/main" prst="rightBrace">
          <a:avLst>
            <a:gd name="adj1" fmla="val 26271"/>
            <a:gd name="adj2" fmla="val 50478"/>
          </a:avLst>
        </a:prstGeom>
        <a:ln xmlns:a="http://schemas.openxmlformats.org/drawingml/2006/main" w="6350">
          <a:solidFill>
            <a:schemeClr val="accent3">
              <a:lumMod val="5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0.88143</cdr:x>
      <cdr:y>0.14038</cdr:y>
    </cdr:from>
    <cdr:to>
      <cdr:x>0.91159</cdr:x>
      <cdr:y>0.40888</cdr:y>
    </cdr:to>
    <cdr:sp macro="" textlink="">
      <cdr:nvSpPr>
        <cdr:cNvPr id="11" name="Right Brace 10"/>
        <cdr:cNvSpPr/>
      </cdr:nvSpPr>
      <cdr:spPr>
        <a:xfrm xmlns:a="http://schemas.openxmlformats.org/drawingml/2006/main">
          <a:off x="4701536" y="452232"/>
          <a:ext cx="160873" cy="864944"/>
        </a:xfrm>
        <a:prstGeom xmlns:a="http://schemas.openxmlformats.org/drawingml/2006/main" prst="rightBrace">
          <a:avLst>
            <a:gd name="adj1" fmla="val 41670"/>
            <a:gd name="adj2" fmla="val 50000"/>
          </a:avLst>
        </a:prstGeom>
        <a:ln xmlns:a="http://schemas.openxmlformats.org/drawingml/2006/main" w="6350">
          <a:solidFill>
            <a:schemeClr val="accent3">
              <a:lumMod val="50000"/>
            </a:schemeClr>
          </a:solidFill>
          <a:prstDash val="soli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0.90051</cdr:x>
      <cdr:y>0.02727</cdr:y>
    </cdr:from>
    <cdr:to>
      <cdr:x>0.94202</cdr:x>
      <cdr:y>0.53485</cdr:y>
    </cdr:to>
    <cdr:sp macro="" textlink="">
      <cdr:nvSpPr>
        <cdr:cNvPr id="12" name="TextBox 1"/>
        <cdr:cNvSpPr txBox="1"/>
      </cdr:nvSpPr>
      <cdr:spPr>
        <a:xfrm xmlns:a="http://schemas.openxmlformats.org/drawingml/2006/main" rot="16200000">
          <a:off x="4096450" y="794701"/>
          <a:ext cx="1635127" cy="22141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AU" sz="800">
              <a:latin typeface="Arial" pitchFamily="34" charset="0"/>
              <a:cs typeface="Arial" pitchFamily="34" charset="0"/>
            </a:rPr>
            <a:t>90%  confidence</a:t>
          </a:r>
          <a:r>
            <a:rPr lang="en-AU" sz="800" baseline="0">
              <a:latin typeface="Arial" pitchFamily="34" charset="0"/>
              <a:cs typeface="Arial" pitchFamily="34" charset="0"/>
            </a:rPr>
            <a:t> </a:t>
          </a:r>
          <a:r>
            <a:rPr lang="en-AU" sz="800">
              <a:latin typeface="Arial" pitchFamily="34" charset="0"/>
              <a:cs typeface="Arial" pitchFamily="34" charset="0"/>
            </a:rPr>
            <a:t>interval</a:t>
          </a:r>
        </a:p>
      </cdr:txBody>
    </cdr:sp>
  </cdr:relSizeAnchor>
  <cdr:relSizeAnchor xmlns:cdr="http://schemas.openxmlformats.org/drawingml/2006/chartDrawing">
    <cdr:from>
      <cdr:x>0.45004</cdr:x>
      <cdr:y>0.61755</cdr:y>
    </cdr:from>
    <cdr:to>
      <cdr:x>0.65252</cdr:x>
      <cdr:y>0.68621</cdr:y>
    </cdr:to>
    <cdr:sp macro="" textlink="">
      <cdr:nvSpPr>
        <cdr:cNvPr id="16" name="TextBox 15"/>
        <cdr:cNvSpPr txBox="1"/>
      </cdr:nvSpPr>
      <cdr:spPr>
        <a:xfrm xmlns:a="http://schemas.openxmlformats.org/drawingml/2006/main">
          <a:off x="2407862" y="1972566"/>
          <a:ext cx="1083332" cy="21931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a:latin typeface="Arial" pitchFamily="34" charset="0"/>
              <a:cs typeface="Arial" pitchFamily="34" charset="0"/>
            </a:rPr>
            <a:t>Base projection</a:t>
          </a:r>
        </a:p>
      </cdr:txBody>
    </cdr:sp>
  </cdr:relSizeAnchor>
  <cdr:relSizeAnchor xmlns:cdr="http://schemas.openxmlformats.org/drawingml/2006/chartDrawing">
    <cdr:from>
      <cdr:x>0.52488</cdr:x>
      <cdr:y>0.50423</cdr:y>
    </cdr:from>
    <cdr:to>
      <cdr:x>0.54526</cdr:x>
      <cdr:y>0.62681</cdr:y>
    </cdr:to>
    <cdr:cxnSp macro="">
      <cdr:nvCxnSpPr>
        <cdr:cNvPr id="18" name="Straight Arrow Connector 17"/>
        <cdr:cNvCxnSpPr/>
      </cdr:nvCxnSpPr>
      <cdr:spPr>
        <a:xfrm xmlns:a="http://schemas.openxmlformats.org/drawingml/2006/main" flipV="1">
          <a:off x="2797024" y="1598597"/>
          <a:ext cx="108603" cy="388624"/>
        </a:xfrm>
        <a:prstGeom xmlns:a="http://schemas.openxmlformats.org/drawingml/2006/main" prst="straightConnector1">
          <a:avLst/>
        </a:prstGeom>
        <a:ln xmlns:a="http://schemas.openxmlformats.org/drawingml/2006/main">
          <a:solidFill>
            <a:schemeClr val="tx1">
              <a:lumMod val="65000"/>
              <a:lumOff val="35000"/>
            </a:schemeClr>
          </a:solidFill>
          <a:tailEnd type="triangle" w="sm" len="med"/>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0.74926</cdr:x>
      <cdr:y>0.22597</cdr:y>
    </cdr:from>
    <cdr:to>
      <cdr:x>0.84976</cdr:x>
      <cdr:y>0.28916</cdr:y>
    </cdr:to>
    <cdr:sp macro="" textlink="">
      <cdr:nvSpPr>
        <cdr:cNvPr id="19" name="TextBox 1"/>
        <cdr:cNvSpPr txBox="1"/>
      </cdr:nvSpPr>
      <cdr:spPr>
        <a:xfrm xmlns:a="http://schemas.openxmlformats.org/drawingml/2006/main">
          <a:off x="3996546" y="727925"/>
          <a:ext cx="536067" cy="20356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50" b="1">
              <a:solidFill>
                <a:schemeClr val="bg1"/>
              </a:solidFill>
              <a:latin typeface="Arial" pitchFamily="34" charset="0"/>
              <a:cs typeface="Arial" pitchFamily="34" charset="0"/>
            </a:rPr>
            <a:t>38.3m</a:t>
          </a:r>
        </a:p>
      </cdr:txBody>
    </cdr:sp>
  </cdr:relSizeAnchor>
  <cdr:relSizeAnchor xmlns:cdr="http://schemas.openxmlformats.org/drawingml/2006/chartDrawing">
    <cdr:from>
      <cdr:x>0.84059</cdr:x>
      <cdr:y>0.27397</cdr:y>
    </cdr:from>
    <cdr:to>
      <cdr:x>0.87051</cdr:x>
      <cdr:y>0.27397</cdr:y>
    </cdr:to>
    <cdr:cxnSp macro="">
      <cdr:nvCxnSpPr>
        <cdr:cNvPr id="34" name="Straight Connector 33"/>
        <cdr:cNvCxnSpPr/>
      </cdr:nvCxnSpPr>
      <cdr:spPr>
        <a:xfrm xmlns:a="http://schemas.openxmlformats.org/drawingml/2006/main">
          <a:off x="4483685" y="882553"/>
          <a:ext cx="159593" cy="0"/>
        </a:xfrm>
        <a:prstGeom xmlns:a="http://schemas.openxmlformats.org/drawingml/2006/main" prst="line">
          <a:avLst/>
        </a:prstGeom>
        <a:ln xmlns:a="http://schemas.openxmlformats.org/drawingml/2006/main">
          <a:solidFill>
            <a:schemeClr val="bg1"/>
          </a:solidFill>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0.75609</cdr:x>
      <cdr:y>0.03175</cdr:y>
    </cdr:from>
    <cdr:to>
      <cdr:x>0.8427</cdr:x>
      <cdr:y>0.09494</cdr:y>
    </cdr:to>
    <cdr:sp macro="" textlink="">
      <cdr:nvSpPr>
        <cdr:cNvPr id="35" name="TextBox 1"/>
        <cdr:cNvSpPr txBox="1"/>
      </cdr:nvSpPr>
      <cdr:spPr>
        <a:xfrm xmlns:a="http://schemas.openxmlformats.org/drawingml/2006/main">
          <a:off x="4032969" y="102267"/>
          <a:ext cx="461978" cy="20355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solidFill>
                <a:sysClr val="windowText" lastClr="000000"/>
              </a:solidFill>
              <a:latin typeface="Arial" pitchFamily="34" charset="0"/>
              <a:cs typeface="Arial" pitchFamily="34" charset="0"/>
            </a:rPr>
            <a:t>44.4m</a:t>
          </a:r>
        </a:p>
      </cdr:txBody>
    </cdr:sp>
  </cdr:relSizeAnchor>
  <cdr:relSizeAnchor xmlns:cdr="http://schemas.openxmlformats.org/drawingml/2006/chartDrawing">
    <cdr:from>
      <cdr:x>0.8434</cdr:x>
      <cdr:y>0.06651</cdr:y>
    </cdr:from>
    <cdr:to>
      <cdr:x>0.87522</cdr:x>
      <cdr:y>0.06651</cdr:y>
    </cdr:to>
    <cdr:cxnSp macro="">
      <cdr:nvCxnSpPr>
        <cdr:cNvPr id="37" name="Elbow Connector 36"/>
        <cdr:cNvCxnSpPr/>
      </cdr:nvCxnSpPr>
      <cdr:spPr>
        <a:xfrm xmlns:a="http://schemas.openxmlformats.org/drawingml/2006/main">
          <a:off x="4498715" y="214266"/>
          <a:ext cx="169728" cy="0"/>
        </a:xfrm>
        <a:prstGeom xmlns:a="http://schemas.openxmlformats.org/drawingml/2006/main" prst="bentConnector3">
          <a:avLst/>
        </a:prstGeom>
        <a:ln xmlns:a="http://schemas.openxmlformats.org/drawingml/2006/main">
          <a:solidFill>
            <a:srgbClr val="787878"/>
          </a:solidFill>
          <a:headEnd type="none" w="med" len="med"/>
          <a:tailEnd type="none" w="med" len="med"/>
        </a:ln>
      </cdr:spPr>
      <cdr:style>
        <a:lnRef xmlns:a="http://schemas.openxmlformats.org/drawingml/2006/main" idx="1">
          <a:schemeClr val="accent4"/>
        </a:lnRef>
        <a:fillRef xmlns:a="http://schemas.openxmlformats.org/drawingml/2006/main" idx="0">
          <a:schemeClr val="accent4"/>
        </a:fillRef>
        <a:effectRef xmlns:a="http://schemas.openxmlformats.org/drawingml/2006/main" idx="0">
          <a:schemeClr val="accent4"/>
        </a:effectRef>
        <a:fontRef xmlns:a="http://schemas.openxmlformats.org/drawingml/2006/main" idx="minor">
          <a:schemeClr val="tx1"/>
        </a:fontRef>
      </cdr:style>
    </cdr:cxnSp>
  </cdr:relSizeAnchor>
  <cdr:relSizeAnchor xmlns:cdr="http://schemas.openxmlformats.org/drawingml/2006/chartDrawing">
    <cdr:from>
      <cdr:x>0.75433</cdr:x>
      <cdr:y>0.10197</cdr:y>
    </cdr:from>
    <cdr:to>
      <cdr:x>0.84604</cdr:x>
      <cdr:y>0.16516</cdr:y>
    </cdr:to>
    <cdr:sp macro="" textlink="">
      <cdr:nvSpPr>
        <cdr:cNvPr id="40" name="TextBox 1"/>
        <cdr:cNvSpPr txBox="1"/>
      </cdr:nvSpPr>
      <cdr:spPr>
        <a:xfrm xmlns:a="http://schemas.openxmlformats.org/drawingml/2006/main">
          <a:off x="4023595" y="328487"/>
          <a:ext cx="489181" cy="20356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solidFill>
                <a:sysClr val="windowText" lastClr="000000"/>
              </a:solidFill>
              <a:latin typeface="Arial" pitchFamily="34" charset="0"/>
              <a:cs typeface="Arial" pitchFamily="34" charset="0"/>
            </a:rPr>
            <a:t>42.3m</a:t>
          </a:r>
        </a:p>
      </cdr:txBody>
    </cdr:sp>
  </cdr:relSizeAnchor>
  <cdr:relSizeAnchor xmlns:cdr="http://schemas.openxmlformats.org/drawingml/2006/chartDrawing">
    <cdr:from>
      <cdr:x>0.75067</cdr:x>
      <cdr:y>0.36959</cdr:y>
    </cdr:from>
    <cdr:to>
      <cdr:x>0.85117</cdr:x>
      <cdr:y>0.43277</cdr:y>
    </cdr:to>
    <cdr:sp macro="" textlink="">
      <cdr:nvSpPr>
        <cdr:cNvPr id="42" name="TextBox 1"/>
        <cdr:cNvSpPr txBox="1"/>
      </cdr:nvSpPr>
      <cdr:spPr>
        <a:xfrm xmlns:a="http://schemas.openxmlformats.org/drawingml/2006/main">
          <a:off x="4004090" y="1190603"/>
          <a:ext cx="536067" cy="20352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solidFill>
                <a:sysClr val="windowText" lastClr="000000"/>
              </a:solidFill>
              <a:latin typeface="Arial" pitchFamily="34" charset="0"/>
              <a:cs typeface="Arial" pitchFamily="34" charset="0"/>
            </a:rPr>
            <a:t>34.2m</a:t>
          </a:r>
        </a:p>
      </cdr:txBody>
    </cdr:sp>
  </cdr:relSizeAnchor>
  <cdr:relSizeAnchor xmlns:cdr="http://schemas.openxmlformats.org/drawingml/2006/chartDrawing">
    <cdr:from>
      <cdr:x>0.75067</cdr:x>
      <cdr:y>0.43276</cdr:y>
    </cdr:from>
    <cdr:to>
      <cdr:x>0.85117</cdr:x>
      <cdr:y>0.49595</cdr:y>
    </cdr:to>
    <cdr:sp macro="" textlink="">
      <cdr:nvSpPr>
        <cdr:cNvPr id="44" name="TextBox 1"/>
        <cdr:cNvSpPr txBox="1"/>
      </cdr:nvSpPr>
      <cdr:spPr>
        <a:xfrm xmlns:a="http://schemas.openxmlformats.org/drawingml/2006/main">
          <a:off x="4004090" y="1394092"/>
          <a:ext cx="536067" cy="20356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solidFill>
                <a:sysClr val="windowText" lastClr="000000"/>
              </a:solidFill>
              <a:latin typeface="Arial" pitchFamily="34" charset="0"/>
              <a:cs typeface="Arial" pitchFamily="34" charset="0"/>
            </a:rPr>
            <a:t>32.6m</a:t>
          </a:r>
        </a:p>
      </cdr:txBody>
    </cdr:sp>
  </cdr:relSizeAnchor>
  <cdr:relSizeAnchor xmlns:cdr="http://schemas.openxmlformats.org/drawingml/2006/chartDrawing">
    <cdr:from>
      <cdr:x>0.84042</cdr:x>
      <cdr:y>0.13732</cdr:y>
    </cdr:from>
    <cdr:to>
      <cdr:x>0.87224</cdr:x>
      <cdr:y>0.13732</cdr:y>
    </cdr:to>
    <cdr:cxnSp macro="">
      <cdr:nvCxnSpPr>
        <cdr:cNvPr id="48" name="Elbow Connector 47"/>
        <cdr:cNvCxnSpPr/>
      </cdr:nvCxnSpPr>
      <cdr:spPr>
        <a:xfrm xmlns:a="http://schemas.openxmlformats.org/drawingml/2006/main">
          <a:off x="4482816" y="442377"/>
          <a:ext cx="169728" cy="0"/>
        </a:xfrm>
        <a:prstGeom xmlns:a="http://schemas.openxmlformats.org/drawingml/2006/main" prst="bentConnector3">
          <a:avLst/>
        </a:prstGeom>
        <a:ln xmlns:a="http://schemas.openxmlformats.org/drawingml/2006/main">
          <a:solidFill>
            <a:schemeClr val="bg1"/>
          </a:solidFill>
          <a:headEnd type="none" w="med" len="med"/>
          <a:tailEnd type="none" w="med" len="med"/>
        </a:ln>
      </cdr:spPr>
      <cdr:style>
        <a:lnRef xmlns:a="http://schemas.openxmlformats.org/drawingml/2006/main" idx="1">
          <a:schemeClr val="accent4"/>
        </a:lnRef>
        <a:fillRef xmlns:a="http://schemas.openxmlformats.org/drawingml/2006/main" idx="0">
          <a:schemeClr val="accent4"/>
        </a:fillRef>
        <a:effectRef xmlns:a="http://schemas.openxmlformats.org/drawingml/2006/main" idx="0">
          <a:schemeClr val="accent4"/>
        </a:effectRef>
        <a:fontRef xmlns:a="http://schemas.openxmlformats.org/drawingml/2006/main" idx="minor">
          <a:schemeClr val="tx1"/>
        </a:fontRef>
      </cdr:style>
    </cdr:cxnSp>
  </cdr:relSizeAnchor>
  <cdr:relSizeAnchor xmlns:cdr="http://schemas.openxmlformats.org/drawingml/2006/chartDrawing">
    <cdr:from>
      <cdr:x>0.84504</cdr:x>
      <cdr:y>0.4108</cdr:y>
    </cdr:from>
    <cdr:to>
      <cdr:x>0.87687</cdr:x>
      <cdr:y>0.4108</cdr:y>
    </cdr:to>
    <cdr:cxnSp macro="">
      <cdr:nvCxnSpPr>
        <cdr:cNvPr id="49" name="Elbow Connector 48"/>
        <cdr:cNvCxnSpPr/>
      </cdr:nvCxnSpPr>
      <cdr:spPr>
        <a:xfrm xmlns:a="http://schemas.openxmlformats.org/drawingml/2006/main">
          <a:off x="4507467" y="1323358"/>
          <a:ext cx="169782" cy="0"/>
        </a:xfrm>
        <a:prstGeom xmlns:a="http://schemas.openxmlformats.org/drawingml/2006/main" prst="bentConnector3">
          <a:avLst/>
        </a:prstGeom>
        <a:ln xmlns:a="http://schemas.openxmlformats.org/drawingml/2006/main">
          <a:solidFill>
            <a:schemeClr val="bg1"/>
          </a:solidFill>
          <a:headEnd type="none" w="med" len="med"/>
          <a:tailEnd type="none" w="med" len="med"/>
        </a:ln>
      </cdr:spPr>
      <cdr:style>
        <a:lnRef xmlns:a="http://schemas.openxmlformats.org/drawingml/2006/main" idx="1">
          <a:schemeClr val="accent4"/>
        </a:lnRef>
        <a:fillRef xmlns:a="http://schemas.openxmlformats.org/drawingml/2006/main" idx="0">
          <a:schemeClr val="accent4"/>
        </a:fillRef>
        <a:effectRef xmlns:a="http://schemas.openxmlformats.org/drawingml/2006/main" idx="0">
          <a:schemeClr val="accent4"/>
        </a:effectRef>
        <a:fontRef xmlns:a="http://schemas.openxmlformats.org/drawingml/2006/main" idx="minor">
          <a:schemeClr val="tx1"/>
        </a:fontRef>
      </cdr:style>
    </cdr:cxnSp>
  </cdr:relSizeAnchor>
  <cdr:relSizeAnchor xmlns:cdr="http://schemas.openxmlformats.org/drawingml/2006/chartDrawing">
    <cdr:from>
      <cdr:x>0.84443</cdr:x>
      <cdr:y>0.46987</cdr:y>
    </cdr:from>
    <cdr:to>
      <cdr:x>0.87626</cdr:x>
      <cdr:y>0.46987</cdr:y>
    </cdr:to>
    <cdr:cxnSp macro="">
      <cdr:nvCxnSpPr>
        <cdr:cNvPr id="50" name="Elbow Connector 49"/>
        <cdr:cNvCxnSpPr/>
      </cdr:nvCxnSpPr>
      <cdr:spPr>
        <a:xfrm xmlns:a="http://schemas.openxmlformats.org/drawingml/2006/main">
          <a:off x="4504178" y="1513640"/>
          <a:ext cx="169781" cy="0"/>
        </a:xfrm>
        <a:prstGeom xmlns:a="http://schemas.openxmlformats.org/drawingml/2006/main" prst="bentConnector3">
          <a:avLst/>
        </a:prstGeom>
        <a:ln xmlns:a="http://schemas.openxmlformats.org/drawingml/2006/main">
          <a:solidFill>
            <a:schemeClr val="bg1"/>
          </a:solidFill>
          <a:headEnd type="none" w="med" len="med"/>
          <a:tailEnd type="none" w="med" len="med"/>
        </a:ln>
      </cdr:spPr>
      <cdr:style>
        <a:lnRef xmlns:a="http://schemas.openxmlformats.org/drawingml/2006/main" idx="1">
          <a:schemeClr val="accent4"/>
        </a:lnRef>
        <a:fillRef xmlns:a="http://schemas.openxmlformats.org/drawingml/2006/main" idx="0">
          <a:schemeClr val="accent4"/>
        </a:fillRef>
        <a:effectRef xmlns:a="http://schemas.openxmlformats.org/drawingml/2006/main" idx="0">
          <a:schemeClr val="accent4"/>
        </a:effectRef>
        <a:fontRef xmlns:a="http://schemas.openxmlformats.org/drawingml/2006/main" idx="minor">
          <a:schemeClr val="tx1"/>
        </a:fontRef>
      </cdr:style>
    </cdr:cxnSp>
  </cdr:relSizeAnchor>
  <cdr:relSizeAnchor xmlns:cdr="http://schemas.openxmlformats.org/drawingml/2006/chartDrawing">
    <cdr:from>
      <cdr:x>0.07879</cdr:x>
      <cdr:y>0.80092</cdr:y>
    </cdr:from>
    <cdr:to>
      <cdr:x>0.17929</cdr:x>
      <cdr:y>0.86411</cdr:y>
    </cdr:to>
    <cdr:sp macro="" textlink="">
      <cdr:nvSpPr>
        <cdr:cNvPr id="54" name="TextBox 1"/>
        <cdr:cNvSpPr txBox="1"/>
      </cdr:nvSpPr>
      <cdr:spPr>
        <a:xfrm xmlns:a="http://schemas.openxmlformats.org/drawingml/2006/main">
          <a:off x="419886" y="2539205"/>
          <a:ext cx="535554" cy="20033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solidFill>
                <a:sysClr val="windowText" lastClr="000000"/>
              </a:solidFill>
              <a:latin typeface="Arial" pitchFamily="34" charset="0"/>
              <a:cs typeface="Arial" pitchFamily="34" charset="0"/>
            </a:rPr>
            <a:t>22.7m</a:t>
          </a:r>
        </a:p>
      </cdr:txBody>
    </cdr:sp>
  </cdr:relSizeAnchor>
</c:userShapes>
</file>

<file path=word/drawings/drawing10.xml><?xml version="1.0" encoding="utf-8"?>
<c:userShapes xmlns:c="http://schemas.openxmlformats.org/drawingml/2006/chart">
  <cdr:relSizeAnchor xmlns:cdr="http://schemas.openxmlformats.org/drawingml/2006/chartDrawing">
    <cdr:from>
      <cdr:x>0.57788</cdr:x>
      <cdr:y>0</cdr:y>
    </cdr:from>
    <cdr:to>
      <cdr:x>0.78111</cdr:x>
      <cdr:y>0.11654</cdr:y>
    </cdr:to>
    <cdr:sp macro="" textlink="">
      <cdr:nvSpPr>
        <cdr:cNvPr id="25" name="TextBox 24"/>
        <cdr:cNvSpPr txBox="1"/>
      </cdr:nvSpPr>
      <cdr:spPr>
        <a:xfrm xmlns:a="http://schemas.openxmlformats.org/drawingml/2006/main">
          <a:off x="1547789" y="0"/>
          <a:ext cx="544331" cy="25990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b="0">
              <a:latin typeface="Arial" pitchFamily="34" charset="0"/>
              <a:cs typeface="Arial" pitchFamily="34" charset="0"/>
            </a:rPr>
            <a:t>males</a:t>
          </a:r>
        </a:p>
      </cdr:txBody>
    </cdr:sp>
  </cdr:relSizeAnchor>
  <cdr:relSizeAnchor xmlns:cdr="http://schemas.openxmlformats.org/drawingml/2006/chartDrawing">
    <cdr:from>
      <cdr:x>0.20804</cdr:x>
      <cdr:y>0.02931</cdr:y>
    </cdr:from>
    <cdr:to>
      <cdr:x>0.24301</cdr:x>
      <cdr:y>0.07543</cdr:y>
    </cdr:to>
    <cdr:sp macro="" textlink="">
      <cdr:nvSpPr>
        <cdr:cNvPr id="2" name="Rectangle 1"/>
        <cdr:cNvSpPr/>
      </cdr:nvSpPr>
      <cdr:spPr>
        <a:xfrm xmlns:a="http://schemas.openxmlformats.org/drawingml/2006/main">
          <a:off x="557213" y="64149"/>
          <a:ext cx="93662" cy="100952"/>
        </a:xfrm>
        <a:prstGeom xmlns:a="http://schemas.openxmlformats.org/drawingml/2006/main" prst="rect">
          <a:avLst/>
        </a:prstGeom>
        <a:solidFill xmlns:a="http://schemas.openxmlformats.org/drawingml/2006/main">
          <a:srgbClr val="39580D"/>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0.22523</cdr:x>
      <cdr:y>0</cdr:y>
    </cdr:from>
    <cdr:to>
      <cdr:x>0.45757</cdr:x>
      <cdr:y>0.11654</cdr:y>
    </cdr:to>
    <cdr:sp macro="" textlink="">
      <cdr:nvSpPr>
        <cdr:cNvPr id="5" name="TextBox 1"/>
        <cdr:cNvSpPr txBox="1"/>
      </cdr:nvSpPr>
      <cdr:spPr>
        <a:xfrm xmlns:a="http://schemas.openxmlformats.org/drawingml/2006/main">
          <a:off x="603250" y="0"/>
          <a:ext cx="622300" cy="25990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0">
              <a:latin typeface="Arial" pitchFamily="34" charset="0"/>
              <a:cs typeface="Arial" pitchFamily="34" charset="0"/>
            </a:rPr>
            <a:t>females</a:t>
          </a:r>
        </a:p>
      </cdr:txBody>
    </cdr:sp>
  </cdr:relSizeAnchor>
  <cdr:relSizeAnchor xmlns:cdr="http://schemas.openxmlformats.org/drawingml/2006/chartDrawing">
    <cdr:from>
      <cdr:x>0.56307</cdr:x>
      <cdr:y>0.03191</cdr:y>
    </cdr:from>
    <cdr:to>
      <cdr:x>0.59804</cdr:x>
      <cdr:y>0.07803</cdr:y>
    </cdr:to>
    <cdr:sp macro="" textlink="">
      <cdr:nvSpPr>
        <cdr:cNvPr id="6" name="Rectangle 5"/>
        <cdr:cNvSpPr/>
      </cdr:nvSpPr>
      <cdr:spPr>
        <a:xfrm xmlns:a="http://schemas.openxmlformats.org/drawingml/2006/main">
          <a:off x="1508125" y="69850"/>
          <a:ext cx="93662" cy="100952"/>
        </a:xfrm>
        <a:prstGeom xmlns:a="http://schemas.openxmlformats.org/drawingml/2006/main" prst="rect">
          <a:avLst/>
        </a:prstGeom>
        <a:solidFill xmlns:a="http://schemas.openxmlformats.org/drawingml/2006/main">
          <a:srgbClr val="78A22F"/>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userShapes>
</file>

<file path=word/drawings/drawing11.xml><?xml version="1.0" encoding="utf-8"?>
<c:userShapes xmlns:c="http://schemas.openxmlformats.org/drawingml/2006/chart">
  <cdr:relSizeAnchor xmlns:cdr="http://schemas.openxmlformats.org/drawingml/2006/chartDrawing">
    <cdr:from>
      <cdr:x>0.08605</cdr:x>
      <cdr:y>0.04563</cdr:y>
    </cdr:from>
    <cdr:to>
      <cdr:x>0.40684</cdr:x>
      <cdr:y>0.24392</cdr:y>
    </cdr:to>
    <cdr:sp macro="" textlink="">
      <cdr:nvSpPr>
        <cdr:cNvPr id="3" name="TextBox 2"/>
        <cdr:cNvSpPr txBox="1"/>
      </cdr:nvSpPr>
      <cdr:spPr>
        <a:xfrm xmlns:a="http://schemas.openxmlformats.org/drawingml/2006/main">
          <a:off x="230786" y="98442"/>
          <a:ext cx="860356" cy="42779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baseline="0">
              <a:solidFill>
                <a:sysClr val="windowText" lastClr="000000"/>
              </a:solidFill>
              <a:latin typeface="Arial" pitchFamily="34" charset="0"/>
              <a:cs typeface="Arial" pitchFamily="34" charset="0"/>
            </a:rPr>
            <a:t>1979-80 </a:t>
          </a:r>
          <a:br>
            <a:rPr lang="en-AU" sz="900" baseline="0">
              <a:solidFill>
                <a:sysClr val="windowText" lastClr="000000"/>
              </a:solidFill>
              <a:latin typeface="Arial" pitchFamily="34" charset="0"/>
              <a:cs typeface="Arial" pitchFamily="34" charset="0"/>
            </a:rPr>
          </a:br>
          <a:r>
            <a:rPr lang="en-AU" sz="900" baseline="0">
              <a:solidFill>
                <a:sysClr val="windowText" lastClr="000000"/>
              </a:solidFill>
              <a:latin typeface="Arial" pitchFamily="34" charset="0"/>
              <a:cs typeface="Arial" pitchFamily="34" charset="0"/>
            </a:rPr>
            <a:t>to 2012-13</a:t>
          </a:r>
        </a:p>
      </cdr:txBody>
    </cdr:sp>
  </cdr:relSizeAnchor>
  <cdr:relSizeAnchor xmlns:cdr="http://schemas.openxmlformats.org/drawingml/2006/chartDrawing">
    <cdr:from>
      <cdr:x>0.56304</cdr:x>
      <cdr:y>0.20536</cdr:y>
    </cdr:from>
    <cdr:to>
      <cdr:x>0.99645</cdr:x>
      <cdr:y>0.36329</cdr:y>
    </cdr:to>
    <cdr:sp macro="" textlink="">
      <cdr:nvSpPr>
        <cdr:cNvPr id="4" name="TextBox 1"/>
        <cdr:cNvSpPr txBox="1"/>
      </cdr:nvSpPr>
      <cdr:spPr>
        <a:xfrm xmlns:a="http://schemas.openxmlformats.org/drawingml/2006/main">
          <a:off x="1510069" y="443034"/>
          <a:ext cx="1162406" cy="34071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Rates with</a:t>
          </a:r>
        </a:p>
        <a:p xmlns:a="http://schemas.openxmlformats.org/drawingml/2006/main">
          <a:r>
            <a:rPr lang="en-AU" sz="900">
              <a:latin typeface="Arial" pitchFamily="34" charset="0"/>
              <a:cs typeface="Arial" pitchFamily="34" charset="0"/>
            </a:rPr>
            <a:t>no ageing</a:t>
          </a:r>
        </a:p>
      </cdr:txBody>
    </cdr:sp>
  </cdr:relSizeAnchor>
  <cdr:relSizeAnchor xmlns:cdr="http://schemas.openxmlformats.org/drawingml/2006/chartDrawing">
    <cdr:from>
      <cdr:x>0.46343</cdr:x>
      <cdr:y>0.64613</cdr:y>
    </cdr:from>
    <cdr:to>
      <cdr:x>0.79676</cdr:x>
      <cdr:y>0.80989</cdr:y>
    </cdr:to>
    <cdr:sp macro="" textlink="">
      <cdr:nvSpPr>
        <cdr:cNvPr id="6" name="TextBox 1"/>
        <cdr:cNvSpPr txBox="1"/>
      </cdr:nvSpPr>
      <cdr:spPr>
        <a:xfrm xmlns:a="http://schemas.openxmlformats.org/drawingml/2006/main">
          <a:off x="1242911" y="1393961"/>
          <a:ext cx="893991" cy="35329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Projected </a:t>
          </a:r>
        </a:p>
        <a:p xmlns:a="http://schemas.openxmlformats.org/drawingml/2006/main">
          <a:r>
            <a:rPr lang="en-AU" sz="900">
              <a:latin typeface="Arial" pitchFamily="34" charset="0"/>
              <a:cs typeface="Arial" pitchFamily="34" charset="0"/>
            </a:rPr>
            <a:t>participation</a:t>
          </a:r>
        </a:p>
        <a:p xmlns:a="http://schemas.openxmlformats.org/drawingml/2006/main">
          <a:r>
            <a:rPr lang="en-AU" sz="900">
              <a:latin typeface="Arial" pitchFamily="34" charset="0"/>
              <a:cs typeface="Arial" pitchFamily="34" charset="0"/>
            </a:rPr>
            <a:t>rates</a:t>
          </a:r>
        </a:p>
      </cdr:txBody>
    </cdr:sp>
  </cdr:relSizeAnchor>
  <cdr:relSizeAnchor xmlns:cdr="http://schemas.openxmlformats.org/drawingml/2006/chartDrawing">
    <cdr:from>
      <cdr:x>0.47531</cdr:x>
      <cdr:y>0.06145</cdr:y>
    </cdr:from>
    <cdr:to>
      <cdr:x>0.81737</cdr:x>
      <cdr:y>0.15379</cdr:y>
    </cdr:to>
    <cdr:sp macro="" textlink="">
      <cdr:nvSpPr>
        <cdr:cNvPr id="5" name="TextBox 1"/>
        <cdr:cNvSpPr txBox="1"/>
      </cdr:nvSpPr>
      <cdr:spPr>
        <a:xfrm xmlns:a="http://schemas.openxmlformats.org/drawingml/2006/main">
          <a:off x="1274773" y="132573"/>
          <a:ext cx="917405" cy="19921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solidFill>
                <a:sysClr val="windowText" lastClr="000000"/>
              </a:solidFill>
              <a:latin typeface="Arial" pitchFamily="34" charset="0"/>
              <a:cs typeface="Arial" pitchFamily="34" charset="0"/>
            </a:rPr>
            <a:t>2013-14 to 2059-90</a:t>
          </a:r>
        </a:p>
      </cdr:txBody>
    </cdr:sp>
  </cdr:relSizeAnchor>
  <cdr:relSizeAnchor xmlns:cdr="http://schemas.openxmlformats.org/drawingml/2006/chartDrawing">
    <cdr:from>
      <cdr:x>0.44661</cdr:x>
      <cdr:y>0.04268</cdr:y>
    </cdr:from>
    <cdr:to>
      <cdr:x>0.44698</cdr:x>
      <cdr:y>0.88536</cdr:y>
    </cdr:to>
    <cdr:cxnSp macro="">
      <cdr:nvCxnSpPr>
        <cdr:cNvPr id="7" name="Straight Connector 6"/>
        <cdr:cNvCxnSpPr/>
      </cdr:nvCxnSpPr>
      <cdr:spPr>
        <a:xfrm xmlns:a="http://schemas.openxmlformats.org/drawingml/2006/main" flipH="1">
          <a:off x="1195917" y="93370"/>
          <a:ext cx="991" cy="1843380"/>
        </a:xfrm>
        <a:prstGeom xmlns:a="http://schemas.openxmlformats.org/drawingml/2006/main" prst="line">
          <a:avLst/>
        </a:prstGeom>
        <a:ln xmlns:a="http://schemas.openxmlformats.org/drawingml/2006/main" w="6350">
          <a:solidFill>
            <a:srgbClr val="787878"/>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2.xml><?xml version="1.0" encoding="utf-8"?>
<c:userShapes xmlns:c="http://schemas.openxmlformats.org/drawingml/2006/chart">
  <cdr:relSizeAnchor xmlns:cdr="http://schemas.openxmlformats.org/drawingml/2006/chartDrawing">
    <cdr:from>
      <cdr:x>0.23905</cdr:x>
      <cdr:y>0.407</cdr:y>
    </cdr:from>
    <cdr:to>
      <cdr:x>0.32078</cdr:x>
      <cdr:y>0.5338</cdr:y>
    </cdr:to>
    <cdr:sp macro="" textlink="">
      <cdr:nvSpPr>
        <cdr:cNvPr id="2" name="TextBox 1"/>
        <cdr:cNvSpPr txBox="1"/>
      </cdr:nvSpPr>
      <cdr:spPr>
        <a:xfrm xmlns:a="http://schemas.openxmlformats.org/drawingml/2006/main">
          <a:off x="1151525" y="1111421"/>
          <a:ext cx="393704" cy="34625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2000">
              <a:solidFill>
                <a:schemeClr val="bg1">
                  <a:lumMod val="50000"/>
                </a:schemeClr>
              </a:solidFill>
              <a:latin typeface="Arial" pitchFamily="34" charset="0"/>
              <a:cs typeface="Arial" pitchFamily="34" charset="0"/>
            </a:rPr>
            <a:t>+</a:t>
          </a:r>
        </a:p>
      </cdr:txBody>
    </cdr:sp>
  </cdr:relSizeAnchor>
  <cdr:relSizeAnchor xmlns:cdr="http://schemas.openxmlformats.org/drawingml/2006/chartDrawing">
    <cdr:from>
      <cdr:x>0.40455</cdr:x>
      <cdr:y>0.22854</cdr:y>
    </cdr:from>
    <cdr:to>
      <cdr:x>0.48628</cdr:x>
      <cdr:y>0.35534</cdr:y>
    </cdr:to>
    <cdr:sp macro="" textlink="">
      <cdr:nvSpPr>
        <cdr:cNvPr id="3" name="TextBox 1"/>
        <cdr:cNvSpPr txBox="1"/>
      </cdr:nvSpPr>
      <cdr:spPr>
        <a:xfrm xmlns:a="http://schemas.openxmlformats.org/drawingml/2006/main">
          <a:off x="1948784" y="624088"/>
          <a:ext cx="393704" cy="34625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2000">
              <a:solidFill>
                <a:schemeClr val="bg1">
                  <a:lumMod val="50000"/>
                </a:schemeClr>
              </a:solidFill>
              <a:latin typeface="Arial" pitchFamily="34" charset="0"/>
              <a:cs typeface="Arial" pitchFamily="34" charset="0"/>
            </a:rPr>
            <a:t>+</a:t>
          </a:r>
        </a:p>
      </cdr:txBody>
    </cdr:sp>
  </cdr:relSizeAnchor>
  <cdr:relSizeAnchor xmlns:cdr="http://schemas.openxmlformats.org/drawingml/2006/chartDrawing">
    <cdr:from>
      <cdr:x>0.57363</cdr:x>
      <cdr:y>0.12012</cdr:y>
    </cdr:from>
    <cdr:to>
      <cdr:x>0.65536</cdr:x>
      <cdr:y>0.24693</cdr:y>
    </cdr:to>
    <cdr:sp macro="" textlink="">
      <cdr:nvSpPr>
        <cdr:cNvPr id="4" name="TextBox 1"/>
        <cdr:cNvSpPr txBox="1"/>
      </cdr:nvSpPr>
      <cdr:spPr>
        <a:xfrm xmlns:a="http://schemas.openxmlformats.org/drawingml/2006/main">
          <a:off x="2763234" y="328009"/>
          <a:ext cx="393704" cy="34628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2000">
              <a:solidFill>
                <a:schemeClr val="bg1">
                  <a:lumMod val="50000"/>
                </a:schemeClr>
              </a:solidFill>
              <a:latin typeface="Arial" pitchFamily="34" charset="0"/>
              <a:cs typeface="Arial" pitchFamily="34" charset="0"/>
            </a:rPr>
            <a:t>+</a:t>
          </a:r>
        </a:p>
      </cdr:txBody>
    </cdr:sp>
  </cdr:relSizeAnchor>
  <cdr:relSizeAnchor xmlns:cdr="http://schemas.openxmlformats.org/drawingml/2006/chartDrawing">
    <cdr:from>
      <cdr:x>0.75076</cdr:x>
      <cdr:y>0.33634</cdr:y>
    </cdr:from>
    <cdr:to>
      <cdr:x>0.81775</cdr:x>
      <cdr:y>0.44129</cdr:y>
    </cdr:to>
    <cdr:sp macro="" textlink="">
      <cdr:nvSpPr>
        <cdr:cNvPr id="5" name="TextBox 4"/>
        <cdr:cNvSpPr txBox="1"/>
      </cdr:nvSpPr>
      <cdr:spPr>
        <a:xfrm xmlns:a="http://schemas.openxmlformats.org/drawingml/2006/main">
          <a:off x="3335735" y="915853"/>
          <a:ext cx="297656" cy="2857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2000">
              <a:solidFill>
                <a:schemeClr val="bg1">
                  <a:lumMod val="50000"/>
                </a:schemeClr>
              </a:solidFill>
              <a:latin typeface="Arial" pitchFamily="34" charset="0"/>
              <a:cs typeface="Arial" pitchFamily="34" charset="0"/>
            </a:rPr>
            <a:t>=</a:t>
          </a:r>
        </a:p>
      </cdr:txBody>
    </cdr:sp>
  </cdr:relSizeAnchor>
</c:userShapes>
</file>

<file path=word/drawings/drawing13.xml><?xml version="1.0" encoding="utf-8"?>
<c:userShapes xmlns:c="http://schemas.openxmlformats.org/drawingml/2006/chart">
  <cdr:relSizeAnchor xmlns:cdr="http://schemas.openxmlformats.org/drawingml/2006/chartDrawing">
    <cdr:from>
      <cdr:x>0.1486</cdr:x>
      <cdr:y>0.04051</cdr:y>
    </cdr:from>
    <cdr:to>
      <cdr:x>0.3765</cdr:x>
      <cdr:y>0.90289</cdr:y>
    </cdr:to>
    <cdr:sp macro="" textlink="">
      <cdr:nvSpPr>
        <cdr:cNvPr id="2" name="Rectangle 1"/>
        <cdr:cNvSpPr/>
      </cdr:nvSpPr>
      <cdr:spPr>
        <a:xfrm xmlns:a="http://schemas.openxmlformats.org/drawingml/2006/main">
          <a:off x="708025" y="133350"/>
          <a:ext cx="1085850" cy="2838450"/>
        </a:xfrm>
        <a:prstGeom xmlns:a="http://schemas.openxmlformats.org/drawingml/2006/main" prst="rect">
          <a:avLst/>
        </a:prstGeom>
        <a:solidFill xmlns:a="http://schemas.openxmlformats.org/drawingml/2006/main">
          <a:schemeClr val="accent3">
            <a:lumMod val="75000"/>
            <a:alpha val="15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0.1486</cdr:x>
      <cdr:y>0.05145</cdr:y>
    </cdr:from>
    <cdr:to>
      <cdr:x>0.34052</cdr:x>
      <cdr:y>0.22508</cdr:y>
    </cdr:to>
    <cdr:sp macro="" textlink="">
      <cdr:nvSpPr>
        <cdr:cNvPr id="3" name="TextBox 2"/>
        <cdr:cNvSpPr txBox="1"/>
      </cdr:nvSpPr>
      <cdr:spPr>
        <a:xfrm xmlns:a="http://schemas.openxmlformats.org/drawingml/2006/main">
          <a:off x="708024" y="169334"/>
          <a:ext cx="914400" cy="5715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50">
              <a:latin typeface="Arial" pitchFamily="34" charset="0"/>
              <a:cs typeface="Arial" pitchFamily="34" charset="0"/>
            </a:rPr>
            <a:t>The</a:t>
          </a:r>
          <a:r>
            <a:rPr lang="en-AU" sz="1050" baseline="0">
              <a:latin typeface="Arial" pitchFamily="34" charset="0"/>
              <a:cs typeface="Arial" pitchFamily="34" charset="0"/>
            </a:rPr>
            <a:t> boom years </a:t>
          </a:r>
        </a:p>
        <a:p xmlns:a="http://schemas.openxmlformats.org/drawingml/2006/main">
          <a:r>
            <a:rPr lang="en-AU" sz="1050" baseline="0">
              <a:latin typeface="Arial" pitchFamily="34" charset="0"/>
              <a:cs typeface="Arial" pitchFamily="34" charset="0"/>
            </a:rPr>
            <a:t>2.7% growth </a:t>
          </a:r>
        </a:p>
        <a:p xmlns:a="http://schemas.openxmlformats.org/drawingml/2006/main">
          <a:r>
            <a:rPr lang="en-AU" sz="1050" baseline="0">
              <a:latin typeface="Arial" pitchFamily="34" charset="0"/>
              <a:cs typeface="Arial" pitchFamily="34" charset="0"/>
            </a:rPr>
            <a:t>per annum</a:t>
          </a:r>
          <a:endParaRPr lang="en-AU" sz="1050">
            <a:latin typeface="Arial" pitchFamily="34" charset="0"/>
            <a:cs typeface="Arial" pitchFamily="34" charset="0"/>
          </a:endParaRPr>
        </a:p>
      </cdr:txBody>
    </cdr:sp>
  </cdr:relSizeAnchor>
  <cdr:relSizeAnchor xmlns:cdr="http://schemas.openxmlformats.org/drawingml/2006/chartDrawing">
    <cdr:from>
      <cdr:x>0.6274</cdr:x>
      <cdr:y>0.53645</cdr:y>
    </cdr:from>
    <cdr:to>
      <cdr:x>0.81931</cdr:x>
      <cdr:y>0.64931</cdr:y>
    </cdr:to>
    <cdr:sp macro="" textlink="">
      <cdr:nvSpPr>
        <cdr:cNvPr id="4" name="TextBox 1"/>
        <cdr:cNvSpPr txBox="1"/>
      </cdr:nvSpPr>
      <cdr:spPr>
        <a:xfrm xmlns:a="http://schemas.openxmlformats.org/drawingml/2006/main">
          <a:off x="3345914" y="1700375"/>
          <a:ext cx="1023445" cy="35773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50">
              <a:latin typeface="Arial" pitchFamily="34" charset="0"/>
              <a:cs typeface="Arial" pitchFamily="34" charset="0"/>
            </a:rPr>
            <a:t>1.1%</a:t>
          </a:r>
          <a:r>
            <a:rPr lang="en-AU" sz="1050" baseline="0">
              <a:latin typeface="Arial" pitchFamily="34" charset="0"/>
              <a:cs typeface="Arial" pitchFamily="34" charset="0"/>
            </a:rPr>
            <a:t> growth</a:t>
          </a:r>
        </a:p>
        <a:p xmlns:a="http://schemas.openxmlformats.org/drawingml/2006/main">
          <a:r>
            <a:rPr lang="en-AU" sz="1050" baseline="0">
              <a:latin typeface="Arial" pitchFamily="34" charset="0"/>
              <a:cs typeface="Arial" pitchFamily="34" charset="0"/>
            </a:rPr>
            <a:t> per annum</a:t>
          </a:r>
          <a:endParaRPr lang="en-AU" sz="1050">
            <a:latin typeface="Arial" pitchFamily="34" charset="0"/>
            <a:cs typeface="Arial" pitchFamily="34" charset="0"/>
          </a:endParaRPr>
        </a:p>
      </cdr:txBody>
    </cdr:sp>
  </cdr:relSizeAnchor>
  <cdr:relSizeAnchor xmlns:cdr="http://schemas.openxmlformats.org/drawingml/2006/chartDrawing">
    <cdr:from>
      <cdr:x>0.05069</cdr:x>
      <cdr:y>0.77619</cdr:y>
    </cdr:from>
    <cdr:to>
      <cdr:x>0.2426</cdr:x>
      <cdr:y>0.88906</cdr:y>
    </cdr:to>
    <cdr:sp macro="" textlink="">
      <cdr:nvSpPr>
        <cdr:cNvPr id="5" name="TextBox 1"/>
        <cdr:cNvSpPr txBox="1"/>
      </cdr:nvSpPr>
      <cdr:spPr>
        <a:xfrm xmlns:a="http://schemas.openxmlformats.org/drawingml/2006/main">
          <a:off x="270352" y="2460312"/>
          <a:ext cx="1023445" cy="35773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50">
              <a:latin typeface="Arial" pitchFamily="34" charset="0"/>
              <a:cs typeface="Arial" pitchFamily="34" charset="0"/>
            </a:rPr>
            <a:t>0.9%</a:t>
          </a:r>
          <a:r>
            <a:rPr lang="en-AU" sz="1050" baseline="0">
              <a:latin typeface="Arial" pitchFamily="34" charset="0"/>
              <a:cs typeface="Arial" pitchFamily="34" charset="0"/>
            </a:rPr>
            <a:t> growth</a:t>
          </a:r>
        </a:p>
        <a:p xmlns:a="http://schemas.openxmlformats.org/drawingml/2006/main">
          <a:r>
            <a:rPr lang="en-AU" sz="1050" baseline="0">
              <a:latin typeface="Arial" pitchFamily="34" charset="0"/>
              <a:cs typeface="Arial" pitchFamily="34" charset="0"/>
            </a:rPr>
            <a:t> per annum</a:t>
          </a:r>
          <a:endParaRPr lang="en-AU" sz="1050">
            <a:latin typeface="Arial" pitchFamily="34" charset="0"/>
            <a:cs typeface="Arial" pitchFamily="34" charset="0"/>
          </a:endParaRPr>
        </a:p>
      </cdr:txBody>
    </cdr:sp>
  </cdr:relSizeAnchor>
  <cdr:relSizeAnchor xmlns:cdr="http://schemas.openxmlformats.org/drawingml/2006/chartDrawing">
    <cdr:from>
      <cdr:x>0.08727</cdr:x>
      <cdr:y>0.49923</cdr:y>
    </cdr:from>
    <cdr:to>
      <cdr:x>0.09109</cdr:x>
      <cdr:y>0.71452</cdr:y>
    </cdr:to>
    <cdr:cxnSp macro="">
      <cdr:nvCxnSpPr>
        <cdr:cNvPr id="7" name="Straight Arrow Connector 6"/>
        <cdr:cNvCxnSpPr/>
      </cdr:nvCxnSpPr>
      <cdr:spPr>
        <a:xfrm xmlns:a="http://schemas.openxmlformats.org/drawingml/2006/main" flipH="1" flipV="1">
          <a:off x="465416" y="1582398"/>
          <a:ext cx="20359" cy="682436"/>
        </a:xfrm>
        <a:prstGeom xmlns:a="http://schemas.openxmlformats.org/drawingml/2006/main" prst="straightConnector1">
          <a:avLst/>
        </a:prstGeom>
        <a:ln xmlns:a="http://schemas.openxmlformats.org/drawingml/2006/main">
          <a:solidFill>
            <a:srgbClr val="787878"/>
          </a:solidFill>
          <a:tailEnd type="triangle" w="med"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4.xml><?xml version="1.0" encoding="utf-8"?>
<c:userShapes xmlns:c="http://schemas.openxmlformats.org/drawingml/2006/chart">
  <cdr:relSizeAnchor xmlns:cdr="http://schemas.openxmlformats.org/drawingml/2006/chartDrawing">
    <cdr:from>
      <cdr:x>0.81851</cdr:x>
      <cdr:y>0.60949</cdr:y>
    </cdr:from>
    <cdr:to>
      <cdr:x>0.9345</cdr:x>
      <cdr:y>0.69632</cdr:y>
    </cdr:to>
    <cdr:sp macro="" textlink="">
      <cdr:nvSpPr>
        <cdr:cNvPr id="2" name="TextBox 1"/>
        <cdr:cNvSpPr txBox="1"/>
      </cdr:nvSpPr>
      <cdr:spPr>
        <a:xfrm xmlns:a="http://schemas.openxmlformats.org/drawingml/2006/main">
          <a:off x="4456162" y="1939011"/>
          <a:ext cx="631475" cy="27623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b="1">
              <a:solidFill>
                <a:schemeClr val="bg1"/>
              </a:solidFill>
              <a:latin typeface="Arial" pitchFamily="34" charset="0"/>
              <a:cs typeface="Arial" pitchFamily="34" charset="0"/>
            </a:rPr>
            <a:t>Health</a:t>
          </a:r>
        </a:p>
      </cdr:txBody>
    </cdr:sp>
  </cdr:relSizeAnchor>
  <cdr:relSizeAnchor xmlns:cdr="http://schemas.openxmlformats.org/drawingml/2006/chartDrawing">
    <cdr:from>
      <cdr:x>0.7579</cdr:x>
      <cdr:y>0.44923</cdr:y>
    </cdr:from>
    <cdr:to>
      <cdr:x>0.92662</cdr:x>
      <cdr:y>0.52708</cdr:y>
    </cdr:to>
    <cdr:sp macro="" textlink="">
      <cdr:nvSpPr>
        <cdr:cNvPr id="3" name="TextBox 2"/>
        <cdr:cNvSpPr txBox="1"/>
      </cdr:nvSpPr>
      <cdr:spPr>
        <a:xfrm xmlns:a="http://schemas.openxmlformats.org/drawingml/2006/main">
          <a:off x="3465134" y="1232340"/>
          <a:ext cx="771388" cy="21355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b="1">
              <a:solidFill>
                <a:schemeClr val="tx1"/>
              </a:solidFill>
              <a:latin typeface="Arial" pitchFamily="34" charset="0"/>
              <a:cs typeface="Arial" pitchFamily="34" charset="0"/>
            </a:rPr>
            <a:t>Age Pension</a:t>
          </a:r>
        </a:p>
      </cdr:txBody>
    </cdr:sp>
  </cdr:relSizeAnchor>
  <cdr:relSizeAnchor xmlns:cdr="http://schemas.openxmlformats.org/drawingml/2006/chartDrawing">
    <cdr:from>
      <cdr:x>0.54313</cdr:x>
      <cdr:y>0.73179</cdr:y>
    </cdr:from>
    <cdr:to>
      <cdr:x>0.65204</cdr:x>
      <cdr:y>0.81705</cdr:y>
    </cdr:to>
    <cdr:sp macro="" textlink="">
      <cdr:nvSpPr>
        <cdr:cNvPr id="4" name="TextBox 1"/>
        <cdr:cNvSpPr txBox="1"/>
      </cdr:nvSpPr>
      <cdr:spPr>
        <a:xfrm xmlns:a="http://schemas.openxmlformats.org/drawingml/2006/main">
          <a:off x="2945100" y="2328080"/>
          <a:ext cx="590559" cy="27124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b="1">
              <a:latin typeface="Arial" pitchFamily="34" charset="0"/>
              <a:cs typeface="Arial" pitchFamily="34" charset="0"/>
            </a:rPr>
            <a:t>Other</a:t>
          </a:r>
        </a:p>
      </cdr:txBody>
    </cdr:sp>
  </cdr:relSizeAnchor>
  <cdr:relSizeAnchor xmlns:cdr="http://schemas.openxmlformats.org/drawingml/2006/chartDrawing">
    <cdr:from>
      <cdr:x>0.80187</cdr:x>
      <cdr:y>0.27017</cdr:y>
    </cdr:from>
    <cdr:to>
      <cdr:x>0.93819</cdr:x>
      <cdr:y>0.35156</cdr:y>
    </cdr:to>
    <cdr:sp macro="" textlink="">
      <cdr:nvSpPr>
        <cdr:cNvPr id="5" name="TextBox 1"/>
        <cdr:cNvSpPr txBox="1"/>
      </cdr:nvSpPr>
      <cdr:spPr>
        <a:xfrm xmlns:a="http://schemas.openxmlformats.org/drawingml/2006/main">
          <a:off x="3666150" y="741118"/>
          <a:ext cx="623255" cy="22326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solidFill>
                <a:schemeClr val="bg1"/>
              </a:solidFill>
              <a:latin typeface="Arial" pitchFamily="34" charset="0"/>
              <a:cs typeface="Arial" pitchFamily="34" charset="0"/>
            </a:rPr>
            <a:t>Aged care</a:t>
          </a:r>
        </a:p>
      </cdr:txBody>
    </cdr:sp>
  </cdr:relSizeAnchor>
  <cdr:relSizeAnchor xmlns:cdr="http://schemas.openxmlformats.org/drawingml/2006/chartDrawing">
    <cdr:from>
      <cdr:x>0.05673</cdr:x>
      <cdr:y>0.5673</cdr:y>
    </cdr:from>
    <cdr:to>
      <cdr:x>0.16563</cdr:x>
      <cdr:y>0.65256</cdr:y>
    </cdr:to>
    <cdr:sp macro="" textlink="">
      <cdr:nvSpPr>
        <cdr:cNvPr id="6" name="TextBox 1"/>
        <cdr:cNvSpPr txBox="1"/>
      </cdr:nvSpPr>
      <cdr:spPr>
        <a:xfrm xmlns:a="http://schemas.openxmlformats.org/drawingml/2006/main">
          <a:off x="283165" y="1556208"/>
          <a:ext cx="543530" cy="23388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solidFill>
                <a:schemeClr val="bg1"/>
              </a:solidFill>
              <a:latin typeface="Arial" pitchFamily="34" charset="0"/>
              <a:cs typeface="Arial" pitchFamily="34" charset="0"/>
            </a:rPr>
            <a:t>Education</a:t>
          </a:r>
        </a:p>
      </cdr:txBody>
    </cdr:sp>
  </cdr:relSizeAnchor>
</c:userShapes>
</file>

<file path=word/drawings/drawing15.xml><?xml version="1.0" encoding="utf-8"?>
<c:userShapes xmlns:c="http://schemas.openxmlformats.org/drawingml/2006/chart">
  <cdr:relSizeAnchor xmlns:cdr="http://schemas.openxmlformats.org/drawingml/2006/chartDrawing">
    <cdr:from>
      <cdr:x>0.30724</cdr:x>
      <cdr:y>0.23207</cdr:y>
    </cdr:from>
    <cdr:to>
      <cdr:x>0.40936</cdr:x>
      <cdr:y>0.30392</cdr:y>
    </cdr:to>
    <cdr:sp macro="" textlink="">
      <cdr:nvSpPr>
        <cdr:cNvPr id="2" name="TextBox 4"/>
        <cdr:cNvSpPr txBox="1"/>
      </cdr:nvSpPr>
      <cdr:spPr>
        <a:xfrm xmlns:a="http://schemas.openxmlformats.org/drawingml/2006/main">
          <a:off x="1650517" y="822309"/>
          <a:ext cx="548599" cy="254587"/>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AU" sz="1100" b="1">
              <a:latin typeface="Arial" pitchFamily="34" charset="0"/>
              <a:cs typeface="Arial" pitchFamily="34" charset="0"/>
            </a:rPr>
            <a:t>Males</a:t>
          </a:r>
        </a:p>
      </cdr:txBody>
    </cdr:sp>
  </cdr:relSizeAnchor>
  <cdr:relSizeAnchor xmlns:cdr="http://schemas.openxmlformats.org/drawingml/2006/chartDrawing">
    <cdr:from>
      <cdr:x>0.68469</cdr:x>
      <cdr:y>0.22959</cdr:y>
    </cdr:from>
    <cdr:to>
      <cdr:x>0.81736</cdr:x>
      <cdr:y>0.30143</cdr:y>
    </cdr:to>
    <cdr:sp macro="" textlink="">
      <cdr:nvSpPr>
        <cdr:cNvPr id="3" name="TextBox 4"/>
        <cdr:cNvSpPr txBox="1"/>
      </cdr:nvSpPr>
      <cdr:spPr>
        <a:xfrm xmlns:a="http://schemas.openxmlformats.org/drawingml/2006/main">
          <a:off x="3678246" y="828808"/>
          <a:ext cx="712717" cy="259341"/>
        </a:xfrm>
        <a:prstGeom xmlns:a="http://schemas.openxmlformats.org/drawingml/2006/main" prst="rect">
          <a:avLst/>
        </a:prstGeom>
        <a:noFill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en-AU" sz="1100" b="1">
              <a:latin typeface="Arial" pitchFamily="34" charset="0"/>
              <a:cs typeface="Arial" pitchFamily="34" charset="0"/>
            </a:rPr>
            <a:t>Females</a:t>
          </a:r>
        </a:p>
      </cdr:txBody>
    </cdr:sp>
  </cdr:relSizeAnchor>
</c:userShapes>
</file>

<file path=word/drawings/drawing16.xml><?xml version="1.0" encoding="utf-8"?>
<c:userShapes xmlns:c="http://schemas.openxmlformats.org/drawingml/2006/chart">
  <cdr:relSizeAnchor xmlns:cdr="http://schemas.openxmlformats.org/drawingml/2006/chartDrawing">
    <cdr:from>
      <cdr:x>0.29798</cdr:x>
      <cdr:y>0.44384</cdr:y>
    </cdr:from>
    <cdr:to>
      <cdr:x>0.61212</cdr:x>
      <cdr:y>0.58741</cdr:y>
    </cdr:to>
    <cdr:sp macro="" textlink="">
      <cdr:nvSpPr>
        <cdr:cNvPr id="2" name="TextBox 1"/>
        <cdr:cNvSpPr txBox="1"/>
      </cdr:nvSpPr>
      <cdr:spPr>
        <a:xfrm xmlns:a="http://schemas.openxmlformats.org/drawingml/2006/main">
          <a:off x="536365" y="846850"/>
          <a:ext cx="565445" cy="27392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a:latin typeface="Arial" pitchFamily="34" charset="0"/>
              <a:cs typeface="Arial" pitchFamily="34" charset="0"/>
            </a:rPr>
            <a:t>534% up</a:t>
          </a:r>
        </a:p>
      </cdr:txBody>
    </cdr:sp>
  </cdr:relSizeAnchor>
  <cdr:relSizeAnchor xmlns:cdr="http://schemas.openxmlformats.org/drawingml/2006/chartDrawing">
    <cdr:from>
      <cdr:x>0.47096</cdr:x>
      <cdr:y>0.55413</cdr:y>
    </cdr:from>
    <cdr:to>
      <cdr:x>0.62442</cdr:x>
      <cdr:y>0.71887</cdr:y>
    </cdr:to>
    <cdr:cxnSp macro="">
      <cdr:nvCxnSpPr>
        <cdr:cNvPr id="5" name="Straight Arrow Connector 4"/>
        <cdr:cNvCxnSpPr/>
      </cdr:nvCxnSpPr>
      <cdr:spPr>
        <a:xfrm xmlns:a="http://schemas.openxmlformats.org/drawingml/2006/main" flipV="1">
          <a:off x="847725" y="1057274"/>
          <a:ext cx="276225" cy="314327"/>
        </a:xfrm>
        <a:prstGeom xmlns:a="http://schemas.openxmlformats.org/drawingml/2006/main" prst="straightConnector1">
          <a:avLst/>
        </a:prstGeom>
        <a:ln xmlns:a="http://schemas.openxmlformats.org/drawingml/2006/main">
          <a:solidFill>
            <a:schemeClr val="tx1"/>
          </a:solidFill>
          <a:headEnd type="none" w="med" len="med"/>
          <a:tailEnd type="triangle" w="med"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0.014</cdr:x>
      <cdr:y>0.01248</cdr:y>
    </cdr:from>
    <cdr:to>
      <cdr:x>0.116</cdr:x>
      <cdr:y>0.90857</cdr:y>
    </cdr:to>
    <cdr:sp macro="" textlink="">
      <cdr:nvSpPr>
        <cdr:cNvPr id="10" name="TextBox 9"/>
        <cdr:cNvSpPr txBox="1"/>
      </cdr:nvSpPr>
      <cdr:spPr>
        <a:xfrm xmlns:a="http://schemas.openxmlformats.org/drawingml/2006/main" rot="16200000">
          <a:off x="-700086" y="757235"/>
          <a:ext cx="1709737" cy="24288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b="1">
              <a:latin typeface="Arial" pitchFamily="34" charset="0"/>
              <a:cs typeface="Arial" pitchFamily="34" charset="0"/>
            </a:rPr>
            <a:t>Ranibizumab scripts ('000)</a:t>
          </a:r>
        </a:p>
      </cdr:txBody>
    </cdr:sp>
  </cdr:relSizeAnchor>
</c:userShapes>
</file>

<file path=word/drawings/drawing17.xml><?xml version="1.0" encoding="utf-8"?>
<c:userShapes xmlns:c="http://schemas.openxmlformats.org/drawingml/2006/chart">
  <cdr:relSizeAnchor xmlns:cdr="http://schemas.openxmlformats.org/drawingml/2006/chartDrawing">
    <cdr:from>
      <cdr:x>0.32985</cdr:x>
      <cdr:y>0.48091</cdr:y>
    </cdr:from>
    <cdr:to>
      <cdr:x>0.64398</cdr:x>
      <cdr:y>0.62447</cdr:y>
    </cdr:to>
    <cdr:sp macro="" textlink="">
      <cdr:nvSpPr>
        <cdr:cNvPr id="2" name="TextBox 1"/>
        <cdr:cNvSpPr txBox="1"/>
      </cdr:nvSpPr>
      <cdr:spPr>
        <a:xfrm xmlns:a="http://schemas.openxmlformats.org/drawingml/2006/main">
          <a:off x="593725" y="917575"/>
          <a:ext cx="565445" cy="27392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557% up</a:t>
          </a:r>
        </a:p>
      </cdr:txBody>
    </cdr:sp>
  </cdr:relSizeAnchor>
  <cdr:relSizeAnchor xmlns:cdr="http://schemas.openxmlformats.org/drawingml/2006/chartDrawing">
    <cdr:from>
      <cdr:x>0.49753</cdr:x>
      <cdr:y>0.57123</cdr:y>
    </cdr:from>
    <cdr:to>
      <cdr:x>0.65099</cdr:x>
      <cdr:y>0.73597</cdr:y>
    </cdr:to>
    <cdr:cxnSp macro="">
      <cdr:nvCxnSpPr>
        <cdr:cNvPr id="3" name="Straight Arrow Connector 2"/>
        <cdr:cNvCxnSpPr/>
      </cdr:nvCxnSpPr>
      <cdr:spPr>
        <a:xfrm xmlns:a="http://schemas.openxmlformats.org/drawingml/2006/main" flipV="1">
          <a:off x="895560" y="1089899"/>
          <a:ext cx="276225" cy="314327"/>
        </a:xfrm>
        <a:prstGeom xmlns:a="http://schemas.openxmlformats.org/drawingml/2006/main" prst="straightConnector1">
          <a:avLst/>
        </a:prstGeom>
        <a:ln xmlns:a="http://schemas.openxmlformats.org/drawingml/2006/main">
          <a:solidFill>
            <a:schemeClr val="tx1"/>
          </a:solidFill>
          <a:headEnd type="none" w="med" len="med"/>
          <a:tailEnd type="triangle" w="med"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18.xml><?xml version="1.0" encoding="utf-8"?>
<c:userShapes xmlns:c="http://schemas.openxmlformats.org/drawingml/2006/chart">
  <cdr:relSizeAnchor xmlns:cdr="http://schemas.openxmlformats.org/drawingml/2006/chartDrawing">
    <cdr:from>
      <cdr:x>0.00194</cdr:x>
      <cdr:y>0.16183</cdr:y>
    </cdr:from>
    <cdr:to>
      <cdr:x>0.07138</cdr:x>
      <cdr:y>0.7835</cdr:y>
    </cdr:to>
    <cdr:sp macro="" textlink="">
      <cdr:nvSpPr>
        <cdr:cNvPr id="2" name="TextBox 1"/>
        <cdr:cNvSpPr txBox="1"/>
      </cdr:nvSpPr>
      <cdr:spPr>
        <a:xfrm xmlns:a="http://schemas.openxmlformats.org/drawingml/2006/main" rot="16200000">
          <a:off x="-666334" y="1108416"/>
          <a:ext cx="1664631" cy="31442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b="1">
              <a:latin typeface="Arial" pitchFamily="34" charset="0"/>
              <a:cs typeface="Arial" pitchFamily="34" charset="0"/>
            </a:rPr>
            <a:t>Life expectancy after 15 (years)</a:t>
          </a:r>
        </a:p>
      </cdr:txBody>
    </cdr:sp>
  </cdr:relSizeAnchor>
  <cdr:relSizeAnchor xmlns:cdr="http://schemas.openxmlformats.org/drawingml/2006/chartDrawing">
    <cdr:from>
      <cdr:x>0.57526</cdr:x>
      <cdr:y>0.04669</cdr:y>
    </cdr:from>
    <cdr:to>
      <cdr:x>0.95839</cdr:x>
      <cdr:y>0.11205</cdr:y>
    </cdr:to>
    <cdr:sp macro="" textlink="">
      <cdr:nvSpPr>
        <cdr:cNvPr id="4" name="TextBox 3"/>
        <cdr:cNvSpPr txBox="1"/>
      </cdr:nvSpPr>
      <cdr:spPr>
        <a:xfrm xmlns:a="http://schemas.openxmlformats.org/drawingml/2006/main">
          <a:off x="2604632" y="125027"/>
          <a:ext cx="1734735" cy="17501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l"/>
          <a:r>
            <a:rPr lang="en-AU" sz="900">
              <a:latin typeface="Arial" pitchFamily="34" charset="0"/>
              <a:cs typeface="Arial" pitchFamily="34" charset="0"/>
            </a:rPr>
            <a:t>Average years in labour force</a:t>
          </a:r>
        </a:p>
      </cdr:txBody>
    </cdr:sp>
  </cdr:relSizeAnchor>
  <cdr:relSizeAnchor xmlns:cdr="http://schemas.openxmlformats.org/drawingml/2006/chartDrawing">
    <cdr:from>
      <cdr:x>0.12041</cdr:x>
      <cdr:y>0.05804</cdr:y>
    </cdr:from>
    <cdr:to>
      <cdr:x>0.14828</cdr:x>
      <cdr:y>0.11036</cdr:y>
    </cdr:to>
    <cdr:sp macro="" textlink="">
      <cdr:nvSpPr>
        <cdr:cNvPr id="5" name="Rectangle 4"/>
        <cdr:cNvSpPr>
          <a:spLocks xmlns:a="http://schemas.openxmlformats.org/drawingml/2006/main" noChangeAspect="1"/>
        </cdr:cNvSpPr>
      </cdr:nvSpPr>
      <cdr:spPr>
        <a:xfrm xmlns:a="http://schemas.openxmlformats.org/drawingml/2006/main">
          <a:off x="545173" y="155406"/>
          <a:ext cx="126187" cy="140096"/>
        </a:xfrm>
        <a:prstGeom xmlns:a="http://schemas.openxmlformats.org/drawingml/2006/main" prst="rect">
          <a:avLst/>
        </a:prstGeom>
        <a:solidFill xmlns:a="http://schemas.openxmlformats.org/drawingml/2006/main">
          <a:srgbClr val="78A22F"/>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0.13648</cdr:x>
      <cdr:y>0.04829</cdr:y>
    </cdr:from>
    <cdr:to>
      <cdr:x>0.53394</cdr:x>
      <cdr:y>0.12319</cdr:y>
    </cdr:to>
    <cdr:sp macro="" textlink="">
      <cdr:nvSpPr>
        <cdr:cNvPr id="6" name="TextBox 2"/>
        <cdr:cNvSpPr txBox="1"/>
      </cdr:nvSpPr>
      <cdr:spPr>
        <a:xfrm xmlns:a="http://schemas.openxmlformats.org/drawingml/2006/main">
          <a:off x="617955" y="129303"/>
          <a:ext cx="1799599" cy="20055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Average years outside labour force</a:t>
          </a:r>
        </a:p>
      </cdr:txBody>
    </cdr:sp>
  </cdr:relSizeAnchor>
  <cdr:relSizeAnchor xmlns:cdr="http://schemas.openxmlformats.org/drawingml/2006/chartDrawing">
    <cdr:from>
      <cdr:x>0.56029</cdr:x>
      <cdr:y>0.05963</cdr:y>
    </cdr:from>
    <cdr:to>
      <cdr:x>0.58816</cdr:x>
      <cdr:y>0.11195</cdr:y>
    </cdr:to>
    <cdr:sp macro="" textlink="">
      <cdr:nvSpPr>
        <cdr:cNvPr id="7" name="Rectangle 6"/>
        <cdr:cNvSpPr>
          <a:spLocks xmlns:a="http://schemas.openxmlformats.org/drawingml/2006/main" noChangeAspect="1"/>
        </cdr:cNvSpPr>
      </cdr:nvSpPr>
      <cdr:spPr>
        <a:xfrm xmlns:a="http://schemas.openxmlformats.org/drawingml/2006/main">
          <a:off x="2536872" y="159656"/>
          <a:ext cx="126186" cy="140096"/>
        </a:xfrm>
        <a:prstGeom xmlns:a="http://schemas.openxmlformats.org/drawingml/2006/main" prst="rect">
          <a:avLst/>
        </a:prstGeom>
        <a:solidFill xmlns:a="http://schemas.openxmlformats.org/drawingml/2006/main">
          <a:srgbClr val="39580D"/>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0.12647</cdr:x>
      <cdr:y>0.21369</cdr:y>
    </cdr:from>
    <cdr:to>
      <cdr:x>0.30378</cdr:x>
      <cdr:y>0.3204</cdr:y>
    </cdr:to>
    <cdr:sp macro="" textlink="">
      <cdr:nvSpPr>
        <cdr:cNvPr id="8" name="TextBox 7"/>
        <cdr:cNvSpPr txBox="1"/>
      </cdr:nvSpPr>
      <cdr:spPr>
        <a:xfrm xmlns:a="http://schemas.openxmlformats.org/drawingml/2006/main">
          <a:off x="572635" y="572181"/>
          <a:ext cx="802821" cy="28574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AU" sz="1100"/>
        </a:p>
      </cdr:txBody>
    </cdr:sp>
  </cdr:relSizeAnchor>
  <cdr:relSizeAnchor xmlns:cdr="http://schemas.openxmlformats.org/drawingml/2006/chartDrawing">
    <cdr:from>
      <cdr:x>0.13248</cdr:x>
      <cdr:y>0.26789</cdr:y>
    </cdr:from>
    <cdr:to>
      <cdr:x>0.22064</cdr:x>
      <cdr:y>0.35259</cdr:y>
    </cdr:to>
    <cdr:sp macro="" textlink="">
      <cdr:nvSpPr>
        <cdr:cNvPr id="9" name="TextBox 8"/>
        <cdr:cNvSpPr txBox="1"/>
      </cdr:nvSpPr>
      <cdr:spPr>
        <a:xfrm xmlns:a="http://schemas.openxmlformats.org/drawingml/2006/main">
          <a:off x="599849" y="717323"/>
          <a:ext cx="399143" cy="22678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a:latin typeface="Arial" pitchFamily="34" charset="0"/>
              <a:cs typeface="Arial" pitchFamily="34" charset="0"/>
            </a:rPr>
            <a:t>56.4</a:t>
          </a:r>
        </a:p>
      </cdr:txBody>
    </cdr:sp>
  </cdr:relSizeAnchor>
  <cdr:relSizeAnchor xmlns:cdr="http://schemas.openxmlformats.org/drawingml/2006/chartDrawing">
    <cdr:from>
      <cdr:x>0.28169</cdr:x>
      <cdr:y>0.24426</cdr:y>
    </cdr:from>
    <cdr:to>
      <cdr:x>0.36985</cdr:x>
      <cdr:y>0.32896</cdr:y>
    </cdr:to>
    <cdr:sp macro="" textlink="">
      <cdr:nvSpPr>
        <cdr:cNvPr id="10" name="TextBox 1"/>
        <cdr:cNvSpPr txBox="1"/>
      </cdr:nvSpPr>
      <cdr:spPr>
        <a:xfrm xmlns:a="http://schemas.openxmlformats.org/drawingml/2006/main">
          <a:off x="1275443" y="654050"/>
          <a:ext cx="399143" cy="22678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62.4</a:t>
          </a:r>
        </a:p>
      </cdr:txBody>
    </cdr:sp>
  </cdr:relSizeAnchor>
  <cdr:relSizeAnchor xmlns:cdr="http://schemas.openxmlformats.org/drawingml/2006/chartDrawing">
    <cdr:from>
      <cdr:x>0.42094</cdr:x>
      <cdr:y>0.21038</cdr:y>
    </cdr:from>
    <cdr:to>
      <cdr:x>0.50909</cdr:x>
      <cdr:y>0.29508</cdr:y>
    </cdr:to>
    <cdr:sp macro="" textlink="">
      <cdr:nvSpPr>
        <cdr:cNvPr id="11" name="TextBox 1"/>
        <cdr:cNvSpPr txBox="1"/>
      </cdr:nvSpPr>
      <cdr:spPr>
        <a:xfrm xmlns:a="http://schemas.openxmlformats.org/drawingml/2006/main">
          <a:off x="1905907" y="563335"/>
          <a:ext cx="399143" cy="22678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67.7</a:t>
          </a:r>
        </a:p>
      </cdr:txBody>
    </cdr:sp>
  </cdr:relSizeAnchor>
  <cdr:relSizeAnchor xmlns:cdr="http://schemas.openxmlformats.org/drawingml/2006/chartDrawing">
    <cdr:from>
      <cdr:x>0.56319</cdr:x>
      <cdr:y>0.17989</cdr:y>
    </cdr:from>
    <cdr:to>
      <cdr:x>0.65134</cdr:x>
      <cdr:y>0.26459</cdr:y>
    </cdr:to>
    <cdr:sp macro="" textlink="">
      <cdr:nvSpPr>
        <cdr:cNvPr id="12" name="TextBox 1"/>
        <cdr:cNvSpPr txBox="1"/>
      </cdr:nvSpPr>
      <cdr:spPr>
        <a:xfrm xmlns:a="http://schemas.openxmlformats.org/drawingml/2006/main">
          <a:off x="2549979" y="481692"/>
          <a:ext cx="399143" cy="22678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72.2</a:t>
          </a:r>
        </a:p>
      </cdr:txBody>
    </cdr:sp>
  </cdr:relSizeAnchor>
  <cdr:relSizeAnchor xmlns:cdr="http://schemas.openxmlformats.org/drawingml/2006/chartDrawing">
    <cdr:from>
      <cdr:x>0.70944</cdr:x>
      <cdr:y>0.1511</cdr:y>
    </cdr:from>
    <cdr:to>
      <cdr:x>0.7976</cdr:x>
      <cdr:y>0.23579</cdr:y>
    </cdr:to>
    <cdr:sp macro="" textlink="">
      <cdr:nvSpPr>
        <cdr:cNvPr id="13" name="TextBox 1"/>
        <cdr:cNvSpPr txBox="1"/>
      </cdr:nvSpPr>
      <cdr:spPr>
        <a:xfrm xmlns:a="http://schemas.openxmlformats.org/drawingml/2006/main">
          <a:off x="3212192" y="404586"/>
          <a:ext cx="399143" cy="22678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75.6</a:t>
          </a:r>
        </a:p>
      </cdr:txBody>
    </cdr:sp>
  </cdr:relSizeAnchor>
  <cdr:relSizeAnchor xmlns:cdr="http://schemas.openxmlformats.org/drawingml/2006/chartDrawing">
    <cdr:from>
      <cdr:x>0.84969</cdr:x>
      <cdr:y>0.14093</cdr:y>
    </cdr:from>
    <cdr:to>
      <cdr:x>0.93784</cdr:x>
      <cdr:y>0.22563</cdr:y>
    </cdr:to>
    <cdr:sp macro="" textlink="">
      <cdr:nvSpPr>
        <cdr:cNvPr id="14" name="TextBox 1"/>
        <cdr:cNvSpPr txBox="1"/>
      </cdr:nvSpPr>
      <cdr:spPr>
        <a:xfrm xmlns:a="http://schemas.openxmlformats.org/drawingml/2006/main">
          <a:off x="3847193" y="377372"/>
          <a:ext cx="399143" cy="22678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77.9</a:t>
          </a:r>
        </a:p>
      </cdr:txBody>
    </cdr:sp>
  </cdr:relSizeAnchor>
  <cdr:relSizeAnchor xmlns:cdr="http://schemas.openxmlformats.org/drawingml/2006/chartDrawing">
    <cdr:from>
      <cdr:x>0</cdr:x>
      <cdr:y>0.93563</cdr:y>
    </cdr:from>
    <cdr:to>
      <cdr:x>0.50315</cdr:x>
      <cdr:y>1</cdr:y>
    </cdr:to>
    <cdr:sp macro="" textlink="">
      <cdr:nvSpPr>
        <cdr:cNvPr id="15" name="TextBox 14"/>
        <cdr:cNvSpPr txBox="1"/>
      </cdr:nvSpPr>
      <cdr:spPr>
        <a:xfrm xmlns:a="http://schemas.openxmlformats.org/drawingml/2006/main">
          <a:off x="0" y="2708786"/>
          <a:ext cx="2436532" cy="18636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700">
              <a:latin typeface="Arial" pitchFamily="34" charset="0"/>
              <a:cs typeface="Arial" pitchFamily="34" charset="0"/>
            </a:rPr>
            <a:t>Rounding errors means numbers may not exactly sum.</a:t>
          </a:r>
        </a:p>
      </cdr:txBody>
    </cdr:sp>
  </cdr:relSizeAnchor>
</c:userShapes>
</file>

<file path=word/drawings/drawing19.xml><?xml version="1.0" encoding="utf-8"?>
<c:userShapes xmlns:c="http://schemas.openxmlformats.org/drawingml/2006/chart">
  <cdr:relSizeAnchor xmlns:cdr="http://schemas.openxmlformats.org/drawingml/2006/chartDrawing">
    <cdr:from>
      <cdr:x>0.38673</cdr:x>
      <cdr:y>0.65828</cdr:y>
    </cdr:from>
    <cdr:to>
      <cdr:x>0.65152</cdr:x>
      <cdr:y>0.81132</cdr:y>
    </cdr:to>
    <cdr:sp macro="" textlink="">
      <cdr:nvSpPr>
        <cdr:cNvPr id="2" name="TextBox 1"/>
        <cdr:cNvSpPr txBox="1"/>
      </cdr:nvSpPr>
      <cdr:spPr>
        <a:xfrm xmlns:a="http://schemas.openxmlformats.org/drawingml/2006/main">
          <a:off x="1215581" y="1993895"/>
          <a:ext cx="832294" cy="46355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latin typeface="Arial" pitchFamily="34" charset="0"/>
              <a:cs typeface="Arial" pitchFamily="34" charset="0"/>
            </a:rPr>
            <a:t>Own home </a:t>
          </a:r>
        </a:p>
        <a:p xmlns:a="http://schemas.openxmlformats.org/drawingml/2006/main">
          <a:r>
            <a:rPr lang="en-AU" sz="1000">
              <a:latin typeface="Arial" pitchFamily="34" charset="0"/>
              <a:cs typeface="Arial" pitchFamily="34" charset="0"/>
            </a:rPr>
            <a:t>value</a:t>
          </a:r>
        </a:p>
      </cdr:txBody>
    </cdr:sp>
  </cdr:relSizeAnchor>
  <cdr:relSizeAnchor xmlns:cdr="http://schemas.openxmlformats.org/drawingml/2006/chartDrawing">
    <cdr:from>
      <cdr:x>0.178</cdr:x>
      <cdr:y>0.04567</cdr:y>
    </cdr:from>
    <cdr:to>
      <cdr:x>0.626</cdr:x>
      <cdr:y>0.17984</cdr:y>
    </cdr:to>
    <cdr:sp macro="" textlink="">
      <cdr:nvSpPr>
        <cdr:cNvPr id="3" name="TextBox 1"/>
        <cdr:cNvSpPr txBox="1"/>
      </cdr:nvSpPr>
      <cdr:spPr>
        <a:xfrm xmlns:a="http://schemas.openxmlformats.org/drawingml/2006/main">
          <a:off x="979963" y="130077"/>
          <a:ext cx="2466441" cy="38211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latin typeface="Arial" pitchFamily="34" charset="0"/>
              <a:cs typeface="Arial" pitchFamily="34" charset="0"/>
            </a:rPr>
            <a:t>Household</a:t>
          </a:r>
          <a:r>
            <a:rPr lang="en-AU" sz="1000" baseline="0">
              <a:latin typeface="Arial" pitchFamily="34" charset="0"/>
              <a:cs typeface="Arial" pitchFamily="34" charset="0"/>
            </a:rPr>
            <a:t> </a:t>
          </a:r>
          <a:r>
            <a:rPr lang="en-AU" sz="1000">
              <a:latin typeface="Arial" pitchFamily="34" charset="0"/>
              <a:cs typeface="Arial" pitchFamily="34" charset="0"/>
            </a:rPr>
            <a:t>disposable </a:t>
          </a:r>
          <a:endParaRPr lang="en-AU" sz="1000" baseline="0">
            <a:latin typeface="Arial" pitchFamily="34" charset="0"/>
            <a:cs typeface="Arial" pitchFamily="34" charset="0"/>
          </a:endParaRPr>
        </a:p>
        <a:p xmlns:a="http://schemas.openxmlformats.org/drawingml/2006/main">
          <a:r>
            <a:rPr lang="en-AU" sz="1000">
              <a:latin typeface="Arial" pitchFamily="34" charset="0"/>
              <a:cs typeface="Arial" pitchFamily="34" charset="0"/>
            </a:rPr>
            <a:t>income </a:t>
          </a:r>
        </a:p>
        <a:p xmlns:a="http://schemas.openxmlformats.org/drawingml/2006/main">
          <a:r>
            <a:rPr lang="en-AU" sz="1000">
              <a:latin typeface="Arial" pitchFamily="34" charset="0"/>
              <a:cs typeface="Arial" pitchFamily="34" charset="0"/>
            </a:rPr>
            <a:t>(LHS) </a:t>
          </a:r>
        </a:p>
      </cdr:txBody>
    </cdr:sp>
  </cdr:relSizeAnchor>
  <cdr:relSizeAnchor xmlns:cdr="http://schemas.openxmlformats.org/drawingml/2006/chartDrawing">
    <cdr:from>
      <cdr:x>0.01661</cdr:x>
      <cdr:y>0.00912</cdr:y>
    </cdr:from>
    <cdr:to>
      <cdr:x>0.07988</cdr:x>
      <cdr:y>0.88173</cdr:y>
    </cdr:to>
    <cdr:sp macro="" textlink="">
      <cdr:nvSpPr>
        <cdr:cNvPr id="4" name="TextBox 3"/>
        <cdr:cNvSpPr txBox="1"/>
      </cdr:nvSpPr>
      <cdr:spPr>
        <a:xfrm xmlns:a="http://schemas.openxmlformats.org/drawingml/2006/main" rot="16200000">
          <a:off x="-978474" y="1095376"/>
          <a:ext cx="2485159" cy="34636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rtl="0" eaLnBrk="1" fontAlgn="auto" latinLnBrk="0" hangingPunct="1">
            <a:lnSpc>
              <a:spcPct val="100000"/>
            </a:lnSpc>
            <a:spcBef>
              <a:spcPts val="0"/>
            </a:spcBef>
            <a:spcAft>
              <a:spcPts val="0"/>
            </a:spcAft>
            <a:buClrTx/>
            <a:buSzTx/>
            <a:buFontTx/>
            <a:buNone/>
            <a:tabLst/>
            <a:defRPr/>
          </a:pPr>
          <a:r>
            <a:rPr lang="en-AU" sz="1000" b="1" i="0" baseline="0">
              <a:effectLst/>
              <a:latin typeface="Arial" pitchFamily="34" charset="0"/>
              <a:ea typeface="+mn-ea"/>
              <a:cs typeface="Arial" pitchFamily="34" charset="0"/>
            </a:rPr>
            <a:t>Average weekly disposable income ($)</a:t>
          </a:r>
          <a:endParaRPr lang="en-AU" sz="1000">
            <a:effectLst/>
            <a:latin typeface="Arial" pitchFamily="34" charset="0"/>
            <a:cs typeface="Arial" pitchFamily="34" charset="0"/>
          </a:endParaRPr>
        </a:p>
        <a:p xmlns:a="http://schemas.openxmlformats.org/drawingml/2006/main">
          <a:endParaRPr lang="en-AU" sz="1000">
            <a:latin typeface="Arial" pitchFamily="34" charset="0"/>
            <a:cs typeface="Arial"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0.45968</cdr:x>
      <cdr:y>0.1776</cdr:y>
    </cdr:from>
    <cdr:to>
      <cdr:x>0.49516</cdr:x>
      <cdr:y>0.2377</cdr:y>
    </cdr:to>
    <cdr:sp macro="" textlink="">
      <cdr:nvSpPr>
        <cdr:cNvPr id="2" name="Rectangle 1"/>
        <cdr:cNvSpPr/>
      </cdr:nvSpPr>
      <cdr:spPr>
        <a:xfrm xmlns:a="http://schemas.openxmlformats.org/drawingml/2006/main">
          <a:off x="2714625" y="619125"/>
          <a:ext cx="209550" cy="209550"/>
        </a:xfrm>
        <a:prstGeom xmlns:a="http://schemas.openxmlformats.org/drawingml/2006/main" prst="rect">
          <a:avLst/>
        </a:prstGeom>
        <a:solidFill xmlns:a="http://schemas.openxmlformats.org/drawingml/2006/main">
          <a:srgbClr val="B4C98B"/>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0.46022</cdr:x>
      <cdr:y>0.28506</cdr:y>
    </cdr:from>
    <cdr:to>
      <cdr:x>0.4957</cdr:x>
      <cdr:y>0.34517</cdr:y>
    </cdr:to>
    <cdr:sp macro="" textlink="">
      <cdr:nvSpPr>
        <cdr:cNvPr id="4" name="Rectangle 3"/>
        <cdr:cNvSpPr/>
      </cdr:nvSpPr>
      <cdr:spPr>
        <a:xfrm xmlns:a="http://schemas.openxmlformats.org/drawingml/2006/main">
          <a:off x="2717800" y="993775"/>
          <a:ext cx="209550" cy="209550"/>
        </a:xfrm>
        <a:prstGeom xmlns:a="http://schemas.openxmlformats.org/drawingml/2006/main" prst="rect">
          <a:avLst/>
        </a:prstGeom>
        <a:solidFill xmlns:a="http://schemas.openxmlformats.org/drawingml/2006/main">
          <a:srgbClr val="39580D"/>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0.50161</cdr:x>
      <cdr:y>0.27596</cdr:y>
    </cdr:from>
    <cdr:to>
      <cdr:x>0.78548</cdr:x>
      <cdr:y>0.36612</cdr:y>
    </cdr:to>
    <cdr:sp macro="" textlink="">
      <cdr:nvSpPr>
        <cdr:cNvPr id="5" name="TextBox 4"/>
        <cdr:cNvSpPr txBox="1"/>
      </cdr:nvSpPr>
      <cdr:spPr>
        <a:xfrm xmlns:a="http://schemas.openxmlformats.org/drawingml/2006/main">
          <a:off x="2962275" y="962025"/>
          <a:ext cx="1676400" cy="3143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a:latin typeface="Arial" pitchFamily="34" charset="0"/>
              <a:cs typeface="Arial" pitchFamily="34" charset="0"/>
            </a:rPr>
            <a:t>Population</a:t>
          </a:r>
          <a:r>
            <a:rPr lang="en-AU" sz="1000" baseline="0">
              <a:latin typeface="Arial" pitchFamily="34" charset="0"/>
              <a:cs typeface="Arial" pitchFamily="34" charset="0"/>
            </a:rPr>
            <a:t> </a:t>
          </a:r>
          <a:r>
            <a:rPr lang="en-AU" sz="1000">
              <a:latin typeface="Arial" pitchFamily="34" charset="0"/>
              <a:cs typeface="Arial" pitchFamily="34" charset="0"/>
            </a:rPr>
            <a:t>in 2011-12 (millions)</a:t>
          </a:r>
        </a:p>
      </cdr:txBody>
    </cdr:sp>
  </cdr:relSizeAnchor>
  <cdr:relSizeAnchor xmlns:cdr="http://schemas.openxmlformats.org/drawingml/2006/chartDrawing">
    <cdr:from>
      <cdr:x>0.45968</cdr:x>
      <cdr:y>0.1776</cdr:y>
    </cdr:from>
    <cdr:to>
      <cdr:x>0.49516</cdr:x>
      <cdr:y>0.2377</cdr:y>
    </cdr:to>
    <cdr:sp macro="" textlink="">
      <cdr:nvSpPr>
        <cdr:cNvPr id="7" name="Rectangle 1"/>
        <cdr:cNvSpPr/>
      </cdr:nvSpPr>
      <cdr:spPr>
        <a:xfrm xmlns:a="http://schemas.openxmlformats.org/drawingml/2006/main">
          <a:off x="2714625" y="619125"/>
          <a:ext cx="209550" cy="209550"/>
        </a:xfrm>
        <a:prstGeom xmlns:a="http://schemas.openxmlformats.org/drawingml/2006/main" prst="rect">
          <a:avLst/>
        </a:prstGeom>
        <a:solidFill xmlns:a="http://schemas.openxmlformats.org/drawingml/2006/main">
          <a:srgbClr val="B4C98B"/>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0.46022</cdr:x>
      <cdr:y>0.28506</cdr:y>
    </cdr:from>
    <cdr:to>
      <cdr:x>0.4957</cdr:x>
      <cdr:y>0.34517</cdr:y>
    </cdr:to>
    <cdr:sp macro="" textlink="">
      <cdr:nvSpPr>
        <cdr:cNvPr id="8" name="Rectangle 3"/>
        <cdr:cNvSpPr/>
      </cdr:nvSpPr>
      <cdr:spPr>
        <a:xfrm xmlns:a="http://schemas.openxmlformats.org/drawingml/2006/main">
          <a:off x="2717800" y="993775"/>
          <a:ext cx="209550" cy="209550"/>
        </a:xfrm>
        <a:prstGeom xmlns:a="http://schemas.openxmlformats.org/drawingml/2006/main" prst="rect">
          <a:avLst/>
        </a:prstGeom>
        <a:solidFill xmlns:a="http://schemas.openxmlformats.org/drawingml/2006/main">
          <a:srgbClr val="39580D"/>
        </a:solidFill>
        <a:ln xmlns:a="http://schemas.openxmlformats.org/drawingml/2006/main" w="635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0.50094</cdr:x>
      <cdr:y>0.17658</cdr:y>
    </cdr:from>
    <cdr:to>
      <cdr:x>0.86331</cdr:x>
      <cdr:y>0.26674</cdr:y>
    </cdr:to>
    <cdr:sp macro="" textlink="">
      <cdr:nvSpPr>
        <cdr:cNvPr id="10" name="TextBox 1"/>
        <cdr:cNvSpPr txBox="1"/>
      </cdr:nvSpPr>
      <cdr:spPr>
        <a:xfrm xmlns:a="http://schemas.openxmlformats.org/drawingml/2006/main">
          <a:off x="2806272" y="574741"/>
          <a:ext cx="2030019" cy="29345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i="0">
              <a:latin typeface="Arial" pitchFamily="34" charset="0"/>
              <a:cs typeface="Arial" pitchFamily="34" charset="0"/>
            </a:rPr>
            <a:t>Growth</a:t>
          </a:r>
          <a:r>
            <a:rPr lang="en-AU" sz="1000">
              <a:latin typeface="Arial" pitchFamily="34" charset="0"/>
              <a:cs typeface="Arial" pitchFamily="34" charset="0"/>
            </a:rPr>
            <a:t> in population by 2059-60 (millions) </a:t>
          </a:r>
        </a:p>
      </cdr:txBody>
    </cdr:sp>
  </cdr:relSizeAnchor>
  <cdr:relSizeAnchor xmlns:cdr="http://schemas.openxmlformats.org/drawingml/2006/chartDrawing">
    <cdr:from>
      <cdr:x>0.76452</cdr:x>
      <cdr:y>0.81421</cdr:y>
    </cdr:from>
    <cdr:to>
      <cdr:x>0.84355</cdr:x>
      <cdr:y>0.89891</cdr:y>
    </cdr:to>
    <cdr:sp macro="" textlink="">
      <cdr:nvSpPr>
        <cdr:cNvPr id="11" name="TextBox 10"/>
        <cdr:cNvSpPr txBox="1"/>
      </cdr:nvSpPr>
      <cdr:spPr>
        <a:xfrm xmlns:a="http://schemas.openxmlformats.org/drawingml/2006/main">
          <a:off x="4514850" y="2838450"/>
          <a:ext cx="466725" cy="2952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b="1">
              <a:latin typeface="Arial" pitchFamily="34" charset="0"/>
              <a:cs typeface="Arial" pitchFamily="34" charset="0"/>
            </a:rPr>
            <a:t>0.27</a:t>
          </a:r>
        </a:p>
      </cdr:txBody>
    </cdr:sp>
  </cdr:relSizeAnchor>
  <cdr:relSizeAnchor xmlns:cdr="http://schemas.openxmlformats.org/drawingml/2006/chartDrawing">
    <cdr:from>
      <cdr:x>0.87903</cdr:x>
      <cdr:y>0.81239</cdr:y>
    </cdr:from>
    <cdr:to>
      <cdr:x>0.95806</cdr:x>
      <cdr:y>0.89709</cdr:y>
    </cdr:to>
    <cdr:sp macro="" textlink="">
      <cdr:nvSpPr>
        <cdr:cNvPr id="17" name="TextBox 1"/>
        <cdr:cNvSpPr txBox="1"/>
      </cdr:nvSpPr>
      <cdr:spPr>
        <a:xfrm xmlns:a="http://schemas.openxmlformats.org/drawingml/2006/main">
          <a:off x="5191125" y="2832100"/>
          <a:ext cx="466725" cy="2952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latin typeface="Arial" pitchFamily="34" charset="0"/>
              <a:cs typeface="Arial" pitchFamily="34" charset="0"/>
            </a:rPr>
            <a:t>0.30</a:t>
          </a:r>
        </a:p>
      </cdr:txBody>
    </cdr:sp>
  </cdr:relSizeAnchor>
  <cdr:relSizeAnchor xmlns:cdr="http://schemas.openxmlformats.org/drawingml/2006/chartDrawing">
    <cdr:from>
      <cdr:x>0.06344</cdr:x>
      <cdr:y>0.03097</cdr:y>
    </cdr:from>
    <cdr:to>
      <cdr:x>0.14247</cdr:x>
      <cdr:y>0.11566</cdr:y>
    </cdr:to>
    <cdr:sp macro="" textlink="">
      <cdr:nvSpPr>
        <cdr:cNvPr id="19" name="TextBox 1"/>
        <cdr:cNvSpPr txBox="1"/>
      </cdr:nvSpPr>
      <cdr:spPr>
        <a:xfrm xmlns:a="http://schemas.openxmlformats.org/drawingml/2006/main">
          <a:off x="374650" y="107950"/>
          <a:ext cx="466725" cy="2952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latin typeface="Arial" pitchFamily="34" charset="0"/>
              <a:cs typeface="Arial" pitchFamily="34" charset="0"/>
            </a:rPr>
            <a:t>7.54</a:t>
          </a:r>
        </a:p>
      </cdr:txBody>
    </cdr:sp>
  </cdr:relSizeAnchor>
  <cdr:relSizeAnchor xmlns:cdr="http://schemas.openxmlformats.org/drawingml/2006/chartDrawing">
    <cdr:from>
      <cdr:x>0.18118</cdr:x>
      <cdr:y>0.03916</cdr:y>
    </cdr:from>
    <cdr:to>
      <cdr:x>0.26022</cdr:x>
      <cdr:y>0.12386</cdr:y>
    </cdr:to>
    <cdr:sp macro="" textlink="">
      <cdr:nvSpPr>
        <cdr:cNvPr id="20" name="TextBox 1"/>
        <cdr:cNvSpPr txBox="1"/>
      </cdr:nvSpPr>
      <cdr:spPr>
        <a:xfrm xmlns:a="http://schemas.openxmlformats.org/drawingml/2006/main">
          <a:off x="1069975" y="136525"/>
          <a:ext cx="466725" cy="2952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latin typeface="Arial" pitchFamily="34" charset="0"/>
              <a:cs typeface="Arial" pitchFamily="34" charset="0"/>
            </a:rPr>
            <a:t>7.35</a:t>
          </a:r>
        </a:p>
      </cdr:txBody>
    </cdr:sp>
  </cdr:relSizeAnchor>
  <cdr:relSizeAnchor xmlns:cdr="http://schemas.openxmlformats.org/drawingml/2006/chartDrawing">
    <cdr:from>
      <cdr:x>0.2957</cdr:x>
      <cdr:y>0.35883</cdr:y>
    </cdr:from>
    <cdr:to>
      <cdr:x>0.37473</cdr:x>
      <cdr:y>0.44353</cdr:y>
    </cdr:to>
    <cdr:sp macro="" textlink="">
      <cdr:nvSpPr>
        <cdr:cNvPr id="21" name="TextBox 1"/>
        <cdr:cNvSpPr txBox="1"/>
      </cdr:nvSpPr>
      <cdr:spPr>
        <a:xfrm xmlns:a="http://schemas.openxmlformats.org/drawingml/2006/main">
          <a:off x="1746250" y="1250950"/>
          <a:ext cx="466725" cy="2952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latin typeface="Arial" pitchFamily="34" charset="0"/>
              <a:cs typeface="Arial" pitchFamily="34" charset="0"/>
            </a:rPr>
            <a:t>4.35</a:t>
          </a:r>
        </a:p>
      </cdr:txBody>
    </cdr:sp>
  </cdr:relSizeAnchor>
  <cdr:relSizeAnchor xmlns:cdr="http://schemas.openxmlformats.org/drawingml/2006/chartDrawing">
    <cdr:from>
      <cdr:x>0.41022</cdr:x>
      <cdr:y>0.42441</cdr:y>
    </cdr:from>
    <cdr:to>
      <cdr:x>0.48925</cdr:x>
      <cdr:y>0.50911</cdr:y>
    </cdr:to>
    <cdr:sp macro="" textlink="">
      <cdr:nvSpPr>
        <cdr:cNvPr id="22" name="TextBox 1"/>
        <cdr:cNvSpPr txBox="1"/>
      </cdr:nvSpPr>
      <cdr:spPr>
        <a:xfrm xmlns:a="http://schemas.openxmlformats.org/drawingml/2006/main">
          <a:off x="2422525" y="1479550"/>
          <a:ext cx="466725" cy="2952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latin typeface="Arial" pitchFamily="34" charset="0"/>
              <a:cs typeface="Arial" pitchFamily="34" charset="0"/>
            </a:rPr>
            <a:t>3.67</a:t>
          </a:r>
        </a:p>
      </cdr:txBody>
    </cdr:sp>
  </cdr:relSizeAnchor>
  <cdr:relSizeAnchor xmlns:cdr="http://schemas.openxmlformats.org/drawingml/2006/chartDrawing">
    <cdr:from>
      <cdr:x>0.52634</cdr:x>
      <cdr:y>0.63206</cdr:y>
    </cdr:from>
    <cdr:to>
      <cdr:x>0.60538</cdr:x>
      <cdr:y>0.71676</cdr:y>
    </cdr:to>
    <cdr:sp macro="" textlink="">
      <cdr:nvSpPr>
        <cdr:cNvPr id="23" name="TextBox 1"/>
        <cdr:cNvSpPr txBox="1"/>
      </cdr:nvSpPr>
      <cdr:spPr>
        <a:xfrm xmlns:a="http://schemas.openxmlformats.org/drawingml/2006/main">
          <a:off x="3108325" y="2203450"/>
          <a:ext cx="466725" cy="2952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latin typeface="Arial" pitchFamily="34" charset="0"/>
              <a:cs typeface="Arial" pitchFamily="34" charset="0"/>
            </a:rPr>
            <a:t>1.77</a:t>
          </a:r>
        </a:p>
      </cdr:txBody>
    </cdr:sp>
  </cdr:relSizeAnchor>
  <cdr:relSizeAnchor xmlns:cdr="http://schemas.openxmlformats.org/drawingml/2006/chartDrawing">
    <cdr:from>
      <cdr:x>0.64892</cdr:x>
      <cdr:y>0.7796</cdr:y>
    </cdr:from>
    <cdr:to>
      <cdr:x>0.72796</cdr:x>
      <cdr:y>0.8643</cdr:y>
    </cdr:to>
    <cdr:sp macro="" textlink="">
      <cdr:nvSpPr>
        <cdr:cNvPr id="24" name="TextBox 1"/>
        <cdr:cNvSpPr txBox="1"/>
      </cdr:nvSpPr>
      <cdr:spPr>
        <a:xfrm xmlns:a="http://schemas.openxmlformats.org/drawingml/2006/main">
          <a:off x="3832225" y="2717800"/>
          <a:ext cx="466725" cy="2952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latin typeface="Arial" pitchFamily="34" charset="0"/>
              <a:cs typeface="Arial" pitchFamily="34" charset="0"/>
            </a:rPr>
            <a:t>0.55</a:t>
          </a:r>
        </a:p>
      </cdr:txBody>
    </cdr:sp>
  </cdr:relSizeAnchor>
</c:userShapes>
</file>

<file path=word/drawings/drawing3.xml><?xml version="1.0" encoding="utf-8"?>
<c:userShapes xmlns:c="http://schemas.openxmlformats.org/drawingml/2006/chart">
  <cdr:relSizeAnchor xmlns:cdr="http://schemas.openxmlformats.org/drawingml/2006/chartDrawing">
    <cdr:from>
      <cdr:x>0.56155</cdr:x>
      <cdr:y>0.04391</cdr:y>
    </cdr:from>
    <cdr:to>
      <cdr:x>0.88611</cdr:x>
      <cdr:y>0.20607</cdr:y>
    </cdr:to>
    <cdr:sp macro="" textlink="">
      <cdr:nvSpPr>
        <cdr:cNvPr id="2" name="TextBox 1"/>
        <cdr:cNvSpPr txBox="1"/>
      </cdr:nvSpPr>
      <cdr:spPr>
        <a:xfrm xmlns:a="http://schemas.openxmlformats.org/drawingml/2006/main">
          <a:off x="989943" y="71129"/>
          <a:ext cx="572158" cy="26270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b="1">
              <a:latin typeface="Arial" pitchFamily="34" charset="0"/>
              <a:cs typeface="Arial" pitchFamily="34" charset="0"/>
            </a:rPr>
            <a:t>At birth</a:t>
          </a:r>
        </a:p>
      </cdr:txBody>
    </cdr:sp>
  </cdr:relSizeAnchor>
  <cdr:relSizeAnchor xmlns:cdr="http://schemas.openxmlformats.org/drawingml/2006/chartDrawing">
    <cdr:from>
      <cdr:x>0.32197</cdr:x>
      <cdr:y>0.39052</cdr:y>
    </cdr:from>
    <cdr:to>
      <cdr:x>0.73476</cdr:x>
      <cdr:y>0.55268</cdr:y>
    </cdr:to>
    <cdr:sp macro="" textlink="">
      <cdr:nvSpPr>
        <cdr:cNvPr id="3" name="TextBox 1"/>
        <cdr:cNvSpPr txBox="1"/>
      </cdr:nvSpPr>
      <cdr:spPr>
        <a:xfrm xmlns:a="http://schemas.openxmlformats.org/drawingml/2006/main">
          <a:off x="521590" y="632637"/>
          <a:ext cx="668724" cy="26270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males</a:t>
          </a:r>
        </a:p>
      </cdr:txBody>
    </cdr:sp>
  </cdr:relSizeAnchor>
  <cdr:relSizeAnchor xmlns:cdr="http://schemas.openxmlformats.org/drawingml/2006/chartDrawing">
    <cdr:from>
      <cdr:x>0.16473</cdr:x>
      <cdr:y>0.66126</cdr:y>
    </cdr:from>
    <cdr:to>
      <cdr:x>0.57752</cdr:x>
      <cdr:y>0.82342</cdr:y>
    </cdr:to>
    <cdr:sp macro="" textlink="">
      <cdr:nvSpPr>
        <cdr:cNvPr id="4" name="TextBox 1"/>
        <cdr:cNvSpPr txBox="1"/>
      </cdr:nvSpPr>
      <cdr:spPr>
        <a:xfrm xmlns:a="http://schemas.openxmlformats.org/drawingml/2006/main">
          <a:off x="269875" y="1165225"/>
          <a:ext cx="676275" cy="2857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females</a:t>
          </a:r>
        </a:p>
      </cdr:txBody>
    </cdr:sp>
  </cdr:relSizeAnchor>
</c:userShapes>
</file>

<file path=word/drawings/drawing4.xml><?xml version="1.0" encoding="utf-8"?>
<c:userShapes xmlns:c="http://schemas.openxmlformats.org/drawingml/2006/chart">
  <cdr:relSizeAnchor xmlns:cdr="http://schemas.openxmlformats.org/drawingml/2006/chartDrawing">
    <cdr:from>
      <cdr:x>0.47564</cdr:x>
      <cdr:y>0.04694</cdr:y>
    </cdr:from>
    <cdr:to>
      <cdr:x>0.88817</cdr:x>
      <cdr:y>0.2091</cdr:y>
    </cdr:to>
    <cdr:sp macro="" textlink="">
      <cdr:nvSpPr>
        <cdr:cNvPr id="2" name="TextBox 1"/>
        <cdr:cNvSpPr txBox="1"/>
      </cdr:nvSpPr>
      <cdr:spPr>
        <a:xfrm xmlns:a="http://schemas.openxmlformats.org/drawingml/2006/main">
          <a:off x="841295" y="74551"/>
          <a:ext cx="729670" cy="25755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b="1">
              <a:latin typeface="Arial" pitchFamily="34" charset="0"/>
              <a:cs typeface="Arial" pitchFamily="34" charset="0"/>
            </a:rPr>
            <a:t>At 20 years</a:t>
          </a:r>
        </a:p>
      </cdr:txBody>
    </cdr:sp>
  </cdr:relSizeAnchor>
  <cdr:relSizeAnchor xmlns:cdr="http://schemas.openxmlformats.org/drawingml/2006/chartDrawing">
    <cdr:from>
      <cdr:x>0.63857</cdr:x>
      <cdr:y>0.30565</cdr:y>
    </cdr:from>
    <cdr:to>
      <cdr:x>0.92983</cdr:x>
      <cdr:y>0.46781</cdr:y>
    </cdr:to>
    <cdr:sp macro="" textlink="">
      <cdr:nvSpPr>
        <cdr:cNvPr id="3" name="TextBox 1"/>
        <cdr:cNvSpPr txBox="1"/>
      </cdr:nvSpPr>
      <cdr:spPr>
        <a:xfrm xmlns:a="http://schemas.openxmlformats.org/drawingml/2006/main">
          <a:off x="1129470" y="485447"/>
          <a:ext cx="515181" cy="25755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males</a:t>
          </a:r>
        </a:p>
      </cdr:txBody>
    </cdr:sp>
  </cdr:relSizeAnchor>
  <cdr:relSizeAnchor xmlns:cdr="http://schemas.openxmlformats.org/drawingml/2006/chartDrawing">
    <cdr:from>
      <cdr:x>0.13139</cdr:x>
      <cdr:y>0.66635</cdr:y>
    </cdr:from>
    <cdr:to>
      <cdr:x>0.54392</cdr:x>
      <cdr:y>0.82851</cdr:y>
    </cdr:to>
    <cdr:sp macro="" textlink="">
      <cdr:nvSpPr>
        <cdr:cNvPr id="4" name="TextBox 1"/>
        <cdr:cNvSpPr txBox="1"/>
      </cdr:nvSpPr>
      <cdr:spPr>
        <a:xfrm xmlns:a="http://schemas.openxmlformats.org/drawingml/2006/main">
          <a:off x="231775" y="1079489"/>
          <a:ext cx="727705" cy="26270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females</a:t>
          </a:r>
        </a:p>
      </cdr:txBody>
    </cdr:sp>
  </cdr:relSizeAnchor>
</c:userShapes>
</file>

<file path=word/drawings/drawing5.xml><?xml version="1.0" encoding="utf-8"?>
<c:userShapes xmlns:c="http://schemas.openxmlformats.org/drawingml/2006/chart">
  <cdr:relSizeAnchor xmlns:cdr="http://schemas.openxmlformats.org/drawingml/2006/chartDrawing">
    <cdr:from>
      <cdr:x>0.47623</cdr:x>
      <cdr:y>0.04891</cdr:y>
    </cdr:from>
    <cdr:to>
      <cdr:x>0.88462</cdr:x>
      <cdr:y>0.21107</cdr:y>
    </cdr:to>
    <cdr:sp macro="" textlink="">
      <cdr:nvSpPr>
        <cdr:cNvPr id="2" name="TextBox 1"/>
        <cdr:cNvSpPr txBox="1"/>
      </cdr:nvSpPr>
      <cdr:spPr>
        <a:xfrm xmlns:a="http://schemas.openxmlformats.org/drawingml/2006/main">
          <a:off x="841809" y="77677"/>
          <a:ext cx="721878" cy="25755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b="1">
              <a:latin typeface="Arial" pitchFamily="34" charset="0"/>
              <a:cs typeface="Arial" pitchFamily="34" charset="0"/>
            </a:rPr>
            <a:t>At 30 years</a:t>
          </a:r>
        </a:p>
      </cdr:txBody>
    </cdr:sp>
  </cdr:relSizeAnchor>
  <cdr:relSizeAnchor xmlns:cdr="http://schemas.openxmlformats.org/drawingml/2006/chartDrawing">
    <cdr:from>
      <cdr:x>0.50159</cdr:x>
      <cdr:y>0.42051</cdr:y>
    </cdr:from>
    <cdr:to>
      <cdr:x>0.83971</cdr:x>
      <cdr:y>0.58267</cdr:y>
    </cdr:to>
    <cdr:sp macro="" textlink="">
      <cdr:nvSpPr>
        <cdr:cNvPr id="3" name="TextBox 1"/>
        <cdr:cNvSpPr txBox="1"/>
      </cdr:nvSpPr>
      <cdr:spPr>
        <a:xfrm xmlns:a="http://schemas.openxmlformats.org/drawingml/2006/main">
          <a:off x="886629" y="667869"/>
          <a:ext cx="597683" cy="2575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males</a:t>
          </a:r>
        </a:p>
      </cdr:txBody>
    </cdr:sp>
  </cdr:relSizeAnchor>
  <cdr:relSizeAnchor xmlns:cdr="http://schemas.openxmlformats.org/drawingml/2006/chartDrawing">
    <cdr:from>
      <cdr:x>0.16473</cdr:x>
      <cdr:y>0.66126</cdr:y>
    </cdr:from>
    <cdr:to>
      <cdr:x>0.57752</cdr:x>
      <cdr:y>0.82342</cdr:y>
    </cdr:to>
    <cdr:sp macro="" textlink="">
      <cdr:nvSpPr>
        <cdr:cNvPr id="4" name="TextBox 1"/>
        <cdr:cNvSpPr txBox="1"/>
      </cdr:nvSpPr>
      <cdr:spPr>
        <a:xfrm xmlns:a="http://schemas.openxmlformats.org/drawingml/2006/main">
          <a:off x="269875" y="1165225"/>
          <a:ext cx="676275" cy="2857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females</a:t>
          </a:r>
        </a:p>
      </cdr:txBody>
    </cdr:sp>
  </cdr:relSizeAnchor>
</c:userShapes>
</file>

<file path=word/drawings/drawing6.xml><?xml version="1.0" encoding="utf-8"?>
<c:userShapes xmlns:c="http://schemas.openxmlformats.org/drawingml/2006/chart">
  <cdr:relSizeAnchor xmlns:cdr="http://schemas.openxmlformats.org/drawingml/2006/chartDrawing">
    <cdr:from>
      <cdr:x>0.48516</cdr:x>
      <cdr:y>0.05697</cdr:y>
    </cdr:from>
    <cdr:to>
      <cdr:x>0.89769</cdr:x>
      <cdr:y>0.21914</cdr:y>
    </cdr:to>
    <cdr:sp macro="" textlink="">
      <cdr:nvSpPr>
        <cdr:cNvPr id="2" name="TextBox 1"/>
        <cdr:cNvSpPr txBox="1"/>
      </cdr:nvSpPr>
      <cdr:spPr>
        <a:xfrm xmlns:a="http://schemas.openxmlformats.org/drawingml/2006/main">
          <a:off x="858131" y="90488"/>
          <a:ext cx="729670" cy="25755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b="1">
              <a:latin typeface="Arial" pitchFamily="34" charset="0"/>
              <a:cs typeface="Arial" pitchFamily="34" charset="0"/>
            </a:rPr>
            <a:t>At 50 years</a:t>
          </a:r>
        </a:p>
      </cdr:txBody>
    </cdr:sp>
  </cdr:relSizeAnchor>
  <cdr:relSizeAnchor xmlns:cdr="http://schemas.openxmlformats.org/drawingml/2006/chartDrawing">
    <cdr:from>
      <cdr:x>0.61218</cdr:x>
      <cdr:y>0.29069</cdr:y>
    </cdr:from>
    <cdr:to>
      <cdr:x>0.92714</cdr:x>
      <cdr:y>0.45286</cdr:y>
    </cdr:to>
    <cdr:sp macro="" textlink="">
      <cdr:nvSpPr>
        <cdr:cNvPr id="3" name="TextBox 1"/>
        <cdr:cNvSpPr txBox="1"/>
      </cdr:nvSpPr>
      <cdr:spPr>
        <a:xfrm xmlns:a="http://schemas.openxmlformats.org/drawingml/2006/main">
          <a:off x="1082807" y="461695"/>
          <a:ext cx="557082" cy="25755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males</a:t>
          </a:r>
        </a:p>
      </cdr:txBody>
    </cdr:sp>
  </cdr:relSizeAnchor>
  <cdr:relSizeAnchor xmlns:cdr="http://schemas.openxmlformats.org/drawingml/2006/chartDrawing">
    <cdr:from>
      <cdr:x>0.17232</cdr:x>
      <cdr:y>0.50147</cdr:y>
    </cdr:from>
    <cdr:to>
      <cdr:x>0.58485</cdr:x>
      <cdr:y>0.66363</cdr:y>
    </cdr:to>
    <cdr:sp macro="" textlink="">
      <cdr:nvSpPr>
        <cdr:cNvPr id="4" name="TextBox 1"/>
        <cdr:cNvSpPr txBox="1"/>
      </cdr:nvSpPr>
      <cdr:spPr>
        <a:xfrm xmlns:a="http://schemas.openxmlformats.org/drawingml/2006/main">
          <a:off x="304799" y="796455"/>
          <a:ext cx="729669" cy="25755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females</a:t>
          </a:r>
        </a:p>
      </cdr:txBody>
    </cdr:sp>
  </cdr:relSizeAnchor>
</c:userShapes>
</file>

<file path=word/drawings/drawing7.xml><?xml version="1.0" encoding="utf-8"?>
<c:userShapes xmlns:c="http://schemas.openxmlformats.org/drawingml/2006/chart">
  <cdr:relSizeAnchor xmlns:cdr="http://schemas.openxmlformats.org/drawingml/2006/chartDrawing">
    <cdr:from>
      <cdr:x>0.65136</cdr:x>
      <cdr:y>0.03391</cdr:y>
    </cdr:from>
    <cdr:to>
      <cdr:x>0.9385</cdr:x>
      <cdr:y>0.30985</cdr:y>
    </cdr:to>
    <cdr:sp macro="" textlink="">
      <cdr:nvSpPr>
        <cdr:cNvPr id="2" name="TextBox 1"/>
        <cdr:cNvSpPr txBox="1"/>
      </cdr:nvSpPr>
      <cdr:spPr>
        <a:xfrm xmlns:a="http://schemas.openxmlformats.org/drawingml/2006/main">
          <a:off x="1151372" y="53864"/>
          <a:ext cx="507566" cy="43826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b="1">
              <a:latin typeface="Arial" pitchFamily="34" charset="0"/>
              <a:cs typeface="Arial" pitchFamily="34" charset="0"/>
            </a:rPr>
            <a:t>At 70 </a:t>
          </a:r>
        </a:p>
        <a:p xmlns:a="http://schemas.openxmlformats.org/drawingml/2006/main">
          <a:r>
            <a:rPr lang="en-AU" sz="900" b="1">
              <a:latin typeface="Arial" pitchFamily="34" charset="0"/>
              <a:cs typeface="Arial" pitchFamily="34" charset="0"/>
            </a:rPr>
            <a:t>years</a:t>
          </a:r>
        </a:p>
      </cdr:txBody>
    </cdr:sp>
  </cdr:relSizeAnchor>
  <cdr:relSizeAnchor xmlns:cdr="http://schemas.openxmlformats.org/drawingml/2006/chartDrawing">
    <cdr:from>
      <cdr:x>0.27707</cdr:x>
      <cdr:y>0.13564</cdr:y>
    </cdr:from>
    <cdr:to>
      <cdr:x>0.58376</cdr:x>
      <cdr:y>0.2978</cdr:y>
    </cdr:to>
    <cdr:sp macro="" textlink="">
      <cdr:nvSpPr>
        <cdr:cNvPr id="3" name="TextBox 1"/>
        <cdr:cNvSpPr txBox="1"/>
      </cdr:nvSpPr>
      <cdr:spPr>
        <a:xfrm xmlns:a="http://schemas.openxmlformats.org/drawingml/2006/main">
          <a:off x="489754" y="215431"/>
          <a:ext cx="542121" cy="2575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males</a:t>
          </a:r>
        </a:p>
      </cdr:txBody>
    </cdr:sp>
  </cdr:relSizeAnchor>
  <cdr:relSizeAnchor xmlns:cdr="http://schemas.openxmlformats.org/drawingml/2006/chartDrawing">
    <cdr:from>
      <cdr:x>0.16024</cdr:x>
      <cdr:y>0.41138</cdr:y>
    </cdr:from>
    <cdr:to>
      <cdr:x>0.57303</cdr:x>
      <cdr:y>0.57354</cdr:y>
    </cdr:to>
    <cdr:sp macro="" textlink="">
      <cdr:nvSpPr>
        <cdr:cNvPr id="4" name="TextBox 1"/>
        <cdr:cNvSpPr txBox="1"/>
      </cdr:nvSpPr>
      <cdr:spPr>
        <a:xfrm xmlns:a="http://schemas.openxmlformats.org/drawingml/2006/main">
          <a:off x="283247" y="653371"/>
          <a:ext cx="729666" cy="2575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females</a:t>
          </a:r>
        </a:p>
      </cdr:txBody>
    </cdr:sp>
  </cdr:relSizeAnchor>
</c:userShapes>
</file>

<file path=word/drawings/drawing8.xml><?xml version="1.0" encoding="utf-8"?>
<c:userShapes xmlns:c="http://schemas.openxmlformats.org/drawingml/2006/chart">
  <cdr:relSizeAnchor xmlns:cdr="http://schemas.openxmlformats.org/drawingml/2006/chartDrawing">
    <cdr:from>
      <cdr:x>0.48072</cdr:x>
      <cdr:y>0.02892</cdr:y>
    </cdr:from>
    <cdr:to>
      <cdr:x>0.90707</cdr:x>
      <cdr:y>0.19491</cdr:y>
    </cdr:to>
    <cdr:sp macro="" textlink="">
      <cdr:nvSpPr>
        <cdr:cNvPr id="2" name="TextBox 1"/>
        <cdr:cNvSpPr txBox="1"/>
      </cdr:nvSpPr>
      <cdr:spPr>
        <a:xfrm xmlns:a="http://schemas.openxmlformats.org/drawingml/2006/main">
          <a:off x="849746" y="45928"/>
          <a:ext cx="753629" cy="26363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900" b="1">
              <a:latin typeface="Arial" pitchFamily="34" charset="0"/>
              <a:cs typeface="Arial" pitchFamily="34" charset="0"/>
            </a:rPr>
            <a:t>At 80 years</a:t>
          </a:r>
        </a:p>
      </cdr:txBody>
    </cdr:sp>
  </cdr:relSizeAnchor>
  <cdr:relSizeAnchor xmlns:cdr="http://schemas.openxmlformats.org/drawingml/2006/chartDrawing">
    <cdr:from>
      <cdr:x>0.61834</cdr:x>
      <cdr:y>0.19061</cdr:y>
    </cdr:from>
    <cdr:to>
      <cdr:x>0.94299</cdr:x>
      <cdr:y>0.35277</cdr:y>
    </cdr:to>
    <cdr:sp macro="" textlink="">
      <cdr:nvSpPr>
        <cdr:cNvPr id="3" name="TextBox 1"/>
        <cdr:cNvSpPr txBox="1"/>
      </cdr:nvSpPr>
      <cdr:spPr>
        <a:xfrm xmlns:a="http://schemas.openxmlformats.org/drawingml/2006/main">
          <a:off x="1093004" y="302743"/>
          <a:ext cx="573871" cy="2575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males</a:t>
          </a:r>
        </a:p>
      </cdr:txBody>
    </cdr:sp>
  </cdr:relSizeAnchor>
  <cdr:relSizeAnchor xmlns:cdr="http://schemas.openxmlformats.org/drawingml/2006/chartDrawing">
    <cdr:from>
      <cdr:x>0.26352</cdr:x>
      <cdr:y>0.41138</cdr:y>
    </cdr:from>
    <cdr:to>
      <cdr:x>0.67631</cdr:x>
      <cdr:y>0.57354</cdr:y>
    </cdr:to>
    <cdr:sp macro="" textlink="">
      <cdr:nvSpPr>
        <cdr:cNvPr id="4" name="TextBox 1"/>
        <cdr:cNvSpPr txBox="1"/>
      </cdr:nvSpPr>
      <cdr:spPr>
        <a:xfrm xmlns:a="http://schemas.openxmlformats.org/drawingml/2006/main">
          <a:off x="465810" y="653371"/>
          <a:ext cx="729666" cy="2575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itchFamily="34" charset="0"/>
              <a:cs typeface="Arial" pitchFamily="34" charset="0"/>
            </a:rPr>
            <a:t>females</a:t>
          </a:r>
        </a:p>
      </cdr:txBody>
    </cdr:sp>
  </cdr:relSizeAnchor>
</c:userShapes>
</file>

<file path=word/drawings/drawing9.xml><?xml version="1.0" encoding="utf-8"?>
<c:userShapes xmlns:c="http://schemas.openxmlformats.org/drawingml/2006/chart">
  <cdr:relSizeAnchor xmlns:cdr="http://schemas.openxmlformats.org/drawingml/2006/chartDrawing">
    <cdr:from>
      <cdr:x>0.36136</cdr:x>
      <cdr:y>0.09696</cdr:y>
    </cdr:from>
    <cdr:to>
      <cdr:x>0.50256</cdr:x>
      <cdr:y>0.19199</cdr:y>
    </cdr:to>
    <cdr:sp macro="" textlink="">
      <cdr:nvSpPr>
        <cdr:cNvPr id="2" name="TextBox 1"/>
        <cdr:cNvSpPr txBox="1"/>
      </cdr:nvSpPr>
      <cdr:spPr>
        <a:xfrm xmlns:a="http://schemas.openxmlformats.org/drawingml/2006/main">
          <a:off x="982532" y="256065"/>
          <a:ext cx="383916" cy="25097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a:latin typeface="Arial" pitchFamily="34" charset="0"/>
              <a:cs typeface="Arial" pitchFamily="34" charset="0"/>
            </a:rPr>
            <a:t>85+</a:t>
          </a:r>
        </a:p>
      </cdr:txBody>
    </cdr:sp>
  </cdr:relSizeAnchor>
  <cdr:relSizeAnchor xmlns:cdr="http://schemas.openxmlformats.org/drawingml/2006/chartDrawing">
    <cdr:from>
      <cdr:x>0.28446</cdr:x>
      <cdr:y>0.78405</cdr:y>
    </cdr:from>
    <cdr:to>
      <cdr:x>0.48089</cdr:x>
      <cdr:y>0.88277</cdr:y>
    </cdr:to>
    <cdr:sp macro="" textlink="">
      <cdr:nvSpPr>
        <cdr:cNvPr id="4" name="TextBox 1"/>
        <cdr:cNvSpPr txBox="1"/>
      </cdr:nvSpPr>
      <cdr:spPr>
        <a:xfrm xmlns:a="http://schemas.openxmlformats.org/drawingml/2006/main">
          <a:off x="773422" y="2070681"/>
          <a:ext cx="534099" cy="26074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solidFill>
                <a:schemeClr val="bg1"/>
              </a:solidFill>
              <a:latin typeface="Arial" pitchFamily="34" charset="0"/>
              <a:cs typeface="Arial" pitchFamily="34" charset="0"/>
            </a:rPr>
            <a:t>All ages</a:t>
          </a:r>
        </a:p>
      </cdr:txBody>
    </cdr:sp>
  </cdr:relSizeAnchor>
  <cdr:relSizeAnchor xmlns:cdr="http://schemas.openxmlformats.org/drawingml/2006/chartDrawing">
    <cdr:from>
      <cdr:x>0.20453</cdr:x>
      <cdr:y>0.24533</cdr:y>
    </cdr:from>
    <cdr:to>
      <cdr:x>0.30731</cdr:x>
      <cdr:y>0.3358</cdr:y>
    </cdr:to>
    <cdr:sp macro="" textlink="">
      <cdr:nvSpPr>
        <cdr:cNvPr id="5" name="TextBox 1"/>
        <cdr:cNvSpPr txBox="1"/>
      </cdr:nvSpPr>
      <cdr:spPr>
        <a:xfrm xmlns:a="http://schemas.openxmlformats.org/drawingml/2006/main">
          <a:off x="556457" y="678933"/>
          <a:ext cx="279632" cy="25037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latin typeface="Arial" pitchFamily="34" charset="0"/>
              <a:cs typeface="Arial" pitchFamily="34" charset="0"/>
            </a:rPr>
            <a:t>75+ </a:t>
          </a:r>
        </a:p>
      </cdr:txBody>
    </cdr:sp>
  </cdr:relSizeAnchor>
</c:userShapes>
</file>

<file path=word/theme/theme1.xml><?xml version="1.0" encoding="utf-8"?>
<a:theme xmlns:a="http://schemas.openxmlformats.org/drawingml/2006/main" name="Office Theme">
  <a:themeElements>
    <a:clrScheme name="Hudan Palette">
      <a:dk1>
        <a:sysClr val="windowText" lastClr="000000"/>
      </a:dk1>
      <a:lt1>
        <a:sysClr val="window" lastClr="FFFFFF"/>
      </a:lt1>
      <a:dk2>
        <a:srgbClr val="1F497D"/>
      </a:dk2>
      <a:lt2>
        <a:srgbClr val="EEECE1"/>
      </a:lt2>
      <a:accent1>
        <a:srgbClr val="39580D"/>
      </a:accent1>
      <a:accent2>
        <a:srgbClr val="78A22F"/>
      </a:accent2>
      <a:accent3>
        <a:srgbClr val="B4C98B"/>
      </a:accent3>
      <a:accent4>
        <a:srgbClr val="344893"/>
      </a:accent4>
      <a:accent5>
        <a:srgbClr val="787878"/>
      </a:accent5>
      <a:accent6>
        <a:srgbClr val="CDCDCD"/>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CC321-D486-4A4D-8D3E-F76C03D74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TotalTime>
  <Pages>19</Pages>
  <Words>5016</Words>
  <Characters>27697</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32648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Ageing</dc:subject>
  <dc:creator>Productivity Commission</dc:creator>
  <dc:description>1.</dc:description>
  <cp:lastModifiedBy>Melissa Edwards</cp:lastModifiedBy>
  <cp:revision>4</cp:revision>
  <cp:lastPrinted>2013-11-14T05:31:00Z</cp:lastPrinted>
  <dcterms:created xsi:type="dcterms:W3CDTF">2013-11-20T23:20:00Z</dcterms:created>
  <dcterms:modified xsi:type="dcterms:W3CDTF">2014-06-15T02:54:00Z</dcterms:modified>
</cp:coreProperties>
</file>